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Konferencija apie </w:t>
      </w:r>
      <w:r>
        <w:rPr/>
        <w:br/>
        <w:t>Europos ateitis</w:t>
      </w:r>
    </w:p>
    <w:p>
      <w:pPr>
        <w:pStyle w:val="P68B1DB1Normal2"/>
        <w:widowControl w:val="false"/>
        <w:spacing w:lineRule="exact" w:line="557"/>
        <w:ind w:left="56" w:right="1390" w:firstLine="8"/>
        <w:jc w:val="left"/>
        <w:rPr>
          <w:rFonts w:ascii="Arial" w:hAnsi="Arial"/>
          <w:color w:val="0000BE"/>
          <w:sz w:val="44"/>
        </w:rPr>
      </w:pPr>
      <w:r>
        <w:rPr/>
        <w:t xml:space="preserve">GALUTINIŲ REZULTATŲ ATASKAITA </w:t>
      </w:r>
    </w:p>
    <w:p>
      <w:pPr>
        <w:pStyle w:val="P68B1DB1Normal3"/>
        <w:widowControl w:val="false"/>
        <w:spacing w:lineRule="exact" w:line="557"/>
        <w:ind w:left="56" w:right="1390" w:hanging="0"/>
        <w:jc w:val="left"/>
        <w:rPr>
          <w:rFonts w:ascii="Roboto" w:hAnsi="Roboto"/>
          <w:color w:val="0000BE"/>
          <w:sz w:val="28"/>
        </w:rPr>
      </w:pPr>
      <w:r>
        <w:rPr/>
        <w:t>2022 m. gegužės mėn.</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Paveikslėli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veikslėlis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Struktūra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Paveikslėli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Konferencija dėl</w:t>
                            </w:r>
                            <w:r>
                              <w:rPr>
                                <w:b/>
                              </w:rPr>
                              <w:t>Europos ateities</w:t>
                            </w:r>
                            <w:r>
                              <w:rPr/>
                              <w:t xml:space="preserve"> </w:t>
                            </w:r>
                          </w:p>
                        </w:txbxContent>
                      </wps:txbx>
                      <wps:bodyPr lIns="54000" rIns="54000" tIns="54000" bIns="54000">
                        <a:noAutofit/>
                      </wps:bodyPr>
                    </wps:wsp>
                  </a:graphicData>
                </a:graphic>
              </wp:anchor>
            </w:drawing>
          </mc:Choice>
          <mc:Fallback>
            <w:pict>
              <v:rect id="shape_0" ID="Struktūra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Paveikslėli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ėlis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Konferencija dėl</w:t>
                      </w:r>
                      <w:r>
                        <w:rPr>
                          <w:b/>
                        </w:rPr>
                        <w:t>Europos ateities</w:t>
                      </w:r>
                      <w:r>
                        <w:rPr/>
                        <w:t xml:space="preserve"> </w:t>
                      </w:r>
                    </w:p>
                  </w:txbxContent>
                </v:textbox>
              </v:rect>
            </w:pict>
          </mc:Fallback>
        </mc:AlternateContent>
      </w:r>
      <w:r>
        <w:rPr>
          <w:b/>
          <w:color w:val="0000BE"/>
          <w:sz w:val="48"/>
        </w:rPr>
        <w:t>Ateitis</w:t>
      </w:r>
      <w:r>
        <w:rPr>
          <w:color w:val="0000BE"/>
          <w:sz w:val="48"/>
        </w:rPr>
        <w:t xml:space="preserve"> yra</w:t>
      </w:r>
      <w:r>
        <w:rPr/>
        <w:t xml:space="preserve"> </w:t>
      </w:r>
    </w:p>
    <w:p>
      <w:pPr>
        <w:pStyle w:val="P68B1DB1Normal5"/>
        <w:widowControl w:val="false"/>
        <w:spacing w:lineRule="exact" w:line="576"/>
        <w:ind w:left="51" w:right="0" w:hanging="0"/>
        <w:jc w:val="left"/>
        <w:rPr>
          <w:rFonts w:ascii="Arial" w:hAnsi="Arial"/>
        </w:rPr>
      </w:pPr>
      <w:r>
        <w:rPr/>
        <w:t>jūsų rankose</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Sistema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Dokumentą parengė Pierre Dieumegard</w:t>
                            </w:r>
                            <w:r>
                              <w:rPr>
                                <w:color w:val="auto"/>
                              </w:rPr>
                              <w:drawing>
                                <wp:inline distT="0" distB="0" distL="0" distR="0">
                                  <wp:extent cx="2494280" cy="765175"/>
                                  <wp:effectExtent l="0" t="0" r="0" b="0"/>
                                  <wp:docPr id="8" name="Paveikslėlis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veikslėlis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Europa-Demokratija-Esperanto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Šio „preliminaraus“ dokumento tikslas – suteikti galimybę daugiau žmonių Europos Sąjungoje suprasti Europos Sąjungai parengtus dokumentus (ir finansuojamus iš jų įnašų). </w:t>
                            </w:r>
                            <w:hyperlink r:id="rId5">
                              <w:r>
                                <w:rPr>
                                  <w:rStyle w:val="LienInternet"/>
                                  <w:rFonts w:ascii="Times New Roman" w:hAnsi="Times New Roman"/>
                                  <w:color w:val="auto"/>
                                  <w:sz w:val="24"/>
                                </w:rPr>
                                <w:t xml:space="preserve">Originalus dokumentasprancūzų kalba PDF formatu </w:t>
                              </w:r>
                            </w:hyperlink>
                            <w:r>
                              <w:rPr>
                                <w:rFonts w:ascii="Times New Roman" w:hAnsi="Times New Roman"/>
                                <w:color w:val="auto"/>
                                <w:sz w:val="24"/>
                              </w:rPr>
                              <w:t xml:space="preserve">buvo suformatuotas naudojant Libre Office programinę įrangą. Vertimas į visas oficialiąsias Europos Sąjungos kalbas atliekamas adresu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Mes atlikome šį darbą, nes Europos Sąjungoje reikia geresnės daugiakalbystės: be vertimo didelė gyventojų dalis neįtraukiama į diskusijas. </w:t>
                            </w:r>
                            <w:r>
                              <w:rPr>
                                <w:b/>
                                <w:color w:val="auto"/>
                              </w:rPr>
                              <w:t>Pageidautina, kad Europos Sąjungos administracija perimtų svarbių dokumentų vertimą, kad visi europiečiai galėtų suprasti, kas tai yra, ir kartu aptarti savo bendrą ateitį.</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Geram tiesioginiam bendravimui tarp Europos piliečių, patikimam vertimui, tarptautinė esperanto kalba būtų labai naudinga dėl jos paprastumo, reguliarumo ir tikslumo.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Internete: </w:t>
                            </w:r>
                          </w:p>
                          <w:p>
                            <w:pPr>
                              <w:pStyle w:val="Normal"/>
                              <w:rPr/>
                            </w:pPr>
                            <w:r>
                              <w:rPr>
                                <w:rFonts w:ascii="Times New Roman" w:hAnsi="Times New Roman"/>
                                <w:color w:val="auto"/>
                                <w:sz w:val="24"/>
                              </w:rPr>
                              <w:t xml:space="preserve"> </w:t>
                            </w:r>
                            <w:r>
                              <w:rPr>
                                <w:rFonts w:ascii="Times New Roman" w:hAnsi="Times New Roman"/>
                                <w:color w:val="auto"/>
                                <w:sz w:val="24"/>
                              </w:rPr>
                              <w:t>E</w:t>
                            </w:r>
                            <w:r>
                              <w:rPr>
                                <w:rFonts w:ascii="Times New Roman" w:hAnsi="Times New Roman"/>
                                <w:color w:val="auto"/>
                                <w:sz w:val="24"/>
                              </w:rPr>
                              <w:t>ŭ</w:t>
                            </w:r>
                            <w:r>
                              <w:rPr>
                                <w:rFonts w:ascii="Times New Roman" w:hAnsi="Times New Roman"/>
                                <w:color w:val="auto"/>
                                <w:sz w:val="24"/>
                              </w:rPr>
                              <w:t xml:space="preserve">ropo-Demokratio-Esperanto federacija: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(arba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Asociacija „Europe-Democracy-Esperanto“ (Prancūzija):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Europos dokumentai visomis oficialiosiomis kalbomis: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Palyginti su pirminiu dokumentu, yra keletas pakeitimų (pagerinimas?): </w:t>
                            </w:r>
                          </w:p>
                          <w:p>
                            <w:pPr>
                              <w:pStyle w:val="P68B1DB1Normal7"/>
                              <w:rPr>
                                <w:rFonts w:ascii="Times New Roman" w:hAnsi="Times New Roman"/>
                                <w:sz w:val="24"/>
                              </w:rPr>
                            </w:pPr>
                            <w:r>
                              <w:rPr>
                                <w:color w:val="auto"/>
                              </w:rPr>
                              <w:t>kai kurios rašybos klaidos buvo ištaisytos. Galbūt būta ir kitų klaidų?</w:t>
                            </w:r>
                          </w:p>
                          <w:p>
                            <w:pPr>
                              <w:pStyle w:val="P68B1DB1Normal7"/>
                              <w:rPr>
                                <w:rFonts w:ascii="Times New Roman" w:hAnsi="Times New Roman"/>
                                <w:sz w:val="24"/>
                              </w:rPr>
                            </w:pPr>
                            <w:r>
                              <w:rPr>
                                <w:color w:val="auto"/>
                              </w:rPr>
                              <w:t xml:space="preserve">– </w:t>
                            </w:r>
                            <w:r>
                              <w:rPr>
                                <w:color w:val="auto"/>
                              </w:rPr>
                              <w:t>išdėstymas buvo suderintas ir visi puslapiai yra tinkamai sunumeruoti (pirminis dokumentas buvo atskirų PDF rinkmenų su atskiromis numeracijas sugretinimas).</w:t>
                            </w:r>
                          </w:p>
                          <w:p>
                            <w:pPr>
                              <w:pStyle w:val="P68B1DB1Normal7"/>
                              <w:rPr>
                                <w:rFonts w:ascii="Times New Roman" w:hAnsi="Times New Roman"/>
                                <w:sz w:val="24"/>
                              </w:rPr>
                            </w:pPr>
                            <w:r>
                              <w:rPr>
                                <w:color w:val="auto"/>
                              </w:rPr>
                              <w:t xml:space="preserve">– </w:t>
                            </w:r>
                            <w:r>
                              <w:rPr>
                                <w:color w:val="auto"/>
                              </w:rPr>
                              <w:t>baigiamosios pastabos buvo paverstos sekcijos pabaigos pastabomis (puslapių apačioje).</w:t>
                            </w:r>
                          </w:p>
                          <w:p>
                            <w:pPr>
                              <w:pStyle w:val="P68B1DB1Normal7"/>
                              <w:spacing w:before="57" w:after="57"/>
                              <w:rPr>
                                <w:color w:val="auto"/>
                              </w:rPr>
                            </w:pPr>
                            <w:r>
                              <w:rPr>
                                <w:color w:val="auto"/>
                              </w:rPr>
                              <w:t xml:space="preserve">– </w:t>
                            </w:r>
                            <w:r>
                              <w:rPr>
                                <w:color w:val="auto"/>
                              </w:rPr>
                              <w:t>iš pradžių atvaizdų pavidalo dokumentai buvo paversti lentelėmis, kad jas būtų lengva išversti.</w:t>
                            </w:r>
                          </w:p>
                        </w:txbxContent>
                      </wps:txbx>
                      <wps:bodyPr lIns="54000" rIns="54000" tIns="54000" bIns="54000">
                        <a:noAutofit/>
                      </wps:bodyPr>
                    </wps:wsp>
                  </a:graphicData>
                </a:graphic>
              </wp:anchor>
            </w:drawing>
          </mc:Choice>
          <mc:Fallback>
            <w:pict>
              <v:rect id="shape_0" ID="Sistema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Dokumentą parengė Pierre Dieumegard</w:t>
                      </w:r>
                      <w:r>
                        <w:rPr>
                          <w:color w:val="auto"/>
                        </w:rPr>
                        <w:drawing>
                          <wp:inline distT="0" distB="0" distL="0" distR="0">
                            <wp:extent cx="2494280" cy="765175"/>
                            <wp:effectExtent l="0" t="0" r="0" b="0"/>
                            <wp:docPr id="9" name="Paveikslėlis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Europa-Demokratija-Esperanto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Šio „preliminaraus“ dokumento tikslas – suteikti galimybę daugiau žmonių Europos Sąjungoje suprasti Europos Sąjungai parengtus dokumentus (ir finansuojamus iš jų įnašų). </w:t>
                      </w:r>
                      <w:hyperlink r:id="rId11">
                        <w:r>
                          <w:rPr>
                            <w:rStyle w:val="LienInternet"/>
                            <w:rFonts w:ascii="Times New Roman" w:hAnsi="Times New Roman"/>
                            <w:color w:val="auto"/>
                            <w:sz w:val="24"/>
                          </w:rPr>
                          <w:t xml:space="preserve">Originalus dokumentasprancūzų kalba PDF formatu </w:t>
                        </w:r>
                      </w:hyperlink>
                      <w:r>
                        <w:rPr>
                          <w:rFonts w:ascii="Times New Roman" w:hAnsi="Times New Roman"/>
                          <w:color w:val="auto"/>
                          <w:sz w:val="24"/>
                        </w:rPr>
                        <w:t xml:space="preserve">buvo suformatuotas naudojant Libre Office programinę įrangą. Vertimas į visas oficialiąsias Europos Sąjungos kalbas atliekamas adresu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Mes atlikome šį darbą, nes Europos Sąjungoje reikia geresnės daugiakalbystės: be vertimo didelė gyventojų dalis neįtraukiama į diskusijas. </w:t>
                      </w:r>
                      <w:r>
                        <w:rPr>
                          <w:b/>
                          <w:color w:val="auto"/>
                        </w:rPr>
                        <w:t>Pageidautina, kad Europos Sąjungos administracija perimtų svarbių dokumentų vertimą, kad visi europiečiai galėtų suprasti, kas tai yra, ir kartu aptarti savo bendrą ateitį.</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Geram tiesioginiam bendravimui tarp Europos piliečių, patikimam vertimui, tarptautinė esperanto kalba būtų labai naudinga dėl jos paprastumo, reguliarumo ir tikslumo.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Internete: </w:t>
                      </w:r>
                    </w:p>
                    <w:p>
                      <w:pPr>
                        <w:pStyle w:val="Normal"/>
                        <w:rPr/>
                      </w:pPr>
                      <w:r>
                        <w:rPr>
                          <w:rFonts w:ascii="Times New Roman" w:hAnsi="Times New Roman"/>
                          <w:color w:val="auto"/>
                          <w:sz w:val="24"/>
                        </w:rPr>
                        <w:t xml:space="preserve"> </w:t>
                      </w:r>
                      <w:r>
                        <w:rPr>
                          <w:rFonts w:ascii="Times New Roman" w:hAnsi="Times New Roman"/>
                          <w:color w:val="auto"/>
                          <w:sz w:val="24"/>
                        </w:rPr>
                        <w:t>E</w:t>
                      </w:r>
                      <w:r>
                        <w:rPr>
                          <w:rFonts w:ascii="Times New Roman" w:hAnsi="Times New Roman"/>
                          <w:color w:val="auto"/>
                          <w:sz w:val="24"/>
                        </w:rPr>
                        <w:t>ŭ</w:t>
                      </w:r>
                      <w:r>
                        <w:rPr>
                          <w:rFonts w:ascii="Times New Roman" w:hAnsi="Times New Roman"/>
                          <w:color w:val="auto"/>
                          <w:sz w:val="24"/>
                        </w:rPr>
                        <w:t xml:space="preserve">ropo-Demokratio-Esperanto federacija: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(arba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Asociacija „Europe-Democracy-Esperanto“ (Prancūzija):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Europos dokumentai visomis oficialiosiomis kalbomis: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Palyginti su pirminiu dokumentu, yra keletas pakeitimų (pagerinimas?): </w:t>
                      </w:r>
                    </w:p>
                    <w:p>
                      <w:pPr>
                        <w:pStyle w:val="P68B1DB1Normal7"/>
                        <w:rPr>
                          <w:rFonts w:ascii="Times New Roman" w:hAnsi="Times New Roman"/>
                          <w:sz w:val="24"/>
                        </w:rPr>
                      </w:pPr>
                      <w:r>
                        <w:rPr>
                          <w:color w:val="auto"/>
                        </w:rPr>
                        <w:t>kai kurios rašybos klaidos buvo ištaisytos. Galbūt būta ir kitų klaidų?</w:t>
                      </w:r>
                    </w:p>
                    <w:p>
                      <w:pPr>
                        <w:pStyle w:val="P68B1DB1Normal7"/>
                        <w:rPr>
                          <w:rFonts w:ascii="Times New Roman" w:hAnsi="Times New Roman"/>
                          <w:sz w:val="24"/>
                        </w:rPr>
                      </w:pPr>
                      <w:r>
                        <w:rPr>
                          <w:color w:val="auto"/>
                        </w:rPr>
                        <w:t xml:space="preserve">– </w:t>
                      </w:r>
                      <w:r>
                        <w:rPr>
                          <w:color w:val="auto"/>
                        </w:rPr>
                        <w:t>išdėstymas buvo suderintas ir visi puslapiai yra tinkamai sunumeruoti (pirminis dokumentas buvo atskirų PDF rinkmenų su atskiromis numeracijas sugretinimas).</w:t>
                      </w:r>
                    </w:p>
                    <w:p>
                      <w:pPr>
                        <w:pStyle w:val="P68B1DB1Normal7"/>
                        <w:rPr>
                          <w:rFonts w:ascii="Times New Roman" w:hAnsi="Times New Roman"/>
                          <w:sz w:val="24"/>
                        </w:rPr>
                      </w:pPr>
                      <w:r>
                        <w:rPr>
                          <w:color w:val="auto"/>
                        </w:rPr>
                        <w:t xml:space="preserve">– </w:t>
                      </w:r>
                      <w:r>
                        <w:rPr>
                          <w:color w:val="auto"/>
                        </w:rPr>
                        <w:t>baigiamosios pastabos buvo paverstos sekcijos pabaigos pastabomis (puslapių apačioje).</w:t>
                      </w:r>
                    </w:p>
                    <w:p>
                      <w:pPr>
                        <w:pStyle w:val="P68B1DB1Normal7"/>
                        <w:spacing w:before="57" w:after="57"/>
                        <w:rPr>
                          <w:color w:val="auto"/>
                        </w:rPr>
                      </w:pPr>
                      <w:r>
                        <w:rPr>
                          <w:color w:val="auto"/>
                        </w:rPr>
                        <w:t xml:space="preserve">– </w:t>
                      </w:r>
                      <w:r>
                        <w:rPr>
                          <w:color w:val="auto"/>
                        </w:rPr>
                        <w:t>iš pradžių atvaizdų pavidalo dokumentai buvo paversti lentelėmis, kad jas būtų lengva išversti.</w:t>
                      </w:r>
                    </w:p>
                  </w:txbxContent>
                </v:textbox>
              </v:rect>
            </w:pict>
          </mc:Fallback>
        </mc:AlternateContent>
      </w:r>
    </w:p>
    <w:p>
      <w:pPr>
        <w:pStyle w:val="Normal"/>
        <w:rPr/>
      </w:pPr>
      <w:r>
        <w:rPr/>
      </w:r>
    </w:p>
    <w:sdt>
      <w:sdtPr>
        <w:docPartObj>
          <w:docPartGallery w:val="Table of Contents"/>
          <w:docPartUnique w:val="true"/>
        </w:docPartObj>
      </w:sdtPr>
      <w:sdtContent>
        <w:p>
          <w:pPr>
            <w:pStyle w:val="TOAHeading"/>
            <w:rPr/>
          </w:pPr>
          <w:r>
            <w:rPr/>
            <w:t>Turinio</w:t>
          </w:r>
          <w:r>
            <w:br w:type="page"/>
          </w:r>
        </w:p>
        <w:p>
          <w:pPr>
            <w:pStyle w:val="Normal"/>
            <w:rPr/>
          </w:pPr>
          <w:r>
            <w:rPr/>
            <w:t>lentelė</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Konferencijos architektūra</w:t>
              <w:tab/>
              <w:t>8</w:t>
            </w:r>
          </w:hyperlink>
        </w:p>
        <w:p>
          <w:pPr>
            <w:pStyle w:val="Tabledesmatiresniveau2"/>
            <w:tabs>
              <w:tab w:val="right" w:pos="9638" w:leader="dot"/>
            </w:tabs>
            <w:rPr/>
          </w:pPr>
          <w:hyperlink w:anchor="__RefHeading___Toc298048_1346298689">
            <w:r>
              <w:rPr>
                <w:rStyle w:val="Sautdindex"/>
              </w:rPr>
              <w:t>1. Bendra deklaracija</w:t>
              <w:tab/>
              <w:t>9</w:t>
            </w:r>
          </w:hyperlink>
        </w:p>
        <w:p>
          <w:pPr>
            <w:pStyle w:val="Tabledesmatiresniveau2"/>
            <w:tabs>
              <w:tab w:val="right" w:pos="9638" w:leader="dot"/>
            </w:tabs>
            <w:rPr/>
          </w:pPr>
          <w:hyperlink w:anchor="__RefHeading___Toc298050_1346298689">
            <w:r>
              <w:rPr>
                <w:rStyle w:val="Sautdindex"/>
              </w:rPr>
              <w:t>2. Darbo tvarkos taisyklės</w:t>
              <w:tab/>
              <w:t>10</w:t>
            </w:r>
          </w:hyperlink>
        </w:p>
        <w:p>
          <w:pPr>
            <w:pStyle w:val="Tabledesmatiresniveau2"/>
            <w:tabs>
              <w:tab w:val="right" w:pos="9638" w:leader="dot"/>
            </w:tabs>
            <w:rPr/>
          </w:pPr>
          <w:hyperlink w:anchor="__RefHeading___Toc298052_1346298689">
            <w:r>
              <w:rPr>
                <w:rStyle w:val="Sautdindex"/>
              </w:rPr>
              <w:t>3. Renginiai, susiję su konferencija</w:t>
              <w:tab/>
              <w:t>10</w:t>
            </w:r>
          </w:hyperlink>
        </w:p>
        <w:p>
          <w:pPr>
            <w:pStyle w:val="Tabledesmatiresniveau2"/>
            <w:tabs>
              <w:tab w:val="right" w:pos="9638" w:leader="dot"/>
            </w:tabs>
            <w:rPr/>
          </w:pPr>
          <w:hyperlink w:anchor="__RefHeading___Toc298054_1346298689">
            <w:r>
              <w:rPr>
                <w:rStyle w:val="Sautdindex"/>
              </w:rPr>
              <w:t>4. Daugiakalbės skaitmeninės platformos įgyvendinimas</w:t>
              <w:tab/>
              <w:t>10</w:t>
            </w:r>
          </w:hyperlink>
        </w:p>
        <w:p>
          <w:pPr>
            <w:pStyle w:val="Tabledesmatiresniveau2"/>
            <w:tabs>
              <w:tab w:val="right" w:pos="9638" w:leader="dot"/>
            </w:tabs>
            <w:rPr/>
          </w:pPr>
          <w:hyperlink w:anchor="__RefHeading___Toc298056_1346298689">
            <w:r>
              <w:rPr>
                <w:rStyle w:val="Sautdindex"/>
              </w:rPr>
              <w:t>5. Europos piliečių forumai</w:t>
              <w:tab/>
              <w:t>11</w:t>
            </w:r>
          </w:hyperlink>
        </w:p>
        <w:p>
          <w:pPr>
            <w:pStyle w:val="Tabledesmatiresniveau2"/>
            <w:tabs>
              <w:tab w:val="right" w:pos="9638" w:leader="dot"/>
            </w:tabs>
            <w:rPr/>
          </w:pPr>
          <w:hyperlink w:anchor="__RefHeading___Toc298058_1346298689">
            <w:r>
              <w:rPr>
                <w:rStyle w:val="Sautdindex"/>
              </w:rPr>
              <w:t>6. Nacionaliniai piliečių forumai</w:t>
              <w:tab/>
              <w:t>11</w:t>
            </w:r>
          </w:hyperlink>
        </w:p>
        <w:p>
          <w:pPr>
            <w:pStyle w:val="Tabledesmatiresniveau1"/>
            <w:tabs>
              <w:tab w:val="right" w:pos="9638" w:leader="dot"/>
            </w:tabs>
            <w:rPr/>
          </w:pPr>
          <w:hyperlink w:anchor="__RefHeading___Toc298188_1346298689">
            <w:r>
              <w:rPr>
                <w:rStyle w:val="Sautdindex"/>
              </w:rPr>
              <w:t>NE, NE, NE, NE. Piliečių indėlis į konferenciją</w:t>
              <w:tab/>
              <w:t>12</w:t>
            </w:r>
          </w:hyperlink>
        </w:p>
        <w:p>
          <w:pPr>
            <w:pStyle w:val="Tabledesmatiresniveau2"/>
            <w:tabs>
              <w:tab w:val="right" w:pos="9638" w:leader="dot"/>
            </w:tabs>
            <w:rPr/>
          </w:pPr>
          <w:hyperlink w:anchor="__RefHeading___Toc298190_1346298689">
            <w:r>
              <w:rPr>
                <w:rStyle w:val="Sautdindex"/>
              </w:rPr>
              <w:t>A. Daugiakalbė skaitmeninė platforma</w:t>
              <w:tab/>
              <w:t>13</w:t>
            </w:r>
          </w:hyperlink>
        </w:p>
        <w:p>
          <w:pPr>
            <w:pStyle w:val="Tabledesmatiresniveau2"/>
            <w:tabs>
              <w:tab w:val="right" w:pos="9638" w:leader="dot"/>
            </w:tabs>
            <w:rPr/>
          </w:pPr>
          <w:hyperlink w:anchor="__RefHeading___Toc298192_1346298689">
            <w:r>
              <w:rPr>
                <w:rStyle w:val="Sautdindex"/>
              </w:rPr>
              <w:t>B. Piliečių forumai</w:t>
              <w:tab/>
              <w:t>18</w:t>
            </w:r>
          </w:hyperlink>
        </w:p>
        <w:p>
          <w:pPr>
            <w:pStyle w:val="Tabledesmatiresniveau2"/>
            <w:tabs>
              <w:tab w:val="right" w:pos="9638" w:leader="dot"/>
            </w:tabs>
            <w:rPr/>
          </w:pPr>
          <w:hyperlink w:anchor="__RefHeading___Toc298228_1346298689">
            <w:r>
              <w:rPr>
                <w:rStyle w:val="Sautdindex"/>
              </w:rPr>
              <w:t>C. Konferencijos metu organizuojami renginiai</w:t>
              <w:tab/>
              <w:t>28</w:t>
            </w:r>
          </w:hyperlink>
        </w:p>
        <w:p>
          <w:pPr>
            <w:pStyle w:val="Tabledesmatiresniveau1"/>
            <w:tabs>
              <w:tab w:val="right" w:pos="9638" w:leader="dot"/>
            </w:tabs>
            <w:rPr/>
          </w:pPr>
          <w:hyperlink w:anchor="__RefHeading___Toc298238_1346298689">
            <w:r>
              <w:rPr>
                <w:rStyle w:val="Sautdindex"/>
              </w:rPr>
              <w:t>III. Konferencijos plenarinė asamblėja</w:t>
              <w:tab/>
              <w:t>37</w:t>
            </w:r>
          </w:hyperlink>
        </w:p>
        <w:p>
          <w:pPr>
            <w:pStyle w:val="Tabledesmatiresniveau2"/>
            <w:tabs>
              <w:tab w:val="right" w:pos="9638" w:leader="dot"/>
            </w:tabs>
            <w:rPr/>
          </w:pPr>
          <w:hyperlink w:anchor="__RefHeading___Toc298240_1346298689">
            <w:r>
              <w:rPr>
                <w:rStyle w:val="Sautdindex"/>
              </w:rPr>
              <w:t>A. Plenarinės asamblėjos vaidmuo ir veikimas</w:t>
              <w:tab/>
              <w:t>38</w:t>
            </w:r>
          </w:hyperlink>
        </w:p>
        <w:p>
          <w:pPr>
            <w:pStyle w:val="Tabledesmatiresniveau2"/>
            <w:tabs>
              <w:tab w:val="right" w:pos="9638" w:leader="dot"/>
            </w:tabs>
            <w:rPr/>
          </w:pPr>
          <w:hyperlink w:anchor="__RefHeading___Toc298242_1346298689">
            <w:r>
              <w:rPr>
                <w:rStyle w:val="Sautdindex"/>
              </w:rPr>
              <w:t>B. Darbo grupės</w:t>
              <w:tab/>
              <w:t>39</w:t>
            </w:r>
          </w:hyperlink>
        </w:p>
        <w:p>
          <w:pPr>
            <w:pStyle w:val="Tabledesmatiresniveau2"/>
            <w:tabs>
              <w:tab w:val="right" w:pos="9638" w:leader="dot"/>
            </w:tabs>
            <w:rPr/>
          </w:pPr>
          <w:hyperlink w:anchor="__RefHeading___Toc298244_1346298689">
            <w:r>
              <w:rPr>
                <w:rStyle w:val="Sautdindex"/>
              </w:rPr>
              <w:t>C. Chronologinė santrauka</w:t>
              <w:tab/>
              <w:t>40</w:t>
            </w:r>
          </w:hyperlink>
        </w:p>
        <w:p>
          <w:pPr>
            <w:pStyle w:val="Tabledesmatiresniveau1"/>
            <w:tabs>
              <w:tab w:val="right" w:pos="9638" w:leader="dot"/>
            </w:tabs>
            <w:rPr/>
          </w:pPr>
          <w:hyperlink w:anchor="__RefHeading___Toc298246_1346298689">
            <w:r>
              <w:rPr>
                <w:rStyle w:val="Sautdindex"/>
              </w:rPr>
              <w:t>IV. Plenarinės asamblėjos pasiūlymai</w:t>
              <w:tab/>
              <w:t>46</w:t>
            </w:r>
          </w:hyperlink>
        </w:p>
        <w:p>
          <w:pPr>
            <w:pStyle w:val="Tabledesmatiresniveau2"/>
            <w:tabs>
              <w:tab w:val="right" w:pos="9638" w:leader="dot"/>
            </w:tabs>
            <w:rPr/>
          </w:pPr>
          <w:hyperlink w:anchor="__RefHeading___Toc298248_1346298689">
            <w:r>
              <w:rPr>
                <w:rStyle w:val="Sautdindex"/>
              </w:rPr>
              <w:t>Klimato kaita ir aplinka</w:t>
              <w:tab/>
              <w:t>47</w:t>
            </w:r>
          </w:hyperlink>
        </w:p>
        <w:p>
          <w:pPr>
            <w:pStyle w:val="Tabledesmatiresniveau2"/>
            <w:tabs>
              <w:tab w:val="right" w:pos="9638" w:leader="dot"/>
            </w:tabs>
            <w:rPr/>
          </w:pPr>
          <w:hyperlink w:anchor="__RefHeading___Toc298272_1346298689">
            <w:r>
              <w:rPr>
                <w:rStyle w:val="Sautdindex"/>
              </w:rPr>
              <w:t>„</w:t>
            </w:r>
            <w:r>
              <w:rPr>
                <w:rStyle w:val="Sautdindex"/>
              </w:rPr>
              <w:t>Sveikata“</w:t>
              <w:tab/>
              <w:t>53</w:t>
            </w:r>
          </w:hyperlink>
        </w:p>
        <w:p>
          <w:pPr>
            <w:pStyle w:val="Tabledesmatiresniveau2"/>
            <w:tabs>
              <w:tab w:val="right" w:pos="9638" w:leader="dot"/>
            </w:tabs>
            <w:rPr/>
          </w:pPr>
          <w:hyperlink w:anchor="__RefHeading___Toc298288_1346298689">
            <w:r>
              <w:rPr>
                <w:rStyle w:val="Sautdindex"/>
              </w:rPr>
              <w:t>Stipresnė ekonomika, socialinis teisingumas ir užimtumas</w:t>
              <w:tab/>
              <w:t>57</w:t>
            </w:r>
          </w:hyperlink>
        </w:p>
        <w:p>
          <w:pPr>
            <w:pStyle w:val="Tabledesmatiresniveau2"/>
            <w:tabs>
              <w:tab w:val="right" w:pos="9638" w:leader="dot"/>
            </w:tabs>
            <w:rPr/>
          </w:pPr>
          <w:hyperlink w:anchor="__RefHeading___Toc298302_1346298689">
            <w:r>
              <w:rPr>
                <w:rStyle w:val="Sautdindex"/>
              </w:rPr>
              <w:t>„</w:t>
            </w:r>
            <w:r>
              <w:rPr>
                <w:rStyle w:val="Sautdindex"/>
              </w:rPr>
              <w:t>ES pasaulyje“</w:t>
              <w:tab/>
              <w:t>66</w:t>
            </w:r>
          </w:hyperlink>
        </w:p>
        <w:p>
          <w:pPr>
            <w:pStyle w:val="Tabledesmatiresniveau2"/>
            <w:tabs>
              <w:tab w:val="right" w:pos="9638" w:leader="dot"/>
            </w:tabs>
            <w:rPr/>
          </w:pPr>
          <w:hyperlink w:anchor="__RefHeading___Toc298320_1346298689">
            <w:r>
              <w:rPr>
                <w:rStyle w:val="Sautdindex"/>
              </w:rPr>
              <w:t>Vertybės ir teisės, teisinė valstybė, saugumas</w:t>
              <w:tab/>
              <w:t>73</w:t>
            </w:r>
          </w:hyperlink>
        </w:p>
        <w:p>
          <w:pPr>
            <w:pStyle w:val="Tabledesmatiresniveau2"/>
            <w:tabs>
              <w:tab w:val="right" w:pos="9638" w:leader="dot"/>
            </w:tabs>
            <w:rPr/>
          </w:pPr>
          <w:hyperlink w:anchor="__RefHeading___Toc298334_1346298689">
            <w:r>
              <w:rPr>
                <w:rStyle w:val="Sautdindex"/>
              </w:rPr>
              <w:t>„</w:t>
            </w:r>
            <w:r>
              <w:rPr>
                <w:rStyle w:val="Sautdindex"/>
              </w:rPr>
              <w:t>Skaitmeninė transformacija“</w:t>
              <w:tab/>
              <w:t>78</w:t>
            </w:r>
          </w:hyperlink>
        </w:p>
        <w:p>
          <w:pPr>
            <w:pStyle w:val="Tabledesmatiresniveau2"/>
            <w:tabs>
              <w:tab w:val="right" w:pos="9638" w:leader="dot"/>
            </w:tabs>
            <w:rPr/>
          </w:pPr>
          <w:hyperlink w:anchor="__RefHeading___Toc298346_1346298689">
            <w:r>
              <w:rPr>
                <w:rStyle w:val="Sautdindex"/>
              </w:rPr>
              <w:t>„</w:t>
            </w:r>
            <w:r>
              <w:rPr>
                <w:rStyle w:val="Sautdindex"/>
              </w:rPr>
              <w:t>Europos demokratija“</w:t>
              <w:tab/>
              <w:t>83</w:t>
            </w:r>
          </w:hyperlink>
        </w:p>
        <w:p>
          <w:pPr>
            <w:pStyle w:val="Tabledesmatiresniveau2"/>
            <w:tabs>
              <w:tab w:val="right" w:pos="9638" w:leader="dot"/>
            </w:tabs>
            <w:rPr/>
          </w:pPr>
          <w:hyperlink w:anchor="__RefHeading___Toc298358_1346298689">
            <w:r>
              <w:rPr>
                <w:rStyle w:val="Sautdindex"/>
              </w:rPr>
              <w:t>„</w:t>
            </w:r>
            <w:r>
              <w:rPr>
                <w:rStyle w:val="Sautdindex"/>
              </w:rPr>
              <w:t>Migracijos“</w:t>
              <w:tab/>
              <w:t>88</w:t>
            </w:r>
          </w:hyperlink>
        </w:p>
        <w:p>
          <w:pPr>
            <w:pStyle w:val="Tabledesmatiresniveau2"/>
            <w:tabs>
              <w:tab w:val="right" w:pos="9638" w:leader="dot"/>
            </w:tabs>
            <w:rPr/>
          </w:pPr>
          <w:hyperlink w:anchor="__RefHeading___Toc298370_1346298689">
            <w:r>
              <w:rPr>
                <w:rStyle w:val="Sautdindex"/>
              </w:rPr>
              <w:t>Švietimas, kultūra, jaunimas ir sportas</w:t>
              <w:tab/>
              <w:t>92</w:t>
            </w:r>
          </w:hyperlink>
        </w:p>
        <w:p>
          <w:pPr>
            <w:pStyle w:val="Tabledesmatiresniveau1"/>
            <w:tabs>
              <w:tab w:val="right" w:pos="9638" w:leader="dot"/>
            </w:tabs>
            <w:rPr/>
          </w:pPr>
          <w:hyperlink w:anchor="__RefHeading___Toc298380_1346298689">
            <w:r>
              <w:rPr>
                <w:rStyle w:val="Sautdindex"/>
              </w:rPr>
              <w:t>Galutiniai Vykdomosios valdybos svarstymai</w:t>
              <w:tab/>
              <w:t>96</w:t>
            </w:r>
          </w:hyperlink>
        </w:p>
        <w:p>
          <w:pPr>
            <w:pStyle w:val="Tabledesmatiresniveau1"/>
            <w:tabs>
              <w:tab w:val="right" w:pos="9638" w:leader="dot"/>
            </w:tabs>
            <w:rPr/>
          </w:pPr>
          <w:hyperlink w:anchor="__RefHeading___Toc297141_1346298689">
            <w:r>
              <w:rPr>
                <w:rStyle w:val="Sautdindex"/>
              </w:rPr>
              <w:t>I priedas. Keturių Europos piliečių forumų rekomendacijos</w:t>
              <w:tab/>
              <w:t>99</w:t>
            </w:r>
          </w:hyperlink>
        </w:p>
        <w:p>
          <w:pPr>
            <w:pStyle w:val="Tabledesmatiresniveau2"/>
            <w:tabs>
              <w:tab w:val="right" w:pos="9638" w:leader="dot"/>
            </w:tabs>
            <w:rPr/>
          </w:pPr>
          <w:hyperlink w:anchor="__RefHeading___Toc297143_1346298689">
            <w:r>
              <w:rPr>
                <w:rStyle w:val="Sautdindex"/>
              </w:rPr>
              <w:t>1-asis Europos piliečių forumas: Stipresnė ekonomika, socialinis teisingumas ir užimtumas/Švietimas, kultūra, jaunimas ir sportas/skaitmeninė transformacija</w:t>
              <w:tab/>
              <w:t>100</w:t>
            </w:r>
          </w:hyperlink>
        </w:p>
        <w:p>
          <w:pPr>
            <w:pStyle w:val="Tabledesmatiresniveau2"/>
            <w:tabs>
              <w:tab w:val="right" w:pos="9638" w:leader="dot"/>
            </w:tabs>
            <w:rPr/>
          </w:pPr>
          <w:hyperlink w:anchor="__RefHeading___Toc297195_1346298689">
            <w:r>
              <w:rPr>
                <w:rStyle w:val="Sautdindex"/>
              </w:rPr>
              <w:t>2 Europos piliečių forumas: „Europos demokratija; vertybės ir teisės, teisinė valstybė, saugumas</w:t>
              <w:tab/>
              <w:t>116</w:t>
            </w:r>
          </w:hyperlink>
        </w:p>
        <w:p>
          <w:pPr>
            <w:pStyle w:val="Tabledesmatiresniveau2"/>
            <w:tabs>
              <w:tab w:val="right" w:pos="9638" w:leader="dot"/>
            </w:tabs>
            <w:rPr/>
          </w:pPr>
          <w:hyperlink w:anchor="__RefHeading___Toc297245_1346298689">
            <w:r>
              <w:rPr>
                <w:rStyle w:val="Sautdindex"/>
              </w:rPr>
              <w:t>Europos piliečių forumas Nr. 3: Klimato kaita ir aplinka/Sveikata</w:t>
              <w:tab/>
              <w:t>129</w:t>
            </w:r>
          </w:hyperlink>
        </w:p>
        <w:p>
          <w:pPr>
            <w:pStyle w:val="Tabledesmatiresniveau2"/>
            <w:tabs>
              <w:tab w:val="right" w:pos="9638" w:leader="dot"/>
            </w:tabs>
            <w:rPr/>
          </w:pPr>
          <w:hyperlink w:anchor="__RefHeading___Toc297297_1346298689">
            <w:r>
              <w:rPr>
                <w:rStyle w:val="Sautdindex"/>
              </w:rPr>
              <w:t>Europos piliečių forumas 4: „ES pasaulyje/migracija“</w:t>
              <w:tab/>
              <w:t>146</w:t>
            </w:r>
          </w:hyperlink>
        </w:p>
        <w:p>
          <w:pPr>
            <w:pStyle w:val="Tabledesmatiresniveau1"/>
            <w:tabs>
              <w:tab w:val="right" w:pos="9638" w:leader="dot"/>
            </w:tabs>
            <w:rPr/>
          </w:pPr>
          <w:hyperlink w:anchor="__RefHeading___Toc297345_1346298689">
            <w:r>
              <w:rPr>
                <w:rStyle w:val="Sautdindex"/>
              </w:rPr>
              <w:t>II A. Nacionalinės grupės: Belgija</w:t>
              <w:tab/>
              <w:t>158</w:t>
            </w:r>
          </w:hyperlink>
        </w:p>
        <w:p>
          <w:pPr>
            <w:pStyle w:val="Tabledesmatiresniveau1"/>
            <w:tabs>
              <w:tab w:val="right" w:pos="9638" w:leader="dot"/>
            </w:tabs>
            <w:rPr/>
          </w:pPr>
          <w:hyperlink w:anchor="__RefHeading___Toc297349_1346298689">
            <w:r>
              <w:rPr>
                <w:rStyle w:val="Sautdindex"/>
              </w:rPr>
              <w:t>II B nacionalinės grupės: Prancūzija</w:t>
              <w:tab/>
              <w:t>172</w:t>
            </w:r>
          </w:hyperlink>
        </w:p>
        <w:p>
          <w:pPr>
            <w:pStyle w:val="Tabledesmatiresniveau2"/>
            <w:tabs>
              <w:tab w:val="right" w:pos="9638" w:leader="dot"/>
            </w:tabs>
            <w:rPr/>
          </w:pPr>
          <w:hyperlink w:anchor="__RefHeading___Toc300448_1346298689">
            <w:r>
              <w:rPr>
                <w:rStyle w:val="Sautdindex"/>
              </w:rPr>
              <w:t>Įvadas</w:t>
              <w:tab/>
              <w:t>175</w:t>
            </w:r>
          </w:hyperlink>
        </w:p>
        <w:p>
          <w:pPr>
            <w:pStyle w:val="Tabledesmatiresniveau2"/>
            <w:tabs>
              <w:tab w:val="right" w:pos="9638" w:leader="dot"/>
            </w:tabs>
            <w:rPr/>
          </w:pPr>
          <w:hyperlink w:anchor="__RefHeading___Toc300450_1346298689">
            <w:r>
              <w:rPr>
                <w:rStyle w:val="Sautdindex"/>
              </w:rPr>
              <w:t>Pagrindinių rezultatų pristatymas</w:t>
              <w:tab/>
              <w:t>178</w:t>
            </w:r>
          </w:hyperlink>
        </w:p>
        <w:p>
          <w:pPr>
            <w:pStyle w:val="Tabledesmatiresniveau2"/>
            <w:tabs>
              <w:tab w:val="right" w:pos="9638" w:leader="dot"/>
            </w:tabs>
            <w:rPr/>
          </w:pPr>
          <w:hyperlink w:anchor="__RefHeading___Toc300452_1346298689">
            <w:r>
              <w:rPr>
                <w:rStyle w:val="Sautdindex"/>
              </w:rPr>
              <w:t>Regioninių konferencijų grupių pristatymas</w:t>
              <w:tab/>
              <w:t>180</w:t>
            </w:r>
          </w:hyperlink>
        </w:p>
        <w:p>
          <w:pPr>
            <w:pStyle w:val="Tabledesmatiresniveau2"/>
            <w:tabs>
              <w:tab w:val="right" w:pos="9638" w:leader="dot"/>
            </w:tabs>
            <w:rPr/>
          </w:pPr>
          <w:hyperlink w:anchor="__RefHeading___Toc300454_1346298689">
            <w:r>
              <w:rPr>
                <w:rStyle w:val="Sautdindex"/>
              </w:rPr>
              <w:t>Metodiniai įsipareigojimai ir šališkumas</w:t>
              <w:tab/>
              <w:t>182</w:t>
            </w:r>
          </w:hyperlink>
        </w:p>
        <w:p>
          <w:pPr>
            <w:pStyle w:val="Tabledesmatiresniveau2"/>
            <w:tabs>
              <w:tab w:val="right" w:pos="9638" w:leader="dot"/>
            </w:tabs>
            <w:rPr/>
          </w:pPr>
          <w:hyperlink w:anchor="__RefHeading___Toc297351_1346298689">
            <w:r>
              <w:rPr>
                <w:rStyle w:val="Sautdindex"/>
              </w:rPr>
              <w:t>Antroji dalis: konsultacijų „Words to Youth“ rezultatų pristatymas</w:t>
              <w:tab/>
              <w:t>198</w:t>
            </w:r>
          </w:hyperlink>
        </w:p>
        <w:p>
          <w:pPr>
            <w:pStyle w:val="Tabledesmatiresniveau2"/>
            <w:tabs>
              <w:tab w:val="right" w:pos="9638" w:leader="dot"/>
            </w:tabs>
            <w:rPr/>
          </w:pPr>
          <w:hyperlink w:anchor="__RefHeading___Toc300458_1346298689">
            <w:r>
              <w:rPr>
                <w:rStyle w:val="Sautdindex"/>
              </w:rPr>
              <w:t>Išvada</w:t>
              <w:tab/>
              <w:t>201</w:t>
            </w:r>
          </w:hyperlink>
        </w:p>
        <w:p>
          <w:pPr>
            <w:pStyle w:val="Tabledesmatiresniveau1"/>
            <w:tabs>
              <w:tab w:val="right" w:pos="9638" w:leader="dot"/>
            </w:tabs>
            <w:rPr/>
          </w:pPr>
          <w:hyperlink w:anchor="__RefHeading___Toc297353_1346298689">
            <w:r>
              <w:rPr>
                <w:rStyle w:val="Sautdindex"/>
              </w:rPr>
              <w:t>II C nacionalinės grupės: Vokietija</w:t>
              <w:tab/>
              <w:t>202</w:t>
            </w:r>
          </w:hyperlink>
        </w:p>
        <w:p>
          <w:pPr>
            <w:pStyle w:val="Tabledesmatiresniveau1"/>
            <w:tabs>
              <w:tab w:val="right" w:pos="9638" w:leader="dot"/>
            </w:tabs>
            <w:rPr/>
          </w:pPr>
          <w:hyperlink w:anchor="__RefHeading___Toc297355_1346298689">
            <w:r>
              <w:rPr>
                <w:rStyle w:val="Sautdindex"/>
              </w:rPr>
              <w:t>II d. nacionalinės komisijos: Italija</w:t>
              <w:tab/>
              <w:t>208</w:t>
            </w:r>
          </w:hyperlink>
        </w:p>
        <w:p>
          <w:pPr>
            <w:pStyle w:val="Tabledesmatiresniveau2"/>
            <w:tabs>
              <w:tab w:val="right" w:pos="9638" w:leader="dot"/>
            </w:tabs>
            <w:rPr/>
          </w:pPr>
          <w:hyperlink w:anchor="__RefHeading___Toc300314_1346298689">
            <w:r>
              <w:rPr>
                <w:rStyle w:val="Sautdindex"/>
              </w:rPr>
              <w:t>4. Darbo programa</w:t>
              <w:tab/>
              <w:t>214</w:t>
            </w:r>
          </w:hyperlink>
        </w:p>
        <w:p>
          <w:pPr>
            <w:pStyle w:val="Tabledesmatiresniveau2"/>
            <w:tabs>
              <w:tab w:val="right" w:pos="9638" w:leader="dot"/>
            </w:tabs>
            <w:rPr/>
          </w:pPr>
          <w:hyperlink w:anchor="__RefHeading___Toc300322_1346298689">
            <w:r>
              <w:rPr>
                <w:rStyle w:val="Sautdindex"/>
              </w:rPr>
              <w:t>6. Galutinis dalyvių vertinimas</w:t>
              <w:tab/>
              <w:t>223</w:t>
            </w:r>
          </w:hyperlink>
        </w:p>
        <w:p>
          <w:pPr>
            <w:pStyle w:val="Tabledesmatiresniveau1"/>
            <w:tabs>
              <w:tab w:val="right" w:pos="9638" w:leader="dot"/>
            </w:tabs>
            <w:rPr/>
          </w:pPr>
          <w:hyperlink w:anchor="__RefHeading___Toc298382_1346298689">
            <w:r>
              <w:rPr>
                <w:rStyle w:val="Sautdindex"/>
              </w:rPr>
              <w:t>II E nacionalinės grupės: Lietuva</w:t>
              <w:tab/>
              <w:t>226</w:t>
            </w:r>
          </w:hyperlink>
        </w:p>
        <w:p>
          <w:pPr>
            <w:pStyle w:val="Tabledesmatiresniveau1"/>
            <w:tabs>
              <w:tab w:val="right" w:pos="9638" w:leader="dot"/>
            </w:tabs>
            <w:rPr/>
          </w:pPr>
          <w:hyperlink w:anchor="__RefHeading___Toc297357_1346298689">
            <w:r>
              <w:rPr>
                <w:rStyle w:val="Sautdindex"/>
              </w:rPr>
              <w:t>II F Nacionalinės kolegijos: Nyderlandai</w:t>
              <w:tab/>
              <w:t>233</w:t>
            </w:r>
          </w:hyperlink>
        </w:p>
        <w:p>
          <w:pPr>
            <w:pStyle w:val="Tabledesmatiresniveau1"/>
            <w:tabs>
              <w:tab w:val="right" w:pos="9638" w:leader="dot"/>
            </w:tabs>
            <w:rPr/>
          </w:pPr>
          <w:hyperlink w:anchor="__RefHeading___Toc297359_1346298689">
            <w:r>
              <w:rPr>
                <w:rStyle w:val="Sautdindex"/>
              </w:rPr>
              <w:t>III – Nuorodos į nacionalinių renginių rezultatus</w:t>
              <w:tab/>
              <w:t>285</w:t>
            </w:r>
          </w:hyperlink>
        </w:p>
        <w:p>
          <w:pPr>
            <w:pStyle w:val="Tabledesmatiresniveau1"/>
            <w:tabs>
              <w:tab w:val="right" w:pos="9638" w:leader="dot"/>
            </w:tabs>
            <w:rPr/>
          </w:pPr>
          <w:hyperlink w:anchor="__RefHeading___Toc344888_2081073262">
            <w:r>
              <w:rPr>
                <w:rStyle w:val="Sautdindex"/>
              </w:rPr>
              <w:t>IV. Nuoroda į daugiakalbės skaitmeninės platformos ataskaitą</w:t>
              <w:tab/>
              <w:t>286</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Paveikslėli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veikslėlis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Įvadas</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2021 m. kovo 10 d. Europos Parlamento Pirmininkas Davidas Sassoli, Portugalijos ministras pirmininkas António Costa ES Tarybos vardu ir Europos Komisijos pirmininkė Ursula von der Leyen pasirašė bendrą deklaraciją dėl Konferencijos dėl Europos ateities. Jų įsipareigojimas buvo paprastas: tai buvo į piliečius orientuota veikla, pagrįsta principu „iš apačios į viršų“, siekiant užtikrinti, kad visi europiečiai galėtų pareikšti savo nuomonę apie tai, ko jie tikisi iš Europos Sąjungos, ir vaidintų svarbesnį vaidmenį formuojant Sąjungos ateitį. Kita vertus, jų užduotis buvo labai sudėtinga: tikslas buvo pirmą kartą surengti tarptautinę, daugiakalbę ir tarpinstitucinę patariamosios demokratijos veiklą, kurioje dalyvautų tūkstančiai Europos piliečių, politiniai veikėjai, socialiniai partneriai, pilietinės visuomenės atstovai ir pagrindiniai suinteresuotieji subjektai, kaip apibrėžta Konferencijos darbo tvarkos taisyklių 16 straipsnyje.</w:t>
      </w:r>
    </w:p>
    <w:p>
      <w:pPr>
        <w:pStyle w:val="Normal"/>
        <w:rPr/>
      </w:pPr>
      <w:r>
        <w:rPr/>
        <w:t>2022 m. gegužės 9 d., po kelis mėnesius trukusių intensyvių svarstymų, Konferencija užbaigė savo darbą ir pateikė trims ES institucijoms savo galutinių rezultatų ataskaitą su 49 pasiūlymais. Šie pasiūlymai atitinka Europos piliečių lūkesčius devyniomis temomis: Stipresnė ekonomika, socialinis teisingumas ir užimtumas; Švietimas, kultūra, jaunimas ir sportas; Skaitmeninė transformacija; Europos demokratija; Vertybės ir teisės, teisinė valstybė, saugumas; Klimato kaita ir aplinka; Sveikata; ES pasaulyje; migracijos. Visos šios temos išdėstytos šioje galutinėje ataskaitoje, kurioje taip pat siekiama apžvelgti įvairią veiklą, susijusią su šiuo unikaliu procesu – Konferencija dėl Europos ateities.</w:t>
      </w:r>
    </w:p>
    <w:p>
      <w:pPr>
        <w:pStyle w:val="Corpsdetexte"/>
        <w:rPr/>
      </w:pPr>
      <w:r>
        <w:rPr/>
        <w:t>Vadovaujama trijų pirmininkų (Guy Verhofstadt už Europos Parlamentą; Ana Paula Zacarias, Gašper Dovžan ir Clément Beaune, vėliau – ES Tarybai; konferencija ir Europos Komisijos atstovė Dubravka Šuica, vadovaujama vykdomosios valdybos (kurią vienodai sudaro trijų institucijų atstovai ir pagrindinių suinteresuotųjų subjektų stebėtojai), buvo precedento neturinti tarpvalstybinės patariamosios demokratijos patirtis. Ji taip pat parodė savo istorinę svarbą ir svarbą COVID-19 pandemijos ir Rusijos agresijos prieš Ukrainą kontekste. Konferencijoje dėl Europos ateities buvo sukurta daugiakalbė skaitmeninė platforma, kurioje Europos piliečiai galėtų dalyvauti visomis 24 ES kalbomis, taip pat keturios Europos piliečių grupės, šešios nacionalinės piliečių grupės, tūkstančiai nacionalinių ir vietos renginių ir septynios konferencijos plenarinės asamblėjos. Tai precedento neturinčio ES institucijų, valstybių narių ir visų pirma Europos piliečių noro aptarti Europos Sąjungos prioritetus ir iššūkius, su kuriais ji susiduria, ir naujo požiūrio į Europos projektą rezultatas.</w:t>
      </w:r>
    </w:p>
    <w:p>
      <w:pPr>
        <w:pStyle w:val="Corpsdetexte"/>
        <w:rPr/>
      </w:pPr>
      <w:r>
        <w:rPr/>
        <w:t>Tačiau tai tik pradžia. Remdamosi steigiamuoju konferencijos tekstu, trys institucijos dabar greitai apsvarstys, kaip veiksmingai įgyvendinti šį pranešimą pagal savo kompetenciją ir Sutartis. Šiuo atžvilgiu labai svarbu nustatyti tris institucijas.</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Konferencijos architektūra</w:t>
      </w:r>
    </w:p>
    <w:p>
      <w:pPr>
        <w:pStyle w:val="Corpsdetexte"/>
        <w:rPr>
          <w:sz w:val="40"/>
        </w:rPr>
      </w:pPr>
      <w:r>
        <w:rPr>
          <w:sz w:val="40"/>
        </w:rPr>
        <w:t>Konferencija dėl Europos ateities</w:t>
      </w:r>
      <w:r>
        <w:rPr>
          <w:rStyle w:val="Ancredenotedebasdepage"/>
          <w:rStyle w:val="Ancredenotedebasdepage"/>
          <w:sz w:val="40"/>
        </w:rPr>
        <w:footnoteReference w:id="2"/>
      </w:r>
      <w:r>
        <w:rPr>
          <w:sz w:val="40"/>
        </w:rPr>
        <w:t xml:space="preserve"> buvo naujas ir novatoriškas procesas, kuris atvėrė naują erdvę diskusijoms su piliečiais, siekiant išnagrinėti Europos prioritetus ir iššūkius, siekiant užtikrinti Europos projekto demokratinį teisėtumą ir skatinti piliečius laikytis mūsų bendrų vertybių ir tikslų. Konferencija buvo į piliečius orientuota veikla, pagrįsta principu „iš apačios į viršų“, kuria siekiama užtikrinti, kad europiečiai galėtų pareikšti savo nuomonę apie tai, ko jie tikisi iš Europos Sąjungos. Tai buvo bendra Europos Parlamento, Tarybos ir Europos Komisijos iniciatyva, veikianti vienodomis sąlygomis su Europos Sąjungos valstybėmis narėmis.</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Bendra deklaracija</w:t>
      </w:r>
    </w:p>
    <w:p>
      <w:pPr>
        <w:pStyle w:val="Normal"/>
        <w:rPr/>
      </w:pPr>
      <w:r>
        <w:rPr/>
      </w:r>
    </w:p>
    <w:p>
      <w:pPr>
        <w:pStyle w:val="Normal"/>
        <w:rPr/>
      </w:pPr>
      <w:r>
        <w:rPr/>
        <w:t>2021 m. kovo 10 d. velionis Europos Parlamento Pirmininkas Davidas Sassoli (Portugalijos Ministras Pirmininkas António Costa) ES Tarybos vardu ir Europos Komisijos Pirmininkė Ursula von der Leyen pasirašė bendrą deklaraciją dėl Konferencijos dėl Europos ateities (toliau – bendra deklaracija), kuria sudaromos sąlygos šioms precedento neturinčioms, atviroms ir įtraukioms Europos demokratinėms pratyboms, kurios yra pagrindinė vieta piliečiams.</w:t>
      </w:r>
    </w:p>
    <w:p>
      <w:pPr>
        <w:pStyle w:val="Normal"/>
        <w:rPr/>
      </w:pPr>
      <w:r>
        <w:rPr/>
        <w:t>Konferencija buvo pavaldi trijų institucijų pirmininkams, veikiantiems kaip bendrai pirmininkaujanti valstybė narė. Bendrai pirmininkaujančiai valstybei narei padėjo vykdomoji valdyba, kuriai bendrai pirmininkavo po vieną narį iš kiekvienos iš trijų ES institucijų.</w:t>
      </w:r>
    </w:p>
    <w:p>
      <w:pPr>
        <w:pStyle w:val="Normal"/>
        <w:rPr/>
      </w:pPr>
      <w:r>
        <w:rPr/>
        <w:t xml:space="preserve">Pagal bendrą deklaraciją buvo įsteigtos šios struktūros: </w:t>
      </w:r>
    </w:p>
    <w:p>
      <w:pPr>
        <w:pStyle w:val="Alineanegatifpuce"/>
        <w:numPr>
          <w:ilvl w:val="0"/>
          <w:numId w:val="3"/>
        </w:numPr>
        <w:rPr/>
      </w:pPr>
      <w:r>
        <w:rPr/>
        <w:t>vykdomoji valdyba, kuri prižiūrėjo konferencijos organizavimą. Ją sudarė trijų ES institucijų atstovai (atitinkamai trys nariai ir keturi stebėtojai), taip pat Europos Sąjungos nacionalinių parlamentų Bendrijos reikalų organų konferencijos (COSAC) pirmininko trejeto stebėtojai. Regionų komitetas, Europos ekonomikos ir socialinių reikalų komitetas ir socialinių partnerių atstovai buvo pakviesti stebėtojų teisėmis;</w:t>
      </w:r>
    </w:p>
    <w:p>
      <w:pPr>
        <w:pStyle w:val="Alineanegatifpuce"/>
        <w:numPr>
          <w:ilvl w:val="0"/>
          <w:numId w:val="3"/>
        </w:numPr>
        <w:rPr/>
      </w:pPr>
      <w:r>
        <w:rPr/>
        <w:t>bendrą sekretoriatą, užtikrinantį vienodą trijų institucijų, palaikančių vykdomosios valdybos darbą, atstovavimą. Visų pirma grupė, kuriai vadovavo trys trijų institucijų pirmininkai, prižiūrėjo Vykdomosios valdybos, Konferencijos plenarinių asamblėjų ir Europos piliečių forumų posėdžių organizavimą ir pasirengimą jiems. Bendradarbiaudama su paslaugų teikėjais, ji buvo atsakinga už daugiakalbės skaitmeninės platformos valdymą ir ataskaitų apie pagrindinius proceso etapus teikimą.</w:t>
        <w:br/>
        <w:t xml:space="preserve">Unikali šios komandos sudėtis leido nuolat kolegialiai dirbti ir užtikrino sinergiją bei didesnį veiksmingumą visose srityse; </w:t>
      </w:r>
    </w:p>
    <w:p>
      <w:pPr>
        <w:pStyle w:val="Alineanegatifpuce"/>
        <w:numPr>
          <w:ilvl w:val="0"/>
          <w:numId w:val="3"/>
        </w:numPr>
        <w:rPr/>
      </w:pPr>
      <w:r>
        <w:rPr/>
        <w:t>konferencijos plenarinė asamblėja (daugiau informacijos žr. III skyriuje), kurioje buvo aptartos nacionalinių ir Europos piliečių grupių, sugrupuotų pagal temas, pateiktos rekomendacijos, visapusiškai laikantis ES vertybių ir Konferencijos chartijos</w:t>
      </w:r>
      <w:r>
        <w:rPr>
          <w:rStyle w:val="Ancredenotedebasdepage"/>
          <w:rStyle w:val="Ancredenotedebasdepage"/>
        </w:rPr>
        <w:footnoteReference w:id="3"/>
      </w:r>
      <w:r>
        <w:rPr/>
        <w:t>, iš anksto nenustatant diskusijų rezultatų ir neapribojant jų taikymo srities tik iš anksto apibrėžtomis politikos sritimis. Prireikus taip pat buvo aptarti daugiakalbėje skaitmeninėje platformoje surinkti atsakymai. Buvo sudarytos devynios teminės darbo grupės, kurios padės pasirengti plenarinio posėdžio diskusijoms ir pasiūlymams.</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Paveikslėli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veikslėlis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Darbo tvarkos taisyklės</w:t>
      </w:r>
    </w:p>
    <w:p>
      <w:pPr>
        <w:pStyle w:val="Normal"/>
        <w:rPr/>
      </w:pPr>
      <w:r>
        <w:rPr/>
        <w:t>2021 m. gegužės 9 d. Vykdomoji valdyba patvirtino Konferencijos darbo tvarkos taisykles, nustatytas vadovaujantis Bendra deklaracija dėl Konferencijos dėl Europos ateities, kurioje nustatyti Konferencijos pagrindai ir principai.</w:t>
      </w:r>
    </w:p>
    <w:p>
      <w:pPr>
        <w:pStyle w:val="Normal"/>
        <w:rPr/>
      </w:pPr>
      <w:r>
        <w:rPr/>
        <w:t>Darbo tvarkos taisyklėse nustatytas įvairių konferencijų struktūrų darbo ir jų sąveikos pagrindas.</w:t>
      </w:r>
    </w:p>
    <w:p>
      <w:pPr>
        <w:pStyle w:val="Titre2"/>
        <w:numPr>
          <w:ilvl w:val="1"/>
          <w:numId w:val="2"/>
        </w:numPr>
        <w:rPr/>
      </w:pPr>
      <w:bookmarkStart w:id="3" w:name="__RefHeading___Toc298052_1346298689"/>
      <w:bookmarkEnd w:id="3"/>
      <w:r>
        <w:rPr/>
        <w:t>3. Renginiai, susiję su konferencija</w:t>
      </w:r>
    </w:p>
    <w:p>
      <w:pPr>
        <w:pStyle w:val="Corpsdetexte"/>
        <w:rPr/>
      </w:pPr>
      <w:r>
        <w:rPr/>
        <w:t>Pagal bendrą deklaraciją kiekviena ES valstybė narė ar institucija, atsižvelgdama į nacionalinius ar institucinius ypatumus, galėtų organizuoti Konferencijos globojamus renginius ir toliau prisidėti prie Konferencijos (daugiau informacijos pateikta II.C skyriuje).</w:t>
      </w:r>
    </w:p>
    <w:p>
      <w:pPr>
        <w:pStyle w:val="Corpsdetexte"/>
        <w:rPr/>
      </w:pPr>
      <w:r>
        <w:rPr/>
        <w:t>Todėl ES institucijos ir įstaigos, valstybės narės, regionų ir vietos valdžios institucijos, organizuota pilietinė visuomenė, socialiniai partneriai ir piliečiai buvo pakviesti bendradarbiaujant su pilietine visuomene ir suinteresuotaisiais subjektais Europos, nacionaliniu, regionų ir vietos lygmenimis organizuoti įvairiausių formų renginius visoje Europoje ir paskelbti šių renginių rezultatus skaitmeninėje platformoje. Įvyko keli tūkstančiai tokių renginių, kuriuose dalyvavo apie 650 000 dalyvių.</w:t>
      </w:r>
    </w:p>
    <w:p>
      <w:pPr>
        <w:pStyle w:val="Titre2"/>
        <w:numPr>
          <w:ilvl w:val="1"/>
          <w:numId w:val="2"/>
        </w:numPr>
        <w:rPr/>
      </w:pPr>
      <w:bookmarkStart w:id="4" w:name="__RefHeading___Toc298054_1346298689"/>
      <w:bookmarkEnd w:id="4"/>
      <w:r>
        <w:rPr/>
        <w:t>4.</w:t>
        <w:tab/>
        <w:t>Daugiakalbės skaitmeninės platformos įgyvendinimas</w:t>
      </w:r>
    </w:p>
    <w:p>
      <w:pPr>
        <w:pStyle w:val="Normal"/>
        <w:rPr/>
      </w:pPr>
      <w:r>
        <w:rPr/>
        <w:t>Daugiakalbė skaitmeninė platforma (daugiau informacijos žr. II.A skyriuje) sukurta tam, kad piliečiai galėtų dalytis savo idėjomis ir siųsti atsakymus internetu, kaip numatyta bendroje deklaracijoje. Tai buvo pagrindinis informacijos ir informacijos piliečiams apie įvairias konferencijos dalis centras ir interaktyvi priemonė, skirta dalytis ir aptarti įvairių konferencijos metu organizuotų renginių idėjas ir indėlį. Platforma oficialiai pradėjo veikti 2021 m. balandžio 19 d. Platformoje paskelbta daugiau kaip 17 000 idėjų.</w:t>
      </w:r>
    </w:p>
    <w:p>
      <w:pPr>
        <w:pStyle w:val="Corpsdetexte"/>
        <w:rPr/>
      </w:pPr>
      <w:r>
        <w:rPr/>
        <w:t>Per visą konferenciją buvo parengtos ataskaitos dėl platformoje pateiktų nuomonių.</w:t>
      </w:r>
    </w:p>
    <w:p>
      <w:pPr>
        <w:pStyle w:val="Normal"/>
        <w:rPr/>
      </w:pPr>
      <w:r>
        <w:rPr/>
        <w:t>Į per platformą surinktus pasiūlymus atsižvelgė Europos piliečių forumai ir jie buvo aptarti ir aptarti Konferencijos plenarinėje sesijoje.</w:t>
      </w:r>
    </w:p>
    <w:p>
      <w:pPr>
        <w:pStyle w:val="Titre2"/>
        <w:numPr>
          <w:ilvl w:val="1"/>
          <w:numId w:val="2"/>
        </w:numPr>
        <w:rPr/>
      </w:pPr>
      <w:bookmarkStart w:id="5" w:name="__RefHeading___Toc298056_1346298689"/>
      <w:bookmarkEnd w:id="5"/>
      <w:r>
        <w:rPr/>
        <w:t>5.</w:t>
        <w:tab/>
        <w:t>Europos piliečių forumai</w:t>
      </w:r>
    </w:p>
    <w:p>
      <w:pPr>
        <w:pStyle w:val="Normal"/>
        <w:rPr/>
      </w:pPr>
      <w:r>
        <w:rPr/>
        <w:t>Vadovaujantis bendra deklaracija, Europos piliečių forumai, organizuoti pagal pagrindines konferencijos temas, buvo pagrindinis ir ypač novatoriškas konferencijos elementas (daugiau informacijos pateikta II.B skyriuje).</w:t>
      </w:r>
    </w:p>
    <w:p>
      <w:pPr>
        <w:pStyle w:val="Normal"/>
        <w:rPr/>
      </w:pPr>
      <w:r>
        <w:rPr/>
        <w:t>Iš viso 800 atsitiktinai atrinktų piliečių, atstovaujančių ES sociologinei ir geografinei įvairovei, sugrupuoti į keturias grupes, kurias sudaro 200 piliečių, susirinko į tris patariamąsias sesijas kiekvienoje grupėje. Europos piliečių forumai pateikė rekomendacijų, kuriomis remtasi bendruose Konferencijos svarstymuose, visų pirma Konferencijos plenarinių asamblėjų posėdžiuose.</w:t>
      </w:r>
    </w:p>
    <w:p>
      <w:pPr>
        <w:pStyle w:val="Normal"/>
        <w:rPr/>
      </w:pPr>
      <w:r>
        <w:rPr/>
        <w:t>Vykdomosios valdybos pirmininkai, vadovaudamiesi Bendra deklaracija ir darbo tvarkos taisyklėmis, kartu nustatė praktines Europos piliečių forumų organizavimo taisykles ir iš anksto apie tai informavo Vykdomąją valdybą.</w:t>
      </w:r>
    </w:p>
    <w:p>
      <w:pPr>
        <w:pStyle w:val="Normal"/>
        <w:rPr/>
      </w:pPr>
      <w:r>
        <w:rPr/>
        <w:t>Vykdomoji valdyba buvo reguliariai informuojama apie Europos piliečių forumų steigimo ir organizavimo pažangą.</w:t>
      </w:r>
    </w:p>
    <w:p>
      <w:pPr>
        <w:pStyle w:val="Normal"/>
        <w:rPr/>
      </w:pPr>
      <w:r>
        <w:rPr/>
      </w:r>
    </w:p>
    <w:p>
      <w:pPr>
        <w:pStyle w:val="Titre2"/>
        <w:numPr>
          <w:ilvl w:val="1"/>
          <w:numId w:val="2"/>
        </w:numPr>
        <w:rPr/>
      </w:pPr>
      <w:bookmarkStart w:id="6" w:name="__RefHeading___Toc298058_1346298689"/>
      <w:bookmarkEnd w:id="6"/>
      <w:r>
        <w:rPr/>
        <w:t>6.</w:t>
        <w:tab/>
        <w:t>Nacionaliniai piliečių forumai</w:t>
      </w:r>
    </w:p>
    <w:p>
      <w:pPr>
        <w:pStyle w:val="Normal"/>
        <w:rPr/>
      </w:pPr>
      <w:r>
        <w:rPr/>
        <w:t>Pagal bendrą deklaraciją valstybės narės galėtų rengti nacionalines grupes. Siekiant padėti valstybėms narėms, planuojančioms rengti nacionalines piliečių grupes, 2021 m. gegužės 26 d. bendrapirmininkiai patvirtino gaires, o 2021 m. gegužės 26 d. jos buvo perduotos Vykdomajai valdybai, siekiant užtikrinti, kad nacionalinės grupės būtų organizuojamos vadovaujantis tais pačiais principais, kaip ir Europos piliečių forumai. Į šias gaires įtraukti gero svarstymo principai, pagrįsti EBPO rekomendacijomis</w:t>
      </w:r>
      <w:r>
        <w:rPr>
          <w:rStyle w:val="Ancredenotedebasdepage"/>
          <w:rStyle w:val="Ancredenotedebasdepage"/>
        </w:rPr>
        <w:footnoteReference w:id="4"/>
      </w:r>
      <w:r>
        <w:rPr/>
        <w:t>. Kiekviena valstybė narė galėtų nuspręsti, ar surengti nacionalinių piliečių grupę. Vieną organizavo šešios valstybės narės (Belgija, Prancūzija, Vokietija, Italija, Lietuva ir Nyderlandai).</w:t>
      </w:r>
    </w:p>
    <w:p>
      <w:pPr>
        <w:pStyle w:val="Normal"/>
        <w:rPr/>
      </w:pPr>
      <w:r>
        <w:rPr/>
        <w:t>Vadovaujantis bendra deklaracija, nacionalinių piliečių forumų rekomendacijos buvo pristatytos ir aptartos Konferencijos plenarinėse asamblėjose kartu su Europos piliečių forumų rekomendacijomis.</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 NE, NE, NE. Piliečių indėlis į konferenciją</w:t>
      </w:r>
    </w:p>
    <w:p>
      <w:pPr>
        <w:pStyle w:val="Normal"/>
        <w:rPr/>
      </w:pPr>
      <w:r>
        <w:rPr/>
      </w:r>
      <w:r>
        <w:br w:type="page"/>
      </w:r>
    </w:p>
    <w:p>
      <w:pPr>
        <w:pStyle w:val="Titre2"/>
        <w:numPr>
          <w:ilvl w:val="1"/>
          <w:numId w:val="2"/>
        </w:numPr>
        <w:rPr/>
      </w:pPr>
      <w:bookmarkStart w:id="8" w:name="__RefHeading___Toc298190_1346298689"/>
      <w:bookmarkEnd w:id="8"/>
      <w:r>
        <w:rPr/>
        <w:t>A. Daugiakalbė skaitmeninė platforma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2021 m. balandžio 19 d. pradėjo veikti daugiakalbė skaitmeninė platforma, kuri buvo pagrindinis konferencijos kontaktinis punktas. Per jį visi galėjo dalyvauti konferencijoje: visi ES ir kitų šalių piliečiai, pilietinė visuomenė, socialiniai partneriai ir įvairūs kiti suinteresuotieji subjektai.</w:t>
      </w:r>
    </w:p>
    <w:p>
      <w:pPr>
        <w:pStyle w:val="Normal"/>
        <w:rPr/>
      </w:pPr>
      <w:r>
        <w:rPr/>
        <w:t>Platforma buvo sukurta specialiai konferencijai, naudojant nemokamą Europos programinę įrangą „Decidim“, skirtą piliečių dalyvavimui. Tokiu interaktyvumo ir daugiakalbystės mastu šis pasiekimas buvo pirmasis, ne tik Europos, bet ir pasaulinio masto. Visi atsakymai buvo pateikti visomis 24 oficialiosiomis ES kalbomis mašininio vertimo būdu. Diskusijos buvo suskirstytos į dešimt temų: Klimato kaita ir aplinka, sveikata, stipresnė ekonomika, socialinis teisingumas ir užimtumas, ES pasaulyje, vertybės ir teisės, teisinė valstybė, saugumas, skaitmeninė transformacija, Europos demokratija, migracija, švietimas, kultūra, jaunimas ir sportas ir kitos idėjos.</w:t>
      </w:r>
    </w:p>
    <w:p>
      <w:pPr>
        <w:pStyle w:val="Normal"/>
        <w:rPr/>
      </w:pPr>
      <w:r>
        <w:rPr/>
        <w:t>Buvo galima dalyvauti platformoje keliais skirtingais būdais.</w:t>
      </w:r>
    </w:p>
    <w:p>
      <w:pPr>
        <w:pStyle w:val="Normal"/>
        <w:rPr/>
      </w:pPr>
      <w:r>
        <w:rPr/>
        <w:t>Kiekvienas, kuris norėjo, galėtų pasidalinti savo idėjomis apie vieną iš dešimties temų. Taip pat buvo galima pakomentuoti kitų žmonių idėjas. Taigi ši platforma suteikė galimybę surengti tikrą visos Europos piliečių diskusiją.</w:t>
      </w:r>
    </w:p>
    <w:p>
      <w:pPr>
        <w:pStyle w:val="Normal"/>
        <w:rPr/>
      </w:pPr>
      <w:r>
        <w:rPr/>
        <w:t>Dalyviai taip pat galėjo pritarti idėjoms, nurodydami, kad jie palaikė kito vartotojo indėlį.</w:t>
      </w:r>
    </w:p>
    <w:p>
      <w:pPr>
        <w:pStyle w:val="Normal"/>
        <w:rPr/>
      </w:pPr>
      <w:r>
        <w:rPr/>
        <w:t xml:space="preserve">Kitas svarbus būdas prisidėti prie konferencijos buvo organizuoti renginius (virtualius, akis į akį ar mišraus pobūdžio), juos paskelbti platformoje, pranešti apie jų rezultatus ir susieti juos su idėjomis. </w:t>
      </w:r>
      <w:hyperlink r:id="rId23">
        <w:r>
          <w:rPr>
            <w:rStyle w:val="LienInternet"/>
          </w:rPr>
          <w:t>Siekiant</w:t>
        </w:r>
      </w:hyperlink>
      <w:r>
        <w:rPr/>
        <w:t xml:space="preserve"> skatinti dalyvaujamąjį ir įtraukų renginių pobūdį, platformoje organizatoriams </w:t>
      </w:r>
      <w:hyperlink r:id="rId24">
        <w:r>
          <w:rPr>
            <w:rStyle w:val="LienInternet"/>
          </w:rPr>
          <w:t>buvo pateikti vadovai ir informacinė medžiaga</w:t>
        </w:r>
      </w:hyperlink>
      <w:r>
        <w:rPr/>
        <w:t>.</w:t>
      </w:r>
    </w:p>
    <w:p>
      <w:pPr>
        <w:pStyle w:val="Normal"/>
        <w:rPr/>
      </w:pPr>
      <w:r>
        <w:rPr/>
        <w:t xml:space="preserve">Platforma atliko esminį vaidmenį užtikrinant viso proceso skaidrumą ir galimybę visiems susipažinti su su konferencija susijusia informacija. Būtent čia kiekvienas galėjo rasti informacijos apie pačios konferencijos darbo metodus ir organizavimą, pavyzdžiui, apie patį konferencijos procesą (konferencijos plenarinę sesiją ir jos darbo grupes, </w:t>
      </w:r>
      <w:hyperlink r:id="rId25">
        <w:r>
          <w:rPr>
            <w:rStyle w:val="LienInternet"/>
          </w:rPr>
          <w:t>Europos piliečių forumus</w:t>
        </w:r>
      </w:hyperlink>
      <w:r>
        <w:rPr/>
        <w:t xml:space="preserve">, </w:t>
      </w:r>
      <w:hyperlink r:id="rId26">
        <w:r>
          <w:rPr>
            <w:rStyle w:val="LienInternet"/>
          </w:rPr>
          <w:t>nacionalines grupes ir renginius bei</w:t>
        </w:r>
      </w:hyperlink>
      <w:r>
        <w:rPr/>
        <w:t xml:space="preserve"> </w:t>
      </w:r>
      <w:hyperlink r:id="rId27">
        <w:r>
          <w:rPr>
            <w:rStyle w:val="LienInternet"/>
          </w:rPr>
          <w:t>Vykdomąją valdybą</w:t>
        </w:r>
      </w:hyperlink>
      <w:r>
        <w:rPr/>
        <w:t>). Plenarinio posėdžio ir jo darbo grupių diskusijos buvo tiesiogiai transliuojamos internetu, kaip ir Europos piliečių forumų posėdžiai. Visa ši informacija bus prieinama platformoje.</w:t>
      </w:r>
    </w:p>
    <w:p>
      <w:pPr>
        <w:pStyle w:val="Normal"/>
        <w:rPr/>
      </w:pPr>
      <w:r>
        <w:rPr/>
        <w:t>Per visą darbą platforma buvo tobulinama, kai tik įmanoma, pridedant funkcijų ar vaizdo laikmenų. Laikui bėgant platforma tapo prieinamesnė neįgaliesiems.</w:t>
      </w:r>
    </w:p>
    <w:p>
      <w:pPr>
        <w:pStyle w:val="Normal"/>
        <w:rPr/>
      </w:pPr>
      <w:r>
        <w:rPr/>
        <w:t>Visi platformoje pateikti atsakymai buvo vieši: prie jų galėjo prisijungti visi, taip pat su skaitmenine platforma susietos atvirųjų duomenų rinkmenos, kuriomis užtikrinamas visiškas skaidrumas. Siekdamas palengvinti atsakymų rinkimą ir analizę, Komisijos Jungtinis tyrimų centras sukūrė automatizuotą teksto analizės priemonę ir analizės platformą, kuri sudarė sąlygas įvairiakalbiam aiškinimui ir išsamiai platformos turinio analizei. Analizės platforma yra priemonė, kuri, kaip paaiškėjo, yra labai svarbi teikiant reguliarias vienodo lygio kokybės ataskaitas visomis kalbomis. Be to, 2022 m. kovo mėn. Europos Komisijos surengtame „datathon“ buvo skatinami nauji atvirųjų duomenų eilučių analizės metodai ir prisidėta prie duomenų analizės proceso skaidrumo.</w:t>
      </w:r>
    </w:p>
    <w:p>
      <w:pPr>
        <w:pStyle w:val="Normal"/>
        <w:rPr/>
      </w:pPr>
      <w:r>
        <w:rPr/>
        <w:t>Siekdamas apžvelgti platformoje pateiktus duomenis, išorės paslaugų teikėjas parengė ataskaitas, kurios buvo paskelbtos pačioje platformoje.</w:t>
      </w:r>
    </w:p>
    <w:p>
      <w:pPr>
        <w:pStyle w:val="Normal"/>
        <w:rPr/>
      </w:pPr>
      <w:hyperlink r:id="rId28">
        <w:r>
          <w:rPr>
            <w:rStyle w:val="LienInternet"/>
          </w:rPr>
          <w:t>Pirmoji tarpinė ataskaita</w:t>
        </w:r>
      </w:hyperlink>
      <w:r>
        <w:rPr/>
        <w:t xml:space="preserve"> buvo paskelbta rugsėjo mėn.: daugiausia dėmesio skirta įnašams</w:t>
      </w:r>
    </w:p>
    <w:p>
      <w:pPr>
        <w:pStyle w:val="Normal"/>
        <w:rPr/>
      </w:pPr>
      <w:r>
        <w:rPr/>
        <w:t xml:space="preserve">pateikta iki 2021 m. rugpjūčio 2 d. </w:t>
      </w:r>
      <w:hyperlink r:id="rId29">
        <w:r>
          <w:rPr>
            <w:rStyle w:val="LienInternet"/>
          </w:rPr>
          <w:t>Antroji tarpinė ataskaita</w:t>
        </w:r>
      </w:hyperlink>
      <w:r>
        <w:rPr/>
        <w:t xml:space="preserve">paskelbta 2021 m. spalio mėn. viduryje, kurioje nagrinėjami iki 2021 m. rugsėjo 7 d. pateikti atsakymai. </w:t>
      </w:r>
      <w:hyperlink r:id="rId30">
        <w:r>
          <w:rPr>
            <w:rStyle w:val="LienInternet"/>
          </w:rPr>
          <w:t>Trečioji tarpinė ataskaita</w:t>
        </w:r>
      </w:hyperlink>
      <w:r>
        <w:rPr/>
        <w:t xml:space="preserve"> buvo paskelbta 2021 m. gruodžio mėn. ir apėmė įnašus iki 2021 m. lapkričio 3 d. Kadangi baigiamasis konferencijos darbo etapas prasidėjo, naujausia ataskaita, kuria siekiama įkvėpti konferencijos plenarinių asamblėjų darbą, buvo paskelbta 2022 m. kovo mėn. viduryje, atsižvelgiant į iki 2022 m. vasario 20 d. skaitmeninėje platformoje pateiktus pasiūlymus. Šis kalendorius buvo aiškiai paskelbtas platformoje ir kitur, todėl 2022 m. sausio ir vasario mėn. įnašai padidėjo. Iki gegužės 9 d. gauti atsakymai bus nagrinėjami papildomoje ataskaitoje. Kartu su 2021 m. rugsėjo ir gruodžio mėn. ir 2022 m. kovo mėn. ataskaitomis taip pat buvo pateiktos papildomos ataskaitos dėl platformoje pateiktų įnašų pagal valstybes nares.</w:t>
      </w:r>
    </w:p>
    <w:p>
      <w:pPr>
        <w:pStyle w:val="Normal"/>
        <w:rPr/>
      </w:pPr>
      <w:r>
        <w:rPr/>
        <w:t xml:space="preserve">Šiose ataskaitose daugiausia dėmesio skirta platformoje paskelbtų nuomonių kokybinei analizei, siekiant pateikti bendrą platformoje siūlomų ir renginiuose aptartų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Paveikslėli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veikslėlis5" descr=""/>
                    <pic:cNvPicPr>
                      <a:picLocks noChangeAspect="1" noChangeArrowheads="1"/>
                    </pic:cNvPicPr>
                  </pic:nvPicPr>
                  <pic:blipFill>
                    <a:blip r:embed="rId31"/>
                    <a:stretch>
                      <a:fillRect/>
                    </a:stretch>
                  </pic:blipFill>
                  <pic:spPr bwMode="auto">
                    <a:xfrm>
                      <a:off x="0" y="0"/>
                      <a:ext cx="5779135" cy="3321685"/>
                    </a:xfrm>
                    <a:prstGeom prst="rect">
                      <a:avLst/>
                    </a:prstGeom>
                  </pic:spPr>
                </pic:pic>
              </a:graphicData>
            </a:graphic>
          </wp:anchor>
        </w:drawing>
      </w:r>
      <w:r>
        <w:rPr/>
        <w:t>i</w:t>
      </w:r>
      <w:r>
        <w:rPr/>
        <w:t>dėjų apimties ir įvairovės apžvalgą. Šiuo tikslu mokslinių tyrimų grupė, naudodama Komisijos Jungtinio tyrimų centro pateiktas analitines priemones, atliko rankinę tekstinę analizę ir bendrą informaciją. Tai leido nustatyti bendras temas ir subkategorijas, kurios buvo išsamiai aprašytos kiekvienoje temoje ir sintezuotos konceptualiose schemose, leidžiančiose jas greitai vizualizuoti. Siekiant papildyti šį kokybinį požiūrį kiekybiniais elementais, kiekvienoje ataskaitoje buvo paminėtos temos, potemės ar idėjos, kurios dažnai sugrįžo arba buvo labai komentuojamos ar palaikomos. Tikslas buvo atspindėti diskusijų padėtį skirtinguose konferencijos etapuose, įskaitant didelį susidomėjimą ar diskusijas, kurias sukelia tam tikros idėjos. Ataskaitose taip pat pateikta dalyvių socialinių ir demografinių duomenų apžvalga. Respondentų buvo paprašyta pateikti informaciją apie savo gyvenamąją šalį, išsilavinimo lygį, amžių, lytį ir profesinį statusą; tačiau dėl neprivalomo šios informacijos pobūdžio aiškumas, kurį galima padaryti dėl dalyvių profilio, yra ribotas. Pavyzdžiui, 26,9 % visų įnašų sudarė dalyviai, kurie nenurodė savo gyvenamosios šalies.</w:t>
      </w:r>
    </w:p>
    <w:p>
      <w:pPr>
        <w:pStyle w:val="Normal"/>
        <w:rPr/>
      </w:pPr>
      <w:r>
        <w:rPr/>
      </w:r>
      <w:r>
        <w:br w:type="page"/>
      </w:r>
    </w:p>
    <w:p>
      <w:pPr>
        <w:pStyle w:val="Normal"/>
        <w:rPr/>
      </w:pPr>
      <w:r>
        <w:rPr/>
        <w:t>Nuo platformos veiklos pradžios tema „Europos demokratija“ buvo ta tema, kurioje užfiksuota daugiausia nuomonių (idėjų, komentarų ir renginių). Antroji tema – „Klimato kaita ir aplinka“. Pagal „Kitos idėjos“ pateikti atsakymai užėmė trečią vietą prieš „Vertes ir teises, teisinę valstybę, saugumą“ ir „Stipresnė ekonomika, socialinis teisingumas ir užimtumas“.</w:t>
      </w:r>
    </w:p>
    <w:p>
      <w:pPr>
        <w:pStyle w:val="Normal"/>
        <w:rPr/>
      </w:pPr>
      <w:r>
        <w:rPr/>
        <w:t>Ataskaitose apie platformoje surinktus įnašus, įskaitant konceptualias programas, svariai prisidėta prie Europos piliečių forumų darbo. Kiekvienos iš trijų grupės sesijų pradžioje pagrindinės ataskaitos išvados ir konceptualios schemos buvo pateiktos grupėms, kurios gavo nuorodas į visas ataskaitas. Štai kiek idėjų, pateiktų platformoje, atsispindi Europos piliečių forumų pateiktose rekomendacijose.</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Programinė įranga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Kas vyksta Konferencijoje dėl Europos ateities?</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konferencijos dalyviai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renginio dalyviai</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idėjos</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komentarai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renginiai</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patvirtinimai</w:t>
                                  </w:r>
                                </w:p>
                              </w:tc>
                            </w:tr>
                          </w:tbl>
                          <w:p>
                            <w:pPr>
                              <w:pStyle w:val="Contenudecadre"/>
                              <w:spacing w:before="57" w:after="57"/>
                              <w:rPr/>
                            </w:pPr>
                            <w:r>
                              <w:rPr>
                                <w:color w:val="auto"/>
                              </w:rPr>
                              <w:t xml:space="preserve">Dalyvavimo padėtis 2022 m. balandžio 20 d. (šaltinis: </w:t>
                            </w:r>
                            <w:hyperlink r:id="rId32">
                              <w:r>
                                <w:rPr>
                                  <w:rStyle w:val="LienInternet"/>
                                  <w:color w:val="auto"/>
                                </w:rPr>
                                <w:t>Konferencija dėl Europos ateities (europa.eu</w:t>
                              </w:r>
                            </w:hyperlink>
                            <w:r>
                              <w:rPr>
                                <w:color w:val="auto"/>
                              </w:rPr>
                              <w:t>)</w:t>
                            </w:r>
                          </w:p>
                        </w:txbxContent>
                      </wps:txbx>
                      <wps:bodyPr lIns="54000" rIns="54000" tIns="54000" bIns="54000">
                        <a:noAutofit/>
                      </wps:bodyPr>
                    </wps:wsp>
                  </a:graphicData>
                </a:graphic>
              </wp:anchor>
            </w:drawing>
          </mc:Choice>
          <mc:Fallback>
            <w:pict>
              <v:rect id="shape_0" ID="Programinė įranga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Kas vyksta Konferencijoje dėl Europos ateities?</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konferencijos dalyviai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renginio dalyviai</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idėjos</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komentarai</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renginiai</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patvirtinimai</w:t>
                            </w:r>
                          </w:p>
                        </w:tc>
                      </w:tr>
                    </w:tbl>
                    <w:p>
                      <w:pPr>
                        <w:pStyle w:val="Contenudecadre"/>
                        <w:spacing w:before="57" w:after="57"/>
                        <w:rPr/>
                      </w:pPr>
                      <w:r>
                        <w:rPr>
                          <w:color w:val="auto"/>
                        </w:rPr>
                        <w:t xml:space="preserve">Dalyvavimo padėtis 2022 m. balandžio 20 d. (šaltinis: </w:t>
                      </w:r>
                      <w:hyperlink r:id="rId33">
                        <w:r>
                          <w:rPr>
                            <w:rStyle w:val="LienInternet"/>
                            <w:color w:val="auto"/>
                          </w:rPr>
                          <w:t>Konferencija dėl Europos ateities (europa.eu</w:t>
                        </w:r>
                      </w:hyperlink>
                      <w:r>
                        <w:rPr>
                          <w:color w:val="auto"/>
                        </w:rPr>
                        <w:t>)</w:t>
                      </w:r>
                    </w:p>
                  </w:txbxContent>
                </v:textbox>
              </v:rect>
            </w:pict>
          </mc:Fallback>
        </mc:AlternateContent>
      </w:r>
      <w:r>
        <w:rPr/>
        <w:t>Ataskaitos taip pat buvo aptartos konferencijos plenariniuose posėdžiuose, pradedant 2021 m. spalio 23 d. plenariniame posėdyje, taip pat ankstesniuose darbo grupių posėdžiuose. Todėl platformos indėlis ir toliau papildė Konferencijos plenarinėje sesijoje parengtus pasiūlymus.</w:t>
      </w:r>
    </w:p>
    <w:p>
      <w:pPr>
        <w:pStyle w:val="Normal"/>
        <w:rPr/>
      </w:pPr>
      <w:r>
        <w:rPr/>
        <w:t>2022 m. balandžio 20 d. daugiakalbėje skaitmeninėje platformoje apsilankė beveik penki milijonai unikalių lankytojų, joje aktyviai dalyvavo daugiau kaip 50 000 dalyvių, diskutuota apie 17 000 idėjų ir užregistruota daugiau kaip 6 000 renginių. Už šių skaičių slypi tūkstančiai atsidavusių piliečių, kurie dalijasi ir diskutuoja daugeliu idėjų ir organizuoja daugybę originalių ir novatoriškų renginių įvairiose valstybėse narėse.</w:t>
      </w:r>
    </w:p>
    <w:p>
      <w:pPr>
        <w:pStyle w:val="Normal"/>
        <w:rPr/>
      </w:pPr>
      <w:r>
        <w:rPr/>
        <w:t xml:space="preserve">Siekiant užtikrinti, kad platforma būtų vieta, kurioje piliečiai iš visų gyvenimo sričių ir iš visų Europos kampelių jaustųsi patogiai ir skatinami prisidėti prie diskusijų, visi šia platforma besinaudojantys asmenys turėjo laikytis </w:t>
      </w:r>
      <w:hyperlink r:id="rId34">
        <w:r>
          <w:rPr>
            <w:rStyle w:val="LienInternet"/>
          </w:rPr>
          <w:t>Konferencijos chartijos</w:t>
        </w:r>
      </w:hyperlink>
      <w:r>
        <w:rPr/>
        <w:t xml:space="preserve"> ir </w:t>
      </w:r>
      <w:hyperlink r:id="rId35">
        <w:r>
          <w:rPr>
            <w:rStyle w:val="LienInternet"/>
          </w:rPr>
          <w:t>dalyvavimo taisyklių</w:t>
        </w:r>
      </w:hyperlink>
      <w:r>
        <w:rPr/>
        <w:t>. Siekiant užtikrinti, kad būtų laikomasi Chartijos ir dalyvavimo taisyklių, buvo sudaryta nuosaikumo grupė, kuri visą konferenciją dirba prižiūrima Jungtinio sekretoriato Vykdomosios valdybos vardu. Anksčiau turinys nebuvo moderuojamas. Kai atsakymas buvo paslėptas, vartotojas gavo pranešimą iš moderatorių komandos, paaiškinantį priežastį. Išsami informacija apie principus ir moderavimo procesą buvo pateikta platformos dalyje</w:t>
      </w:r>
      <w:hyperlink r:id="rId36">
        <w:r>
          <w:rPr>
            <w:rStyle w:val="LienInternet"/>
          </w:rPr>
          <w:t>Dažnai užduodami klausimai</w:t>
        </w:r>
      </w:hyperlink>
      <w:r>
        <w:rPr/>
        <w:t xml:space="preserve"> (DUK).</w:t>
      </w:r>
    </w:p>
    <w:p>
      <w:pPr>
        <w:pStyle w:val="Normal"/>
        <w:rPr/>
      </w:pPr>
      <w:r>
        <w:rPr/>
        <w:t>Nuo 2021 m. balandžio 19 d. iki 2022 m. balandžio 20 d. užmaskuota 430 idėjų (2,4 proc.), 312 komentarai (1,4 proc.) ir 396 renginiai (6,0 proc.). Apie 71 % idėjų buvo užmaskuotos, nes jose nebuvo pasiūlymų, ar tai būtų šlamštas, naudotojų prašymai, ar dėl to, kad juose buvo asmeninė informacija ar netinkamas susijęs vaizdas; apie 17 % paslėptų idėjų buvo dublikatai. Tik 11 % paslėptų idėjų buvo dėl jų įžeidžiamo turinio. Didžioji dauguma renginių, 76 %, buvo užmaskuoti, nes jie buvo dublikatai arba dėl to, kad informacija apie renginį buvo neišsami, organizatorių prašymu arba dėl to, kad jie nebuvo susiję su konferencija.</w:t>
      </w:r>
    </w:p>
    <w:p>
      <w:pPr>
        <w:pStyle w:val="Normal"/>
        <w:rPr/>
      </w:pPr>
      <w:r>
        <w:rPr/>
        <w:t>Galimybė prisidėti prie platformos liko atvira iki 2022 m. gegužės 9 d. Po tos datos planuojama parengti papildomą ataskaitą, kurioje būtų užpildyta visų konferencijos metu gautų nuomonių santrauka.</w:t>
      </w:r>
    </w:p>
    <w:p>
      <w:pPr>
        <w:pStyle w:val="Normal"/>
        <w:rPr/>
      </w:pPr>
      <w:r>
        <w:rPr/>
        <w:t>Dalyvavimas platformoje toliau didėjo per visą konferenciją, tačiau skirtingose valstybėse narėse ir dalyvių socialiniai ir demografiniai profiliai išliko netolygūs. Apskritai platforma suteikė novatorišką erdvę diskusijoms, kuri suteikė galimybę keliems tūkstančiams piliečių ir įvairių suinteresuotųjų šalių iš visos Europos ir kitų šalių dalyvauti internetinėje diskusijoje Europos klausimais visose valstybėse narėse. Paaiškėjo, kad tai yra vertinga patariamosios demokratijos ES lygmeniu priemonė.</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Paveikslėli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eikslėlis6" descr=""/>
                    <pic:cNvPicPr>
                      <a:picLocks noChangeAspect="1" noChangeArrowheads="1"/>
                    </pic:cNvPicPr>
                  </pic:nvPicPr>
                  <pic:blipFill>
                    <a:blip r:embed="rId37"/>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Piliečių forumai</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Europos piliečių forumai</w:t>
      </w:r>
    </w:p>
    <w:p>
      <w:pPr>
        <w:pStyle w:val="Corpsdetexte"/>
        <w:rPr/>
      </w:pPr>
      <w:r>
        <w:rPr/>
        <w:t>Europos piliečių forumai buvo vienas iš pagrindinių konferencijos ramsčių: nacionalinės grupės, daugiakalbė skaitmeninė platforma ir Konferencijos plenarinė sesija. Jie yra Konferencijos dėl Europos ateities pagrindas ir juose dalyvavo apie 800 piliečių iš visų Europos Sąjungos sluoksnių ir regionų. Nors piliečių grupių ar asamblėjų koncepcija jau dešimtmečius vartojama savivaldybių lygmeniu ir ji vis labiau pastebima nacionaliniu ar regioniniu lygmeniu, visos Europos aspektas šioje srityje iš esmės neištirtas. Europos piliečių forumai buvo pirmoji tarptautinė ir daugiakalbė tokio masto ir plataus užmojo patirtis. Dėl šio proceso lydinčios puikios aiškinimo sistemos buvo pradėtas įtraukus, pagarbus ir veiksmingas suinteresuotųjų subjektų dialogas, užtikrinantis pagarbą daugiakalbystei.</w:t>
      </w:r>
    </w:p>
    <w:p>
      <w:pPr>
        <w:pStyle w:val="Corpsdetexte"/>
        <w:rPr/>
      </w:pPr>
      <w:r>
        <w:rPr/>
        <w:t>Europos piliečių forumus organizavo trys institucijos, remdamosi bendra deklaracija, darbo tvarkos taisyklėmis ir bendrapirmininkių nustatyta tvarka, prižiūrint Vykdomajai valdybai. Jas rėmė išorės paslaugų teikėjų konsorciumas, kurį sudarė įvairūs patariamosios demokratijos srities ekspertai ir logistikos paramos grupė. Vykdomoji valdyba buvo nuolat informuojama apie grupių darbą, buvo pateikta atnaujinta praktinė tvarka ir prireikus patikslintas preliminarus Europos piliečių forumų posėdžių kalendorius proceso metu.</w:t>
      </w:r>
    </w:p>
    <w:p>
      <w:pPr>
        <w:pStyle w:val="Corpsdetexte"/>
        <w:rPr/>
      </w:pPr>
      <w:r>
        <w:rPr/>
        <w:t>Europos piliečių forumų dalyviai buvo atrinkti 2021 m. vasarą. ES piliečiai buvo atrinkti atsitiktine tvarka (dažniausiai su jais susisiekė 27 nacionaliniai tyrimo institutai, koordinuojami išorės paslaugų teikėjo), siekiant sudaryti ES įvairovę atspindinčias grupes, remiantis penkiais kriterijais: lytis, amžius, geografinė kilmė (pilietybė, miesto ir kaimo aplinka), socialinė ir ekonominė padėtis ir išsilavinimo lygis. Kiekvienos valstybės narės piliečių skaičius apskaičiuotas pagal mažėjančio proporcingumo principą, taikomą Europos Parlamento sudėčiai, atsižvelgiant į tai, kad kiekvienoje grupėje turėtų būti bent vienas pilietis ir vienas pilietis iš kiekvienos valstybės narės. Atsižvelgiant į tai, kad konferencijoje ypatingas dėmesys buvo skiriamas jaunimui, trečdalis kiekvienos grupės piliečių buvo 16–24 metų amžiaus. Kiekvienai 200 žmonių grupei buvo atrinkta 50 papildomų piliečių, kurie sudarytų rezervą.</w:t>
      </w:r>
    </w:p>
    <w:p>
      <w:pPr>
        <w:pStyle w:val="Corpsdetexte"/>
        <w:rPr/>
      </w:pPr>
      <w:r>
        <w:rPr/>
        <w:t>Buvo surengti keturi Europos piliečių forumai. Kiekvienos iš jų aptarimui skirtos temos atitiko daugiakalbėje skaitmeninėje platformoje nustatytas temas ir buvo sugrupuotos taip:</w:t>
      </w:r>
    </w:p>
    <w:p>
      <w:pPr>
        <w:pStyle w:val="Puce3"/>
        <w:rPr/>
      </w:pPr>
      <w:r>
        <w:rPr/>
        <w:t>1. Stipresnė ekonomika, socialinis teisingumas ir užimtumas; švietimas, kultūra, jaunimas ir sportas; skaitmeninė transformacija;</w:t>
      </w:r>
    </w:p>
    <w:p>
      <w:pPr>
        <w:pStyle w:val="Puce3"/>
        <w:rPr/>
      </w:pPr>
      <w:r>
        <w:rPr/>
        <w:t>2. Europos demokratija; vertybės ir teisės, teisinė valstybė, saugumas;</w:t>
      </w:r>
    </w:p>
    <w:p>
      <w:pPr>
        <w:pStyle w:val="Puce3"/>
        <w:rPr/>
      </w:pPr>
      <w:r>
        <w:rPr/>
        <w:t>3.Klimato kaita ir aplinka; sveikata;</w:t>
      </w:r>
    </w:p>
    <w:p>
      <w:pPr>
        <w:pStyle w:val="Puce3"/>
        <w:tabs>
          <w:tab w:val="clear" w:pos="720"/>
        </w:tabs>
        <w:rPr/>
      </w:pPr>
      <w:r>
        <w:rPr/>
        <w:t>4.ES pasaulyje; migracija.</w:t>
      </w:r>
    </w:p>
    <w:p>
      <w:pPr>
        <w:pStyle w:val="Corpsdetexte"/>
        <w:rPr/>
      </w:pPr>
      <w:r>
        <w:rPr/>
        <w:t>Kiekvienas susitikimas vyko po tris savaitgalius. Pirmoji sesija vyko Strasbūre, antroji – internete, o trečioji – keturiuose miestuose (Dubline, Florencijoje, Varšuvoje/Natoline ir Mastrichte), valstybinėse aukštojo mokslo įstaigose ir padedant vietos valdžios institucijoms.</w:t>
      </w:r>
    </w:p>
    <w:p>
      <w:pPr>
        <w:pStyle w:val="Titre4"/>
        <w:numPr>
          <w:ilvl w:val="3"/>
          <w:numId w:val="2"/>
        </w:numPr>
        <w:rPr/>
      </w:pPr>
      <w:bookmarkStart w:id="11" w:name="__RefHeading___Toc298196_1346298689"/>
      <w:bookmarkEnd w:id="11"/>
      <w:r>
        <w:rPr/>
        <w:t>PIRMASIS DISKUSIJŲ SESIJŲ RAUNDAS</w:t>
      </w:r>
    </w:p>
    <w:p>
      <w:pPr>
        <w:pStyle w:val="Corpsdetexte"/>
        <w:rPr/>
      </w:pPr>
      <w:r>
        <w:rPr/>
        <w:t>Per pirmąją kiekvienos grupės sesiją dalyviai fiziškai susitiko Strasbūre. Sesijos tikslas buvo apibrėžti svarstymų darbotvarkę. Diskusijų grupėse dalyvaujantys piliečiai pradėjo apmąstyti ir plėtoti savo Europos viziją, pradedant nuo tuščio puslapio ir nustatant klausimus, kuriuos reikia aptarti pagrindinėse grupės temose. Tada jie pirmenybę teikė toms temoms, kurioms jos norėjo skirti daugiau dėmesio, kad ES institucijoms būtų pateiktos konkrečios rekomendacijos dėl tolesnių veiksmų. Diskusijos ir kolektyvinis darbas vyko šiais dviem formatais:</w:t>
      </w:r>
    </w:p>
    <w:p>
      <w:pPr>
        <w:pStyle w:val="Alineanegatifpuce"/>
        <w:numPr>
          <w:ilvl w:val="0"/>
          <w:numId w:val="3"/>
        </w:numPr>
        <w:rPr/>
      </w:pPr>
      <w:r>
        <w:rPr/>
        <w:t xml:space="preserve"> </w:t>
      </w:r>
      <w:r>
        <w:rPr/>
        <w:t>pogrupiuose, kuriuos sudaro 12–14 piliečių. Kiekviename pogrupyje buvo kalbama nuo keturių iki penkių kalbų, kuriose piliečiai galėjo išreikšti save savo kalba. Pogrupių darbui vadovavo išorės paslaugų teikėjų konsorciumo atrinkti profesionalūs pagalbininkai.</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Struktūra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2 SESIJA</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DIENA </w:t>
                                  </w:r>
                                </w:p>
                                <w:p>
                                  <w:pPr>
                                    <w:pStyle w:val="P68B1DB1Contenudetableau9"/>
                                    <w:spacing w:before="57" w:after="57"/>
                                    <w:jc w:val="center"/>
                                    <w:rPr>
                                      <w:sz w:val="16"/>
                                    </w:rPr>
                                  </w:pPr>
                                  <w:r>
                                    <w:rPr/>
                                    <w:t>Naujas grupės posėdis ir pasirengimas savaitgaliui</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DIENA </w:t>
                                  </w:r>
                                </w:p>
                                <w:p>
                                  <w:pPr>
                                    <w:pStyle w:val="P68B1DB1Contenudetableau9"/>
                                    <w:spacing w:before="57" w:after="57"/>
                                    <w:jc w:val="center"/>
                                    <w:rPr>
                                      <w:sz w:val="16"/>
                                    </w:rPr>
                                  </w:pPr>
                                  <w:r>
                                    <w:rPr/>
                                    <w:t>Ekspertų indėlis, problemų nustatymas, rekomendacijų rengimas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DIENA </w:t>
                                  </w:r>
                                </w:p>
                                <w:p>
                                  <w:pPr>
                                    <w:pStyle w:val="P68B1DB1Contenudetableau9"/>
                                    <w:spacing w:before="57" w:after="57"/>
                                    <w:jc w:val="center"/>
                                    <w:rPr>
                                      <w:sz w:val="16"/>
                                    </w:rPr>
                                  </w:pPr>
                                  <w:r>
                                    <w:rPr/>
                                    <w:t>Gairių užbaigimas, galutinės pastabos</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Ekspertų indėlis į potemes</w:t>
                                  </w:r>
                                </w:p>
                              </w:tc>
                              <w:tc>
                                <w:tcPr>
                                  <w:tcW w:w="3120" w:type="dxa"/>
                                  <w:gridSpan w:val="2"/>
                                  <w:tcBorders/>
                                  <w:shd w:fill="0000FF" w:val="clear"/>
                                </w:tcPr>
                                <w:p>
                                  <w:pPr>
                                    <w:pStyle w:val="P68B1DB1Contenudetableau9"/>
                                    <w:spacing w:before="57" w:after="57"/>
                                    <w:jc w:val="center"/>
                                    <w:rPr>
                                      <w:sz w:val="16"/>
                                    </w:rPr>
                                  </w:pPr>
                                  <w:r>
                                    <w:rPr/>
                                    <w:t>Papildomas ekspertų indėlis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Sveiki atvykę, </w:t>
                                  </w:r>
                                </w:p>
                                <w:p>
                                  <w:pPr>
                                    <w:pStyle w:val="P68B1DB1Contenudetableau9"/>
                                    <w:spacing w:before="57" w:after="57"/>
                                    <w:jc w:val="center"/>
                                    <w:rPr>
                                      <w:sz w:val="16"/>
                                    </w:rPr>
                                  </w:pPr>
                                  <w:r>
                                    <w:rPr/>
                                    <w:t xml:space="preserve">Žodžiai piliečių ambasadoriams už jų atsiliepimus, </w:t>
                                    <w:br/>
                                    <w:t>Platformos atnaujinimas, darbotvarkė</w:t>
                                  </w:r>
                                </w:p>
                              </w:tc>
                              <w:tc>
                                <w:tcPr>
                                  <w:tcW w:w="3120" w:type="dxa"/>
                                  <w:gridSpan w:val="2"/>
                                  <w:tcBorders/>
                                  <w:shd w:fill="00FF00" w:val="clear"/>
                                </w:tcPr>
                                <w:p>
                                  <w:pPr>
                                    <w:pStyle w:val="P68B1DB1Contenudetableau9"/>
                                    <w:spacing w:before="57" w:after="57"/>
                                    <w:jc w:val="center"/>
                                    <w:rPr>
                                      <w:sz w:val="16"/>
                                    </w:rPr>
                                  </w:pPr>
                                  <w:r>
                                    <w:rPr/>
                                    <w:t>Gairių rengimas</w:t>
                                  </w:r>
                                </w:p>
                              </w:tc>
                              <w:tc>
                                <w:tcPr>
                                  <w:tcW w:w="3120" w:type="dxa"/>
                                  <w:gridSpan w:val="2"/>
                                  <w:tcBorders/>
                                  <w:shd w:fill="00FF00" w:val="clear"/>
                                </w:tcPr>
                                <w:p>
                                  <w:pPr>
                                    <w:pStyle w:val="P68B1DB1Contenudetableau9"/>
                                    <w:spacing w:before="57" w:after="57"/>
                                    <w:jc w:val="center"/>
                                    <w:rPr>
                                      <w:sz w:val="16"/>
                                    </w:rPr>
                                  </w:pPr>
                                  <w:r>
                                    <w:rPr/>
                                    <w:t xml:space="preserve"> </w:t>
                                  </w:r>
                                  <w:r>
                                    <w:rPr/>
                                    <w:t>Gairių užbaigimas</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Dalijimasis tam tikromis kryptimis, </w:t>
                                    <w:br/>
                                    <w:t>Baigiamosios pastabos</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Plenarinė sesija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Temos plenarinis posėdis</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Pogrupio sesija</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Struktūra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2 SESIJA</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DIENA </w:t>
                            </w:r>
                          </w:p>
                          <w:p>
                            <w:pPr>
                              <w:pStyle w:val="P68B1DB1Contenudetableau9"/>
                              <w:spacing w:before="57" w:after="57"/>
                              <w:jc w:val="center"/>
                              <w:rPr>
                                <w:sz w:val="16"/>
                              </w:rPr>
                            </w:pPr>
                            <w:r>
                              <w:rPr/>
                              <w:t>Naujas grupės posėdis ir pasirengimas savaitgaliui</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DIENA </w:t>
                            </w:r>
                          </w:p>
                          <w:p>
                            <w:pPr>
                              <w:pStyle w:val="P68B1DB1Contenudetableau9"/>
                              <w:spacing w:before="57" w:after="57"/>
                              <w:jc w:val="center"/>
                              <w:rPr>
                                <w:sz w:val="16"/>
                              </w:rPr>
                            </w:pPr>
                            <w:r>
                              <w:rPr/>
                              <w:t>Ekspertų indėlis, problemų nustatymas, rekomendacijų rengimas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DIENA </w:t>
                            </w:r>
                          </w:p>
                          <w:p>
                            <w:pPr>
                              <w:pStyle w:val="P68B1DB1Contenudetableau9"/>
                              <w:spacing w:before="57" w:after="57"/>
                              <w:jc w:val="center"/>
                              <w:rPr>
                                <w:sz w:val="16"/>
                              </w:rPr>
                            </w:pPr>
                            <w:r>
                              <w:rPr/>
                              <w:t>Gairių užbaigimas, galutinės pastabos</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Ekspertų indėlis į potemes</w:t>
                            </w:r>
                          </w:p>
                        </w:tc>
                        <w:tc>
                          <w:tcPr>
                            <w:tcW w:w="3120" w:type="dxa"/>
                            <w:gridSpan w:val="2"/>
                            <w:tcBorders/>
                            <w:shd w:fill="0000FF" w:val="clear"/>
                          </w:tcPr>
                          <w:p>
                            <w:pPr>
                              <w:pStyle w:val="P68B1DB1Contenudetableau9"/>
                              <w:spacing w:before="57" w:after="57"/>
                              <w:jc w:val="center"/>
                              <w:rPr>
                                <w:sz w:val="16"/>
                              </w:rPr>
                            </w:pPr>
                            <w:r>
                              <w:rPr/>
                              <w:t>Papildomas ekspertų indėlis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Sveiki atvykę, </w:t>
                            </w:r>
                          </w:p>
                          <w:p>
                            <w:pPr>
                              <w:pStyle w:val="P68B1DB1Contenudetableau9"/>
                              <w:spacing w:before="57" w:after="57"/>
                              <w:jc w:val="center"/>
                              <w:rPr>
                                <w:sz w:val="16"/>
                              </w:rPr>
                            </w:pPr>
                            <w:r>
                              <w:rPr/>
                              <w:t xml:space="preserve">Žodžiai piliečių ambasadoriams už jų atsiliepimus, </w:t>
                              <w:br/>
                              <w:t>Platformos atnaujinimas, darbotvarkė</w:t>
                            </w:r>
                          </w:p>
                        </w:tc>
                        <w:tc>
                          <w:tcPr>
                            <w:tcW w:w="3120" w:type="dxa"/>
                            <w:gridSpan w:val="2"/>
                            <w:tcBorders/>
                            <w:shd w:fill="00FF00" w:val="clear"/>
                          </w:tcPr>
                          <w:p>
                            <w:pPr>
                              <w:pStyle w:val="P68B1DB1Contenudetableau9"/>
                              <w:spacing w:before="57" w:after="57"/>
                              <w:jc w:val="center"/>
                              <w:rPr>
                                <w:sz w:val="16"/>
                              </w:rPr>
                            </w:pPr>
                            <w:r>
                              <w:rPr/>
                              <w:t>Gairių rengimas</w:t>
                            </w:r>
                          </w:p>
                        </w:tc>
                        <w:tc>
                          <w:tcPr>
                            <w:tcW w:w="3120" w:type="dxa"/>
                            <w:gridSpan w:val="2"/>
                            <w:tcBorders/>
                            <w:shd w:fill="00FF00" w:val="clear"/>
                          </w:tcPr>
                          <w:p>
                            <w:pPr>
                              <w:pStyle w:val="P68B1DB1Contenudetableau9"/>
                              <w:spacing w:before="57" w:after="57"/>
                              <w:jc w:val="center"/>
                              <w:rPr>
                                <w:sz w:val="16"/>
                              </w:rPr>
                            </w:pPr>
                            <w:r>
                              <w:rPr/>
                              <w:t xml:space="preserve"> </w:t>
                            </w:r>
                            <w:r>
                              <w:rPr/>
                              <w:t>Gairių užbaigimas</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Dalijimasis tam tikromis kryptimis, </w:t>
                              <w:br/>
                              <w:t>Baigiamosios pastabos</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Plenarinė sesija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Temos plenarinis posėdis</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Pogrupio sesija</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plenarinėje sesijoje, kurioje dalyvauja visi dalyviai. Plenarinėms sesijoms vadovavo du pagrindiniai moderatoriai. Diskusijų metu nustatytos prioritetinės temos buvo suskirstytos į „ašis“ (atitinkančias temines grupes) ir „paašis“ ir buvo pagrindas antrajai sesijų serijai. Šiuo tikslu dalyviai iš pirmosios tarpinės Daugiakalbės skaitmeninės platformos ataskaitos ir aukšto lygio išorės ekspertų pranešimų gavo pagrindinę informaciją apie temas, taip pat atitinkamus indėlius, įskaitant analizes ir konceptualias schemas.</w:t>
      </w:r>
    </w:p>
    <w:p>
      <w:pPr>
        <w:pStyle w:val="Corpsdetexte"/>
        <w:rPr/>
      </w:pPr>
      <w:r>
        <w:rPr/>
        <w:t>Per pirmąsias sesijas 20 asmenų, kurių buvo paprašyta atstovauti kiekvienai plenarinei sesijai, buvo atrinkti iš savanoriškų piliečių; tai darydamas jis buvo stebimas amžiaus ir lyties įvairove.</w:t>
      </w:r>
    </w:p>
    <w:p>
      <w:pPr>
        <w:pStyle w:val="Titre4"/>
        <w:numPr>
          <w:ilvl w:val="3"/>
          <w:numId w:val="2"/>
        </w:numPr>
        <w:rPr/>
      </w:pPr>
      <w:bookmarkStart w:id="12" w:name="__RefHeading___Toc298198_1346298689"/>
      <w:bookmarkEnd w:id="12"/>
      <w:r>
        <w:rPr/>
        <w:t>ANTRASIS DISKUSIJŲ SESIJŲ RAUNDAS</w:t>
      </w:r>
    </w:p>
    <w:p>
      <w:pPr>
        <w:pStyle w:val="Corpsdetexte"/>
        <w:rPr/>
      </w:pPr>
      <w:r>
        <w:rPr/>
        <w:t>Lapkričio mėn. Europos piliečių forumai tęsė savo darbą susitikdami internetu. Šiuo tikslu buvo įdiegta speciali schema: studijoje Briuselyje vyko pagrindinės moderacijos ir plenarinės sesijos, o dalyvaujantys piliečiai iš visos ES galėtų įsikišti naudodamiesi ryšio ir vertimo žodžiu sistema.</w:t>
      </w:r>
    </w:p>
    <w:p>
      <w:pPr>
        <w:pStyle w:val="Corpsdetexte"/>
        <w:rPr/>
      </w:pPr>
      <w:r>
        <w:rPr/>
        <w:t>Antrajame sesijų raunde, padedant ekspertams ir faktų tikrintojams, piliečiai nustatė ir aptarė keletą konkrečių klausimų ir parengė gaires kiekvienai teminei krypčiai, kurią jie nustatė per pirmąją sesiją. Ypatingas dėmesys buvo skiriamas lyčių ir geografinei pusiausvyrai ekspertų grupėje ir kad kiekvienas iš šių ekspertų savo indėliu išsamiai informuoja piliečius, pateikdamas faktus ir (arba) pažangą diskusijose ir susilaikydamas nuo asmeninių nuomonių pateikimo. Piliečiams taip pat buvo pateiktos daugiakalbės skaitmeninės platformos tarpinės ataskaitos.</w:t>
      </w:r>
    </w:p>
    <w:p>
      <w:pPr>
        <w:pStyle w:val="Corpsdetexte"/>
        <w:rPr/>
      </w:pPr>
      <w:r>
        <w:rPr/>
        <w:t>Todėl jie galėjo nustatyti ir aptarti klausimus, susijusius su jiems paskirtomis temomis, remdamiesi ekspertų indėliu aptariamomis temomis ir savo žiniomis bei patirtimi per antrojo sesijų raundo svarstymus. Problemos apibrėžiamos kaip problemos, reikalaujančios sprendimų, arba situacijos, kurioms reikia pokyčių.</w:t>
      </w:r>
    </w:p>
    <w:p>
      <w:pPr>
        <w:pStyle w:val="Corpsdetexte"/>
        <w:rPr/>
      </w:pPr>
      <w:r>
        <w:rPr/>
        <w:t>Tada piliečiai sprendė šiuos klausimus parengdami gaires – tai pirmas žingsnis siekiant suformuluoti rekomendacijas, o tai buvo trečios sesijos tikslas. Piliečių taip pat buvo paprašyta pagrįsti šias gaires.</w:t>
      </w:r>
    </w:p>
    <w:p>
      <w:pPr>
        <w:pStyle w:val="Corpsdetexte"/>
        <w:rPr/>
      </w:pPr>
      <w:r>
        <w:rPr/>
        <w:t>Diskusijos ir kolektyvinis darbas vyko trimis formatais:</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Struktūra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3 SESIJA</w:t>
                                  </w:r>
                                </w:p>
                              </w:tc>
                            </w:tr>
                            <w:tr>
                              <w:trPr/>
                              <w:tc>
                                <w:tcPr>
                                  <w:tcW w:w="3138" w:type="dxa"/>
                                  <w:tcBorders/>
                                  <w:shd w:fill="0000FF" w:val="clear"/>
                                </w:tcPr>
                                <w:p>
                                  <w:pPr>
                                    <w:pStyle w:val="P68B1DB1Contenudetableau10"/>
                                    <w:spacing w:before="57" w:after="57"/>
                                    <w:jc w:val="center"/>
                                    <w:rPr>
                                      <w:b/>
                                      <w:b/>
                                    </w:rPr>
                                  </w:pPr>
                                  <w:r>
                                    <w:rPr/>
                                    <w:t xml:space="preserve">1 DIENA </w:t>
                                  </w:r>
                                </w:p>
                                <w:p>
                                  <w:pPr>
                                    <w:pStyle w:val="Contenudetableau"/>
                                    <w:spacing w:before="57" w:after="57"/>
                                    <w:jc w:val="center"/>
                                    <w:rPr/>
                                  </w:pPr>
                                  <w:r>
                                    <w:rPr/>
                                    <w:t>Pakartotinis sujungimas, prioritetų nustatymas ir darbo pradžia</w:t>
                                  </w:r>
                                </w:p>
                              </w:tc>
                              <w:tc>
                                <w:tcPr>
                                  <w:tcW w:w="3138" w:type="dxa"/>
                                  <w:tcBorders/>
                                  <w:shd w:fill="0000FF" w:val="clear"/>
                                </w:tcPr>
                                <w:p>
                                  <w:pPr>
                                    <w:pStyle w:val="P68B1DB1Contenudetableau10"/>
                                    <w:spacing w:before="57" w:after="57"/>
                                    <w:jc w:val="center"/>
                                    <w:rPr>
                                      <w:b/>
                                      <w:b/>
                                    </w:rPr>
                                  </w:pPr>
                                  <w:r>
                                    <w:rPr/>
                                    <w:t xml:space="preserve">2 DIENA </w:t>
                                  </w:r>
                                </w:p>
                                <w:p>
                                  <w:pPr>
                                    <w:pStyle w:val="Contenudetableau"/>
                                    <w:jc w:val="center"/>
                                    <w:rPr/>
                                  </w:pPr>
                                  <w:r>
                                    <w:rPr/>
                                    <w:t xml:space="preserve">Gairių pakeitimas </w:t>
                                  </w:r>
                                </w:p>
                                <w:p>
                                  <w:pPr>
                                    <w:pStyle w:val="Contenudetableau"/>
                                    <w:spacing w:before="57" w:after="57"/>
                                    <w:jc w:val="center"/>
                                    <w:rPr/>
                                  </w:pPr>
                                  <w:r>
                                    <w:rPr/>
                                    <w:t>galutinės rekomendacijos</w:t>
                                  </w:r>
                                </w:p>
                              </w:tc>
                              <w:tc>
                                <w:tcPr>
                                  <w:tcW w:w="3138" w:type="dxa"/>
                                  <w:tcBorders/>
                                  <w:shd w:fill="0000FF" w:val="clear"/>
                                </w:tcPr>
                                <w:p>
                                  <w:pPr>
                                    <w:pStyle w:val="P68B1DB1Contenudetableau10"/>
                                    <w:spacing w:before="57" w:after="57"/>
                                    <w:jc w:val="center"/>
                                    <w:rPr>
                                      <w:b/>
                                      <w:b/>
                                    </w:rPr>
                                  </w:pPr>
                                  <w:r>
                                    <w:rPr/>
                                    <w:t xml:space="preserve">3 DIENA </w:t>
                                  </w:r>
                                </w:p>
                                <w:p>
                                  <w:pPr>
                                    <w:pStyle w:val="Contenudetableau"/>
                                    <w:spacing w:before="57" w:after="57"/>
                                    <w:jc w:val="center"/>
                                    <w:rPr/>
                                  </w:pPr>
                                  <w:r>
                                    <w:rPr/>
                                    <w:t>Balsavimas dėl galutinių rekomendacijų</w:t>
                                  </w:r>
                                </w:p>
                              </w:tc>
                            </w:tr>
                            <w:tr>
                              <w:trPr/>
                              <w:tc>
                                <w:tcPr>
                                  <w:tcW w:w="3138" w:type="dxa"/>
                                  <w:tcBorders/>
                                  <w:shd w:fill="800000" w:val="clear"/>
                                </w:tcPr>
                                <w:p>
                                  <w:pPr>
                                    <w:pStyle w:val="Contenudetableau"/>
                                    <w:spacing w:before="57" w:after="57"/>
                                    <w:jc w:val="center"/>
                                    <w:rPr/>
                                  </w:pPr>
                                  <w:r>
                                    <w:rPr/>
                                    <w:t>Savaitgalio sveikinimai ir tikslai</w:t>
                                  </w:r>
                                </w:p>
                              </w:tc>
                              <w:tc>
                                <w:tcPr>
                                  <w:tcW w:w="3138" w:type="dxa"/>
                                  <w:tcBorders/>
                                  <w:shd w:fill="00FF00" w:val="clear"/>
                                </w:tcPr>
                                <w:p>
                                  <w:pPr>
                                    <w:pStyle w:val="Contenudetableau"/>
                                    <w:spacing w:before="57" w:after="57"/>
                                    <w:jc w:val="center"/>
                                    <w:rPr/>
                                  </w:pPr>
                                  <w:r>
                                    <w:rPr/>
                                    <w:t>Rekomendacijos paverčiamos rekomendacijomis</w:t>
                                  </w:r>
                                </w:p>
                              </w:tc>
                              <w:tc>
                                <w:tcPr>
                                  <w:tcW w:w="3138" w:type="dxa"/>
                                  <w:tcBorders/>
                                  <w:shd w:fill="800000" w:val="clear"/>
                                </w:tcPr>
                                <w:p>
                                  <w:pPr>
                                    <w:pStyle w:val="Contenudetableau"/>
                                    <w:spacing w:before="57" w:after="57"/>
                                    <w:jc w:val="center"/>
                                    <w:rPr/>
                                  </w:pPr>
                                  <w:r>
                                    <w:rPr/>
                                    <w:t>Balsavimas dėl galutinių rekomendacijų</w:t>
                                  </w:r>
                                </w:p>
                              </w:tc>
                            </w:tr>
                            <w:tr>
                              <w:trPr/>
                              <w:tc>
                                <w:tcPr>
                                  <w:tcW w:w="3138" w:type="dxa"/>
                                  <w:tcBorders/>
                                  <w:shd w:fill="0000FF" w:val="clear"/>
                                </w:tcPr>
                                <w:p>
                                  <w:pPr>
                                    <w:pStyle w:val="Contenudetableau"/>
                                    <w:spacing w:before="57" w:after="57"/>
                                    <w:jc w:val="center"/>
                                    <w:rPr/>
                                  </w:pPr>
                                  <w:r>
                                    <w:rPr/>
                                    <w:t xml:space="preserve">Atviras forumas, </w:t>
                                  </w:r>
                                </w:p>
                                <w:p>
                                  <w:pPr>
                                    <w:pStyle w:val="Contenudetableau"/>
                                    <w:spacing w:before="57" w:after="57"/>
                                    <w:jc w:val="center"/>
                                    <w:rPr/>
                                  </w:pPr>
                                  <w:r>
                                    <w:rPr/>
                                    <w:t>Gairių skaitymas ir prioritetų nustatymas</w:t>
                                  </w:r>
                                </w:p>
                              </w:tc>
                              <w:tc>
                                <w:tcPr>
                                  <w:tcW w:w="3138" w:type="dxa"/>
                                  <w:tcBorders/>
                                  <w:shd w:fill="00FF00" w:val="clear"/>
                                </w:tcPr>
                                <w:p>
                                  <w:pPr>
                                    <w:pStyle w:val="Contenudetableau"/>
                                    <w:spacing w:before="57" w:after="57"/>
                                    <w:jc w:val="center"/>
                                    <w:rPr/>
                                  </w:pPr>
                                  <w:r>
                                    <w:rPr/>
                                    <w:t>Grįžtamoji informacija kitoms grupėms, rekomendacijų užbaigimas</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Rekomendacijos paverčiamos rekomendacijomis</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Plenarinė sesija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Atviras forumas</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Pogrupio darbas</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Struktūra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3 SESIJA</w:t>
                            </w:r>
                          </w:p>
                        </w:tc>
                      </w:tr>
                      <w:tr>
                        <w:trPr/>
                        <w:tc>
                          <w:tcPr>
                            <w:tcW w:w="3138" w:type="dxa"/>
                            <w:tcBorders/>
                            <w:shd w:fill="0000FF" w:val="clear"/>
                          </w:tcPr>
                          <w:p>
                            <w:pPr>
                              <w:pStyle w:val="P68B1DB1Contenudetableau10"/>
                              <w:spacing w:before="57" w:after="57"/>
                              <w:jc w:val="center"/>
                              <w:rPr>
                                <w:b/>
                                <w:b/>
                              </w:rPr>
                            </w:pPr>
                            <w:r>
                              <w:rPr/>
                              <w:t xml:space="preserve">1 DIENA </w:t>
                            </w:r>
                          </w:p>
                          <w:p>
                            <w:pPr>
                              <w:pStyle w:val="Contenudetableau"/>
                              <w:spacing w:before="57" w:after="57"/>
                              <w:jc w:val="center"/>
                              <w:rPr/>
                            </w:pPr>
                            <w:r>
                              <w:rPr/>
                              <w:t>Pakartotinis sujungimas, prioritetų nustatymas ir darbo pradžia</w:t>
                            </w:r>
                          </w:p>
                        </w:tc>
                        <w:tc>
                          <w:tcPr>
                            <w:tcW w:w="3138" w:type="dxa"/>
                            <w:tcBorders/>
                            <w:shd w:fill="0000FF" w:val="clear"/>
                          </w:tcPr>
                          <w:p>
                            <w:pPr>
                              <w:pStyle w:val="P68B1DB1Contenudetableau10"/>
                              <w:spacing w:before="57" w:after="57"/>
                              <w:jc w:val="center"/>
                              <w:rPr>
                                <w:b/>
                                <w:b/>
                              </w:rPr>
                            </w:pPr>
                            <w:r>
                              <w:rPr/>
                              <w:t xml:space="preserve">2 DIENA </w:t>
                            </w:r>
                          </w:p>
                          <w:p>
                            <w:pPr>
                              <w:pStyle w:val="Contenudetableau"/>
                              <w:jc w:val="center"/>
                              <w:rPr/>
                            </w:pPr>
                            <w:r>
                              <w:rPr/>
                              <w:t xml:space="preserve">Gairių pakeitimas </w:t>
                            </w:r>
                          </w:p>
                          <w:p>
                            <w:pPr>
                              <w:pStyle w:val="Contenudetableau"/>
                              <w:spacing w:before="57" w:after="57"/>
                              <w:jc w:val="center"/>
                              <w:rPr/>
                            </w:pPr>
                            <w:r>
                              <w:rPr/>
                              <w:t>galutinės rekomendacijos</w:t>
                            </w:r>
                          </w:p>
                        </w:tc>
                        <w:tc>
                          <w:tcPr>
                            <w:tcW w:w="3138" w:type="dxa"/>
                            <w:tcBorders/>
                            <w:shd w:fill="0000FF" w:val="clear"/>
                          </w:tcPr>
                          <w:p>
                            <w:pPr>
                              <w:pStyle w:val="P68B1DB1Contenudetableau10"/>
                              <w:spacing w:before="57" w:after="57"/>
                              <w:jc w:val="center"/>
                              <w:rPr>
                                <w:b/>
                                <w:b/>
                              </w:rPr>
                            </w:pPr>
                            <w:r>
                              <w:rPr/>
                              <w:t xml:space="preserve">3 DIENA </w:t>
                            </w:r>
                          </w:p>
                          <w:p>
                            <w:pPr>
                              <w:pStyle w:val="Contenudetableau"/>
                              <w:spacing w:before="57" w:after="57"/>
                              <w:jc w:val="center"/>
                              <w:rPr/>
                            </w:pPr>
                            <w:r>
                              <w:rPr/>
                              <w:t>Balsavimas dėl galutinių rekomendacijų</w:t>
                            </w:r>
                          </w:p>
                        </w:tc>
                      </w:tr>
                      <w:tr>
                        <w:trPr/>
                        <w:tc>
                          <w:tcPr>
                            <w:tcW w:w="3138" w:type="dxa"/>
                            <w:tcBorders/>
                            <w:shd w:fill="800000" w:val="clear"/>
                          </w:tcPr>
                          <w:p>
                            <w:pPr>
                              <w:pStyle w:val="Contenudetableau"/>
                              <w:spacing w:before="57" w:after="57"/>
                              <w:jc w:val="center"/>
                              <w:rPr/>
                            </w:pPr>
                            <w:r>
                              <w:rPr/>
                              <w:t>Savaitgalio sveikinimai ir tikslai</w:t>
                            </w:r>
                          </w:p>
                        </w:tc>
                        <w:tc>
                          <w:tcPr>
                            <w:tcW w:w="3138" w:type="dxa"/>
                            <w:tcBorders/>
                            <w:shd w:fill="00FF00" w:val="clear"/>
                          </w:tcPr>
                          <w:p>
                            <w:pPr>
                              <w:pStyle w:val="Contenudetableau"/>
                              <w:spacing w:before="57" w:after="57"/>
                              <w:jc w:val="center"/>
                              <w:rPr/>
                            </w:pPr>
                            <w:r>
                              <w:rPr/>
                              <w:t>Rekomendacijos paverčiamos rekomendacijomis</w:t>
                            </w:r>
                          </w:p>
                        </w:tc>
                        <w:tc>
                          <w:tcPr>
                            <w:tcW w:w="3138" w:type="dxa"/>
                            <w:tcBorders/>
                            <w:shd w:fill="800000" w:val="clear"/>
                          </w:tcPr>
                          <w:p>
                            <w:pPr>
                              <w:pStyle w:val="Contenudetableau"/>
                              <w:spacing w:before="57" w:after="57"/>
                              <w:jc w:val="center"/>
                              <w:rPr/>
                            </w:pPr>
                            <w:r>
                              <w:rPr/>
                              <w:t>Balsavimas dėl galutinių rekomendacijų</w:t>
                            </w:r>
                          </w:p>
                        </w:tc>
                      </w:tr>
                      <w:tr>
                        <w:trPr/>
                        <w:tc>
                          <w:tcPr>
                            <w:tcW w:w="3138" w:type="dxa"/>
                            <w:tcBorders/>
                            <w:shd w:fill="0000FF" w:val="clear"/>
                          </w:tcPr>
                          <w:p>
                            <w:pPr>
                              <w:pStyle w:val="Contenudetableau"/>
                              <w:spacing w:before="57" w:after="57"/>
                              <w:jc w:val="center"/>
                              <w:rPr/>
                            </w:pPr>
                            <w:r>
                              <w:rPr/>
                              <w:t xml:space="preserve">Atviras forumas, </w:t>
                            </w:r>
                          </w:p>
                          <w:p>
                            <w:pPr>
                              <w:pStyle w:val="Contenudetableau"/>
                              <w:spacing w:before="57" w:after="57"/>
                              <w:jc w:val="center"/>
                              <w:rPr/>
                            </w:pPr>
                            <w:r>
                              <w:rPr/>
                              <w:t>Gairių skaitymas ir prioritetų nustatymas</w:t>
                            </w:r>
                          </w:p>
                        </w:tc>
                        <w:tc>
                          <w:tcPr>
                            <w:tcW w:w="3138" w:type="dxa"/>
                            <w:tcBorders/>
                            <w:shd w:fill="00FF00" w:val="clear"/>
                          </w:tcPr>
                          <w:p>
                            <w:pPr>
                              <w:pStyle w:val="Contenudetableau"/>
                              <w:spacing w:before="57" w:after="57"/>
                              <w:jc w:val="center"/>
                              <w:rPr/>
                            </w:pPr>
                            <w:r>
                              <w:rPr/>
                              <w:t>Grįžtamoji informacija kitoms grupėms, rekomendacijų užbaigimas</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Rekomendacijos paverčiamos rekomendacijomis</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Plenarinė sesija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Atviras forumas</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Pogrupio darbas</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pogrupiuose. Kiekvieną iš penkiolikos pogrupių sudarė nuo dvylikos iki keturiolikos piliečių. Kiekviename pogrupyje buvo vartojamos keturios-penkios kalbos, kad piliečiai galėtų išreikšti save savo kalba arba ta kalba, kuria jie jaučiasi patogiai. Kiekvienas pogrupis turėjo profesionalų pagalbininką iš išorės paslaugų teikėjų konsorciumo.</w:t>
      </w:r>
    </w:p>
    <w:p>
      <w:pPr>
        <w:pStyle w:val="Alineanegatifpuce"/>
        <w:numPr>
          <w:ilvl w:val="0"/>
          <w:numId w:val="3"/>
        </w:numPr>
        <w:rPr/>
      </w:pPr>
      <w:r>
        <w:rPr/>
        <w:t xml:space="preserve"> </w:t>
      </w:r>
      <w:r>
        <w:rPr/>
        <w:t>plenarinėje sesijoje, skirtoje darbo srautui. Kiekvienoje darbo krypčiai skirtoje plenarinėje sesijoje buvo suburti tos pačios teminės krypties pogrupiai. Darbo srautui skirtas plenarines sesijas palengvino profesionalūs tarpininkai, verčiant žodžiu į visas dalyviams reikalingas kalbas.</w:t>
      </w:r>
    </w:p>
    <w:p>
      <w:pPr>
        <w:pStyle w:val="Alineanegatifpuce"/>
        <w:numPr>
          <w:ilvl w:val="0"/>
          <w:numId w:val="3"/>
        </w:numPr>
        <w:rPr/>
      </w:pPr>
      <w:r>
        <w:rPr/>
        <w:t xml:space="preserve"> </w:t>
      </w:r>
      <w:r>
        <w:rPr/>
        <w:t>plenarinėje sesijoje, kurioje dalyvauja visi dalyvaujantys piliečiai, pristatyti ir užbaigti sesiją. Plenarinėms sesijoms vadovavo du pagrindiniai konsorciumo moderatoriai, verčiantys žodžiu į 24 oficialiąsias ES kalbas.</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TREČIASIS GRUPĖS SESIJŲ RAUNDAS</w:t>
      </w:r>
    </w:p>
    <w:p>
      <w:pPr>
        <w:pStyle w:val="Corpsdetexte"/>
        <w:rPr/>
      </w:pPr>
      <w:r>
        <w:rPr/>
        <w:t>Trečiasis ir paskutinis grupės posėdžių raundas buvo asmeniškai surengtas keturių valstybių narių švietimo įstaigose. Dėl COVID-19 pandemijos ir susijusių priemonių Airijoje ir Nyderlanduose – trečioji 1 grupės (Ekonomika, socialinis teisingumas ir užimtumas) sesija; švietimas, kultūra, jaunimas ir sportas; skaitmeninė transformacija) ir 4 (ES pasaulyje; migracija) turėjo būti atidėtas iki 2022 m. vasario mėn., pasikonsultavus su nacionalinėmis valdžios institucijomis ir asocijuotaisiais partneriais.</w:t>
      </w:r>
    </w:p>
    <w:p>
      <w:pPr>
        <w:pStyle w:val="Corpsdetexte"/>
        <w:rPr/>
      </w:pPr>
      <w:r>
        <w:rPr/>
        <w:t xml:space="preserve">Diskusijos ir kolektyvinis darbas vyko šiais formatais: </w:t>
      </w:r>
    </w:p>
    <w:p>
      <w:pPr>
        <w:pStyle w:val="Alineanegatifpuce"/>
        <w:numPr>
          <w:ilvl w:val="0"/>
          <w:numId w:val="3"/>
        </w:numPr>
        <w:rPr/>
      </w:pPr>
      <w:r>
        <w:rPr/>
        <w:t xml:space="preserve"> </w:t>
      </w:r>
      <w:r>
        <w:rPr/>
        <w:t>plenarinėje sesijoje su visais dalyviais, sesijos pradžioje pristatyti programą ir sesijos pabaigoje, kaip paaiškinta toliau. Plenarinėms sesijoms vadovavo du pagrindiniai diskusijų grupės moderatoriai, verčiant žodžiu į 24 oficialiąsias ES kalbas.</w:t>
      </w:r>
    </w:p>
    <w:p>
      <w:pPr>
        <w:pStyle w:val="Alineanegatifpuce"/>
        <w:numPr>
          <w:ilvl w:val="0"/>
          <w:numId w:val="3"/>
        </w:numPr>
        <w:rPr/>
      </w:pPr>
      <w:r>
        <w:rPr/>
        <w:t xml:space="preserve"> </w:t>
      </w:r>
      <w:r>
        <w:rPr/>
        <w:t>Piliečiai pradėjo nagrinėti visas rekomendacijas, kurias grupė parengė 2-ojoje sesijoje kaip „atviro forumo“ dalį. Tada kiekvienas pilietis pirmenybę teikė ne daugiau kaip dešimčiai orientacijų vienai darbo krypčiai. Kai šis prioritetų nustatymo procesas buvo baigtas grupės lygmeniu, piliečiai prisijungė prie pogrupio, kuriame jie jau dirbo 2-ojoje sesijoje, ir kartu atkreipė dėmesį į grupės gaires, kurioms likusi grupė teikė pirmenybę – tai galimybė palyginti šį pasirinkimą su savo vertinimu. Rengiant rekomendacijas kiekvienam pogrupiui buvo pateiktas orientacinis rekomendacijų, kurias reikia parengti, skaičius: nuo vieno iki trijų, ne daugiau kaip penki.</w:t>
      </w:r>
    </w:p>
    <w:p>
      <w:pPr>
        <w:pStyle w:val="Alineanegatifpuce"/>
        <w:numPr>
          <w:ilvl w:val="0"/>
          <w:numId w:val="3"/>
        </w:numPr>
        <w:rPr/>
      </w:pPr>
      <w:r>
        <w:rPr/>
        <w:t xml:space="preserve"> </w:t>
      </w:r>
      <w:r>
        <w:rPr/>
        <w:t xml:space="preserve">Kiekvienas iš 15 pogrupių dirbo, kad parengtų rekomendacijas. Piliečiai aptarė gaires, kurioms buvo suteikta didžiausia parama (pagal prioritetus), ir pradėjo rekomendacijų rengimo procesą. </w:t>
      </w:r>
    </w:p>
    <w:p>
      <w:pPr>
        <w:pStyle w:val="Normal"/>
        <w:rPr/>
      </w:pPr>
      <w:r>
        <w:rPr/>
        <w:t>Trečios sesijos metu patirtis ir informacija buvo sukauptos ne tiesiogiai bendraujant su piliečiais, o per specialiai sukurtą sistemą, „išteklių ir informacijos centrą“. Ši sistema buvo naudojama visiems prašymams dėl informacijos ir faktų tikrinimo vietoje centralizuoti ir pogrupiams pateikti trumpus ir faktinius ekspertų ir faktų tikrintojų atsakymus. Ši sistema sukurta siekiant užtikrinti, kad ekspertų ir faktų tikrintojų indėlis būtų parengtas laikantis aukščiausių kokybės standartų ir kad šiame proceso etape būtų išvengta nederamos įtakos. Piliečiams taip pat buvo pateiktos daugiakalbės skaitmeninės platformos tarpinės ataskaitos.</w:t>
      </w:r>
    </w:p>
    <w:p>
      <w:pPr>
        <w:pStyle w:val="Corpsdetexte"/>
        <w:rPr/>
      </w:pPr>
      <w:r>
        <w:rPr/>
        <w:t>Pogrupio darbo metu buvo organizuojamos grįžtamosios informacijos sesijos, siekiant padėti dalyviams suprasti kitų pogrupių darbą ir sustiprinti jų rekomendacijas.</w:t>
      </w:r>
    </w:p>
    <w:p>
      <w:pPr>
        <w:pStyle w:val="Corpsdetexte"/>
        <w:rPr/>
      </w:pPr>
      <w:r>
        <w:rPr/>
        <w:t>Dėl kiekvieno pogrupio rekomendacijų komitetas balsavo paskutinę sesijos dieną. Prieš balsavimą visi dalyviai gavo dokumentą, kuriame išdėstyti visi kitą dieną parengti rekomendacijų projektai, kad jie galėtų juos perskaityti savo kalba (automatinis vertimas iš anglų kalbos). Kiekviena rekomendacija plenariniame posėdyje buvo skaitoma anglų kalba, kad piliečiai galėtų klausytis vertimo žodžiu vienu metu. Viena po kitos rekomendacijos dalyviams buvo pateiktos balsuoti naudojantis internetine forma.</w:t>
      </w:r>
    </w:p>
    <w:p>
      <w:pPr>
        <w:pStyle w:val="Corpsdetexte"/>
        <w:rPr/>
      </w:pPr>
      <w:r>
        <w:rPr/>
        <w:t>Remiantis galutinio balsavimo rezultatais, rekomendacijos buvo suskirstytos taip:</w:t>
      </w:r>
    </w:p>
    <w:p>
      <w:pPr>
        <w:pStyle w:val="Corpsdetexte"/>
        <w:rPr/>
      </w:pPr>
      <w:r>
        <w:rPr/>
        <w:t>Komitetas priėmė rekomendacijas, už kurias balsavo 70 proc. ar daugiau balsų; ekspertų grupė nusprendė, kad rekomendacijų, kurios neatitiko šios ribos, nepatvirtino. Iš viso Europos piliečių forumai priėmė 178 rekomendacijas.</w:t>
      </w:r>
    </w:p>
    <w:p>
      <w:pPr>
        <w:pStyle w:val="Corpsdetexte"/>
        <w:rPr/>
      </w:pPr>
      <w:r>
        <w:rPr/>
        <w:t>Balsavimo procedūrą prižiūrėjo balsavimo komitetas, sudarytas iš dviejų piliečių, kurie pasiūlė atlikti šį vaidmenį.</w:t>
      </w:r>
    </w:p>
    <w:p>
      <w:pPr>
        <w:pStyle w:val="Titre4"/>
        <w:numPr>
          <w:ilvl w:val="3"/>
          <w:numId w:val="2"/>
        </w:numPr>
        <w:rPr/>
      </w:pPr>
      <w:bookmarkStart w:id="14" w:name="__RefHeading___Toc298202_1346298689"/>
      <w:bookmarkEnd w:id="14"/>
      <w:r>
        <w:rPr/>
        <w:t>EUROPOS PILIEČIŲ FORUMŲ ATSTOVAI PLENARINIAME POSĖDYJE</w:t>
      </w:r>
    </w:p>
    <w:p>
      <w:pPr>
        <w:pStyle w:val="Corpsdetexte"/>
        <w:rPr/>
      </w:pPr>
      <w:r>
        <w:rPr/>
        <w:t>Po to keturių Europos piliečių forumų priimtas rekomendacijas pristatė ir aptarė 80 Europos piliečių forumų atstovų konferencijos plenarinėje sesijoje ir darbo grupėse 2022 m. sausio 21–22 d. (2 ir 3 grupės) ir 2022 m. kovo 11–12 d. (1 ir 4 grupė). 80 Europos piliečių forumų atstovų (vidutiniškai 70 vietoje ir 10 internete) toliau propagavo ir aiškino Europos piliečių forumų rekomendacijas trijuose iš eilės vykusiuose plenarinės asamblėjos ir darbo grupių posėdžiuose (kovo 25–26 d., balandžio 8–9 d. ir balandžio 29–30 d.).</w:t>
      </w:r>
    </w:p>
    <w:p>
      <w:pPr>
        <w:pStyle w:val="Corpsdetexte"/>
        <w:rPr/>
      </w:pPr>
      <w:r>
        <w:rPr/>
        <w:t>Jie taip pat reguliariai keitėsi nuomonėmis posėdžiuose pagal piliečių komponentą (internetiniai parengiamieji posėdžiai ir plenariniai posėdžiai vietoje), tarpusavyje ir su 27 nacionalinių renginių ir (arba) nacionalinių forumų atstovais. Balandžio 23 d. Europos piliečių forumų atstovai internetu susitiko su visais kolegomis, kad paaiškintų, kaip rekomendacijos buvo aptartos ir įtrauktos į plenarinio posėdžio pasiūlymus, ir gauti kitų grupės dalyvių atsiliepimus. Plenariniame posėdyje piliečių komponentui pritarė jungtinio sekretoriato ir konsorciumo narių grupė.</w:t>
      </w:r>
    </w:p>
    <w:p>
      <w:pPr>
        <w:pStyle w:val="Titre4"/>
        <w:numPr>
          <w:ilvl w:val="3"/>
          <w:numId w:val="2"/>
        </w:numPr>
        <w:rPr/>
      </w:pPr>
      <w:bookmarkStart w:id="15" w:name="__RefHeading___Toc298204_1346298689"/>
      <w:bookmarkEnd w:id="15"/>
      <w:r>
        <w:rPr/>
        <w:t>PROCESO SKAIDRUMAS</w:t>
      </w:r>
    </w:p>
    <w:p>
      <w:pPr>
        <w:pStyle w:val="Corpsdetexte"/>
        <w:rPr/>
      </w:pPr>
      <w:r>
        <w:rPr/>
        <w:t xml:space="preserve"> </w:t>
      </w:r>
      <w:r>
        <w:rPr/>
        <w:t>Visas procesas vyko skaidriai. Europos piliečių forumų plenariniai posėdžiai buvo tiesiogiai transliuojami, o po diskusijų ir svarstymų parengti dokumentai buvo paskelbti visuomenei daugiakalbėje skaitmeninėje platformoje. Galutinė kiekvieno grupės posėdžio ataskaita kartu su rekomendacijomis pateikiama platformoje. Ataskaitose taip pat pateikiama informacija apie visus ekspertų grupių darbą palaikančius ekspertus.</w:t>
      </w:r>
    </w:p>
    <w:p>
      <w:pPr>
        <w:pStyle w:val="Corpsdetexte"/>
        <w:rPr/>
      </w:pPr>
      <w:r>
        <w:rPr/>
        <w:t>Europos piliečių grupės, kaip tikros demokratinės naujovės, sulaukė daug mokslo bendruomenės dėmesio. Tyrėjai galėjo dalyvauti Europos piliečių forumų posėdžiuose ir stebėti, kaip pagal tam tikras taisykles atliekamas darbas ir dalyvių privatumas.</w:t>
      </w:r>
    </w:p>
    <w:p>
      <w:pPr>
        <w:pStyle w:val="Corpsdetexte"/>
        <w:rPr/>
      </w:pPr>
      <w:r>
        <w:rPr/>
      </w:r>
      <w:r>
        <w:br w:type="page"/>
      </w:r>
    </w:p>
    <w:p>
      <w:pPr>
        <w:pStyle w:val="Titre4"/>
        <w:numPr>
          <w:ilvl w:val="3"/>
          <w:numId w:val="2"/>
        </w:numPr>
        <w:rPr/>
      </w:pPr>
      <w:bookmarkStart w:id="16" w:name="__RefHeading___Toc298206_1346298689"/>
      <w:bookmarkEnd w:id="16"/>
      <w:r>
        <w:rPr/>
        <w:t xml:space="preserve">Panelė 1 </w:t>
        <w:br/>
        <w:t>Stipresnė ekonomika, socialinis teisingumas ir užimtumas; švietimas, kultūra, jaunimas ir sportas; skaitmeninė transformacija</w:t>
      </w:r>
    </w:p>
    <w:p>
      <w:pPr>
        <w:pStyle w:val="Corpsdetexte"/>
        <w:rPr/>
      </w:pPr>
      <w:r>
        <w:rPr/>
        <w:t>Pirmoji grupės „Ekonomika, socialinis teisingumas ir užimtumas“ sesija; švietimas, kultūra, jaunimas ir sportas; skaitmeninė transformacija“ vyko 2021 m. rugsėjo 17–19 d. Strasbūre. Ši grupė nagrinėjo mūsų ekonomikos ir darbo vietų ateitį, ypač po pandemijos, tinkamai atsižvelgdama į susijusius socialinio teisingumo klausimus. Jis taip pat aptarė skaitmeninės transformacijos galimybes ir iššūkius – vieną iš svarbiausių temų diskutuojant apie ateitį.</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Sistema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Paveikslėli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veikslėlis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Nuotraukos: 1-oji Europos piliečių grupė </w:t>
                              <w:tab/>
                              <w:t>Nuotraukos: 2 Europos piliečių grupė</w:t>
                            </w:r>
                          </w:p>
                        </w:txbxContent>
                      </wps:txbx>
                      <wps:bodyPr lIns="0" rIns="0" tIns="0" bIns="0">
                        <a:noAutofit/>
                      </wps:bodyPr>
                    </wps:wsp>
                  </a:graphicData>
                </a:graphic>
              </wp:anchor>
            </w:drawing>
          </mc:Choice>
          <mc:Fallback>
            <w:pict>
              <v:rect id="shape_0" ID="Sistema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Paveikslėli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veikslėlis8" descr=""/>
                                    <pic:cNvPicPr>
                                      <a:picLocks noChangeAspect="1" noChangeArrowheads="1"/>
                                    </pic:cNvPicPr>
                                  </pic:nvPicPr>
                                  <pic:blipFill>
                                    <a:blip r:embed="rId38"/>
                                    <a:stretch>
                                      <a:fillRect/>
                                    </a:stretch>
                                  </pic:blipFill>
                                  <pic:spPr bwMode="auto">
                                    <a:xfrm>
                                      <a:off x="0" y="0"/>
                                      <a:ext cx="6120130" cy="2105660"/>
                                    </a:xfrm>
                                    <a:prstGeom prst="rect">
                                      <a:avLst/>
                                    </a:prstGeom>
                                  </pic:spPr>
                                </pic:pic>
                              </a:graphicData>
                            </a:graphic>
                          </wp:inline>
                        </w:drawing>
                      </w:r>
                      <w:r>
                        <w:rPr>
                          <w:color w:val="auto"/>
                        </w:rPr>
                        <w:t xml:space="preserve">Nuotraukos: 1-oji Europos piliečių grupė </w:t>
                        <w:tab/>
                        <w:t>Nuotraukos: 2 Europos piliečių grupė</w:t>
                      </w:r>
                    </w:p>
                  </w:txbxContent>
                </v:textbox>
              </v:rect>
            </w:pict>
          </mc:Fallback>
        </mc:AlternateContent>
      </w:r>
      <w:r>
        <w:rPr/>
        <w:t>Grupė taip pat aptarė Europos ateitį jaunimo, sporto, kultūros ir švietimo srityse. Grupės narius pasveikino pirmininkas Guy Verhofstadt. Pirmojo posėdžio metu buvo baigtos penkios darbo kryptys: „Darbas Europoje“, „Ekonomika ateičiai“, „Teisinga visuomenė“, „Mokymasis Europoje“ ir „Etinė ir saugi skaitmeninė transformacija“.</w:t>
      </w:r>
    </w:p>
    <w:p>
      <w:pPr>
        <w:pStyle w:val="Corpsdetexte"/>
        <w:rPr/>
      </w:pPr>
      <w:r>
        <w:rPr/>
        <w:t>2021 m. lapkričio 5–7 d. 1 grupė susitiko antrą kartą, šį kartą virtualiu formatu, ir tęsė pirmosios sesijos svarstymą. Antrosios sesijos metu ekspertų grupės nariai pateikė „gaires“, kaip parengti konkrečias rekomendacijas (trečiojoje sesijoje) dėl kiekvienos iš penkių pirmojoje sesijoje nustatytų krypčių. Iš viso 1 grupėje dalyvaujantys piliečiai sudarė 142 orientavimo grupes.</w:t>
      </w:r>
    </w:p>
    <w:p>
      <w:pPr>
        <w:pStyle w:val="Corpsdetexte"/>
        <w:rPr/>
      </w:pPr>
      <w:r>
        <w:rPr/>
        <w:t>2022 m. vasario 25–27 d. 1 grupėje dalyvaujantys piliečiai susitiko trečią kartą, tęsdami 1 ir 2 sesijose surengtus svarstymus. Šiai baigiamajai sesijai Tarptautinių ir Europos reikalų institutas (IIEA) Dublino pilyje surengė 1 grupės dalyvius, kurie turėjo galimybę dalyvauti internetu.</w:t>
      </w:r>
    </w:p>
    <w:p>
      <w:pPr>
        <w:pStyle w:val="Corpsdetexte"/>
        <w:rPr/>
      </w:pPr>
      <w:r>
        <w:rPr/>
        <w:t>remdamiesi 2-ojoje sesijoje parengtomis gairėmis, kuriomis grindžiamas darbas, piliečiai parengė ir patvirtino 48 galutines rekomendacijas.</w:t>
      </w:r>
    </w:p>
    <w:p>
      <w:pPr>
        <w:pStyle w:val="Titre4"/>
        <w:numPr>
          <w:ilvl w:val="3"/>
          <w:numId w:val="2"/>
        </w:numPr>
        <w:rPr/>
      </w:pPr>
      <w:bookmarkStart w:id="17" w:name="__RefHeading___Toc298208_1346298689"/>
      <w:bookmarkEnd w:id="17"/>
      <w:r>
        <w:rPr/>
        <w:t xml:space="preserve">Skydelis 2 </w:t>
        <w:br/>
        <w:t>Europos demokratija; vertybės ir teisės, teisinė valstybė, saugumas</w:t>
      </w:r>
    </w:p>
    <w:p>
      <w:pPr>
        <w:pStyle w:val="Corpsdetexte"/>
        <w:rPr/>
      </w:pPr>
      <w:r>
        <w:rPr/>
        <w:t>1-oji ekspertų grupės „Europos demokratija“ sesija; vertybės ir teisės, teisinė valstybė, saugumas“ vyko rugsėjo 24–26 d. Strasbūre. Grupė daugiausia dėmesio skyrė su demokratija susijusiems klausimams, pavyzdžiui, rinkimams, dalyvavimui ne rinkimų laikotarpiais, suvokiamam atstumui tarp piliečių ir jų išrinktų atstovų, žiniasklaidos laisvei ir dezinformacijai. Joje taip pat nagrinėjami klausimai, susiję su pagrindinėmis teisėmis ir vertybėmis, teisine valstybe ir kova su visų formų diskriminacija. Kartu jis daugiausia dėmesio skyrė ES vidaus saugumui, pavyzdžiui, europiečių apsaugai nuo teroro aktų ir kitų nusikaltimų. Kalbėtojus pasveikino pirmininkas Gašper Dovžan.</w:t>
      </w:r>
    </w:p>
    <w:p>
      <w:pPr>
        <w:pStyle w:val="Corpsdetexte"/>
        <w:rPr/>
      </w:pPr>
      <w:r>
        <w:rPr/>
        <w:t>Šios pirmosios sesijos metu buvo baigtos penkios darbo kryptys: „Pagarba teisėms ir nediskriminavimui“, „Demokratijos ir teisinės valstybės apsauga“, „ES reforma“, „Europos tapatybės kūrimas“ ir „Piliečių dalyvavimo stiprinimas“.</w:t>
      </w:r>
    </w:p>
    <w:p>
      <w:pPr>
        <w:pStyle w:val="Corpsdetexte"/>
        <w:rPr/>
      </w:pPr>
      <w:r>
        <w:rPr/>
        <w:t>2021 m. lapkričio 12–14 d. 2 grupė susitiko antrą kartą virtualiu formatu ir tęsė pirmosios sesijos svarstymą. Antrosios sesijos metu ekspertų grupės nariai pateikė „gaires“, kaip parengti konkrečias rekomendacijas (trečiojoje sesijoje) dėl kiekvienos iš penkių pirmojoje sesijoje nustatytų krypčių. Iš viso 2 grupėje dalyvaujantys piliečiai sudarė 124 orientavimo grupes.</w:t>
      </w:r>
    </w:p>
    <w:p>
      <w:pPr>
        <w:pStyle w:val="Corpsdetexte"/>
        <w:rPr/>
      </w:pPr>
      <w:r>
        <w:rPr/>
        <w:t>2021 m. gruodžio 10–12 d. 2 grupėje dalyvavę piliečiai susitiko baigiamajame posėdyje, kuris buvo surengtas Europos universitetiniame institute Florencijoje ir turėjo galimybę dalyvauti internete. Remdamiesi 2-ojoje sesijoje parengtomis gairėmis, kuriomis grindžiamas darbas, piliečiai parengė ir patvirtino 39 galutines rekomendacijas.</w:t>
      </w:r>
    </w:p>
    <w:p>
      <w:pPr>
        <w:pStyle w:val="Titre4"/>
        <w:numPr>
          <w:ilvl w:val="3"/>
          <w:numId w:val="2"/>
        </w:numPr>
        <w:rPr/>
      </w:pPr>
      <w:bookmarkStart w:id="18" w:name="__RefHeading___Toc298210_1346298689"/>
      <w:bookmarkEnd w:id="18"/>
      <w:r>
        <w:rPr/>
        <w:t>3 grupė „Klimato kaita ir aplinka“; sveikata</w:t>
      </w:r>
    </w:p>
    <w:p>
      <w:pPr>
        <w:pStyle w:val="Corpsdetexte"/>
        <w:rPr/>
      </w:pPr>
      <w:r>
        <w:rPr/>
        <w:t>Ekspertų grupė „Klimato kaita ir aplinka“; pirmoji sesija vyko spalio 1</w:t>
      </w:r>
      <w:r>
        <w:rPr>
          <w:vertAlign w:val="superscript"/>
        </w:rPr>
        <w:t>–</w:t>
      </w:r>
      <w:r>
        <w:rPr/>
        <w:t xml:space="preserve"> 3 d. Strasbūre. Grupė daugiausia dėmesio skyrė klimato kaitos poveikiui, aplinkos klausimams ir naujiems sveikatos iššūkiams Europos Sąjungoje. Ji taip pat apėmė ES tikslus ir strategijas, pavyzdžiui, žemės ūkį, transportą ir judumą, energetiką ir perėjimą prie anglies dioksido neišskiriančių visuomenių, mokslinius tyrimus, sveikatos sistemas, reagavimą į sveikatos krizes, prevenciją ir sveiką gyvenseną. Šios pirmosios sesijos metu buvo pritarta penkioms darbo sritims: „Geresnis gyvenimo būdas“, „Aplinkos ir sveikatos apsauga“, „Ekonomikos ir vartojimo perorientavimas“, „Tvarios visuomenės kūrimas“ ir „Priežiūra visiems“. Galutinę sesijos ataskaitą galima rasti daugiakalbėje skaitmeninėje platformoje.</w:t>
      </w:r>
    </w:p>
    <w:p>
      <w:pPr>
        <w:pStyle w:val="Corpsdetexte"/>
        <w:rPr/>
      </w:pPr>
      <w:r>
        <w:rPr/>
        <w:t>2021 m. lapkričio 19–21 d. 3 grupė susitiko antrą kartą, šį kartą virtualiu formatu, kad tęstų pirmosios sesijos svarstymus. Antrosios sesijos metu ekspertų grupės nariai pateikė „gaires“, kaip parengti konkrečias rekomendacijas (trečiojoje sesijoje) dėl kiekvienos iš penkių pirmojoje sesijoje nustatytų krypčių. Iš viso 3 grupėje dalyvaujantys piliečiai sudarė 130 orientavimo grupių.</w:t>
      </w:r>
    </w:p>
    <w:p>
      <w:pPr>
        <w:pStyle w:val="Corpsdetexte"/>
        <w:rPr/>
      </w:pPr>
      <w:r>
        <w:rPr/>
        <w:t>2022 m. sausio 7–9 d. 3 grupės piliečiai susirinko į baigiamąją sesiją, kurią jie surengė Europos koledže Natoline ir Kultūros ir mokslo rūmuose, remiant Varšuvos miestui. Buvo galima dalyvauti internete. Remdamiesi 2-ojoje sesijoje parengtomis gairėmis, kuriomis grindžiamas jų darbas, piliečiai parengė ir patvirtino 51 galutines rekomendacijas.</w:t>
      </w:r>
    </w:p>
    <w:p>
      <w:pPr>
        <w:pStyle w:val="Titre4"/>
        <w:numPr>
          <w:ilvl w:val="3"/>
          <w:numId w:val="2"/>
        </w:numPr>
        <w:rPr/>
      </w:pPr>
      <w:bookmarkStart w:id="19" w:name="__RefHeading___Toc298212_1346298689"/>
      <w:bookmarkEnd w:id="19"/>
      <w:r>
        <w:rPr/>
        <w:t>4 diskusijų grupė „ES pasaulyje“; migracija</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Sistema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Paveikslėli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veikslėlis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Nuotraukos: 3 Europos piliečių grupė</w:t>
                            </w:r>
                          </w:p>
                        </w:txbxContent>
                      </wps:txbx>
                      <wps:bodyPr lIns="0" rIns="0" tIns="0" bIns="0">
                        <a:noAutofit/>
                      </wps:bodyPr>
                    </wps:wsp>
                  </a:graphicData>
                </a:graphic>
              </wp:anchor>
            </w:drawing>
          </mc:Choice>
          <mc:Fallback>
            <w:pict>
              <v:rect id="shape_0" ID="Sistema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Paveikslėli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veikslėlis9" descr=""/>
                                    <pic:cNvPicPr>
                                      <a:picLocks noChangeAspect="1" noChangeArrowheads="1"/>
                                    </pic:cNvPicPr>
                                  </pic:nvPicPr>
                                  <pic:blipFill>
                                    <a:blip r:embed="rId39"/>
                                    <a:stretch>
                                      <a:fillRect/>
                                    </a:stretch>
                                  </pic:blipFill>
                                  <pic:spPr bwMode="auto">
                                    <a:xfrm>
                                      <a:off x="0" y="0"/>
                                      <a:ext cx="2970530" cy="2033905"/>
                                    </a:xfrm>
                                    <a:prstGeom prst="rect">
                                      <a:avLst/>
                                    </a:prstGeom>
                                  </pic:spPr>
                                </pic:pic>
                              </a:graphicData>
                            </a:graphic>
                          </wp:inline>
                        </w:drawing>
                      </w:r>
                      <w:r>
                        <w:rPr>
                          <w:color w:val="auto"/>
                        </w:rPr>
                        <w:t>Nuotraukos: 3 Europos piliečių grupė</w:t>
                      </w:r>
                    </w:p>
                  </w:txbxContent>
                </v:textbox>
              </v:rect>
            </w:pict>
          </mc:Fallback>
        </mc:AlternateContent>
      </w:r>
    </w:p>
    <w:p>
      <w:pPr>
        <w:pStyle w:val="Corpsdetexte"/>
        <w:rPr/>
      </w:pPr>
      <w:r>
        <w:rPr/>
        <w:t>Ketvirtoji ekspertų grupė „ES pasaulyje“; migracija“ pirmą kartą susitiko spalio 15–17 d. Strasbūre, kurio metu dalyviai visų pirma aptarė ES vaidmenį tarptautinėje arenoje.</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Sistema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Paveikslėli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veikslėlis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Nuotraukos: 4 Europos piliečių grupė</w:t>
                              <w:br/>
                            </w:r>
                          </w:p>
                        </w:txbxContent>
                      </wps:txbx>
                      <wps:bodyPr lIns="0" rIns="0" tIns="0" bIns="0">
                        <a:noAutofit/>
                      </wps:bodyPr>
                    </wps:wsp>
                  </a:graphicData>
                </a:graphic>
              </wp:anchor>
            </w:drawing>
          </mc:Choice>
          <mc:Fallback>
            <w:pict>
              <v:rect id="shape_0" ID="Sistema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Paveikslėli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veikslėlis10" descr=""/>
                                    <pic:cNvPicPr>
                                      <a:picLocks noChangeAspect="1" noChangeArrowheads="1"/>
                                    </pic:cNvPicPr>
                                  </pic:nvPicPr>
                                  <pic:blipFill>
                                    <a:blip r:embed="rId40"/>
                                    <a:stretch>
                                      <a:fillRect/>
                                    </a:stretch>
                                  </pic:blipFill>
                                  <pic:spPr bwMode="auto">
                                    <a:xfrm>
                                      <a:off x="0" y="0"/>
                                      <a:ext cx="2970530" cy="2036445"/>
                                    </a:xfrm>
                                    <a:prstGeom prst="rect">
                                      <a:avLst/>
                                    </a:prstGeom>
                                  </pic:spPr>
                                </pic:pic>
                              </a:graphicData>
                            </a:graphic>
                          </wp:inline>
                        </w:drawing>
                      </w:r>
                      <w:r>
                        <w:rPr>
                          <w:color w:val="auto"/>
                        </w:rPr>
                        <w:t>Nuotraukos: 4 Europos piliečių grupė</w:t>
                        <w:br/>
                      </w:r>
                    </w:p>
                  </w:txbxContent>
                </v:textbox>
              </v:rect>
            </w:pict>
          </mc:Fallback>
        </mc:AlternateContent>
      </w:r>
      <w:r>
        <w:rPr/>
        <w:t>Visų pirma buvo aptarti ES tikslai ir strategijos saugumo, gynybos, prekybos politikos, humanitarinės pagalbos ir vystomojo bendradarbiavimo, užsienio politikos, ES kaimynystės politikos ir plėtros srityse ir kaip ES turėtų spręsti migracijos klausimus. Piliečius pasveikino pirmininkė Dubravka Šuica. Šios pirmosios sesijos metu buvo baigtos penkios darbo kryptys: „Savarankiškumas ir stabilumas“, „ES kaip tarptautinė partnerė“, „Tvirta ES taika pasaulyje“, „Migracija žmogiškuoju požiūriu“ ir „Atsakomybė ir solidarumas visoje ES“. Galutinę sesijos ataskaitą galima rasti daugiakalbėje skaitmeninėje platformoje.</w:t>
      </w:r>
    </w:p>
    <w:p>
      <w:pPr>
        <w:pStyle w:val="Corpsdetexte"/>
        <w:rPr/>
      </w:pPr>
      <w:r>
        <w:rPr/>
        <w:t>Remiantis per pirmąją sesiją atliktu darbu, 2021 m. lapkričio 16–28 d. 4 grupė surengė antrąją internetinę sesiją. Antrosios sesijos metu ekspertų grupės nariai pateikė „gaires“, kaip parengti konkrečias rekomendacijas (trečiojoje sesijoje) dėl kiekvienos iš penkių pirmojoje sesijoje nustatytų krypčių. Iš viso 4 grupėje dalyvaujantys piliečiai sudarė 95 orientavimo grupes.</w:t>
      </w:r>
    </w:p>
    <w:p>
      <w:pPr>
        <w:pStyle w:val="Corpsdetexte"/>
        <w:rPr/>
      </w:pPr>
      <w:r>
        <w:rPr/>
        <w:t>2022 m. vasario 11–13 d. keturi piliečiai susirinko į baigiamąją sesiją, kurią Mastrichto parodų ir konferencijų centre (MECC) surengė studija „Europa Mastrichtas“, bendradarbiaudama su Mastrichto universitetu ir Europos viešojo administravimo institutu (IEAP). Buvo galima dalyvauti internete.</w:t>
      </w:r>
    </w:p>
    <w:p>
      <w:pPr>
        <w:pStyle w:val="Corpsdetexte"/>
        <w:rPr/>
      </w:pPr>
      <w:r>
        <w:rPr/>
        <w:t>remdamiesi 2-ojoje sesijoje parengtomis gairėmis, kuriomis grindžiamas darbas, piliečiai parengė ir patvirtino 40 galutinių rekomendacijų.</w:t>
      </w:r>
    </w:p>
    <w:p>
      <w:pPr>
        <w:pStyle w:val="Normal"/>
        <w:rPr/>
      </w:pPr>
      <w:r>
        <w:rPr/>
      </w:r>
    </w:p>
    <w:p>
      <w:pPr>
        <w:pStyle w:val="Titre3"/>
        <w:numPr>
          <w:ilvl w:val="2"/>
          <w:numId w:val="2"/>
        </w:numPr>
        <w:rPr/>
      </w:pPr>
      <w:bookmarkStart w:id="20" w:name="__RefHeading___Toc298214_1346298689"/>
      <w:bookmarkEnd w:id="20"/>
      <w:r>
        <w:rPr/>
        <w:t>2.</w:t>
        <w:tab/>
        <w:t>Nacionaliniai piliečių forumai</w:t>
      </w:r>
    </w:p>
    <w:p>
      <w:pPr>
        <w:pStyle w:val="Corpsdetexte"/>
        <w:rPr/>
      </w:pPr>
      <w:r>
        <w:rPr/>
        <w:t>Atsižvelgiant į bendrą deklaraciją, Konferencijos plenarinėje sesijoje buvo aptartos nacionalinių ir Europos piliečių grupių rekomendacijos, suskirstytos pagal temas. Siekiant padėti valstybėms narėms, planuojančioms rengti nacionalines piliečių grupes, 2021 m. gegužės 26 d. bendrapirmininkiai patvirtino gaires, kurios buvo perduotos Vykdomajai valdybai. Jie laikėsi tų pačių principų, kaip ir Europos piliečių forumai, ir įtraukė gero svarstymo principus, pagrįstus EBPO ataskaita</w:t>
      </w:r>
      <w:r>
        <w:rPr>
          <w:rStyle w:val="Ancredenotedebasdepage"/>
          <w:rStyle w:val="Ancredenotedebasdepage"/>
        </w:rPr>
        <w:footnoteReference w:id="5"/>
      </w:r>
      <w:r>
        <w:rPr/>
        <w:t>.</w:t>
      </w:r>
    </w:p>
    <w:p>
      <w:pPr>
        <w:pStyle w:val="Corpsdetexte"/>
        <w:rPr/>
      </w:pPr>
      <w:r>
        <w:rPr/>
        <w:t>Šešios valstybės narės – Belgija, Prancūzija, Vokietija, Italija, Lietuva ir Nyderlandai – surengė nacionalinių piliečių grupes, kuriose laikomasi šiose gairėse nustatytų principų. Šių nacionalinių piliečių grupių rekomendacijos buvo pristatytos ir aptartos sausio ir kovo mėn. plenariniuose posėdžiuose, taip pat plenarinių posėdžių darbo grupėse kartu su Europos piliečių forumų rekomendacijomis tomis pačiomis temomis.</w:t>
      </w:r>
    </w:p>
    <w:p>
      <w:pPr>
        <w:pStyle w:val="Titre4"/>
        <w:numPr>
          <w:ilvl w:val="3"/>
          <w:numId w:val="2"/>
        </w:numPr>
        <w:rPr/>
      </w:pPr>
      <w:bookmarkStart w:id="21" w:name="__RefHeading___Toc298216_1346298689"/>
      <w:bookmarkEnd w:id="21"/>
      <w:r>
        <w:rPr/>
        <w:t>1)</w:t>
        <w:tab/>
        <w:t>BELGIJA</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Sistema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Paveikslėli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veikslėlis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Nuotrauka: Belgijos piliečių forumas</w:t>
                            </w:r>
                          </w:p>
                        </w:txbxContent>
                      </wps:txbx>
                      <wps:bodyPr lIns="0" rIns="0" tIns="0" bIns="0">
                        <a:noAutofit/>
                      </wps:bodyPr>
                    </wps:wsp>
                  </a:graphicData>
                </a:graphic>
              </wp:anchor>
            </w:drawing>
          </mc:Choice>
          <mc:Fallback>
            <w:pict>
              <v:rect id="shape_0" ID="Sistema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Paveikslėli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veikslėlis11" descr=""/>
                                    <pic:cNvPicPr>
                                      <a:picLocks noChangeAspect="1" noChangeArrowheads="1"/>
                                    </pic:cNvPicPr>
                                  </pic:nvPicPr>
                                  <pic:blipFill>
                                    <a:blip r:embed="rId41"/>
                                    <a:stretch>
                                      <a:fillRect/>
                                    </a:stretch>
                                  </pic:blipFill>
                                  <pic:spPr bwMode="auto">
                                    <a:xfrm>
                                      <a:off x="0" y="0"/>
                                      <a:ext cx="2970530" cy="2035810"/>
                                    </a:xfrm>
                                    <a:prstGeom prst="rect">
                                      <a:avLst/>
                                    </a:prstGeom>
                                  </pic:spPr>
                                </pic:pic>
                              </a:graphicData>
                            </a:graphic>
                          </wp:inline>
                        </w:drawing>
                      </w:r>
                      <w:r>
                        <w:rPr>
                          <w:color w:val="auto"/>
                        </w:rPr>
                        <w:t>Nuotrauka: Belgijos piliečių forumas</w:t>
                      </w:r>
                    </w:p>
                  </w:txbxContent>
                </v:textbox>
              </v:rect>
            </w:pict>
          </mc:Fallback>
        </mc:AlternateContent>
      </w:r>
    </w:p>
    <w:p>
      <w:pPr>
        <w:pStyle w:val="Corpsdetexte"/>
        <w:rPr/>
      </w:pPr>
      <w:r>
        <w:rPr/>
        <w:t>2021 m. spalio mėn. piliečių grupė tris savaitgalius subūrė 50 atsitiktinai atrinktų piliečių, atstovaujančių plačiajai visuomenei, kad aptartų Europos demokratijos temą ir tai, kaip piliečiai galėtų aktyviau dalyvauti Europos reikaluose.</w:t>
      </w:r>
    </w:p>
    <w:p>
      <w:pPr>
        <w:pStyle w:val="Corpsdetexte"/>
        <w:rPr/>
      </w:pPr>
      <w:r>
        <w:rPr/>
        <w:t>Šią grupę globojo Belgijos ministro pirmininko pavaduotoja ir užsienio ir Europos reikalų ministrė Sophie Wilmčs.</w:t>
      </w:r>
    </w:p>
    <w:p>
      <w:pPr>
        <w:pStyle w:val="Corpsdetexte"/>
        <w:rPr/>
      </w:pPr>
      <w:r>
        <w:rPr/>
        <w:t>Piliečiai pateikė rekomendacijas penkiomis pasirinktomis temomis, t. y.:</w:t>
      </w:r>
    </w:p>
    <w:p>
      <w:pPr>
        <w:pStyle w:val="Alineanegatifpuce"/>
        <w:numPr>
          <w:ilvl w:val="0"/>
          <w:numId w:val="3"/>
        </w:numPr>
        <w:rPr/>
      </w:pPr>
      <w:r>
        <w:rPr/>
        <w:t xml:space="preserve"> </w:t>
      </w:r>
      <w:r>
        <w:rPr/>
        <w:t>gerinti komunikaciją apie Europos Sąjungą,</w:t>
      </w:r>
    </w:p>
    <w:p>
      <w:pPr>
        <w:pStyle w:val="Alineanegatifpuce"/>
        <w:numPr>
          <w:ilvl w:val="0"/>
          <w:numId w:val="3"/>
        </w:numPr>
        <w:rPr/>
      </w:pPr>
      <w:r>
        <w:rPr/>
        <w:t xml:space="preserve"> </w:t>
      </w:r>
      <w:r>
        <w:rPr/>
        <w:t>nustatyti dezinformaciją apie ES ir su ja kovoti,</w:t>
      </w:r>
    </w:p>
    <w:p>
      <w:pPr>
        <w:pStyle w:val="Alineanegatifpuce"/>
        <w:numPr>
          <w:ilvl w:val="0"/>
          <w:numId w:val="3"/>
        </w:numPr>
        <w:rPr/>
      </w:pPr>
      <w:r>
        <w:rPr/>
        <w:t xml:space="preserve"> </w:t>
      </w:r>
      <w:r>
        <w:rPr/>
        <w:t>piliečių forumai kaip dalyvavimo priemonė,</w:t>
      </w:r>
    </w:p>
    <w:p>
      <w:pPr>
        <w:pStyle w:val="Alineanegatifpuce"/>
        <w:numPr>
          <w:ilvl w:val="0"/>
          <w:numId w:val="3"/>
        </w:numPr>
        <w:rPr/>
      </w:pPr>
      <w:r>
        <w:rPr/>
        <w:t xml:space="preserve"> </w:t>
      </w:r>
      <w:r>
        <w:rPr/>
        <w:t>referendumas dėl Europos reikalų,</w:t>
      </w:r>
    </w:p>
    <w:p>
      <w:pPr>
        <w:pStyle w:val="Alineanegatifpuce"/>
        <w:numPr>
          <w:ilvl w:val="0"/>
          <w:numId w:val="3"/>
        </w:numPr>
        <w:rPr/>
      </w:pPr>
      <w:r>
        <w:rPr/>
        <w:t xml:space="preserve"> </w:t>
      </w:r>
      <w:r>
        <w:rPr/>
        <w:t>tobulinti esamas dalyvaujamąsias priemones Europos Sąjungoje.</w:t>
      </w:r>
    </w:p>
    <w:p>
      <w:pPr>
        <w:pStyle w:val="Corpsdetexte"/>
        <w:rPr/>
      </w:pPr>
      <w:r>
        <w:rPr/>
        <w:t>Belgijos piliečių grupės darbo rezultatas – 115 rekomendacijų, kurias parengė, svarstė ir balsavo 50 atsitiktinai atrinktų Belgijos piliečių.</w:t>
      </w:r>
    </w:p>
    <w:p>
      <w:pPr>
        <w:pStyle w:val="Corpsdetexte"/>
        <w:rPr/>
      </w:pPr>
      <w:r>
        <w:rPr/>
      </w:r>
    </w:p>
    <w:p>
      <w:pPr>
        <w:pStyle w:val="Titre4"/>
        <w:numPr>
          <w:ilvl w:val="3"/>
          <w:numId w:val="2"/>
        </w:numPr>
        <w:rPr/>
      </w:pPr>
      <w:bookmarkStart w:id="22" w:name="__RefHeading___Toc298218_1346298689"/>
      <w:bookmarkEnd w:id="22"/>
      <w:r>
        <w:rPr/>
        <w:t>2)</w:t>
        <w:tab/>
        <w:t>VOKIETIJA</w:t>
      </w:r>
    </w:p>
    <w:p>
      <w:pPr>
        <w:pStyle w:val="Corpsdetexte"/>
        <w:rPr/>
      </w:pPr>
      <w:r>
        <w:rPr/>
        <w:t>2022 m. sausio mėn. Vokietijos užsienio reikalų ministerija surengė nacionalinių piliečių grupę. Šiame internetiniame skydelyje dalyvavo 100 atsitiktinai atrinktų piliečių, atstovaujančių gyventojams.</w:t>
      </w:r>
    </w:p>
    <w:p>
      <w:pPr>
        <w:pStyle w:val="Corpsdetexte"/>
        <w:rPr/>
      </w:pPr>
      <w:r>
        <w:rPr/>
        <w:t>2022 m. sausio 5–8 d. internetu buvo surengti penki pradžios praktiniai seminarai, kuriuose dalyvavo 20 dalyvių šiomis temomis:</w:t>
      </w:r>
    </w:p>
    <w:p>
      <w:pPr>
        <w:pStyle w:val="Corpsdetexte"/>
        <w:rPr/>
      </w:pPr>
      <w:r>
        <w:rPr/>
        <w:t>Europos vaidmuo pasaulyje, klimatas ir aplinka,</w:t>
      </w:r>
    </w:p>
    <w:p>
      <w:pPr>
        <w:pStyle w:val="Corpsdetexte"/>
        <w:rPr/>
      </w:pPr>
      <w:r>
        <w:rPr/>
        <w:t xml:space="preserve">– </w:t>
      </w:r>
      <w:r>
        <w:rPr/>
        <w:t>teisinė valstybė ir vertybės,</w:t>
      </w:r>
    </w:p>
    <w:p>
      <w:pPr>
        <w:pStyle w:val="Corpsdetexte"/>
        <w:rPr/>
      </w:pPr>
      <w:r>
        <w:rPr/>
        <w:t>stipresnė ekonomika ir socialinis teisingumas.</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Struktūra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Paveikslėli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veikslėlis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Nuotraukos: Vokietijos piliečių forumas</w:t>
                            </w:r>
                          </w:p>
                        </w:txbxContent>
                      </wps:txbx>
                      <wps:bodyPr lIns="0" rIns="0" tIns="0" bIns="0">
                        <a:noAutofit/>
                      </wps:bodyPr>
                    </wps:wsp>
                  </a:graphicData>
                </a:graphic>
              </wp:anchor>
            </w:drawing>
          </mc:Choice>
          <mc:Fallback>
            <w:pict>
              <v:rect id="shape_0" ID="Struktūra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Paveikslėli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veikslėlis7" descr=""/>
                                    <pic:cNvPicPr>
                                      <a:picLocks noChangeAspect="1" noChangeArrowheads="1"/>
                                    </pic:cNvPicPr>
                                  </pic:nvPicPr>
                                  <pic:blipFill>
                                    <a:blip r:embed="rId42"/>
                                    <a:stretch>
                                      <a:fillRect/>
                                    </a:stretch>
                                  </pic:blipFill>
                                  <pic:spPr bwMode="auto">
                                    <a:xfrm>
                                      <a:off x="0" y="0"/>
                                      <a:ext cx="2970530" cy="1900555"/>
                                    </a:xfrm>
                                    <a:prstGeom prst="rect">
                                      <a:avLst/>
                                    </a:prstGeom>
                                  </pic:spPr>
                                </pic:pic>
                              </a:graphicData>
                            </a:graphic>
                          </wp:inline>
                        </w:drawing>
                      </w:r>
                      <w:r>
                        <w:rPr>
                          <w:vanish/>
                          <w:color w:val="auto"/>
                        </w:rPr>
                        <w:br/>
                      </w:r>
                      <w:r>
                        <w:rPr>
                          <w:color w:val="auto"/>
                        </w:rPr>
                        <w:t>Nuotraukos: Vokietijos piliečių forumas</w:t>
                      </w:r>
                    </w:p>
                  </w:txbxContent>
                </v:textbox>
              </v:rect>
            </w:pict>
          </mc:Fallback>
        </mc:AlternateContent>
      </w:r>
    </w:p>
    <w:p>
      <w:pPr>
        <w:pStyle w:val="Corpsdetexte"/>
        <w:rPr/>
      </w:pPr>
      <w:r>
        <w:rPr/>
        <w:t>2022 m. sausio 15–16 d. 100 atsitiktinai atrinktų piliečių susirinko aptarti su šiais klausimais ir galimais sprendimais susijusių problemų ir priėmė savo rekomendacijas. Dalyviai parengė du konkrečius pasiūlymus kiekvienai iš pirmiau nurodytų temų.</w:t>
      </w:r>
    </w:p>
    <w:p>
      <w:pPr>
        <w:pStyle w:val="Corpsdetexte"/>
        <w:rPr/>
      </w:pPr>
      <w:r>
        <w:rPr/>
        <w:t>Rezultatai buvo pristatyti sausio 16 d. baigiamojoje internetinėje konferencijoje, kurioje dalyvavo Vokietijos užsienio reikalų ministrė Annalena Baerbock ir Europos ir klimato ministro pavaduotoja Anna Lührmann.</w:t>
      </w:r>
    </w:p>
    <w:p>
      <w:pPr>
        <w:pStyle w:val="Corpsdetexte"/>
        <w:rPr/>
      </w:pPr>
      <w:r>
        <w:rPr/>
      </w:r>
    </w:p>
    <w:p>
      <w:pPr>
        <w:pStyle w:val="Titre4"/>
        <w:numPr>
          <w:ilvl w:val="3"/>
          <w:numId w:val="2"/>
        </w:numPr>
        <w:rPr/>
      </w:pPr>
      <w:bookmarkStart w:id="23" w:name="__RefHeading___Toc298220_1346298689"/>
      <w:bookmarkEnd w:id="23"/>
      <w:r>
        <w:rPr/>
        <w:t>3)</w:t>
        <w:tab/>
        <w:t>PRANCŪZIJA</w:t>
      </w:r>
    </w:p>
    <w:p>
      <w:pPr>
        <w:pStyle w:val="Corpsdetexte"/>
        <w:rPr/>
      </w:pPr>
      <w:r>
        <w:rPr/>
        <w:t>Piliečių grupes Prancūzijoje organizavo Prancūzijos Europos ir užsienio reikalų ministerija, padedant Ryšių su Parlamentu ir piliečių dalyvavimo ministerijai.</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Sistema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Paveikslėli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veikslėlis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Nuotraukos: Prancūzijos piliečių grupė</w:t>
                            </w:r>
                          </w:p>
                        </w:txbxContent>
                      </wps:txbx>
                      <wps:bodyPr lIns="0" rIns="0" tIns="0" bIns="0">
                        <a:noAutofit/>
                      </wps:bodyPr>
                    </wps:wsp>
                  </a:graphicData>
                </a:graphic>
              </wp:anchor>
            </w:drawing>
          </mc:Choice>
          <mc:Fallback>
            <w:pict>
              <v:rect id="shape_0" ID="Sistema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Paveikslėli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veikslėlis12"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rPr>
                        <w:t>Nuotraukos: Prancūzijos piliečių grupė</w:t>
                      </w:r>
                    </w:p>
                  </w:txbxContent>
                </v:textbox>
              </v:rect>
            </w:pict>
          </mc:Fallback>
        </mc:AlternateContent>
      </w:r>
    </w:p>
    <w:p>
      <w:pPr>
        <w:pStyle w:val="Corpsdetexte"/>
        <w:rPr/>
      </w:pPr>
      <w:r>
        <w:rPr/>
        <w:t>2021 m. rugsėjo mėn. ir spalio mėn. pradžioje buvo surengta aštuoniolika piliečių forumų visuose Prancūzijos, metropolijos ir užsienio regionuose. Kiekvienoje grupėje dalyvavo 30–50 atsitiktinai atrinktų piliečių, atstovaujančių regionų gyventojų įvairovei. Iš viso grupėse dalyvavo daugiau nei 700 piliečių. Regioninių grupių darbo rezultatas – 101 siekių sąrašas su 515 pakeitimų ir 1 301 konkrečiu pasiūlymu.</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Sistema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Paveikslėli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veikslėlis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Nuotraukos: Italijos piliečių forumas</w:t>
                            </w:r>
                          </w:p>
                        </w:txbxContent>
                      </wps:txbx>
                      <wps:bodyPr lIns="0" rIns="0" tIns="0" bIns="0">
                        <a:noAutofit/>
                      </wps:bodyPr>
                    </wps:wsp>
                  </a:graphicData>
                </a:graphic>
              </wp:anchor>
            </w:drawing>
          </mc:Choice>
          <mc:Fallback>
            <w:pict>
              <v:rect id="shape_0" ID="Sistema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Paveikslėli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veikslėlis13" descr=""/>
                                    <pic:cNvPicPr>
                                      <a:picLocks noChangeAspect="1" noChangeArrowheads="1"/>
                                    </pic:cNvPicPr>
                                  </pic:nvPicPr>
                                  <pic:blipFill>
                                    <a:blip r:embed="rId44"/>
                                    <a:stretch>
                                      <a:fillRect/>
                                    </a:stretch>
                                  </pic:blipFill>
                                  <pic:spPr bwMode="auto">
                                    <a:xfrm>
                                      <a:off x="0" y="0"/>
                                      <a:ext cx="2970530" cy="2040890"/>
                                    </a:xfrm>
                                    <a:prstGeom prst="rect">
                                      <a:avLst/>
                                    </a:prstGeom>
                                  </pic:spPr>
                                </pic:pic>
                              </a:graphicData>
                            </a:graphic>
                          </wp:inline>
                        </w:drawing>
                      </w:r>
                      <w:r>
                        <w:rPr>
                          <w:color w:val="auto"/>
                        </w:rPr>
                        <w:t>Nuotraukos: Italijos piliečių forumas</w:t>
                      </w:r>
                    </w:p>
                  </w:txbxContent>
                </v:textbox>
              </v:rect>
            </w:pict>
          </mc:Fallback>
        </mc:AlternateContent>
      </w:r>
      <w:r>
        <w:rPr/>
        <w:t>2021 m. spalio 16–17 d. Paryžiuje iš viso 100 piliečių, atstovaujančių grupėms, susitiko į nacionalinę apibendrinamąją konferenciją, kad parengtų ir priimtų rekomendacijas. Šiame procese iš viso buvo pateikta 14 prioritetinių rekomendacijų. Atsižvelgiant į devynias konferencijos temas, rekomendacijos buvo pateiktos Prancūzijos vyriausybei, įskaitant valstybės sekretorių Clément Beaune, ir buvo Prancūzijos vyriausybės indėlis į konferenciją.</w:t>
      </w:r>
    </w:p>
    <w:p>
      <w:pPr>
        <w:pStyle w:val="Titre4"/>
        <w:numPr>
          <w:ilvl w:val="3"/>
          <w:numId w:val="2"/>
        </w:numPr>
        <w:rPr/>
      </w:pPr>
      <w:bookmarkStart w:id="24" w:name="__RefHeading___Toc298222_1346298689"/>
      <w:bookmarkEnd w:id="24"/>
      <w:r>
        <w:rPr/>
        <w:t>4)</w:t>
        <w:tab/>
        <w:t>ITALIJA</w:t>
      </w:r>
    </w:p>
    <w:p>
      <w:pPr>
        <w:pStyle w:val="Corpsdetexte"/>
        <w:rPr/>
      </w:pPr>
      <w:r>
        <w:rPr/>
        <w:t>2022 m. kovo mėn. nepriklausoma trečioji šalis, prižiūrima Ministrų Tarybai pirmininkaujančios Italijos Europos politikos departamento, surengė piliečių grupę.</w:t>
      </w:r>
    </w:p>
    <w:p>
      <w:pPr>
        <w:pStyle w:val="Corpsdetexte"/>
        <w:rPr/>
      </w:pPr>
      <w:r>
        <w:rPr/>
      </w:r>
    </w:p>
    <w:p>
      <w:pPr>
        <w:pStyle w:val="Corpsdetexte"/>
        <w:rPr/>
      </w:pPr>
      <w:r>
        <w:rPr/>
        <w:t>Iš viso dalyvavo 55 atsitiktinai atrinkti piliečiai, atstovaujantys Italijos visuomenei ir jos regionams. Dalyviai buvo atrinkti atsitiktine tvarka, kad būtų užtikrinta skirtinga lytis, amžius, socialinė kilmė, gyvenamoji vieta ir profesinis statusas.</w:t>
      </w:r>
    </w:p>
    <w:p>
      <w:pPr>
        <w:pStyle w:val="Corpsdetexte"/>
        <w:rPr/>
      </w:pPr>
      <w:r>
        <w:rPr/>
        <w:t>Piliečiai susitiko internete 2022 m. kovo 11–12 d., kad aptartų dvi konferencijos temas:</w:t>
      </w:r>
    </w:p>
    <w:p>
      <w:pPr>
        <w:pStyle w:val="Alineanegatifpuce"/>
        <w:numPr>
          <w:ilvl w:val="0"/>
          <w:numId w:val="3"/>
        </w:numPr>
        <w:rPr/>
      </w:pPr>
      <w:r>
        <w:rPr/>
        <w:t xml:space="preserve"> „</w:t>
      </w:r>
      <w:r>
        <w:rPr/>
        <w:t>Stipresnė ekonomika, socialinis teisingumas ir užimtumas“ ir</w:t>
      </w:r>
    </w:p>
    <w:p>
      <w:pPr>
        <w:pStyle w:val="Alineanegatifpuce"/>
        <w:numPr>
          <w:ilvl w:val="0"/>
          <w:numId w:val="3"/>
        </w:numPr>
        <w:rPr/>
      </w:pPr>
      <w:r>
        <w:rPr/>
        <w:t xml:space="preserve"> „</w:t>
      </w:r>
      <w:r>
        <w:rPr/>
        <w:t>Europa pasaulyje“.</w:t>
      </w:r>
    </w:p>
    <w:p>
      <w:pPr>
        <w:pStyle w:val="Corpsdetexte"/>
        <w:rPr/>
      </w:pPr>
      <w:r>
        <w:rPr/>
        <w:t>2022 m. kovo 12 d. grupė priėmė iš viso 58 rekomendacijas, įskaitant 33 rekomendacijas dėl stipresnės ekonomikos, socialinio teisingumo ir užimtumo ir 25 rekomendacijas dėl „Europos vaidmuo pasaulyje“. Paskutinę dieną dalyviai patikrino ir patvirtino pirmąjį pirmajame darbo etape pateiktų rekomendacijų projektą.</w:t>
      </w:r>
    </w:p>
    <w:p>
      <w:pPr>
        <w:pStyle w:val="Corpsdetexte"/>
        <w:rPr/>
      </w:pPr>
      <w:r>
        <w:rPr/>
      </w:r>
    </w:p>
    <w:p>
      <w:pPr>
        <w:pStyle w:val="Titre4"/>
        <w:numPr>
          <w:ilvl w:val="3"/>
          <w:numId w:val="2"/>
        </w:numPr>
        <w:rPr/>
      </w:pPr>
      <w:bookmarkStart w:id="25" w:name="__RefHeading___Toc298224_1346298689"/>
      <w:bookmarkEnd w:id="25"/>
      <w:r>
        <w:rPr/>
        <w:t>5)</w:t>
        <w:tab/>
        <w:t>LIETUVA</w:t>
      </w:r>
    </w:p>
    <w:p>
      <w:pPr>
        <w:pStyle w:val="Corpsdetexte"/>
        <w:rPr/>
      </w:pPr>
      <w:r>
        <w:rPr/>
        <w:t>Užsienio reikalų ministerijos vardu 2022 m. sausio mėn. nepriklausoma trečioji šalis surengė nacionalinę piliečių komisiją.</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Struktūra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Paveikslėli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aveikslėlis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Nuotraukos: Lietuvos piliečių forumas</w:t>
                            </w:r>
                          </w:p>
                        </w:txbxContent>
                      </wps:txbx>
                      <wps:bodyPr lIns="0" rIns="0" tIns="0" bIns="0">
                        <a:noAutofit/>
                      </wps:bodyPr>
                    </wps:wsp>
                  </a:graphicData>
                </a:graphic>
              </wp:anchor>
            </w:drawing>
          </mc:Choice>
          <mc:Fallback>
            <w:pict>
              <v:rect id="shape_0" ID="Struktūra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Paveikslėli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veikslėlis14" descr=""/>
                                    <pic:cNvPicPr>
                                      <a:picLocks noChangeAspect="1" noChangeArrowheads="1"/>
                                    </pic:cNvPicPr>
                                  </pic:nvPicPr>
                                  <pic:blipFill>
                                    <a:blip r:embed="rId45"/>
                                    <a:stretch>
                                      <a:fillRect/>
                                    </a:stretch>
                                  </pic:blipFill>
                                  <pic:spPr bwMode="auto">
                                    <a:xfrm>
                                      <a:off x="0" y="0"/>
                                      <a:ext cx="2970530" cy="2038985"/>
                                    </a:xfrm>
                                    <a:prstGeom prst="rect">
                                      <a:avLst/>
                                    </a:prstGeom>
                                  </pic:spPr>
                                </pic:pic>
                              </a:graphicData>
                            </a:graphic>
                          </wp:inline>
                        </w:drawing>
                      </w:r>
                      <w:r>
                        <w:rPr>
                          <w:color w:val="auto"/>
                        </w:rPr>
                        <w:t>Nuotraukos: Lietuvos piliečių forumas</w:t>
                      </w:r>
                    </w:p>
                  </w:txbxContent>
                </v:textbox>
              </v:rect>
            </w:pict>
          </mc:Fallback>
        </mc:AlternateContent>
      </w:r>
    </w:p>
    <w:p>
      <w:pPr>
        <w:pStyle w:val="Corpsdetexte"/>
        <w:rPr/>
      </w:pPr>
      <w:r>
        <w:rPr/>
        <w:t>Jame dalyvavo 25 atsitiktinai atrinkti 18–65 metų piliečiai, atstovaujantys įvairioms Lietuvos socialinėms ir ekonominėms grupėms ir regionams.</w:t>
      </w:r>
    </w:p>
    <w:p>
      <w:pPr>
        <w:pStyle w:val="Corpsdetexte"/>
        <w:rPr/>
      </w:pPr>
      <w:r>
        <w:rPr/>
        <w:t>2022 m. sausio 4 d. internetu surengtas įžanginis posėdis, o piliečiai aptarė dvi temas:</w:t>
      </w:r>
    </w:p>
    <w:p>
      <w:pPr>
        <w:pStyle w:val="Alineanegatifpuce"/>
        <w:numPr>
          <w:ilvl w:val="0"/>
          <w:numId w:val="3"/>
        </w:numPr>
        <w:rPr/>
      </w:pPr>
      <w:r>
        <w:rPr/>
        <w:t xml:space="preserve"> </w:t>
      </w:r>
      <w:r>
        <w:rPr/>
        <w:t>ES vaidmuo ir kompetencija užsienio politikoje;</w:t>
      </w:r>
    </w:p>
    <w:p>
      <w:pPr>
        <w:pStyle w:val="Alineanegatifpuce"/>
        <w:numPr>
          <w:ilvl w:val="0"/>
          <w:numId w:val="3"/>
        </w:numPr>
        <w:rPr/>
      </w:pPr>
      <w:r>
        <w:rPr/>
        <w:t xml:space="preserve"> </w:t>
      </w:r>
      <w:r>
        <w:rPr/>
        <w:t>ES ekonominis vaidmuo.</w:t>
      </w:r>
    </w:p>
    <w:p>
      <w:pPr>
        <w:pStyle w:val="Normal"/>
        <w:rPr/>
      </w:pPr>
      <w:r>
        <w:rPr/>
      </w:r>
    </w:p>
    <w:p>
      <w:pPr>
        <w:pStyle w:val="Corpsdetexte"/>
        <w:rPr/>
      </w:pPr>
      <w:r>
        <w:rPr/>
        <w:t>2022 m. sausio 15 d. dalyviai susitiko asmeniškai, kad suformuluotų pagrindines savo diskusijų išvadas. 2022 m. sausio 25 d. jie virtualioje sesijoje priėmė 21 rekomendaciją, iš kurių 10 daugiausia dėmesio skyrė ES vaidmeniui ir kompetencijoms užsienio politikoje, o 11 – ES ekonominiam vaidmeniui.</w:t>
      </w:r>
    </w:p>
    <w:p>
      <w:pPr>
        <w:pStyle w:val="Corpsdetexte"/>
        <w:rPr/>
      </w:pPr>
      <w:r>
        <w:rPr/>
      </w:r>
    </w:p>
    <w:p>
      <w:pPr>
        <w:pStyle w:val="Titre4"/>
        <w:numPr>
          <w:ilvl w:val="3"/>
          <w:numId w:val="2"/>
        </w:numPr>
        <w:rPr/>
      </w:pPr>
      <w:bookmarkStart w:id="26" w:name="__RefHeading___Toc298226_1346298689"/>
      <w:bookmarkEnd w:id="26"/>
      <w:r>
        <w:rPr/>
        <w:t>6)</w:t>
        <w:tab/>
        <w:t>NYDERLANDAI</w:t>
      </w:r>
    </w:p>
    <w:p>
      <w:pPr>
        <w:pStyle w:val="Corpsdetexte"/>
        <w:rPr/>
      </w:pPr>
      <w:r>
        <w:rPr/>
        <w:t>Piliečių grupę organizavo nepriklausoma trečioji šalis, o rugsėjo</w:t>
      </w:r>
      <w:r>
        <w:rPr>
          <w:vertAlign w:val="superscript"/>
        </w:rPr>
        <w:t>1</w:t>
      </w:r>
      <w:r>
        <w:rPr/>
        <w:t xml:space="preserve"> d. prasidėjo dialogai „Europos vizijos“. Jie buvo suskirstyti į kelias dalis.</w:t>
      </w:r>
    </w:p>
    <w:p>
      <w:pPr>
        <w:pStyle w:val="Corpsdetexte"/>
        <w:rPr/>
      </w:pPr>
      <w:r>
        <w:rPr/>
        <w:t>2021 m. rugsėjo</w:t>
      </w:r>
      <w:r>
        <w:rPr>
          <w:vertAlign w:val="superscript"/>
        </w:rPr>
        <w:t>1</w:t>
      </w:r>
      <w:r>
        <w:rPr/>
        <w:t xml:space="preserve"> d. pradėtame internetiniame skyriuje buvo „questio</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Paveikslėli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veikslėlis16" descr=""/>
                    <pic:cNvPicPr>
                      <a:picLocks noChangeAspect="1" noChangeArrowheads="1"/>
                    </pic:cNvPicPr>
                  </pic:nvPicPr>
                  <pic:blipFill>
                    <a:blip r:embed="rId46"/>
                    <a:stretch>
                      <a:fillRect/>
                    </a:stretch>
                  </pic:blipFill>
                  <pic:spPr bwMode="auto">
                    <a:xfrm>
                      <a:off x="0" y="0"/>
                      <a:ext cx="3610610" cy="2474595"/>
                    </a:xfrm>
                    <a:prstGeom prst="rect">
                      <a:avLst/>
                    </a:prstGeom>
                  </pic:spPr>
                </pic:pic>
              </a:graphicData>
            </a:graphic>
          </wp:anchor>
        </w:drawing>
      </w:r>
      <w:r>
        <w:rPr/>
        <w:t>n</w:t>
      </w:r>
      <w:r>
        <w:rPr/>
        <w:t>ary“ ir supaprastinta atrankos priemonė, kuria naudodamiesi piliečiai gali išreikšti savo pageidavimus, pageidavimus ir rekomendacijas devyniomis konferencijos temomis. Klausimynas buvo išplatintas atrinktai 4 000 piliečių atstovų ir įtraukių asmenų grupei.</w:t>
      </w:r>
    </w:p>
    <w:p>
      <w:pPr>
        <w:pStyle w:val="Corpsdetexte"/>
        <w:rPr/>
      </w:pPr>
      <w:r>
        <w:rPr/>
      </w:r>
    </w:p>
    <w:p>
      <w:pPr>
        <w:pStyle w:val="Corpsdetexte"/>
        <w:rPr/>
      </w:pPr>
      <w:r>
        <w:rPr/>
        <w:t>2021 m. spalio ir lapkričio mėn. internete ir realiame gyvenime buvo surengtos išsamios diskusijos su piliečiais, visų pirma siekiant pasiekti jaunimą ir sunkiai pasiekiamas tikslines grupes.</w:t>
      </w:r>
    </w:p>
    <w:p>
      <w:pPr>
        <w:pStyle w:val="Corpsdetexte"/>
        <w:rPr/>
      </w:pPr>
      <w:r>
        <w:rPr/>
        <w:t>Paskelbtos dvi ataskaitos „Mūsų Europos vizija“; nuomonės, idėjos ir rekomendacijos (Elze kijk op Europa; Meningen, ideeėn en Aanbevelingen) ir apibendrinti 30 piliečių pateiktų rekomendacijų devyniomis konferencijos temomis.</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Struktūra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Nyderlandų piliečių</w:t>
                            </w:r>
                            <w:r>
                              <w:rPr>
                                <w:color w:val="auto"/>
                              </w:rPr>
                              <w:drawing>
                                <wp:inline distT="0" distB="0" distL="0" distR="0">
                                  <wp:extent cx="2970530" cy="2017395"/>
                                  <wp:effectExtent l="0" t="0" r="0" b="0"/>
                                  <wp:docPr id="55" name="Paveikslėli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aveikslėlis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forumas</w:t>
                            </w:r>
                          </w:p>
                        </w:txbxContent>
                      </wps:txbx>
                      <wps:bodyPr lIns="0" rIns="0" tIns="0" bIns="0">
                        <a:noAutofit/>
                      </wps:bodyPr>
                    </wps:wsp>
                  </a:graphicData>
                </a:graphic>
              </wp:anchor>
            </w:drawing>
          </mc:Choice>
          <mc:Fallback>
            <w:pict>
              <v:rect id="shape_0" ID="Struktūra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Nyderlandų piliečių</w:t>
                      </w:r>
                      <w:r>
                        <w:rPr>
                          <w:color w:val="auto"/>
                        </w:rPr>
                        <w:drawing>
                          <wp:inline distT="0" distB="0" distL="0" distR="0">
                            <wp:extent cx="2970530" cy="2017395"/>
                            <wp:effectExtent l="0" t="0" r="0" b="0"/>
                            <wp:docPr id="56" name="Paveikslėli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aveikslėlis15" descr=""/>
                                    <pic:cNvPicPr>
                                      <a:picLocks noChangeAspect="1" noChangeArrowheads="1"/>
                                    </pic:cNvPicPr>
                                  </pic:nvPicPr>
                                  <pic:blipFill>
                                    <a:blip r:embed="rId47"/>
                                    <a:stretch>
                                      <a:fillRect/>
                                    </a:stretch>
                                  </pic:blipFill>
                                  <pic:spPr bwMode="auto">
                                    <a:xfrm>
                                      <a:off x="0" y="0"/>
                                      <a:ext cx="2970530" cy="2017395"/>
                                    </a:xfrm>
                                    <a:prstGeom prst="rect">
                                      <a:avLst/>
                                    </a:prstGeom>
                                  </pic:spPr>
                                </pic:pic>
                              </a:graphicData>
                            </a:graphic>
                          </wp:inline>
                        </w:drawing>
                      </w:r>
                      <w:r>
                        <w:rPr>
                          <w:color w:val="auto"/>
                        </w:rPr>
                        <w:t>forumas</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Konferencijos metu organizuojami renginiai</w:t>
      </w:r>
    </w:p>
    <w:p>
      <w:pPr>
        <w:pStyle w:val="Titre3"/>
        <w:numPr>
          <w:ilvl w:val="2"/>
          <w:numId w:val="2"/>
        </w:numPr>
        <w:rPr/>
      </w:pPr>
      <w:bookmarkStart w:id="28" w:name="__RefHeading___Toc298230_1346298689"/>
      <w:bookmarkEnd w:id="28"/>
      <w:r>
        <w:rPr/>
        <w:t>1.</w:t>
        <w:tab/>
        <w:t>Nacionaliniai renginiai</w:t>
      </w:r>
    </w:p>
    <w:p>
      <w:pPr>
        <w:pStyle w:val="Corpsdetexte"/>
        <w:rPr/>
      </w:pPr>
      <w:r>
        <w:rPr/>
        <w:t xml:space="preserve">Valstybės narės prisidėjo prie konferencijos rengdamos įvairius renginius ir iniciatyvas. Šiuose renginiuose dalyvavo keli tūkstančiai piliečių iš visos ES. </w:t>
      </w:r>
      <w:hyperlink r:id="rId48">
        <w:r>
          <w:rPr>
            <w:rStyle w:val="LienInternet"/>
          </w:rPr>
          <w:t>Specialioje Daugiakalbės</w:t>
        </w:r>
      </w:hyperlink>
      <w:r>
        <w:rPr/>
        <w:t xml:space="preserve"> skaitmeninės platformos antraštinėje dalyje apžvelgiama pagrindinė valstybių narių valdžios institucijų organizuota arba remiama veikla. Renginius 2021 m. spalio 23 d. ir 2022 m. kovo 25 d. plenarinėse asamblėjose pristatė nacionalinių renginių atstovai ir (arba) nacionalinių piliečių grupių atstovai, tačiau jie taip pat prisidėjo prie konferencijos rengiant </w:t>
      </w:r>
      <w:hyperlink r:id="rId49">
        <w:r>
          <w:rPr>
            <w:rStyle w:val="LienInternet"/>
          </w:rPr>
          <w:t>platformos ataskaitas</w:t>
        </w:r>
      </w:hyperlink>
      <w:r>
        <w:rPr/>
        <w:t>, taip praturtindami diskusijas Europos lygmeniu.</w:t>
      </w:r>
    </w:p>
    <w:p>
      <w:pPr>
        <w:pStyle w:val="Corpsdetexte"/>
        <w:rPr/>
      </w:pPr>
      <w:r>
        <w:rPr/>
        <w:t xml:space="preserve"> </w:t>
      </w:r>
      <w:r>
        <w:rPr/>
        <w:t>Pagrindinis šių renginių ir iniciatyvų tikslas buvo išklausyti piliečius ir įtraukti juos į diskusijas dėl Europos Sąjungos. Įtrauktis ir dialogas su piliečiais taip pat buvo prioritetas, stengiantis įtraukti žmones, kurie paprastai nedalyvauja su ES susijusiose diskusijose.</w:t>
      </w:r>
    </w:p>
    <w:p>
      <w:pPr>
        <w:pStyle w:val="Corpsdetexte"/>
        <w:rPr/>
      </w:pPr>
      <w:r>
        <w:rPr/>
        <w:t>Vyko įvairių rūšių renginiai, derinant centralizuotus ir decentralizuotus metodus, įskaitant įvairias paramos pagal principą „iš apačios į viršų“ iniciatyvas formas. Veiklą ir renginius valstybėse narėse organizavo įvairios institucijos ir subjektai, įskaitant nacionalines, regionines ir vietos valdžios institucijas, pilietinės visuomenės organizacijas, socialinius partnerius, asociacijas ir piliečius. Kai kuriais atvejais konferencijos renginių organizavime taip pat aktyviai dalyvavo nevyriausybinės organizacijos, kultūros institucijos, ekspertų grupės, universitetai ir mokslinių tyrimų institutai. Daugelyje šių veiklų ir renginių ypatingas dėmesys buvo skiriamas jaunosios kartos dalyvavimui.</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Paveikslėli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aveikslėlis17" descr=""/>
                    <pic:cNvPicPr>
                      <a:picLocks noChangeAspect="1" noChangeArrowheads="1"/>
                    </pic:cNvPicPr>
                  </pic:nvPicPr>
                  <pic:blipFill>
                    <a:blip r:embed="rId50"/>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Pagrindinių renginių ir iniciatyvų valstybėse narėse apžvalga:</w:t>
      </w:r>
    </w:p>
    <w:p>
      <w:pPr>
        <w:pStyle w:val="P68B1DB1Corpsdetexte12"/>
        <w:rPr>
          <w:b/>
          <w:b/>
          <w:i/>
          <w:i/>
          <w:u w:val="single"/>
        </w:rPr>
      </w:pPr>
      <w:r>
        <w:rPr/>
        <w:t>1 Belgija</w:t>
      </w:r>
    </w:p>
    <w:p>
      <w:pPr>
        <w:pStyle w:val="Corpsdetexte"/>
        <w:rPr/>
      </w:pPr>
      <w:r>
        <w:rPr/>
        <w:t>Federalinės ir regioninės valdžios institucijos surengė keletą renginių. Įvyko keletas diskusijų su piliečiais, pavyzdžiui, dėl ES pasaulyje, klimato kaitos ir aplinkos. Taip pat įvyko struktūrinis dialogas su piliečiais tema „Gyvenimas pasienio regione“ ir hakatonas „Sveikos gyvensenos ir klimato kaitos poveikis gyvenimo kokybei“ ir „Jaunimo užimtumo kliūtys“.</w:t>
      </w:r>
    </w:p>
    <w:p>
      <w:pPr>
        <w:pStyle w:val="Corpsdetexte"/>
        <w:rPr/>
      </w:pPr>
      <w:r>
        <w:rPr/>
        <w:t>Be to, buvo surengtas renginys skaitmeninimo ir tvarios ekonomikos tema, taip pat vyko jaunimo ir politikų diskusijos tema „Europa tavęs klauso“.</w:t>
      </w:r>
    </w:p>
    <w:p>
      <w:pPr>
        <w:pStyle w:val="P68B1DB1Corpsdetexte12"/>
        <w:rPr>
          <w:b/>
          <w:b/>
          <w:i/>
          <w:i/>
          <w:u w:val="single"/>
        </w:rPr>
      </w:pPr>
      <w:r>
        <w:rPr/>
        <w:t>2 Bulgarija</w:t>
      </w:r>
    </w:p>
    <w:p>
      <w:pPr>
        <w:pStyle w:val="Corpsdetexte"/>
        <w:rPr/>
      </w:pPr>
      <w:r>
        <w:rPr/>
        <w:t>Bulgarijos pratybos buvo pradėtos per ceremoniją „Kaip išgirsti piliečių balsą Konferencijoje dėl Europos ateities?“, kurioje dalyvavo valdžios institucijos ir piliečių atstovai. Organizuojant renginius buvo užmegztas dialogas demografijos ir demokratijos klausimais.</w:t>
      </w:r>
    </w:p>
    <w:p>
      <w:pPr>
        <w:pStyle w:val="Corpsdetexte"/>
        <w:rPr/>
      </w:pPr>
      <w:r>
        <w:rPr/>
        <w:t>Padedant „Europe Direct“ centrams, didžiuosiuose universitetiniuose miestuose įvyko keletas vietos renginių.</w:t>
      </w:r>
    </w:p>
    <w:p>
      <w:pPr>
        <w:pStyle w:val="P68B1DB1Corpsdetexte12"/>
        <w:rPr>
          <w:b/>
          <w:b/>
          <w:i/>
          <w:i/>
          <w:u w:val="single"/>
        </w:rPr>
      </w:pPr>
      <w:r>
        <w:rPr/>
        <w:t>3 Čekijos Respublika</w:t>
      </w:r>
    </w:p>
    <w:p>
      <w:pPr>
        <w:pStyle w:val="Corpsdetexte"/>
        <w:rPr/>
      </w:pPr>
      <w:r>
        <w:rPr/>
        <w:t>Čekija surengė pagrindines diskusijas su plačiąja visuomene ir informacinius renginius, skirtus atitinkamiems suinteresuotiesiems subjektams. Šiuos renginius papildė jaunimo renginiai ir tarptautiniai renginiai. Visų pirma buvo surengtas tarptautinis renginys, kuriame dalyvavo Vokietijos ir Čekijos piliečiai. Visoje šalyje įvyko keletas regioninių diskusijų, taip pat regioniniai seminarai vidurinių mokyklų moksleiviams tema „Sprendimas dėl Europos“.</w:t>
      </w:r>
    </w:p>
    <w:p>
      <w:pPr>
        <w:pStyle w:val="Normal"/>
        <w:rPr/>
      </w:pPr>
      <w:r>
        <w:rPr/>
      </w:r>
    </w:p>
    <w:p>
      <w:pPr>
        <w:pStyle w:val="P68B1DB1Corpsdetexte12"/>
        <w:tabs>
          <w:tab w:val="left" w:pos="1391" w:leader="none"/>
        </w:tabs>
        <w:rPr>
          <w:b/>
          <w:b/>
          <w:i/>
          <w:i/>
          <w:u w:val="single"/>
        </w:rPr>
      </w:pPr>
      <w:r>
        <w:rPr/>
        <w:t>4 Danija</w:t>
      </w:r>
    </w:p>
    <w:p>
      <w:pPr>
        <w:pStyle w:val="Corpsdetexte"/>
        <w:rPr/>
      </w:pPr>
      <w:r>
        <w:rPr/>
        <w:t>Buvo surengti platūs ir įtraukūs nacionaliniai debatai, kuriuose pagrindinį vaidmenį atliko pilietinė visuomenė ir kiti nevyriausybiniai subjektai. Įvairių organizacijų, įskaitant NVO, žiniasklaidą, jaunimo organizacijas, kultūros institucijas, ekspertų grupes ir mokslinių tyrimų institutus, grupei buvo skirtas specialus viešųjų lėšų fondas, skirtas nevyriausybinių organizacijų vykdomoms diskusijoms ir iniciatyvoms remti. Įvyko daugiau kaip 180 diskusijų, iš kurių maždaug pusė buvo skirta jaunimui. Be to, vyriausybė ir parlamentas surengė keletą oficialių renginių, pavyzdžiui, konsultacijas su piliečiais ir diskusijas.</w:t>
      </w:r>
    </w:p>
    <w:p>
      <w:pPr>
        <w:pStyle w:val="P68B1DB1Corpsdetexte12"/>
        <w:rPr>
          <w:b/>
          <w:b/>
          <w:i/>
          <w:i/>
          <w:u w:val="single"/>
        </w:rPr>
      </w:pPr>
      <w:r>
        <w:rPr/>
        <w:t>5 Vokietija</w:t>
      </w:r>
    </w:p>
    <w:p>
      <w:pPr>
        <w:pStyle w:val="Corpsdetexte"/>
        <w:rPr/>
      </w:pPr>
      <w:r>
        <w:rPr/>
        <w:t>Vokietijos renginiuose dalyvavo federalinė vyriausybė, Bundestagas, federalinės žemės ir pilietinė visuomenė. Be federalinės vyriausybės sukurtų renginių, daugiau kaip 50 regioninių renginių surengė šešiolika Vokietijos federalinių žemių ir apie 300 – pilietinė visuomenė.</w:t>
      </w:r>
    </w:p>
    <w:p>
      <w:pPr>
        <w:pStyle w:val="Corpsdetexte"/>
        <w:rPr/>
      </w:pPr>
      <w:r>
        <w:rPr/>
        <w:t>Tarpvalstybiniai renginiai ir dialogai su studentais ir jaunimu buvo pagrindinis daugelio iniciatyvų elementas, padedantis jaunimui dalyvauti diskusijose, kuriomis siekiama formuoti Europos ateitį.</w:t>
      </w:r>
    </w:p>
    <w:p>
      <w:pPr>
        <w:pStyle w:val="P68B1DB1Corpsdetexte12"/>
        <w:rPr>
          <w:b/>
          <w:b/>
          <w:i/>
          <w:i/>
          <w:u w:val="single"/>
        </w:rPr>
      </w:pPr>
      <w:r>
        <w:rPr/>
        <w:t>6 Estija</w:t>
      </w:r>
    </w:p>
    <w:p>
      <w:pPr>
        <w:pStyle w:val="Corpsdetexte"/>
        <w:rPr/>
      </w:pPr>
      <w:r>
        <w:rPr/>
        <w:t>Valstybės kanceliarija, bendradarbiaudama su Europos Komisijos atstovybe Estijoje, Užsienio reikalų ministerija ir kitomis ministerijomis, taip pat pilietine visuomene ir jaunimo organizacijomis, surengė įvairius renginius, seminarus ir diskusijas. Visų pirma buvo surengta diskusija vidurinių mokyklų moksleiviams svarbiausiais klausimais, susijusiais su klimato kaita, energetikos politika ir apskritai konferencija. Taip pat buvo inicijuota diskusija „Estijos diplomatija klimato tikslams pasiekti“.</w:t>
      </w:r>
    </w:p>
    <w:p>
      <w:pPr>
        <w:pStyle w:val="P68B1DB1Corpsdetexte12"/>
        <w:rPr>
          <w:b/>
          <w:b/>
          <w:i/>
          <w:i/>
          <w:u w:val="single"/>
        </w:rPr>
      </w:pPr>
      <w:r>
        <w:rPr/>
        <w:t>7 Airija</w:t>
      </w:r>
    </w:p>
    <w:p>
      <w:pPr>
        <w:pStyle w:val="Corpsdetexte"/>
        <w:rPr/>
      </w:pPr>
      <w:r>
        <w:rPr/>
        <w:t>Airijoje organizuojamos veiklos pagrindinė tema buvo įtrauktis ir dialogas su visais gyventojais, ypač su jaunimu.</w:t>
      </w:r>
    </w:p>
    <w:p>
      <w:pPr>
        <w:pStyle w:val="Corpsdetexte"/>
        <w:rPr/>
      </w:pPr>
      <w:r>
        <w:rPr/>
        <w:t>Bendradarbiaujant su Airijos Europos judėjimu (EMI), 2021 ir 2022 m. pradėta įgyvendinti regioninių ir sektorinių įsipareigojimų programa. Pirmasis regioninių susitikimų etapas vyko birželio ir liepos mėn. virtualių konsultacijų forma. Antrasis regioninių renginių etapas – 2022 m. pradžioje surengti tiesioginiai vieši susitikimai. Nuo liepos mėn. vyksta vyriausybės vadovaujamų renginių programa.</w:t>
      </w:r>
    </w:p>
    <w:p>
      <w:pPr>
        <w:pStyle w:val="P68B1DB1Corpsdetexte12"/>
        <w:rPr>
          <w:b/>
          <w:b/>
          <w:i/>
          <w:i/>
          <w:u w:val="single"/>
        </w:rPr>
      </w:pPr>
      <w:r>
        <w:rPr/>
        <w:t>8 Graikija</w:t>
      </w:r>
    </w:p>
    <w:p>
      <w:pPr>
        <w:pStyle w:val="Corpsdetexte"/>
        <w:rPr/>
      </w:pPr>
      <w:r>
        <w:rPr/>
        <w:t>Užsienio reikalų ministerija buvo atsakinga už nacionalinio dialogo koordinavimą. Centrinės ir vietos valdžios agentūros ir pilietinė visuomenė buvo primygtinai raginamos organizuoti diskusijas ir kitus renginius. Pavyzdžiui, vyko renginiai, susiję su Europos ir Viduržemio jūros regiono šalių bendradarbiavimu, Vakarų Balkanais, demografiniais iššūkiais, migracija ir demokratija, kuriuose dalyvavo piliečiai ir įvairūs suinteresuotieji subjektai.</w:t>
      </w:r>
    </w:p>
    <w:p>
      <w:pPr>
        <w:pStyle w:val="P68B1DB1Corpsdetexte12"/>
        <w:rPr>
          <w:b/>
          <w:b/>
          <w:i/>
          <w:i/>
          <w:u w:val="single"/>
        </w:rPr>
      </w:pPr>
      <w:r>
        <w:rPr/>
        <w:t>9 Ispanija</w:t>
      </w:r>
    </w:p>
    <w:p>
      <w:pPr>
        <w:pStyle w:val="Corpsdetexte"/>
        <w:rPr/>
      </w:pPr>
      <w:r>
        <w:rPr/>
        <w:t>Į Ispanijos sistemą įtraukti šeši renginiai nacionaliniu lygmeniu (pvz., konsultacijos su Ispanijos piliečiais dėl Europos ateities) ir apie 20 renginių regionų lygmeniu. Kartu su Portugalijos ir Ispanijos piliečiais taip pat buvo surengtas renginys, kuriame aptariamos pagrindinės jų regionų ir ES ateičiai svarbios temos. Regionų ir vietos lygmeniu valdžios institucijos organizavo renginius keliomis temomis, pavyzdžiui, tarpvalstybiniu bendradarbiavimu, demografinių pokyčių poveikiu, tvariu transportu ir judumu, klimato kaita, migracija ir atokiausių regionų ateitimi.</w:t>
      </w:r>
    </w:p>
    <w:p>
      <w:pPr>
        <w:pStyle w:val="Normal"/>
        <w:rPr/>
      </w:pPr>
      <w:r>
        <w:rPr/>
      </w:r>
    </w:p>
    <w:p>
      <w:pPr>
        <w:pStyle w:val="P68B1DB1Corpsdetexte12"/>
        <w:rPr>
          <w:b/>
          <w:b/>
          <w:i/>
          <w:i/>
          <w:u w:val="single"/>
        </w:rPr>
      </w:pPr>
      <w:r>
        <w:rPr/>
        <w:t>10 Prancūzija</w:t>
      </w:r>
    </w:p>
    <w:p>
      <w:pPr>
        <w:pStyle w:val="Corpsdetexte"/>
        <w:rPr/>
      </w:pPr>
      <w:r>
        <w:rPr/>
        <w:t>2021 m. gegužės-liepos mėn. Prancūzijos vyriausybė surengė išsamias internetines konsultacijas dėl jaunimo. Penkiasdešimt tūkstančių jaunų prancūzų išreiškė savo nuomonę ir pritarė šešiolikai pagrindinių idėjų dėl Europos ateities. Šios veiklos rezultatai kartu su Prancūzijos piliečių forumo rezultatais buvo apibendrinti galutinėje ataskaitoje, kuri yra Prancūzijos indėlis į konferenciją. Prancūzijos vyriausybė taip pat paragino visus to pageidaujančius Prancūzijos subjektus (asociacijas, vietos valdžios institucijas, išrinktus pareigūnus, pilietinės visuomenės atstovus) organizuoti renginius.</w:t>
      </w:r>
    </w:p>
    <w:p>
      <w:pPr>
        <w:pStyle w:val="P68B1DB1Corpsdetexte12"/>
        <w:rPr>
          <w:b/>
          <w:b/>
          <w:i/>
          <w:i/>
          <w:u w:val="single"/>
        </w:rPr>
      </w:pPr>
      <w:r>
        <w:rPr/>
        <w:t>11 Kroatija</w:t>
      </w:r>
    </w:p>
    <w:p>
      <w:pPr>
        <w:pStyle w:val="Corpsdetexte"/>
        <w:rPr/>
      </w:pPr>
      <w:r>
        <w:rPr/>
        <w:t>Buvo sudaryta veiklos koordinavimo darbo grupė, kuri surinko idėjų ir planuoja vykdyti veiklą nacionaliniu lygmeniu. Ministerijos, centrinės valstybės įstaigos, regioninės plėtros agentūros, universitetai, NVO ir institutai surengė renginius konferencijų, piliečių dialogų ir diskusijų su piliečiais, viešųjų diskusijų ir švietimo seminarų forma, ypatingą dėmesį skirdami jaunimui.</w:t>
      </w:r>
    </w:p>
    <w:p>
      <w:pPr>
        <w:pStyle w:val="Corpsdetexte"/>
        <w:rPr/>
      </w:pPr>
      <w:r>
        <w:rPr/>
        <w:t>Nagrinėjamos temos apima migraciją, demografiją, poveikio klimatui neutralumą ir žiedinę ekonomiką. Kai kurie renginiai buvo surengti su kitomis valstybėmis narėmis ir kaimyninėmis ES nepriklausančiomis šalimis.</w:t>
      </w:r>
    </w:p>
    <w:p>
      <w:pPr>
        <w:pStyle w:val="P68B1DB1Corpsdetexte12"/>
        <w:rPr>
          <w:b/>
          <w:b/>
          <w:i/>
          <w:i/>
          <w:u w:val="single"/>
        </w:rPr>
      </w:pPr>
      <w:r>
        <w:rPr/>
        <w:t>12 Italija</w:t>
      </w:r>
    </w:p>
    <w:p>
      <w:pPr>
        <w:pStyle w:val="Corpsdetexte"/>
        <w:rPr/>
      </w:pPr>
      <w:r>
        <w:rPr/>
        <w:t>Siekiant pasiekti kuo daugiau piliečių, be kita ko, aktyviai remiant vietos valdžios institucijoms, buvo surengti keli renginiai, kuriuose daugiausia dėmesio skiriama jaunimui. Siekiant kuo geriau informuoti apie šiuos įvykius, buvo pradėta žiniasklaidos kampanija. Ši veikla apima ES ir Balkanų jaunimo forumą, kuriame dalyvauja Vakarų Balkanų jaunimas, jaunimo forumą „Med dialogai“, kuriame dalyvauja pietinių kaimyninių šalių jaunimas, taip pat vidurinių mokyklų ir universitetų studentams skirtus konkursus „Europa yra jūsų rankose“.</w:t>
      </w:r>
    </w:p>
    <w:p>
      <w:pPr>
        <w:pStyle w:val="P68B1DB1Corpsdetexte12"/>
        <w:rPr>
          <w:b/>
          <w:b/>
          <w:i/>
          <w:i/>
          <w:u w:val="single"/>
        </w:rPr>
      </w:pPr>
      <w:r>
        <w:rPr/>
        <w:t>13 Kipras</w:t>
      </w:r>
    </w:p>
    <w:p>
      <w:pPr>
        <w:pStyle w:val="Corpsdetexte"/>
        <w:rPr/>
      </w:pPr>
      <w:r>
        <w:rPr/>
        <w:t>Buvo surengta nemažai į jaunimą orientuotos veiklos, kurioje dalyvavo daug subjektų. Įvyko įžanginis renginys, įskaitant diskusiją su jaunąja karta apie jų lūkesčius, susirūpinimą keliančius klausimus ir Europos bei Kipro viziją ES. Taip pat buvo surengtas atviras dialogas dėl jaunimo vaidmens diskusijoje apie Europą ir problemas, su kuriomis jie susiduria nacionaliniu ir Europos lygmenimis. Taip pat įvyko renginys, skirtas aptarti Europos saugumo ir gynybos ateitį.</w:t>
      </w:r>
    </w:p>
    <w:p>
      <w:pPr>
        <w:pStyle w:val="P68B1DB1Corpsdetexte12"/>
        <w:rPr>
          <w:b/>
          <w:b/>
          <w:i/>
          <w:i/>
          <w:u w:val="single"/>
        </w:rPr>
      </w:pPr>
      <w:r>
        <w:rPr/>
        <w:t>14 Latvija</w:t>
      </w:r>
    </w:p>
    <w:p>
      <w:pPr>
        <w:pStyle w:val="Corpsdetexte"/>
        <w:rPr/>
      </w:pPr>
      <w:r>
        <w:rPr/>
        <w:t>Buvo surengti keli renginiai, įskaitant visos šalies internetinę diskusiją su studentais „Ateitis yra jūsų rankose“ ekonominiais, socialiniais ir saugumo klausimais. Siekiant sužinoti visuomenės nuomonę apie piliečių nuomonę apie būsimus Europos Sąjungos prioritetus visomis konferencijos temomis, buvo surengta nacionalinė apklausa ir diskusijos ekspertų grupėse. Siekiant didinti 55 metų ir vyresnių žmonių informuotumą apie konferenciją, buvo surengtos regioninės diskusijos, taip pat vyko tiesioginės diskusijos su vidurinių mokyklų moksleiviais.</w:t>
      </w:r>
    </w:p>
    <w:p>
      <w:pPr>
        <w:pStyle w:val="P68B1DB1Corpsdetexte12"/>
        <w:rPr>
          <w:b/>
          <w:b/>
          <w:i/>
          <w:i/>
          <w:u w:val="single"/>
        </w:rPr>
      </w:pPr>
      <w:r>
        <w:rPr/>
        <w:t>15 Lietuva</w:t>
      </w:r>
    </w:p>
    <w:p>
      <w:pPr>
        <w:pStyle w:val="Corpsdetexte"/>
        <w:rPr/>
      </w:pPr>
      <w:r>
        <w:rPr/>
        <w:t>Renginiai daugiausia buvo organizuojami decentralizuotai, daugiausia dėmesio skirta įvairiems Lietuvos regionams ir jaunimui (pvz., jaunimo diskusijose Baltijos šalyse). Vyko įvairūs piliečių dialogai (demokratijos, skaitmeninimo, klimato kaitos ir kt.), tarptautiniai dialogai (pvz., su Prancūzija, Airija ir Italija) ir pilietinės visuomenės renginiai. Be to, mokyklos buvo skatinamos spręsti Europos ateities klausimą.</w:t>
      </w:r>
    </w:p>
    <w:p>
      <w:pPr>
        <w:pStyle w:val="Normal"/>
        <w:rPr/>
      </w:pPr>
      <w:r>
        <w:rPr/>
      </w:r>
    </w:p>
    <w:p>
      <w:pPr>
        <w:pStyle w:val="P68B1DB1Corpsdetexte12"/>
        <w:rPr>
          <w:b/>
          <w:b/>
          <w:i/>
          <w:i/>
          <w:u w:val="single"/>
        </w:rPr>
      </w:pPr>
      <w:r>
        <w:rPr/>
        <w:t>16 Liuksemburgas</w:t>
      </w:r>
    </w:p>
    <w:p>
      <w:pPr>
        <w:pStyle w:val="Corpsdetexte"/>
        <w:rPr/>
      </w:pPr>
      <w:r>
        <w:rPr/>
        <w:t>Nacionaliniu lygmeniu buvo surengti keli renginiai, kuriuose laikytasi atviro, įtraukaus ir skaidraus požiūrio. Pavyzdžiui, parlamentas surengė keletą naujų formatų renginių, pavyzdžiui, „sistros derybos“. Taip pat buvo surengtas studentų ir jaunų verslininkų hakatonas, kuriame aptartas skaitmeninis kompasas ir ES pramonės strategija.</w:t>
      </w:r>
    </w:p>
    <w:p>
      <w:pPr>
        <w:pStyle w:val="Corpsdetexte"/>
        <w:rPr/>
      </w:pPr>
      <w:r>
        <w:rPr/>
        <w:t>Be to, vyko trišaliai mainai tarp Vokietijos, Prancūzijos ir Liuksemburgo vidurinių mokyklų mokinių.</w:t>
      </w:r>
    </w:p>
    <w:p>
      <w:pPr>
        <w:pStyle w:val="P68B1DB1Corpsdetexte12"/>
        <w:rPr>
          <w:b/>
          <w:b/>
          <w:i/>
          <w:i/>
          <w:u w:val="single"/>
        </w:rPr>
      </w:pPr>
      <w:r>
        <w:rPr/>
        <w:t>17 Vengrija</w:t>
      </w:r>
    </w:p>
    <w:p>
      <w:pPr>
        <w:pStyle w:val="Corpsdetexte"/>
        <w:rPr/>
      </w:pPr>
      <w:r>
        <w:rPr/>
        <w:t>Visoje visuomenėje buvo surengta daug renginių (daugiau kaip 800). Instituciniai renginiai apima kelių ministerijų organizuojamas aukšto lygio tarptautines konferencijas (pvz., dėl ES plėtros ir skaitmeninės darbotvarkės) ir apskritojo stalo diskusijas su studentais ir jaunimo organizacijomis (pvz., dėl Europos integracijos). Kelios organizacijos surengė grupes, kad aptartų šias temas: ES institucijos; stipresnė ekonomika, socialinis teisingumas ir užimtumas, skaitmeninė transformacija, švietimas, kultūra, jaunimas ir sportas; vertybės ir teisės, teisinė valstybė ir saugumas; NVO; migracija; taip pat demografijos, šeimos, sveikatos, klimato kaitos ir aplinkos.</w:t>
      </w:r>
    </w:p>
    <w:p>
      <w:pPr>
        <w:pStyle w:val="P68B1DB1Corpsdetexte12"/>
        <w:rPr>
          <w:b/>
          <w:b/>
          <w:i/>
          <w:i/>
          <w:u w:val="single"/>
        </w:rPr>
      </w:pPr>
      <w:r>
        <w:rPr/>
        <w:t>18 Malta</w:t>
      </w:r>
    </w:p>
    <w:p>
      <w:pPr>
        <w:pStyle w:val="Corpsdetexte"/>
        <w:rPr/>
      </w:pPr>
      <w:r>
        <w:rPr/>
        <w:t>Po įvadinio renginio buvo įsteigtas Nacionalinis koordinavimo komitetas, kuris skatins iniciatyvą įvairiais komunikacijos kanalais ir padėjo vesti diskusijas per nacionalinius ir vietos renginius.</w:t>
      </w:r>
    </w:p>
    <w:p>
      <w:pPr>
        <w:pStyle w:val="Corpsdetexte"/>
        <w:rPr/>
      </w:pPr>
      <w:r>
        <w:rPr/>
        <w:t>Teminiai viešieji dialogai (pvz., sveikatos, Europos vertybių ir darbo siekiant teisingos visuomenės ateities klausimais), spaudos konferencijos, konsultacijos su atitinkamų sektorių suinteresuotaisiais subjektais ir interaktyvios sesijos su vaikais ir studentais buvo surengti fiziniu arba mišriu formatu.</w:t>
      </w:r>
    </w:p>
    <w:p>
      <w:pPr>
        <w:pStyle w:val="Corpsdetexte"/>
        <w:rPr/>
      </w:pPr>
      <w:r>
        <w:rPr/>
      </w:r>
    </w:p>
    <w:p>
      <w:pPr>
        <w:pStyle w:val="P68B1DB1Corpsdetexte12"/>
        <w:rPr>
          <w:b/>
          <w:b/>
          <w:i/>
          <w:i/>
          <w:u w:val="single"/>
        </w:rPr>
      </w:pPr>
      <w:r>
        <w:rPr/>
        <w:t>19 Nyderlandų</w:t>
      </w:r>
    </w:p>
    <w:p>
      <w:pPr>
        <w:pStyle w:val="Corpsdetexte"/>
        <w:rPr/>
      </w:pPr>
      <w:r>
        <w:rPr/>
        <w:t>Nyderlanduose daugiausia dėmesio skirta nacionalinio piliečių forumo „Europos vizijos – Kijk op Europa“ organizavimui, kuris vyko tiek internetu, tiek akis į akį. Jis buvo grindžiamas dviejų etapų metodu: pirmasis buvo surinkti piliečių apmąstymus ir nuomones apie tai, ko jie tikėjosi ir ko jie norėjo; antruoju etapu per grupinius dialogus buvo siekiama suprasti jų pagrindines nuomones („kodėl“ ir „kaip“).</w:t>
      </w:r>
    </w:p>
    <w:p>
      <w:pPr>
        <w:pStyle w:val="Corpsdetexte"/>
        <w:rPr/>
      </w:pPr>
      <w:r>
        <w:rPr/>
      </w:r>
    </w:p>
    <w:p>
      <w:pPr>
        <w:pStyle w:val="P68B1DB1Corpsdetexte12"/>
        <w:rPr>
          <w:b/>
          <w:b/>
          <w:i/>
          <w:i/>
          <w:u w:val="single"/>
        </w:rPr>
      </w:pPr>
      <w:r>
        <w:rPr/>
        <w:t>20 Austrija</w:t>
      </w:r>
    </w:p>
    <w:p>
      <w:pPr>
        <w:pStyle w:val="Corpsdetexte"/>
        <w:rPr/>
      </w:pPr>
      <w:r>
        <w:rPr/>
        <w:t>Diskusijos vyko įvairiais formatais federaliniu, regioniniu ir vietos lygmenimis. „Ateities laboratorijos“ ir „būsimi dialogai“ sudarė sąlygas išsamiai keistis informacija su aukšto lygio ekspertais įvairiomis temomis ir ieškoti visapusiškesnių sprendimų ateičiai. Be to, Austrijos savivaldybių tarybų nariai, atsakingi už Europos reikalus, surengė keletą renginių. Keletas renginių, tiesiogiai skirtų jaunimui ir studentams.</w:t>
      </w:r>
    </w:p>
    <w:p>
      <w:pPr>
        <w:pStyle w:val="P68B1DB1Corpsdetexte12"/>
        <w:rPr>
          <w:b/>
          <w:b/>
          <w:i/>
          <w:i/>
          <w:u w:val="single"/>
        </w:rPr>
      </w:pPr>
      <w:r>
        <w:rPr/>
        <w:t>21 Lenkija</w:t>
      </w:r>
    </w:p>
    <w:p>
      <w:pPr>
        <w:pStyle w:val="Corpsdetexte"/>
        <w:rPr/>
      </w:pPr>
      <w:r>
        <w:rPr/>
        <w:t>Renginiai daugiausia buvo organizuojami taikant decentralizuotą požiūrį. Regionų lygmeniu regioniniai tarptautinių debatų centrai surengė viešus renginius 16 Lenkijos regionų fiziniu ir virtualiu formatu. Diskusijų temos apėmė konferencijos temines sritis, pavyzdžiui, solidarumą krizės metu, žemės ūkį ir naujas technologijas.</w:t>
      </w:r>
    </w:p>
    <w:p>
      <w:pPr>
        <w:pStyle w:val="Corpsdetexte"/>
        <w:rPr/>
      </w:pPr>
      <w:r>
        <w:rPr/>
        <w:t>Taip pat buvo surengti nacionaliniai debatai dėl klimato, skaitmeninimo, vidaus rinkos, sveikatos, ES pasaulyje ir migracijos.</w:t>
      </w:r>
    </w:p>
    <w:p>
      <w:pPr>
        <w:pStyle w:val="P68B1DB1Corpsdetexte12"/>
        <w:rPr>
          <w:b/>
          <w:b/>
          <w:i/>
          <w:i/>
          <w:u w:val="single"/>
        </w:rPr>
      </w:pPr>
      <w:r>
        <w:rPr/>
        <w:t>22 Portugalija</w:t>
      </w:r>
    </w:p>
    <w:p>
      <w:pPr>
        <w:pStyle w:val="Corpsdetexte"/>
        <w:rPr/>
      </w:pPr>
      <w:r>
        <w:rPr/>
        <w:t>Po pirmojo piliečių renginio Lisabonoje, kuriame piliečiai pradėjo dalyvauti konferencijoje, be kita ko, bendradarbiaujant su vietos valdžios institucijomis, universitetais, mokyklomis, socialiniais partneriais, jaunimo organizacijomis ir vietos pilietinės visuomenės organizacijomis, buvo surengta daug renginių. Pavyzdžiui, su Ispanija buvo surengtas tarptautinis renginys, skirtas aptarti pagrindines abiejų šalių ir ES regionų ateičiai svarbias temas. Be to, vyko decentralizuoti nacionaliniai renginiai įvairiomis temomis, kaip antai migracija ir tarptautinės partnerystės, Europos demokratijos ateitis ir skaitmeninė transformacija.</w:t>
      </w:r>
    </w:p>
    <w:p>
      <w:pPr>
        <w:pStyle w:val="P68B1DB1Corpsdetexte12"/>
        <w:rPr>
          <w:b/>
          <w:b/>
          <w:i/>
          <w:i/>
          <w:u w:val="single"/>
        </w:rPr>
      </w:pPr>
      <w:r>
        <w:rPr/>
        <w:t>23 Rumunija</w:t>
      </w:r>
    </w:p>
    <w:p>
      <w:pPr>
        <w:pStyle w:val="Corpsdetexte"/>
        <w:rPr/>
      </w:pPr>
      <w:r>
        <w:rPr/>
        <w:t>Renginius daugiausia organizavo arba bendrai organizavo administracija ir ypač institutai, aktyviai dalyvaujant pilietinei visuomenei ir jaunimo organizacijoms.</w:t>
      </w:r>
    </w:p>
    <w:p>
      <w:pPr>
        <w:pStyle w:val="Corpsdetexte"/>
        <w:rPr/>
      </w:pPr>
      <w:r>
        <w:rPr/>
        <w:t>Diskusijose daugiausia dėmesio skirta įvairioms temoms, pavyzdžiui, skaitmeninei pertvarkai, švietimui, sveikatai, aplinkai, darniam vystymuisi, ekonomikai, žemės ūkiui ir ES strateginėms partnerystėms. Renginiai vyko sostinėje ir vietos lygmeniu, dalyvavo visos amžiaus grupės.</w:t>
      </w:r>
    </w:p>
    <w:p>
      <w:pPr>
        <w:pStyle w:val="P68B1DB1Corpsdetexte12"/>
        <w:rPr>
          <w:b/>
          <w:b/>
          <w:i/>
          <w:i/>
          <w:u w:val="single"/>
        </w:rPr>
      </w:pPr>
      <w:r>
        <w:rPr/>
        <w:t>24 Slovėnija</w:t>
      </w:r>
    </w:p>
    <w:p>
      <w:pPr>
        <w:pStyle w:val="Corpsdetexte"/>
        <w:rPr/>
      </w:pPr>
      <w:r>
        <w:rPr/>
        <w:t>Buvo siekiama paskatinti plačias diskusijas, kuriose pagrindinis vaidmuo tenka pilietinei visuomenei, ir ypač jaunimo dalyvavimą.</w:t>
      </w:r>
    </w:p>
    <w:p>
      <w:pPr>
        <w:pStyle w:val="Corpsdetexte"/>
        <w:rPr/>
      </w:pPr>
      <w:r>
        <w:rPr/>
        <w:t>Vyriausybė surengė įvadinį renginį, po kurio buvo vykdomos kelios iniciatyvos, pavyzdžiui, Bledo strateginis forumas, kurio pagrindinė tema buvo Europos ateitis, ypatingą dėmesį skiriant ES plėtrai ir Vakarų Balkanams. Kituose renginiuose daugiausia dėmesio skirta tokioms temoms kaip pinigų politika, poveikio klimatui neutralumas, jaunimas ir ES vaidmuo daugiapolėje tarptautinėje aplinkoje.</w:t>
      </w:r>
    </w:p>
    <w:p>
      <w:pPr>
        <w:pStyle w:val="P68B1DB1Corpsdetexte12"/>
        <w:rPr>
          <w:b/>
          <w:b/>
          <w:i/>
          <w:i/>
          <w:u w:val="single"/>
        </w:rPr>
      </w:pPr>
      <w:r>
        <w:rPr/>
        <w:t>25 Slovakija</w:t>
      </w:r>
    </w:p>
    <w:p>
      <w:pPr>
        <w:pStyle w:val="Corpsdetexte"/>
        <w:rPr/>
      </w:pPr>
      <w:r>
        <w:rPr/>
        <w:t>Organizuoti renginiai buvo organizuojami remiantis dviem pagrindiniais ramsčiais. Pirmasis ramstis buvo projektas „WeAreEU“, kuriame daugiausia dėmesio skirta plačiajai visuomenei, įskaitant diskusijas su studentais ir viešas konsultacijas, taip pat kelis regioninius renginius, kurie buvo surengti kaip „WeAreEU“ kelio parodos dalis. Antrasis ramstis buvo nacionalinė konvencija dėl ES, kurioje daugiausia dėmesio skiriama ekspertų indėliui ir analizei tokiose srityse kaip bendroji rinka, dezinformacija ir populizmas, taip pat skaitmeninė ir ekologinė pertvarka.</w:t>
      </w:r>
    </w:p>
    <w:p>
      <w:pPr>
        <w:pStyle w:val="P68B1DB1Corpsdetexte12"/>
        <w:rPr>
          <w:b/>
          <w:b/>
          <w:i/>
          <w:i/>
          <w:u w:val="single"/>
        </w:rPr>
      </w:pPr>
      <w:r>
        <w:rPr/>
        <w:t>26 Suomija</w:t>
      </w:r>
    </w:p>
    <w:p>
      <w:pPr>
        <w:pStyle w:val="Corpsdetexte"/>
        <w:rPr/>
      </w:pPr>
      <w:r>
        <w:rPr/>
        <w:t>Vyriausybė surengė keletą regioninių konsultacijų, įskaitant „šiauriausios konferencijos ES renginį“, įvairiomis temomis, pavyzdžiui, tvaraus augimo, švietimo ir teisinės valstybės klausimais. Taip pat buvo atliktas tyrimas, kuriuo remiantis buvo diskutuojama.</w:t>
      </w:r>
    </w:p>
    <w:p>
      <w:pPr>
        <w:pStyle w:val="Corpsdetexte"/>
        <w:spacing w:before="6264" w:after="57"/>
        <w:rPr/>
      </w:pPr>
      <w:r>
        <w:rPr/>
        <w:t xml:space="preserve">Renginius organizavo vyriausybė, bendradarbiaudama su miestais, vietos valdžios institucijomis, universitetais, NVO ir jaunimo organizacijomis, taip pat su Suomijos parlamentu, Europos Parlamentu ir Europos Komisijos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Paveikslėli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aveikslėlis18" descr=""/>
                    <pic:cNvPicPr>
                      <a:picLocks noChangeAspect="1" noChangeArrowheads="1"/>
                    </pic:cNvPicPr>
                  </pic:nvPicPr>
                  <pic:blipFill>
                    <a:blip r:embed="rId51"/>
                    <a:stretch>
                      <a:fillRect/>
                    </a:stretch>
                  </pic:blipFill>
                  <pic:spPr bwMode="auto">
                    <a:xfrm>
                      <a:off x="0" y="0"/>
                      <a:ext cx="6120130" cy="3977640"/>
                    </a:xfrm>
                    <a:prstGeom prst="rect">
                      <a:avLst/>
                    </a:prstGeom>
                  </pic:spPr>
                </pic:pic>
              </a:graphicData>
            </a:graphic>
          </wp:anchor>
        </w:drawing>
      </w:r>
      <w:r>
        <w:rPr/>
        <w:t>i</w:t>
      </w:r>
      <w:r>
        <w:rPr/>
        <w:t>nformacijos biurais Suomijoje.</w:t>
      </w:r>
    </w:p>
    <w:p>
      <w:pPr>
        <w:pStyle w:val="Normal"/>
        <w:rPr/>
      </w:pPr>
      <w:r>
        <w:rPr/>
      </w:r>
    </w:p>
    <w:p>
      <w:pPr>
        <w:pStyle w:val="P68B1DB1Corpsdetexte12"/>
        <w:rPr>
          <w:b/>
          <w:b/>
          <w:i/>
          <w:i/>
          <w:u w:val="single"/>
        </w:rPr>
      </w:pPr>
      <w:r>
        <w:rPr/>
        <w:t>27 Švedija</w:t>
      </w:r>
    </w:p>
    <w:p>
      <w:pPr>
        <w:pStyle w:val="Corpsdetexte"/>
        <w:rPr/>
      </w:pPr>
      <w:r>
        <w:rPr/>
        <w:t>Renginiai iš esmės buvo organizuojami decentralizuotai kaip bendras vyriausybės, nacionalinio parlamento, politinių partijų, socialinių partnerių, vietos ir regionų atstovų, pilietinės visuomenės organizacijų ir kitų susijusių visuomenės veikėjų darbas.</w:t>
      </w:r>
    </w:p>
    <w:p>
      <w:pPr>
        <w:pStyle w:val="Corpsdetexte"/>
        <w:rPr/>
      </w:pPr>
      <w:r>
        <w:rPr/>
        <w:t>Pavyzdžiui, Švedijos Europos reikalų ministras aptarė Europos ateitį su įvairių mokyklų mokiniais ir dalyvavo savivaldybių lygmens susitikimuose, skirtuose aptarti Europos ateitį ir demokratiją su piliečiais. Skaitmeninės žiniasklaidos priemonės taip pat buvo naudojamos dialoguose su piliečiais, pavyzdžiui, per klausimų ir atsakymų sesijas.</w:t>
      </w:r>
    </w:p>
    <w:p>
      <w:pPr>
        <w:pStyle w:val="Corpsdetexte"/>
        <w:rPr/>
      </w:pPr>
      <w:r>
        <w:rPr/>
        <w:t>Pirmiau pateikti aprašymai nėra išsamūs. Daugiau informacijos apie nacionalinius renginius galima rasti specialioje Daugiakalbės skaitmeninės platformos dalyje.</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Jaunųjų europiečių susitikimas </w:t>
      </w:r>
    </w:p>
    <w:p>
      <w:pPr>
        <w:pStyle w:val="Normal"/>
        <w:rPr/>
      </w:pPr>
      <w:hyperlink r:id="rId52">
        <w:r>
          <w:rPr>
            <w:rStyle w:val="LienInternet"/>
          </w:rPr>
          <w:t>2021 m. spalio 8–9 d. įvyko Europos jaunimo renginys (EYE 2021)</w:t>
        </w:r>
      </w:hyperlink>
      <w:r>
        <w:rPr/>
        <w:t xml:space="preserve">, kuriame dalyvavo 10 000 jaunuolių internete ir Europos Parlamentas Strasbūre, kad būtų galima formuoti idėjas apie Europos ateitį ir jomis keistis. EYE </w:t>
      </w:r>
      <w:r>
        <w:rPr>
          <w:i/>
        </w:rPr>
        <w:t>buvo unikali galimybė 16–30 metų jaunuoliams bendrauti asmeniškai ir internetu, įkvėpti vieni kitus ir keistis nuomonėmis su ekspertais, aktyvistais, nuomonės formuotojais ir sprendimų priėmėjais, kurie yra Europos demokratijos pagrindas</w:t>
      </w:r>
      <w:r>
        <w:rPr/>
        <w:t>.</w:t>
      </w:r>
    </w:p>
    <w:p>
      <w:pPr>
        <w:pStyle w:val="Normal"/>
        <w:spacing w:before="6132" w:after="57"/>
        <w:rPr/>
      </w:pPr>
      <w:r>
        <w:rPr/>
        <w:t xml:space="preserve">Nuo 2021 m. gegužės mėn., bendradarbiaujant su visos Europos jaunimo organizacijomis,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Paveikslėli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aveikslėlis19" descr=""/>
                    <pic:cNvPicPr>
                      <a:picLocks noChangeAspect="1" noChangeArrowheads="1"/>
                    </pic:cNvPicPr>
                  </pic:nvPicPr>
                  <pic:blipFill>
                    <a:blip r:embed="rId53"/>
                    <a:stretch>
                      <a:fillRect/>
                    </a:stretch>
                  </pic:blipFill>
                  <pic:spPr bwMode="auto">
                    <a:xfrm>
                      <a:off x="0" y="0"/>
                      <a:ext cx="5980430" cy="3893820"/>
                    </a:xfrm>
                    <a:prstGeom prst="rect">
                      <a:avLst/>
                    </a:prstGeom>
                  </pic:spPr>
                </pic:pic>
              </a:graphicData>
            </a:graphic>
          </wp:anchor>
        </w:drawing>
      </w:r>
      <w:r>
        <w:rPr/>
        <w:t>i</w:t>
      </w:r>
      <w:r>
        <w:rPr/>
        <w:t xml:space="preserve">nternete surinkta daugiau kaip 2 000 jaunų piliečių iš visos Europos Sąjungos pasiūlymų. Be to, keliose sesijose, tiek internetu prieš renginį, tiek per EYE Strasbūre, daugiausia dėmesio skirta Konferencijai dėl Europos ateities. Po renginio 20 pagrindinių dalyvių iškeltų idėjų, dvi idėjos pagal konferencijos temą, buvo surinktos </w:t>
      </w:r>
      <w:hyperlink r:id="rId54">
        <w:r>
          <w:rPr>
            <w:rStyle w:val="LienInternet"/>
          </w:rPr>
          <w:t>Konferencijos dėl Europos ateities jaunimo idėjų ataskaitoje</w:t>
        </w:r>
      </w:hyperlink>
      <w:r>
        <w:rPr/>
        <w:t>, paskelbtoje 23 kalbomis.</w:t>
      </w:r>
    </w:p>
    <w:p>
      <w:pPr>
        <w:pStyle w:val="Normal"/>
        <w:rPr/>
      </w:pPr>
      <w:r>
        <w:rPr/>
        <w:t xml:space="preserve">Jaunimo idėjų ataskaitą spalio 23 d. konferencijos plenariniame posėdyje pristatė jaunieji Europos piliečių forumų dalyviai, kurie taip pat dalyvavo renginyje EYE 2021. Visas surinktas idėjas galima rasti: </w:t>
      </w:r>
      <w:hyperlink r:id="rId55">
        <w:r>
          <w:rPr>
            <w:rStyle w:val="LienInternet"/>
          </w:rPr>
          <w:t>Search.youthideas.eu.</w:t>
        </w:r>
      </w:hyperlink>
    </w:p>
    <w:p>
      <w:pPr>
        <w:pStyle w:val="Titre3"/>
        <w:numPr>
          <w:ilvl w:val="2"/>
          <w:numId w:val="2"/>
        </w:numPr>
        <w:rPr/>
      </w:pPr>
      <w:bookmarkStart w:id="31" w:name="__RefHeading___Toc298236_1346298689"/>
      <w:bookmarkEnd w:id="31"/>
      <w:r>
        <w:rPr/>
        <w:t>3.</w:t>
        <w:tab/>
        <w:t>Kiti renginiai</w:t>
      </w:r>
    </w:p>
    <w:p>
      <w:pPr>
        <w:pStyle w:val="Normal"/>
        <w:rPr/>
      </w:pPr>
      <w:r>
        <w:rPr/>
        <w:t>Be pirmiau minėtų renginių, daugelis kitų institucijų ir suinteresuotųjų subjektų subūrė piliečius aptarti Europos ateities</w:t>
      </w:r>
      <w:r>
        <w:rPr>
          <w:rStyle w:val="Ancredenotedebasdepage"/>
          <w:rStyle w:val="Ancredenotedebasdepage"/>
        </w:rPr>
        <w:footnoteReference w:id="6"/>
      </w:r>
      <w:r>
        <w:rPr/>
        <w:t>.</w:t>
      </w:r>
    </w:p>
    <w:p>
      <w:pPr>
        <w:pStyle w:val="Normal"/>
        <w:rPr/>
      </w:pPr>
      <w:r>
        <w:rPr/>
        <w:t>Per visą Konferenciją dėl Europos ateities Europos ekonomikos ir socialinių reikalų komitetas (EESRK) dėjo pastangas, kad ji būtų žinoma ir padėtų savo plačiam pilietinės visuomenės organizacijų tinklui valstybėse narėse organizuoti nacionalines konsultacijas. Iš viso ji padėjo rengti 75 renginius, įskaitant 33 renginius nacionaliniu lygmeniu ir 42 renginius centriniu lygmeniu. 60 proc. iš šių renginių paskelbė ataskaitas konferencijos platformoje, o vien šiuose 45 renginiuose dalyvavo daugiau kaip 7 300 dalyvių. Visų pirma EESRK savo veiklą pradėjo 2021 m. birželio mėn. surengęs didelę konferenciją „</w:t>
      </w:r>
      <w:hyperlink r:id="rId56">
        <w:r>
          <w:rPr>
            <w:rStyle w:val="LienInternet"/>
          </w:rPr>
          <w:t>Europos projekto grąžinimas piliečiams</w:t>
        </w:r>
      </w:hyperlink>
      <w:r>
        <w:rPr/>
        <w:t>“ ir 2021 m. lapkričio mėn. Lisabonoje surengė seminarą „</w:t>
      </w:r>
      <w:hyperlink r:id="rId57">
        <w:r>
          <w:rPr>
            <w:rStyle w:val="LienInternet"/>
          </w:rPr>
          <w:t>Sujungti ES</w:t>
        </w:r>
      </w:hyperlink>
      <w:r>
        <w:rPr/>
        <w:t>“, o 2022 m. vasario mėn. Briuselyje – aukšto lygio renginį „</w:t>
      </w:r>
      <w:hyperlink r:id="rId58">
        <w:r>
          <w:rPr>
            <w:rStyle w:val="LienInternet"/>
          </w:rPr>
          <w:t>Europos formavimas kartu“</w:t>
        </w:r>
      </w:hyperlink>
      <w:r>
        <w:rPr/>
        <w:t>. Komitetas taip pat paragino naudotis interneto platforma, į kurią buvo įkelta 60 naujų idėjų, ir pradėjo plataus masto komunikacijos socialiniuose tinkluose kampaniją, kurioje gali dalyvauti tik 32 mln. žmonių socialiniame tinkle „Twitter“, siekiant viešinti nacionalinius renginius anglų ir vietos kalbomis ir teikti informaciją prieš kiekvieną plenarinę sesiją ir su konferencija susijusį posėdį bei po jo.</w:t>
      </w:r>
    </w:p>
    <w:p>
      <w:pPr>
        <w:pStyle w:val="Normal"/>
        <w:rPr/>
      </w:pPr>
      <w:r>
        <w:rPr/>
        <w:t xml:space="preserve">Europos regionų komitetas (RK) savo komisijose ir plenarinėse sesijose surengė temines diskusijas, taip pat 140 renginių vietos, tarpvalstybiniu ir tarpregioniniu lygmenimis, kuriuose dalyvavo 10 000 piliečių ir 200 vietos politikų. Be to, 2021 </w:t>
      </w:r>
      <w:hyperlink r:id="rId59">
        <w:r>
          <w:rPr>
            <w:rStyle w:val="LienInternet"/>
          </w:rPr>
          <w:t>m. spalio mėn. buvo paskelbta pirmoji 1,2 mln. ES 27 vietos politikų apklausa</w:t>
        </w:r>
      </w:hyperlink>
      <w:r>
        <w:rPr/>
        <w:t xml:space="preserve"> dėl jų nuomonės apie Europos ateitį. Be to, Cdr pasiūlė </w:t>
      </w:r>
      <w:hyperlink r:id="rId60">
        <w:r>
          <w:rPr>
            <w:rStyle w:val="LienInternet"/>
          </w:rPr>
          <w:t>44 idėjas</w:t>
        </w:r>
      </w:hyperlink>
      <w:r>
        <w:rPr/>
        <w:t xml:space="preserve"> daugiakalbėje skaitmeninėje platformoje. 2022 m. pradžioje</w:t>
      </w:r>
      <w:hyperlink r:id="rId61">
        <w:r>
          <w:rPr>
            <w:rStyle w:val="LienInternet"/>
          </w:rPr>
          <w:t xml:space="preserve"> nepriklausoma aukšto lygio grupė Europos demokratijos klausimais</w:t>
        </w:r>
      </w:hyperlink>
      <w:r>
        <w:rPr/>
        <w:t xml:space="preserve"> pristatė idėjas, kaip pagerinti demokratiją ES. RK priėmė rezoliuciją su pasiūlymais dėl galutinės konferencijos ataskaitos, o 2022 m. kovo </w:t>
      </w:r>
      <w:hyperlink r:id="rId62">
        <w:r>
          <w:rPr>
            <w:rStyle w:val="LienInternet"/>
          </w:rPr>
          <w:t>mėn. Europos regionų ir miestų aukščiausiojo lygio susitikime buvo patvirtintas 12 punktų manifestas, parengtas milijonų ES vietos ir regionų</w:t>
        </w:r>
      </w:hyperlink>
      <w:r>
        <w:rPr/>
        <w:t xml:space="preserve"> politikų vardu. Ataskaitoje</w:t>
      </w:r>
      <w:hyperlink r:id="rId63">
        <w:r>
          <w:rPr>
            <w:rStyle w:val="LienInternet"/>
          </w:rPr>
          <w:t>„Piliečiai, vietos politikai ir Europos ateitis“</w:t>
        </w:r>
      </w:hyperlink>
      <w:r>
        <w:rPr/>
        <w:t>(2022 m. kovo mėn.) apibendrinama visa RK veikla konferencijos kontekste.</w:t>
      </w:r>
    </w:p>
    <w:p>
      <w:pPr>
        <w:pStyle w:val="Normal"/>
        <w:rPr/>
      </w:pPr>
      <w:r>
        <w:rPr/>
      </w:r>
    </w:p>
    <w:p>
      <w:pPr>
        <w:pStyle w:val="Normal"/>
        <w:rPr/>
      </w:pPr>
      <w:r>
        <w:rPr/>
        <w:t xml:space="preserve">Trys darbdavių organizacijos, susijusios su ES socialine partneryste, </w:t>
      </w:r>
      <w:hyperlink r:id="rId64">
        <w:r>
          <w:rPr>
            <w:rStyle w:val="LienInternet"/>
          </w:rPr>
          <w:t>BusinessEurope</w:t>
        </w:r>
      </w:hyperlink>
      <w:r>
        <w:rPr/>
        <w:t xml:space="preserve">, </w:t>
      </w:r>
      <w:hyperlink r:id="rId65">
        <w:r>
          <w:rPr>
            <w:rStyle w:val="LienInternet"/>
          </w:rPr>
          <w:t>SGI Europe</w:t>
        </w:r>
      </w:hyperlink>
      <w:r>
        <w:rPr/>
        <w:t xml:space="preserve"> ir </w:t>
      </w:r>
      <w:hyperlink r:id="rId66">
        <w:r>
          <w:rPr>
            <w:rStyle w:val="LienInternet"/>
          </w:rPr>
          <w:t>UEAPME</w:t>
        </w:r>
      </w:hyperlink>
      <w:r>
        <w:rPr/>
        <w:t>, savo prioritetus ir nuomones paskelbė skaitmeninėje platformoje ir pristatė jas atitinkamoms darbo grupėms ir plenarinei sesijai. Be to, visi skatino konferenciją tiek viduje, tiek išorėje, organizavo renginius ir užmezgė dialogą su suinteresuotaisiais subjektais įvairiuose forumuose. Europos profesinių sąjungų konfederacija (ETUC) sutelkė pastangas prisidėti prie konferencijos ir dalyvavo plenarinės asamblėjos bei darbo grupių posėdžiuose. ETUC nustatė profesinių sąjungų pasiūlymus dėl teisingesnės Europos ateities ir paskelbė juos interneto platformoje (tai buvo vieni iš labiausiai remiamų pasiūlymų). ETUC ir jos filialai organizavo renginius ir komunikacijos veiklą, kad pristatytų ir aptartų profesinių sąjungų pasiūlymus.</w:t>
      </w:r>
    </w:p>
    <w:p>
      <w:pPr>
        <w:pStyle w:val="Normal"/>
        <w:rPr/>
      </w:pPr>
      <w:r>
        <w:rPr/>
        <w:t xml:space="preserve">Pilietinės visuomenės atstovai – </w:t>
      </w:r>
      <w:hyperlink r:id="rId67">
        <w:r>
          <w:rPr>
            <w:rStyle w:val="LienInternet"/>
          </w:rPr>
          <w:t>Konferencijos dėl Europos ateities pilietinės visuomenės konvencija</w:t>
        </w:r>
      </w:hyperlink>
      <w:r>
        <w:rPr/>
        <w:t xml:space="preserve"> ir </w:t>
      </w:r>
      <w:hyperlink r:id="rId68">
        <w:r>
          <w:rPr>
            <w:rStyle w:val="LienInternet"/>
          </w:rPr>
          <w:t>Europos tarptautinis judėjimas</w:t>
        </w:r>
      </w:hyperlink>
      <w:r>
        <w:rPr/>
        <w:t xml:space="preserve"> – visoje Europoje surengė </w:t>
      </w:r>
      <w:hyperlink r:id="rId69">
        <w:r>
          <w:rPr>
            <w:rStyle w:val="LienInternet"/>
          </w:rPr>
          <w:t>daug renginių</w:t>
        </w:r>
      </w:hyperlink>
      <w:r>
        <w:rPr/>
        <w:t xml:space="preserve"> ir </w:t>
      </w:r>
      <w:hyperlink r:id="rId70">
        <w:r>
          <w:rPr>
            <w:rStyle w:val="LienInternet"/>
          </w:rPr>
          <w:t>aktyviai dalyvavo plenarinėje sesijoje.</w:t>
        </w:r>
      </w:hyperlink>
      <w:r>
        <w:rPr/>
        <w:t xml:space="preserve"> Pilietinė visuomenė įtraukė šimtus pilietinės visuomenės organizacijų į principą „iš apačios į viršų“ per </w:t>
      </w:r>
      <w:hyperlink r:id="rId71">
        <w:r>
          <w:rPr>
            <w:rStyle w:val="LienInternet"/>
          </w:rPr>
          <w:t>temines grupes</w:t>
        </w:r>
      </w:hyperlink>
      <w:r>
        <w:rPr/>
        <w:t xml:space="preserve">, kad parengtų bendrus ir išsamius pasiūlymus </w:t>
      </w:r>
      <w:hyperlink r:id="rId72">
        <w:r>
          <w:rPr>
            <w:rStyle w:val="LienInternet"/>
          </w:rPr>
          <w:t>įvairiose konferencijos nagrinėjamose politikos srityse</w:t>
        </w:r>
      </w:hyperlink>
      <w:r>
        <w:rPr/>
        <w:t>. Idėjos padėjo konferencijai per platformą, darbo grupes, plenarinius posėdžius ir tiesiogiai bendraujant su Vykdomąja valdyba, bendrapirmininkiais ir Jungtiniu sekretoriatu.</w:t>
      </w:r>
    </w:p>
    <w:p>
      <w:pPr>
        <w:pStyle w:val="Normal"/>
        <w:rPr/>
      </w:pPr>
      <w:r>
        <w:rPr/>
        <w:t>Europos Komisijos atstovybės valstybėse narėse, „Europe Direct“ centrai, Europos dokumentacijos centrai ir EP ryšių biurai aktyviai informavo piliečius apie Konferenciją dėl Europos ateities. Europos Komisijos atstovybės pranešė apie 1400 veiklą, kuri padėjo bendrauti ir įgyvendinti konferenciją visoje Europoje. Jie organizavo arba aktyviai dalyvavo daugiau kaip 850 renginių, iš kurių apie 65 % buvo skirti jaunimui ir moterims, kad jie būtų skatinami dalyvauti konferencijoje apskritai. EP ryšių biurai valstybėse narėse surengė daugiau kaip 1 300 reklaminių renginių.</w:t>
      </w:r>
    </w:p>
    <w:p>
      <w:pPr>
        <w:pStyle w:val="Normal"/>
        <w:rPr/>
      </w:pPr>
      <w:r>
        <w:rPr/>
        <w:t>Siekiant padidinti konferencijos matomumą, taip pat buvo surengti teminiai seminarai pagrindinėmis konferencijos temomis dalyvaujant EP nariams, piliečiams, suinteresuotiesiems subjektams, nacionalinėms ir regioninėms valdžios institucijoms bei vietos žiniasklaidai. Europos dokumentacijos centrai pranešė apie daugiau kaip 120 veiksmų, susijusių su konferencijos komunikacija.</w:t>
      </w:r>
    </w:p>
    <w:p>
      <w:pPr>
        <w:pStyle w:val="Normal"/>
        <w:rPr/>
      </w:pPr>
      <w:r>
        <w:rPr/>
        <w:t>„</w:t>
      </w:r>
      <w:r>
        <w:rPr/>
        <w:t>Europe Direct“ centrai pranešė apie daugiau kaip 1000 teminių renginių apie konferenciją ir daugiau kaip 600 reklaminių renginių, įskaitant įvairias jaunimo grupes ir organizacijas. Europos dokumentacijos centrai pranešė apie daugiau kaip 120 veiksmų, susijusių su konferencijos komunikacija.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Konferencijos plenarinė asamblėja</w:t>
      </w:r>
    </w:p>
    <w:p>
      <w:pPr>
        <w:pStyle w:val="Normal"/>
        <w:rPr/>
      </w:pPr>
      <w:r>
        <w:rPr/>
      </w:r>
      <w:r>
        <w:br w:type="page"/>
      </w:r>
    </w:p>
    <w:p>
      <w:pPr>
        <w:pStyle w:val="Titre2"/>
        <w:numPr>
          <w:ilvl w:val="1"/>
          <w:numId w:val="2"/>
        </w:numPr>
        <w:rPr/>
      </w:pPr>
      <w:bookmarkStart w:id="33" w:name="__RefHeading___Toc298240_1346298689"/>
      <w:bookmarkEnd w:id="33"/>
      <w:r>
        <w:rPr/>
        <w:t>A. Plenarinės asamblėjos vaidmuo ir veikimas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Buvo įsteigta konferencijos plenarinė asamblėja, kurios tikslas – aptarti nacionalinių ir Europos piliečių grupių rekomendacijas, sugrupuotas pagal temas, iš anksto nenustatant diskusijų rezultatų ir neapsiribojant jų taikymo sritimi iš anksto apibrėžtomis politikos sritimis.</w:t>
      </w:r>
    </w:p>
    <w:p>
      <w:pPr>
        <w:pStyle w:val="Corpsdetexte"/>
        <w:rPr/>
      </w:pPr>
      <w:r>
        <w:rPr/>
        <w:t>Prireikus taip pat buvo aptarti daugiakalbėje platformoje surinkti atsakymai. Plenarinė asamblėja buvo unikali: pirmą kartą joje dalyvavo Europos ir nacionaliniams piliečių renginiams ir grupėms atstovaujantys piliečiai, ES institucijų ir jos patariamųjų organų atstovai, išrinkti nacionalinio, regioninio ir vietos lygmens atstovai, taip pat pilietinės visuomenės ir socialinių partnerių atstovai.</w:t>
      </w:r>
    </w:p>
    <w:p>
      <w:pPr>
        <w:pStyle w:val="Corpsdetexte"/>
        <w:rPr/>
      </w:pPr>
      <w:r>
        <w:rPr/>
        <w:t>Rekomendacijas pateikė piliečiai ir jos buvo aptartos su jais; tada plenariniame posėdyje</w:t>
      </w:r>
      <w:r>
        <w:rPr>
          <w:rStyle w:val="Ancredenotedebasdepage"/>
          <w:rStyle w:val="Ancredenotedebasdepage"/>
        </w:rPr>
        <w:footnoteReference w:id="7"/>
      </w:r>
      <w:r>
        <w:rPr/>
        <w:t xml:space="preserve"> Vykdomajai valdybai turėjo bendru sutarimu pateikti savo pasiūlymus. Konferencijos plenarinė sesija vyko septynis kartus nuo 2021 m. birželio mėn. iki 2022 m. balandžio mėn.</w:t>
      </w:r>
    </w:p>
    <w:p>
      <w:pPr>
        <w:pStyle w:val="Corpsdetexte"/>
        <w:rPr/>
      </w:pPr>
      <w:r>
        <w:rPr/>
        <w:t>Konferencijos plenarinę asamblėją sudarė 108 Europos Parlamento atstovai, 54 Tarybos atstovai ir trys</w:t>
      </w:r>
      <w:r>
        <w:rPr>
          <w:rStyle w:val="Ancredenotedebasdepage"/>
          <w:rStyle w:val="Ancredenotedebasdepage"/>
        </w:rPr>
        <w:footnoteReference w:id="8"/>
      </w:r>
      <w:r>
        <w:rPr/>
        <w:t>Europos Komisijos atstovai, taip pat 108 visų nacionalinių parlamentų atstovai vienodomis sąlygomis ir piliečiai.</w:t>
      </w:r>
    </w:p>
    <w:p>
      <w:pPr>
        <w:pStyle w:val="Corpsdetexte"/>
        <w:rPr/>
      </w:pPr>
      <w:r>
        <w:rPr/>
        <w:t>Aštuoniasdešimt Europos piliečių forumų atstovų, iš kurių bent trečdalis buvo jaunesni nei 25 metų, taip pat dalyvavo Europos jaunimo forumo pirmininkas ir 27 nacionalinių renginių ir (arba) nacionalinių piliečių grupių</w:t>
      </w:r>
      <w:r>
        <w:rPr>
          <w:rStyle w:val="Ancredenotedebasdepage"/>
          <w:rStyle w:val="Ancredenotedebasdepage"/>
        </w:rPr>
        <w:footnoteReference w:id="9"/>
      </w:r>
      <w:r>
        <w:rPr/>
        <w:t xml:space="preserve"> atstovai.</w:t>
      </w:r>
    </w:p>
    <w:p>
      <w:pPr>
        <w:pStyle w:val="Corpsdetexte"/>
        <w:rPr/>
      </w:pPr>
      <w:r>
        <w:rPr/>
        <w:t>Taip pat dalyvavo aštuoniolika Regionų komiteto atstovų ir 18 Ekonomikos ir socialinių reikalų komiteto atstovų, šeši išrinkti regionų valdžios institucijų atstovai ir šeši išrinkti vietos valdžios institucijų atstovai, 12 socialinių partnerių atstovų ir aštuoni pilietinės visuomenės atstovai. Sąjungos vyriausiojo įgaliotinio užsienio reikalams ir saugumo politikai buvo paprašyta aptarti ES tarptautinį vaidmenį.</w:t>
      </w:r>
    </w:p>
    <w:p>
      <w:pPr>
        <w:pStyle w:val="Corpsdetexte"/>
        <w:rPr/>
      </w:pPr>
      <w:r>
        <w:rPr/>
        <w:t>Taip pat buvo pakviesti pagrindinių suinteresuotųjų subjektų atstovai, pavyzdžiui, partnerių iš Vakarų Balkanų, Ukrainos, religinių, filosofinių ir nereliginių grupių atstovai.</w:t>
      </w:r>
    </w:p>
    <w:p>
      <w:pPr>
        <w:pStyle w:val="Corpsdetexte"/>
        <w:rPr/>
      </w:pPr>
      <w:r>
        <w:rPr/>
        <w:t>Plenarinės asamblėjos posėdžiams bendrai pirmininkavo Konferencijos pirmininkai. Plenariniai konferencijos posėdžiai vyko Europos Parlamento pastatuose Strasbūre. Dėl taikomų sveikatos ir saugos taisyklių pirmieji penki Konferencijos plenarinės sesijos posėdžiai vyko mišraus formato, o paskutiniai du – asmeniškai. Konferencijos plenariniai posėdžiai buvo tiesiogiai transliuojami ir visi posėdžių dokumentai buvo viešai paskelbti daugiakalbėje skaitmeninėje platformoje.</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Darbo grupės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Laikydamiesi Konferencijos darbo tvarkos taisyklių, pirmininkai pasiūlė Konferencijos plenarinei sesijai sudaryti devynias temines darbo grupes, remiantis daugiakalbės skaitmeninės platformos temomis, siekiant prisidėti prie Konferencijos plenarinės sesijos diskusijų ir pasiūlymų rengimo pagal bendros deklaracijos kriterijus. 2021 m. spalio mėn. bendrapirmininkiai susitarė dėl darbo grupių įgaliojimų. Įvairios darbo grupės nagrinėjo šias temas: Klimato kaita ir aplinka; Sveikata; Stipresnė ekonomika, socialinis teisingumas ir užimtumas; ES pasaulyje; Vertybės ir teisės, teisinė valstybė, saugumas; Skaitmeninė transformacija; Europos demokratija; Migracija; švietimas, kultūra, jaunimas ir sportas.</w:t>
      </w:r>
    </w:p>
    <w:p>
      <w:pPr>
        <w:pStyle w:val="Normal"/>
        <w:rPr/>
      </w:pPr>
      <w:r>
        <w:rPr/>
        <w:t>Darbo grupės pristatė savo indėlį Konferencijos plenariniame posėdyje nagrinėdamos atitinkamų nacionalinių ir Europos piliečių forumų rekomendacijas, taip pat nuomones, paskelbtas daugiakalbėje skaitmeninėje platformoje devyniomis Konferencijos metu surinktomis temomis. Konferencijos plenarinės asamblėjos nariai buvo suskirstyti į šias devynias darbo grupes: dvylika narių iš kiekvienos Europos Parlamento ir nacionalinių parlamentų darbo grupės, šeši – Taryba, trys – nacionalinių piliečių grupių ar nacionalinių renginių atstovai, du – Regionų komitetas, du – Ekonomikos ir socialinių reikalų komitetas, vienas ar du – socialiniai partneriai, vienas – pilietinei visuomenei ir vienas – išrinkti vietos ir regionų valdžios institucijų nariai, taip pat Europos piliečių grupių atstovai. Europos piliečių forumų atstovai dalyvavo už jų grupę atsakingos darbo grupės darbe. Be to, buvo imtasi konkrečių priemonių, kad Komisijos narių kolegijos nariai galėtų dalyvauti darbo grupėse pagal jų atsakomybės sritis.</w:t>
      </w:r>
    </w:p>
    <w:p>
      <w:pPr>
        <w:pStyle w:val="Normal"/>
        <w:rPr/>
      </w:pPr>
      <w:r>
        <w:rPr/>
        <w:t>Darbo grupės surengė aktyvias diskusijas ir rengė pasiūlymų projektus, parengtus vadovaujant pirmininkui ir atstovui spaudai, atrinktiems iš Europos piliečių forumų atstovų darbo grupėje, padedant Jungtiniam sekretoriatui. Darbo grupės turėjo dirbti remdamosi Konferencijos darbo tvarkos taisyklių 17 straipsnyje nustatytu bendru sutarimu. Pirmininkas ir atstovas spaudai pristatė darbo grupės rezultatus plenarinei asamblėjai. Darbo grupės pirmininkui padėjo Jungtinis sekretoriatas. Jungtinis konferencijos sekretoriatas, vadovaujamas pirmininko ir pasikonsultavęs su darbo grupės nariais, parengė kiekvieno darbo grupės posėdžio apibendrinamąsias ataskaitas.</w:t>
      </w:r>
    </w:p>
    <w:p>
      <w:pPr>
        <w:pStyle w:val="Normal"/>
        <w:rPr/>
      </w:pPr>
      <w:r>
        <w:rPr/>
        <w:t>Darbo grupės posėdžiavo 2021 m. spalio mėn. – 2022 m. balandžio 8 d. Konferencijos plenarinių posėdžių metu, o 2021 m. gruodžio mėn. – internetu. Kai kurios darbo grupės surengė papildomus posėdžius. Darbo grupės posėdžiai buvo transliuojami tiesiogiai nuo 2022 m. sausio 20 d. Jų apibendrinamosios ataskaitos buvo tinkamai paskelbtos Daugiakalbės skaitmeninės platformos skyriuje „Konferencijos plenarinė asamblėja“.</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Chronologinė santrauka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KONFERENCIJOS STEIGIAMOJI PLENARINĖ ASAMBLĖJA, 2021 M. BIRŽELIO 19 D.</w:t>
      </w:r>
    </w:p>
    <w:p>
      <w:pPr>
        <w:pStyle w:val="Normal"/>
        <w:rPr/>
      </w:pPr>
      <w:r>
        <w:rPr/>
        <w:t>Konferencijos steigiamoji plenarinė sesija įvyko 2021 m. birželio 19 d. mišraus formato</w:t>
      </w:r>
      <w:r>
        <w:rPr>
          <w:rStyle w:val="Ancredenotedebasdepage"/>
          <w:rStyle w:val="Ancredenotedebasdepage"/>
        </w:rPr>
        <w:footnoteReference w:id="10"/>
      </w:r>
      <w:r>
        <w:rPr/>
        <w:t>. Ji leido plenarinės sesijos nariams išklausyti pranešimą ir surengti bendrą diskusiją apie konferencijos tikslą ir lūkesčius. Pirmininkai pabrėžė precedento neturintį šios patariamosios demokratijos ES lygmeniu pobūdį, kuris sustiprino atstovaujamąją demokratiją, o piliečiai tapo politikos formavimo Europos Sąjungoje pagrindu. Pirmininkai taip pat pristatė trijų konferencijos ramsčių veikimą: daugiakalbė skaitmeninė platforma, Europos ir nacionalinės piliečių grupės ir plenarinė asamblėja.</w:t>
      </w:r>
    </w:p>
    <w:p>
      <w:pPr>
        <w:pStyle w:val="Normal"/>
        <w:rPr/>
      </w:pPr>
      <w:r>
        <w:rPr/>
        <w:t>Be to, plenarinės sesijos nariams buvo pranešta apie ketinimą sudaryti devynias temines darbo grupes ir konferencijos kalendorių. Po to vykusioje diskusijoje, kurioje dalyvavo daugiau kaip 150 dalyvių, buvo aptartos įvairios temos. Kadangi Europos piliečių forumų dalyvių atranka dar nebaigta, piliečių komponentui atstovauti dalyvavo Europos jaunimo forumo pirmininkas ir 27 nacionalinių renginių ir (arba) nacionalinių piliečių grupių atstovai.</w:t>
      </w:r>
    </w:p>
    <w:p>
      <w:pPr>
        <w:pStyle w:val="Normal"/>
        <w:rPr/>
      </w:pPr>
      <w:r>
        <w:rPr>
          <w:b/>
          <w:i/>
          <w:u w:val="single"/>
        </w:rPr>
        <w:t>ANTROJI PLENARINĖ ASAMBLĖJA, 2021 M. SPALIO 22–23 D.</w:t>
      </w:r>
      <w:r>
        <w:rPr/>
        <w:t xml:space="preserve"> </w:t>
      </w:r>
    </w:p>
    <w:p>
      <w:pPr>
        <w:pStyle w:val="Normal"/>
        <w:rPr/>
      </w:pPr>
      <w:r>
        <w:rPr/>
        <w:t>Antroji plenarinė konferencija vyko 2021 m. spalio 22–23 d. mišriu formatu, kurioje pirmą kartą dalyvavo Europos piliečių forumų atstovai. Plenarinės sesijos nariai turėjo galimybę išgirsti pranešimą apie keturių Europos piliečių forumų dabartinę padėtį ir surengti diskusiją. Be to, nacionalinių renginių ir forumų atstovai galėjo pristatyti nacionaliniu lygmeniu organizuojamus renginius. Konferencijos plenarinėje sesijoje buvo pateikta ataskaita dėl Europos jaunimo renginio (EYE); joje apžvelgtos 20 konkrečių idėjų, kurias atrinko susitikime dalyvavę jauni piliečiai.</w:t>
      </w:r>
    </w:p>
    <w:p>
      <w:pPr>
        <w:pStyle w:val="Normal"/>
        <w:rPr/>
      </w:pPr>
      <w:r>
        <w:rPr/>
        <w:t>Po to vykusioje diskusijoje daugiausia dėmesio skirta daugiakalbės skaitmeninės platformos novatoriškumui, kuri suteikė piliečiams galimybę pareikšti nuomonę skyriuje ir vieta diskusijoms visomis oficialiosiomis ES kalbomis. Šie debatai buvo grindžiami antra tarpine ataskaita dėl platformos. Vakarų Balkanų partneriai buvo pakviesti dalyvauti šiame plenariniame posėdyje kaip pagrindiniai suinteresuotieji subjektai.</w:t>
      </w:r>
    </w:p>
    <w:p>
      <w:pPr>
        <w:pStyle w:val="Normal"/>
        <w:rPr/>
      </w:pPr>
      <w:r>
        <w:rPr>
          <w:b/>
          <w:i/>
          <w:u w:val="single"/>
        </w:rPr>
        <w:t>TREČIOJI KONFERENCIJOS PLENARINĖ ASAMBLĖJA, 2022 M. SAUSIO 21–22 D.</w:t>
      </w:r>
      <w:r>
        <w:rPr/>
        <w:t xml:space="preserve"> </w:t>
      </w:r>
    </w:p>
    <w:p>
      <w:pPr>
        <w:pStyle w:val="Normal"/>
        <w:rPr/>
      </w:pPr>
      <w:r>
        <w:rPr/>
        <w:t>Trečioji konferencijos plenarinė asamblėja, kuri įvyko 2022 m. sausio 21–22 d., buvo pirmoji, skirta oficialiam Europos piliečių forumų ir susijusių nacionalinių piliečių forumų rekomendacijų pristatymui. Ši plenarinė sesija buvo pirmoji po to, kai buvo galutinai parengtos kai kurių Europos piliečių grupių rekomendacijos, būtent: 2 grupės (Europos demokratija; vertybės ir teisės, teisinė valstybė, saugumas) ir 3 (Klimato kaita ir aplinka; sveikata). Plenarinė sesija vyko mišraus formato, joje dalyvavo daugiau kaip 400 konferencijos plenarinės sesijos narių vietoje arba nuotoliniu būdu.</w:t>
      </w:r>
    </w:p>
    <w:p>
      <w:pPr>
        <w:pStyle w:val="Normal"/>
        <w:rPr/>
      </w:pPr>
      <w:r>
        <w:rPr/>
        <w:t>Šioje plenarinėje sesijoje taip pat mirė Europos Parlamento Pirmininkas David Maria Sassoli. Posėdžio pradžioje pirmininkai pagerbė jo atminimą. Šios plenarinės sesijos diskusijos buvo surengtos pagal temą 2 ir 3 Europos piliečių forumų temomis.</w:t>
      </w:r>
    </w:p>
    <w:p>
      <w:pPr>
        <w:pStyle w:val="Normal"/>
        <w:rPr/>
      </w:pPr>
      <w:r>
        <w:rPr/>
        <w:t>Diskusijos vyko naujovišku interaktyviu formatu, įskaitant momentus, skirtus piliečių grįžtamajai informacijai, taip pat specialią mėlynosios kortelės klausimų sistemą, kuri sudarė sąlygas spontaniškai ir gyvai keistis informacija apie piliečių pateiktas rekomendacijas.</w:t>
      </w:r>
    </w:p>
    <w:p>
      <w:pPr>
        <w:pStyle w:val="Normal"/>
        <w:rPr/>
      </w:pPr>
      <w:r>
        <w:rPr>
          <w:b/>
          <w:i/>
          <w:u w:val="single"/>
        </w:rPr>
        <w:t>KETVIRTOJI KONFERENCIJOS PLENARINĖ ASAMBLĖJA, 2022 M. KOVO 11–12 D.</w:t>
      </w:r>
      <w:r>
        <w:rPr/>
        <w:t xml:space="preserve"> </w:t>
      </w:r>
    </w:p>
    <w:p>
      <w:pPr>
        <w:pStyle w:val="Normal"/>
        <w:rPr/>
      </w:pPr>
      <w:r>
        <w:rPr/>
        <w:t>Ketvirtoji konferencijos plenarinė asamblėja taip pat buvo skirta Europos piliečių forumų ir susijusių nacionalinių piliečių forumų rekomendacijoms pristatyti. Šis plenarinis posėdis įvyko galutinai patvirtinus dviejų likusių Europos piliečių forumų rekomendacijas, t. y.: 1 grupė (Stipresnė ekonomika, socialinis teisingumas ir užimtumas; švietimas, kultūra, jaunimas ir sportas; skaitmeninė transformacija) ir 4 (ES pasaulyje; migracija).</w:t>
      </w:r>
    </w:p>
    <w:p>
      <w:pPr>
        <w:pStyle w:val="Normal"/>
        <w:rPr/>
      </w:pPr>
      <w:r>
        <w:rPr/>
        <w:t>Kaip ir sausio mėn. plenarinėje sesijoje, šios plenarinės sesijos diskusijos buvo organizuojamos pagal temą. Šį kartą aptartos 1 ir 4 Europos piliečių forumų temos. Diskusijos dėl piliečių pateiktų rekomendacijų vėl paskatino intensyvius ir išsamius mainus, paremtus naujoviška interaktyvia forma.</w:t>
      </w:r>
    </w:p>
    <w:p>
      <w:pPr>
        <w:pStyle w:val="Normal"/>
        <w:rPr/>
      </w:pPr>
      <w:r>
        <w:rPr>
          <w:b/>
          <w:i/>
          <w:u w:val="single"/>
        </w:rPr>
        <w:t>PENKTOJI PLENARINĖ ASAMBLĖJA, 2022 M. KOVO 25–26 D.</w:t>
      </w:r>
      <w:r>
        <w:rPr/>
        <w:t xml:space="preserve"> </w:t>
      </w:r>
    </w:p>
    <w:p>
      <w:pPr>
        <w:pStyle w:val="Normal"/>
        <w:rPr/>
      </w:pPr>
      <w:r>
        <w:rPr/>
        <w:t>Penktojoje plenarinėje asamblėjoje konferencija buvo įtraukta į kitą etapą ir pradėtas plenarinio posėdžio pasiūlymų rengimo procesas remiantis piliečių pateiktomis rekomendacijomis. Todėl plenarinės sesijos nariai, pasirengę mažesnėse teminėse darbo grupėse, pirmą kartą surengė diskusijas devyniomis konferencijos temomis: stipresnė ekonomika, socialinis teisingumas ir užimtumas; švietimas, kultūra, jaunimas ir sportas; skaitmeninė transformacija; Europos demokratija; vertybės ir teisės, teisinė valstybė, saugumas; klimato kaita ir aplinka; sveikata; ES pasaulyje; migracija. Ši plenarinė sesija taip pat suteikė galimybę 27 ES valstybėse narėse surengtų nacionalinių renginių atstovams pristatyti savo iniciatyvų rezultatus.</w:t>
      </w:r>
    </w:p>
    <w:p>
      <w:pPr>
        <w:pStyle w:val="Normal"/>
        <w:rPr/>
      </w:pPr>
      <w:r>
        <w:rPr>
          <w:b/>
          <w:i/>
          <w:u w:val="single"/>
        </w:rPr>
        <w:t>KONFERENCIJOS ŠEŠTOJI PLENARINĖ ASAMBLĖJA, 2022 M. BALANDŽIO 8–9 D.</w:t>
      </w:r>
      <w:r>
        <w:rPr/>
        <w:t xml:space="preserve"> </w:t>
      </w:r>
    </w:p>
    <w:p>
      <w:pPr>
        <w:pStyle w:val="Normal"/>
        <w:rPr/>
      </w:pPr>
      <w:r>
        <w:rPr/>
        <w:t>Šeštajame konferencijos plenariniame posėdyje baigtas rengti plenarinės sesijos pasiūlymų projektas.</w:t>
      </w:r>
    </w:p>
    <w:p>
      <w:pPr>
        <w:pStyle w:val="Normal"/>
        <w:rPr/>
      </w:pPr>
      <w:r>
        <w:rPr/>
        <w:t>Pasibaigus paskutiniams teminių darbo grupių posėdžiams, visi plenarinės sesijos nariai, surengę devynias esmines diskusijas, pareiškė savo nuomonę ir pastabas dėl pasiūlymų projektų, kuriuos jie parengė pastaraisiais mėnesiais. Šie mainai taip pat suteikė jiems galimybę apmąstyti unikalų plenarinio posėdžio pasiūlymų rengimo procesą, pagrįstą piliečių rekomendacijomis, ir nuo jų rengimo atliktą darbą. Visų pirma piliečiai pabrėžė unikalią šio svarstymo proceso žmogiškąją patirtį ir pridėtinę vertę, kurie juos suvienijo prie šio bendro projekto. Šiomis diskusijomis remtasi rengiant galutinius pasiūlymų projektus, kurie turi būti pateikti naujausiai konferencijos plenarinei asamblėjai.</w:t>
      </w:r>
    </w:p>
    <w:p>
      <w:pPr>
        <w:pStyle w:val="Normal"/>
        <w:rPr/>
      </w:pPr>
      <w:r>
        <w:rPr>
          <w:b/>
          <w:i/>
          <w:u w:val="single"/>
        </w:rPr>
        <w:t>SEPTINTOJI PLENARINĖ ASAMBLĖJA, 2022 M. BALANDŽIO 29–30 D.</w:t>
      </w:r>
      <w:r>
        <w:rPr/>
        <w:t xml:space="preserve"> </w:t>
      </w:r>
    </w:p>
    <w:p>
      <w:pPr>
        <w:pStyle w:val="Normal"/>
        <w:rPr/>
      </w:pPr>
      <w:r>
        <w:rPr/>
        <w:t>Konferencijos dėl Europos ateities septintoji plenarinė asamblėja buvo svarbus žingsnis užbaigiant keletą mėnesių trukusį intensyvių svarstymų procesą, kuriame buvo suformuluoti 49 pasiūlymai. Per plenarinį posėdį Vykdomajai valdybai bendru sutarimu buvo pateikti ir suformuluoti 49 pasiūlymai. Šį sutarimą pasiekė Europos Parlamento, Tarybos, Europos Komisijos ir nacionalinių parlamentų atstovai.</w:t>
      </w:r>
    </w:p>
    <w:p>
      <w:pPr>
        <w:pStyle w:val="Normal"/>
        <w:rPr/>
      </w:pPr>
      <w:r>
        <w:rPr/>
        <w:t xml:space="preserve">Regionų komiteto ir Europos ekonomikos ir socialinių reikalų komiteto atstovai, regionų ir vietos išrinkti atstovai, taip pat socialinių partnerių ir pilietinės visuomenės atstovai taip pat išreiškė paramą šiam procesui ir pritarė pasiūlymams. </w:t>
      </w:r>
    </w:p>
    <w:p>
      <w:pPr>
        <w:pStyle w:val="Normal"/>
        <w:rPr/>
      </w:pPr>
      <w:r>
        <w:rPr/>
        <w:t>Piliečių komponentas pateikė savo galutinę poziciją dėl pasiūlymų (žr. toliau pateiktas pagrindines gaires).</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Baigiamojoje plenarinėje sesijoje (2022 m. balandžio 29–30 d.) 108 piliečiai pateikė galutinę poziciją dėl plenarinio posėdžio pasiūlymų. Jų pristatymas buvo sumanytas kolektyviai ir 17 iš jų pristatė pasakojimo kalbą galutinėse diskusijose. Toliau pateiktame tekste pateikiama pagrindinių jų intervencijų minčių santrauka.</w:t>
      </w:r>
    </w:p>
    <w:p>
      <w:pPr>
        <w:pStyle w:val="P68B1DB1Normal14"/>
        <w:shd w:val="clear" w:fill="EEEEEE"/>
        <w:jc w:val="center"/>
        <w:rPr>
          <w:sz w:val="20"/>
        </w:rPr>
      </w:pPr>
      <w:r>
        <w:rPr/>
        <w:t>**</w:t>
      </w:r>
    </w:p>
    <w:p>
      <w:pPr>
        <w:pStyle w:val="P68B1DB1Normal14"/>
        <w:shd w:val="clear" w:fill="EEEEEE"/>
        <w:rPr>
          <w:sz w:val="20"/>
        </w:rPr>
      </w:pPr>
      <w:r>
        <w:rPr/>
        <w:t>Pirmiausia dėkojame Europos Parlamentui, Tarybai ir Komisijai už suteiktą galimybę padėti formuoti Europos ateitį. Susitikome su Europos kolegomis iš visos Sąjungos, įvairių forumų ir renginių, su politiniais atstovais ir socialiniais veikėjais ir praplėtėme savo akiratį. Mes užaugome kaip europiečiai. Dėl to mes visi pasiaukojame: mes buvome pašalinti iš savo kasdienio gyvenimo, paimtos poilsio dienos ir Europos piliečių forumų nariams praleidome devynis savaitgalius nuo mūsų šeimų. Bet mes turėjome neįtikėtiną ir unikalią patirtį. Mums tai nebuvo laiko švaistymas.</w:t>
      </w:r>
    </w:p>
    <w:p>
      <w:pPr>
        <w:pStyle w:val="P68B1DB1Normal14"/>
        <w:shd w:val="clear" w:fill="EEEEEE"/>
        <w:rPr>
          <w:sz w:val="20"/>
        </w:rPr>
      </w:pPr>
      <w:r>
        <w:rPr/>
        <w:t>Pakeliui buvo pakilimų ir nuosmukių. Mes ne visada gavome atsakymą į mūsų klausimus. Žinome, kad pasiūlymams įgyvendinti prireiks laiko. Tačiau esame įsitikinę, kad darysite tai, ko reikia, kad tai būtų pasiekta, iš pagarbos mūsų bendram darbui. Jei mes, piliečiai, sugebėjome įveikti mūsų skirtumus, kalbos barjerus, dirbti kartu ir pakelti save į savo lygmenį, jūs taip pat galite.</w:t>
      </w:r>
    </w:p>
    <w:p>
      <w:pPr>
        <w:pStyle w:val="P68B1DB1Normal14"/>
        <w:shd w:val="clear" w:fill="EEEEEE"/>
        <w:jc w:val="center"/>
        <w:rPr>
          <w:sz w:val="20"/>
        </w:rPr>
      </w:pPr>
      <w:r>
        <w:rPr/>
        <w:t>**</w:t>
      </w:r>
    </w:p>
    <w:p>
      <w:pPr>
        <w:pStyle w:val="P68B1DB1Normal14"/>
        <w:shd w:val="clear" w:fill="EEEEEE"/>
        <w:rPr>
          <w:sz w:val="20"/>
        </w:rPr>
      </w:pPr>
      <w:r>
        <w:rPr/>
        <w:t>Mes visi nuėjome ilgą kelią ir dabar, kai mūsų darbas plenariniame posėdyje baigėsi, galime tuo didžiuotis. Matome 8 kompleksines temas, kurios suteikia aiškius ir tvirtus įgaliojimus Europos ateičiai.</w:t>
      </w:r>
    </w:p>
    <w:p>
      <w:pPr>
        <w:pStyle w:val="P68B1DB1Normal14"/>
        <w:shd w:val="clear" w:fill="EEEEEE"/>
        <w:rPr>
          <w:sz w:val="20"/>
        </w:rPr>
      </w:pPr>
      <w:r>
        <w:rPr>
          <w:b/>
        </w:rPr>
        <w:t>Pirma</w:t>
      </w:r>
      <w:r>
        <w:rPr/>
        <w:t>, Europos Sąjunga, grindžiama solidarumu, socialiniu teisingumu ir lygybe. Iš tiesų, piliečiams didelį susirūpinimą kelia tai, kad įvairiose srityse reikia rasti vienodas sąlygas ir teises: sveikatos priežiūra, socialinės paslaugos, mokymasis visą gyvenimą, lygios galimybės kaimo ir miesto vietovėse gyvenantiems žmonėms, atsižvelgiant į demografinius aspektus. Ateityje europiečiai visose valstybėse narėse ir regionuose nebeturėtų būti diskriminuojami dėl jų amžiaus, gyvenamosios vietos, pilietybės, lyties, religijos ar politinių pageidavimų. Jiems turėtų būti pasiūlytas deramas gyvenimo lygis, darbo užmokestis ir darbo sąlygos. ES turi būti daugiau nei ekonominė sąjunga. Valstybės narės turi būti labiau solidarios viena su kita. Mes esame šeima ir turime elgtis kaip tokie krizinėse situacijose.</w:t>
      </w:r>
    </w:p>
    <w:p>
      <w:pPr>
        <w:pStyle w:val="P68B1DB1Normal14"/>
        <w:shd w:val="clear" w:fill="EEEEEE"/>
        <w:rPr>
          <w:sz w:val="20"/>
        </w:rPr>
      </w:pPr>
      <w:r>
        <w:rPr>
          <w:b/>
        </w:rPr>
        <w:t>Antra</w:t>
      </w:r>
      <w:r>
        <w:rPr/>
        <w:t>, ES turi išdrįsti ir greitai imtis veiksmų, kad taptų lydere aplinkos ir klimato srityse, spartintų perėjimą prie ekologiškos energijos, tobulintų savo geležinkelių tinklą, skatintų tvarų transportą ir tikrą žiedinę ekonomiką. Nėra laiko gaišti. ES turi skatinti pokyčius daugelyje politikos sričių: žemės ūkis, biologinė įvairovė, ekonomika, energetika, transportas, švietimas, sveikata, skaitmeninė transformacija ir klimato diplomatija. Mes turime mokslinių tyrimų pajėgumus, ekonominę galią ir geopolitinį svertą tai padaryti. Jei klimatą laikome prioritetu, galime tikėtis klestinčios ateities.</w:t>
      </w:r>
    </w:p>
    <w:p>
      <w:pPr>
        <w:pStyle w:val="P68B1DB1Normal14"/>
        <w:shd w:val="clear" w:fill="EEEEEE"/>
        <w:rPr>
          <w:sz w:val="20"/>
        </w:rPr>
      </w:pPr>
      <w:r>
        <w:rPr>
          <w:b/>
        </w:rPr>
        <w:t>Trečia</w:t>
      </w:r>
      <w:r>
        <w:rPr/>
        <w:t>, Europai reikia demokratiškesnės Sąjungos. Europos piliečiai mėgsta ES, bet būkime atviri: tai ne visada lengva. Kreipėtės į mus, kad padėtume, ir jūs paprašėte: kaip turėtų atrodyti Europos demokratija ateityje? Ir mes jums atsakėme: Mes, piliečiai, norime Europos, kurioje sprendimai būtų priimami skaidriai ir greitai, kurioje būtų persvarstytas vienbalsiškumo principas ir kurioje mes, piliečiai, reguliariai ir rimtai dalyvautųme.</w:t>
      </w:r>
    </w:p>
    <w:p>
      <w:pPr>
        <w:pStyle w:val="P68B1DB1Normal14"/>
        <w:shd w:val="clear" w:fill="EEEEEE"/>
        <w:rPr>
          <w:sz w:val="20"/>
        </w:rPr>
      </w:pPr>
      <w:r>
        <w:rPr>
          <w:b/>
        </w:rPr>
        <w:t>Ketvirta</w:t>
      </w:r>
      <w:r>
        <w:rPr/>
        <w:t>, ES reikia labiau suderinti kai kurias sritis ir suartėti kaip Sąjunga. Karas smogia į mūsų vartus rytuose, todėl turime būti labiau vieningi nei bet kada anksčiau ir suteikti ES daugiau įgūdžių užsienio reikalų srityje. Ši konferencija gali būti pagrindas kurti vieningesnę ir politiškai nuoseklią Europą. Viskas priklauso nuo šio žodžio: Sąjunga. Negalime save apibūdinti kaip tokius, jei nepasieksime bendradarbiavimo, kurį iliustravo ši konferencija.</w:t>
      </w:r>
    </w:p>
    <w:p>
      <w:pPr>
        <w:pStyle w:val="P68B1DB1Normal14"/>
        <w:shd w:val="clear" w:fill="EEEEEE"/>
        <w:rPr>
          <w:sz w:val="20"/>
        </w:rPr>
      </w:pPr>
      <w:r>
        <w:rPr>
          <w:b/>
        </w:rPr>
        <w:t>Penkta</w:t>
      </w:r>
      <w:r>
        <w:rPr/>
        <w:t>, ES turi įgyti savarankiškumą ir užtikrinti savo konkurencingumą pasaulyje. Viso šio proceso metu kalbėjome apie šio tikslo pasiekimą pagrindinėse strateginėse srityse: žemės ūkis, energetika, pramonė, sveikata. Turime vengti daugelio jautrių produktų priklausomumo nuo trečiųjų šalių. Turime remtis mūsų darbo jėgos talentais, užkirsti kelią protų nutekėjimui ir tinkamai mokyti piliečius visais jų gyvenimo etapais, nepriklausomai nuo to, kur jie gyvena ES. Negalime turėti didžiulių skirtumų ES viduje ir jaunimo be perspektyvos vienoje šalyje, priversti vykti į kitą.</w:t>
      </w:r>
    </w:p>
    <w:p>
      <w:pPr>
        <w:pStyle w:val="P68B1DB1Normal14"/>
        <w:shd w:val="clear" w:fill="EEEEEE"/>
        <w:rPr>
          <w:sz w:val="20"/>
        </w:rPr>
      </w:pPr>
      <w:r>
        <w:rPr>
          <w:b/>
        </w:rPr>
        <w:t>Šešta</w:t>
      </w:r>
      <w:r>
        <w:rPr/>
        <w:t>, ES ateitis grindžiama jos vertybėmis. Jie vadovaujasi mūsų darbu. Kai mes pradėjome, niekas negalėjo įsivaizduoti, kad karas prasiskverbs mūsų žemyne. Ši kova už laisvę leidžia mums suvokti galimybę gyventi taikioje sąjungoje. Už visų mūsų pasiūlymų išreiškiamos šios vertybės: humaniškas ir orus migrantų priėmimas, vienodos galimybės naudotis sveikatos priežiūros paslaugomis, kova su korupcija, raginimas saugoti gamtą ir biologinę įvairovę ir demokratiškesnė Sąjunga.</w:t>
      </w:r>
    </w:p>
    <w:p>
      <w:pPr>
        <w:pStyle w:val="P68B1DB1Normal14"/>
        <w:shd w:val="clear" w:fill="EEEEEE"/>
        <w:rPr>
          <w:sz w:val="20"/>
        </w:rPr>
      </w:pPr>
      <w:r>
        <w:rPr>
          <w:b/>
        </w:rPr>
        <w:t>Septinta</w:t>
      </w:r>
      <w:r>
        <w:rPr/>
        <w:t>, ateityje piliečiai turėtų jaustis labiau europiečiais ir geriau pažinti ES. Tai kompleksinis klausimas, kuriuo grindžiamas visų grupių darbas. Skaitmeninė transformacija, švietimas, judumas ir mainai gali suteikti pagrindą šiai Europos tapatybei, kuri, nekeliant abejonių, papildo mūsų nacionalinę tapatybę. Daugelis iš mūsų nesijaučiame europiečiais prieš šią konferenciją: jis atsirado čia, lėtai, keičiantis vienas su kitu. Mums pasisekė, kad turėjome tokią galimybę, bet daugelis to nedaro. Todėl informacija, komunikacija ir informuotumas yra tokie svarbūs.</w:t>
      </w:r>
    </w:p>
    <w:p>
      <w:pPr>
        <w:pStyle w:val="P68B1DB1Normal14"/>
        <w:shd w:val="clear" w:fill="EEEEEE"/>
        <w:rPr>
          <w:sz w:val="20"/>
        </w:rPr>
      </w:pPr>
      <w:r>
        <w:rPr/>
        <w:t xml:space="preserve">Galiausiai </w:t>
      </w:r>
      <w:r>
        <w:rPr>
          <w:b/>
        </w:rPr>
        <w:t>aštuntoji</w:t>
      </w:r>
      <w:r>
        <w:rPr/>
        <w:t xml:space="preserve"> kompleksinė tema, kuri mums nepaprastai svarbi, yra švietimas ir apskritai piliečių įgalėjimas. Į šią konferenciją nusprendėte pakviesti piliečius nuo 16 metų. Esame už tai dėkingi, nes labiau nei bet kada būtina suteikti daugiau galių jaunimui. Didelis jaunimo susilaikymas rodo, kad reikia atkurti ryšį tarp jaunimo ir politikos. Jie taip pat turi būti ekonomiškai ir socialiai atskaitingi: vis dar pernelyg sunku patekti į darbo rinką, ginti savo socialines teises. Per COVID-19 pandemiją jie jautėsi apleisti ir daugelis jų vis dar kenčia nuo savo psichikos sveikatos padarinių. Tačiau reikia įgalinti ne tik jaunimą, bet ir visus europiečius: pasinaudodami judumo programomis ir visą gyvenimą trunkančiu mokymusi, turime išplėsti visų europiečių akiratį. Taip pat turime mokyti piliečius demokratijos, pilietinio dalyvavimo ir gebėjimo naudotis žiniasklaidos priemonėmis srityse. Mums reikia tikrai holistinio požiūrio.</w:t>
      </w:r>
    </w:p>
    <w:p>
      <w:pPr>
        <w:pStyle w:val="P68B1DB1Normal14"/>
        <w:shd w:val="clear" w:fill="EEEEEE"/>
        <w:jc w:val="center"/>
        <w:rPr>
          <w:sz w:val="20"/>
        </w:rPr>
      </w:pPr>
      <w:r>
        <w:rPr/>
        <w:t>**</w:t>
      </w:r>
    </w:p>
    <w:p>
      <w:pPr>
        <w:pStyle w:val="P68B1DB1Normal14"/>
        <w:shd w:val="clear" w:fill="EEEEEE"/>
        <w:rPr>
          <w:sz w:val="20"/>
        </w:rPr>
      </w:pPr>
      <w:r>
        <w:rPr/>
        <w:t>Niekas nežinojo, koks bus rezultatas. 27 šalys, 24 kalbos, skirtingo amžiaus. Ir vis dėlto, kai dirbome kartu, jautėmės susiję: mūsų smegenys, mūsų mintys, mūsų patirtis. Mes nesame ES ekspertai ar viena iš konferencijos temų, bet esame realaus gyvenimo ekspertai ir turime savo istorijas. Mes einame į darbą, gyvename kaime ir priemiesčiuose, dirbame naktį, studijuojame, turime vaikų, važiuojame viešuoju transportu. Galime pasikliauti savo įvairove. Buvo pasiektas konsensusas dėl pasiūlymų tarp keturių skirtingų komponentų ir piliečių komponento. Mes sutinkame ir palaikome visus pasiūlymus, kurie dabar yra jūsų rankose. Mes pareiškiame priešingą poziciją dėl 38.4 priemonės trečiojo punkto, nes ji nėra parengta Europos ar nacionalinių grupių ir nebuvo pakankamai aptarta Viso darbo grupėje. Todėl nekomentuojame šios priemonės esmės ar svarbos. Atsižvelgdami į tai, kviečiame apsvarstyti visus šiuos pasiūlymus, juos įgyvendinti, o ne tik tuos, kurie jums labiausiai tinka ir kuriuos lengva taikyti. Darykite tai skaidriai. Su pasiaukojimu ir aistra dirbome prie šių pasiūlymų, didžiuojamės savo darbu: gerbkite jį.</w:t>
      </w:r>
    </w:p>
    <w:p>
      <w:pPr>
        <w:pStyle w:val="P68B1DB1Normal14"/>
        <w:shd w:val="clear" w:fill="EEEEEE"/>
        <w:rPr>
          <w:sz w:val="20"/>
        </w:rPr>
      </w:pPr>
      <w:r>
        <w:rPr/>
        <w:t>Konferencija dėl Europos ateities išgyveno pandemiją ir stebėjo karą Europoje, pademonstruodama visišką solidarumą su Ukrainos žmonėmis. Šie metai buvo nemalonūs dalyviams ir visiems europiečiams. Tačiau konferencija tęsė savo darbą prieš vėjus ir potvynius. Konferencijos piliečių vardu leiskite mums užbaigti jums siunčiant paprastą žinutę: jaučiamės europiečiais, jaučiamės įsipareigoję ir įsiklausomi į demokratizacijos procesą, tikime ES ir norime toliau ja tikėti. Taigi, iš mūsų širdies apačios, gerai perskaitykite pasiūlymus ir juos įgyvendinkite dėl Europos ateities.</w:t>
      </w:r>
    </w:p>
    <w:p>
      <w:pPr>
        <w:pStyle w:val="Normal"/>
        <w:shd w:val="clear" w:fill="EEEEEE"/>
        <w:rPr/>
      </w:pPr>
      <w:r>
        <w:rPr/>
      </w:r>
    </w:p>
    <w:p>
      <w:pPr>
        <w:pStyle w:val="Corpsdetexte"/>
        <w:rPr/>
      </w:pPr>
      <w:r>
        <w:rPr/>
        <w:t>Plenarinės asamblėjos Tarybos komponento</w:t>
      </w:r>
      <w:r>
        <w:br w:type="page"/>
      </w:r>
    </w:p>
    <w:p>
      <w:pPr>
        <w:pStyle w:val="Normal"/>
        <w:rPr/>
      </w:pPr>
      <w:r>
        <w:rPr/>
        <w:t>atstovai susilaikė nuo pastabų dėl pasiūlymų esmės, tačiau rėmė ir skatino piliečių veiklą ir susipažino su jų rekomendacijomis. Po 2022 m. gegužės 9 d. Taryba, atsižvelgdama į savo kompetencijos sritį ir vadovaudamasi Sutartimis, nuspręs, kaip imtis tolesnių veiksmų atsižvelgiant į Konferencijos rezultatus.</w:t>
      </w:r>
    </w:p>
    <w:p>
      <w:pPr>
        <w:pStyle w:val="Normal"/>
        <w:rPr/>
      </w:pPr>
      <w:r>
        <w:rPr/>
      </w:r>
    </w:p>
    <w:p>
      <w:pPr>
        <w:pStyle w:val="Corpsdetexte"/>
        <w:rPr/>
      </w:pPr>
      <w:r>
        <w:rPr/>
        <w:t>Konferencijos dėl Europos ateities vykdomoji valdyba atsižvelgia į plenarinės asamblėjos pateiktus pasiūlymus ir pateikia juos kaip galutinius konferencijos rezultatus. Pateikus gaires dėl Europos ateities, šie pasiūlymai buvo gauti po beveik metus trukusių svarstymų pagal bendrą deklaraciją ir Konferencijos darbo tvarkos taisykles.</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Paveikslėli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aveikslėlis20" descr=""/>
                    <pic:cNvPicPr>
                      <a:picLocks noChangeAspect="1" noChangeArrowheads="1"/>
                    </pic:cNvPicPr>
                  </pic:nvPicPr>
                  <pic:blipFill>
                    <a:blip r:embed="rId73"/>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Plenarinės asamblėjos pasiūlymai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Paveikslėli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veikslėlis21"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Klimato kaita ir aplinka</w:t>
      </w:r>
    </w:p>
    <w:p>
      <w:pPr>
        <w:pStyle w:val="Titre3"/>
        <w:numPr>
          <w:ilvl w:val="2"/>
          <w:numId w:val="2"/>
        </w:numPr>
        <w:rPr/>
      </w:pPr>
      <w:bookmarkStart w:id="38" w:name="__RefHeading___Toc298250_1346298689"/>
      <w:bookmarkEnd w:id="38"/>
      <w:r>
        <w:rPr/>
        <w:t>1. Pasiūlymas: Žemės ūkis, maisto gamyba, biologinė įvairovė ir ekosistemos, tarša</w:t>
      </w:r>
    </w:p>
    <w:p>
      <w:pPr>
        <w:pStyle w:val="P68B1DB1Normal15"/>
        <w:rPr>
          <w:b/>
          <w:b/>
        </w:rPr>
      </w:pPr>
      <w:r>
        <w:rPr/>
        <w:t>Tikslas: Saugi, tvari, sąžininga, klimato požiūriu reaguojanti ir įperkama maisto gamyba, kurioje laikomasi tvarumo ir aplinkos principų ir saugoma biologinė įvairovė bei ekosistemos, kartu užtikrinant apsirūpinimo maistu saugumą.</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rPr/>
      </w:pPr>
      <w:r>
        <w:rPr/>
        <w:t>1.</w:t>
        <w:tab/>
        <w:t>Pirmenybę teikti žaliosios ir mėlynosios ekonomikos koncepcijoms, skatinant veiksmingą ir aplinkai nekenkiantį ir klimatui nekenkiantį žemės ūkį ir žuvininkystę ES ir visame pasaulyje, įskaitant ekologinį ūkininkavimą ir kitas novatoriškas ir tvarias žemės ūkio formas, pavyzdžiui, vertikalųjį žemės ūkį, pagal kurį galima gaminti mažiau sąnaudų, kartu mažinant išmetamųjų teršalų kiekį ir poveikį aplinkai, tačiau toliau užtikrinant našumą ir apsirūpinimo maistu saugumą (3 etapas – 1, 2 ir 10 rekomendacijos; 2 grupė – rekomendacija Nr. 4).</w:t>
      </w:r>
    </w:p>
    <w:p>
      <w:pPr>
        <w:pStyle w:val="Puce3"/>
        <w:rPr/>
      </w:pPr>
      <w:r>
        <w:rPr/>
        <w:t>2.</w:t>
        <w:tab/>
        <w:t>Perskirstyti subsidijas ir stiprinti paskatas ekologiniam ir tvariam žemės ūkiui, kuris atitinka konkrečius aplinkos standartus ir padeda siekti pasaulinių klimato tikslų (3 skyrius – 1 ir 12 rekomendacijos).</w:t>
      </w:r>
    </w:p>
    <w:p>
      <w:pPr>
        <w:pStyle w:val="Puce3"/>
        <w:rPr/>
      </w:pPr>
      <w:r>
        <w:rPr/>
        <w:t>3.</w:t>
        <w:tab/>
        <w:t>Taikyti žiedinės ekonomikos principus žemės ūkyje ir skatinti kovos su maisto švaistymu priemones (diskusijos darbo grupėje, daugiakalbė skaitmeninė platforma – NPC).</w:t>
      </w:r>
    </w:p>
    <w:p>
      <w:pPr>
        <w:pStyle w:val="Puce3"/>
        <w:rPr/>
      </w:pPr>
      <w:r>
        <w:rPr/>
        <w:t>4.</w:t>
        <w:tab/>
        <w:t>Pagal esamus tikslus gerokai sumažinti pesticidų ir cheminių trąšų naudojimą, kartu toliau užtikrinant maisto saugą, ir remti mokslinius tyrimus, kuriais siekiama sukurti tvaresnes ir gamtines alternatyvas (3 lentelė – 10 rekomendacija, diskusijos darbo grupėje).</w:t>
      </w:r>
    </w:p>
    <w:p>
      <w:pPr>
        <w:pStyle w:val="Puce3"/>
        <w:rPr/>
      </w:pPr>
      <w:r>
        <w:rPr/>
        <w:t>5.</w:t>
        <w:tab/>
        <w:t>Įdiegti anglies dioksido šalinimo sertifikavimą, grindžiamą patikima, patikima ir skaidria anglies dioksido apskaita (plenarinės diskusijos).</w:t>
      </w:r>
    </w:p>
    <w:p>
      <w:pPr>
        <w:pStyle w:val="Puce3"/>
        <w:rPr/>
      </w:pPr>
      <w:r>
        <w:rPr/>
        <w:t>6.</w:t>
        <w:tab/>
        <w:t>Intensyvinti mokslinius tyrimus ir inovacijas, visų pirma susijusius su technologiniais sprendimais, susijusiais su tvaria gamyba, atsparumu kenkėjams ir tiksliuoju ūkininkavimu, taip pat su komunikacija, konsultavimo sistemomis ir ūkininkų bei ūkininkų mokymu (3 lentelė – 10 rekomendacija, diskusijos darbo grupėje, plenarinės sesijos diskusijos).</w:t>
      </w:r>
    </w:p>
    <w:p>
      <w:pPr>
        <w:pStyle w:val="Puce3"/>
        <w:rPr/>
      </w:pPr>
      <w:r>
        <w:rPr/>
        <w:t>7.</w:t>
        <w:tab/>
        <w:t>Panaikinti socialinį dempingą ir skatinti teisingą žaliąjį perėjimą prie geresnių darbo vietų žemės ūkio sektoriuje, užtikrinant aukštos kokybės saugą, sveikatą ir darbo sąlygas (diskusijos darbo grupėje).</w:t>
      </w:r>
    </w:p>
    <w:p>
      <w:pPr>
        <w:pStyle w:val="Puce3"/>
        <w:rPr/>
      </w:pPr>
      <w:r>
        <w:rPr/>
        <w:t>8.</w:t>
        <w:tab/>
        <w:t>Aptarti tokius aspektus kaip plastiko naudojimas žemės ūkio plėvelėse ir būdai, kaip sumažinti vandens suvartojimą žemės ūkyje (PNM).</w:t>
      </w:r>
    </w:p>
    <w:p>
      <w:pPr>
        <w:pStyle w:val="Puce3"/>
        <w:rPr/>
      </w:pPr>
      <w:r>
        <w:rPr/>
        <w:t>9.</w:t>
        <w:tab/>
        <w:t>Pagrįstas mėsos auginimas ir gamyba buvo orientuoti į gyvūnų gerovę ir tvarumą taikant tokias priemones kaip aiškus ženklinimas, aukštos kokybės ir bendri gyvulininkystės ir vežimo standartai, kuriais stiprinamas gyvulių ir pašarų ryšys (3 lentelė. 16 ir 30 rekomendacijos).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Pasiūlymas: Žemės ūkis, maisto gamyba, biologinė įvairovė ir ekosistemos, tarša</w:t>
      </w:r>
    </w:p>
    <w:p>
      <w:pPr>
        <w:pStyle w:val="P68B1DB1Normal15"/>
        <w:rPr>
          <w:b/>
          <w:b/>
        </w:rPr>
      </w:pPr>
      <w:r>
        <w:rPr/>
        <w:t>Tikslas: Saugoti ir atkurti biologinę įvairovę, kraštovaizdį ir vandenynus bei pašalinti taršą.</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Priemonės:</w:t>
      </w:r>
    </w:p>
    <w:p>
      <w:pPr>
        <w:pStyle w:val="Puce3"/>
        <w:tabs>
          <w:tab w:val="clear" w:pos="720"/>
        </w:tabs>
        <w:rPr/>
      </w:pPr>
      <w:r>
        <w:rPr/>
        <w:t>1.</w:t>
        <w:tab/>
        <w:t>Saugomų teritorijų kūrimas, atkūrimas, valdymas ir plėtra siekiant išsaugoti biologinę įvairovę (FR rekomendacijos 3 grupė, 11 rekomendacija).</w:t>
      </w:r>
    </w:p>
    <w:p>
      <w:pPr>
        <w:pStyle w:val="Puce3"/>
        <w:tabs>
          <w:tab w:val="clear" w:pos="720"/>
        </w:tabs>
        <w:rPr/>
      </w:pPr>
      <w:r>
        <w:rPr/>
        <w:t>2.</w:t>
        <w:tab/>
        <w:t>Sukurti prievartos ir atlygio sistemą kovai su tarša, taikant principą „teršėjas moka“, kuris taip pat turėtų būti integruotas į mokesčių priemones ir geriau informuoti ir skatinti (3 lentelė – 32 rekomendacija, FR rekomendacija, plenarinio posėdžio diskusijos).</w:t>
      </w:r>
    </w:p>
    <w:p>
      <w:pPr>
        <w:pStyle w:val="Puce3"/>
        <w:tabs>
          <w:tab w:val="clear" w:pos="720"/>
        </w:tabs>
        <w:rPr/>
      </w:pPr>
      <w:r>
        <w:rPr/>
        <w:t>3.</w:t>
        <w:tab/>
        <w:t>Išplėsti savivaldybių vaidmenį planuojant miestus ir statant naujus pastatus, kuriais remiama mėlynoji ir žalioji infrastruktūra, vengti tolesnio žemės sandarinimo ir ją panaikinti, privalomas žaliąsias erdves naujoms statyboms, siekiant skatinti biologinę įvairovę ir miesto miškus (3 skyriaus 5 rekomendacija, 1 grupė – 18 rekomendacija, FR rekomendacija).</w:t>
      </w:r>
    </w:p>
    <w:p>
      <w:pPr>
        <w:pStyle w:val="Puce3"/>
        <w:tabs>
          <w:tab w:val="clear" w:pos="720"/>
        </w:tabs>
        <w:rPr/>
      </w:pPr>
      <w:r>
        <w:rPr/>
        <w:t>4.</w:t>
        <w:tab/>
        <w:t>Apsaugoti vabzdžius, visų pirma vietines ir apdulkinančias rūšis, be kita ko, apsaugant nuo invazinių rūšių ir geriau užtikrinant galiojančių taisyklių vykdymą (1 lentelė, 18 rekomendacija).</w:t>
      </w:r>
    </w:p>
    <w:p>
      <w:pPr>
        <w:pStyle w:val="Puce3"/>
        <w:tabs>
          <w:tab w:val="clear" w:pos="720"/>
        </w:tabs>
        <w:rPr/>
      </w:pPr>
      <w:r>
        <w:rPr/>
        <w:t>5.</w:t>
        <w:tab/>
        <w:t>Remti miškų įveisimą ir atželdinimą, įskaitant gaisro sunaikintus miškus, taikyti atsakingą miškotvarką ir skatinti geriau naudoti medieną kitoms medžiagoms pakeisti. Visose ES valstybėse narėse nustatyti privalomus nacionalinius tikslus, susijusius su miškų atželdinimu vietiniais medžiais ir vietos flora, atsižvelgiant į skirtingą nacionalinę padėtį ir ypatumus (3 lentelė – 14 rekomendacija, 1 grupė – 18 rekomendacija).</w:t>
      </w:r>
    </w:p>
    <w:p>
      <w:pPr>
        <w:pStyle w:val="Puce3"/>
        <w:tabs>
          <w:tab w:val="clear" w:pos="720"/>
        </w:tabs>
        <w:rPr/>
      </w:pPr>
      <w:r>
        <w:rPr/>
        <w:t>6.</w:t>
        <w:tab/>
        <w:t>Užtikrinti vienkartinių plastikinių gaminių (angl. SMP) uždraudimą ir jį išplėsti.</w:t>
      </w:r>
    </w:p>
    <w:p>
      <w:pPr>
        <w:pStyle w:val="Puce3"/>
        <w:tabs>
          <w:tab w:val="clear" w:pos="720"/>
        </w:tabs>
        <w:rPr/>
      </w:pPr>
      <w:r>
        <w:rPr/>
        <w:t>7.</w:t>
        <w:tab/>
        <w:t>Apsaugoti vandens šaltinius ir kovoti su upių ir vandenynų tarša, be kita ko, vykdant mokslinius tyrimus ir kovojant su mikroplastiko tarša, taip pat skatinant aplinką tausojantį transportą naudojant geriausias turimas technologijas ir nustatant Sąjungos mokslinius tyrimus ir finansavimą alternatyviems jūriniams degalams ir technologijoms (NMP, diskusijos darbo grupėje).</w:t>
      </w:r>
    </w:p>
    <w:p>
      <w:pPr>
        <w:pStyle w:val="Puce3"/>
        <w:tabs>
          <w:tab w:val="clear" w:pos="720"/>
        </w:tabs>
        <w:rPr/>
      </w:pPr>
      <w:r>
        <w:rPr/>
        <w:t>8.</w:t>
        <w:tab/>
        <w:t>Apriboti šviesos taršą (diskusijos darbo grupėje).</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Pasiūlymas: Klimato kaita, energetika, transportas</w:t>
      </w:r>
    </w:p>
    <w:p>
      <w:pPr>
        <w:pStyle w:val="P68B1DB1Normal15"/>
        <w:rPr>
          <w:b/>
          <w:b/>
        </w:rPr>
      </w:pPr>
      <w:r>
        <w:rPr/>
        <w:t>Tikslas: Didinti Europos energetinį saugumą ir užtikrinti Sąjungos energetinę nepriklausomybę, kartu užtikrinant teisingą pertvarką ir užtikrinant pakankamą tvarią ir įperkamą energiją europiečiams. Kova su klimato kaita suteikiant ES pirmavimą pasaulyje tvarios energetikos politikos srityje ir laikantis pasaulinių klimato apsaugos tikslų.</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Priemonės:</w:t>
      </w:r>
    </w:p>
    <w:p>
      <w:pPr>
        <w:pStyle w:val="Puce3"/>
        <w:tabs>
          <w:tab w:val="clear" w:pos="720"/>
        </w:tabs>
        <w:rPr/>
      </w:pPr>
      <w:r>
        <w:rPr/>
        <w:t>1.</w:t>
        <w:tab/>
        <w:t>Pasiekti ir, kai įmanoma, paspartinti žaliąją pertvarką, be kita ko, daugiau investuojant į atsinaujinančiąją energiją, siekiant sumažinti išorės energetinę priklausomybę, taip pat pripažįstant vietos ir regionų valdžios institucijų vaidmenį pereinant prie žaliosios ekonomikos (diskusijos darbo grupėje).</w:t>
      </w:r>
    </w:p>
    <w:p>
      <w:pPr>
        <w:pStyle w:val="Puce3"/>
        <w:tabs>
          <w:tab w:val="clear" w:pos="720"/>
        </w:tabs>
        <w:rPr/>
      </w:pPr>
      <w:r>
        <w:rPr/>
        <w:t>2.</w:t>
        <w:tab/>
        <w:t>Energetikos politikos srityje išnagrinėti visų energijos tiekėjų iš trečiųjų šalių geopolitines ir saugumo pasekmes, visų pirma žmogaus teisių, ekologijos, gero valdymo ir teisinės valstybės srityse (diskusijos darbo grupėje).</w:t>
      </w:r>
    </w:p>
    <w:p>
      <w:pPr>
        <w:pStyle w:val="Puce3"/>
        <w:tabs>
          <w:tab w:val="clear" w:pos="720"/>
        </w:tabs>
        <w:rPr/>
      </w:pPr>
      <w:r>
        <w:rPr/>
        <w:t>3.</w:t>
        <w:tab/>
        <w:t>Mažinti priklausomybę nuo naftos ir dujų importo įgyvendinant energijos vartojimo efektyvumo projektus, remiant įperkamą viešąjį transportą, greitųjų krovinių vežimo geležinkeliais tinklą ir plečiant švarios ir atsinaujinančios energijos tiekimą (4 lentelė – 2 rekomendacija, 1 grupė – 10 rekomendacija, FR ir DE rekomendacijos).</w:t>
      </w:r>
    </w:p>
    <w:p>
      <w:pPr>
        <w:pStyle w:val="Puce3"/>
        <w:tabs>
          <w:tab w:val="clear" w:pos="720"/>
        </w:tabs>
        <w:rPr/>
      </w:pPr>
      <w:r>
        <w:rPr/>
        <w:t>4.</w:t>
        <w:tab/>
        <w:t>Gerinti kokybę ir sujungiamumą, užtikrinti elektros energijos infrastruktūros ir tinklų techninę priežiūrą ir transformaciją, kad būtų padidintas saugumas ir sudarytos sąlygos pereiti prie atsinaujinančiųjų energijos išteklių (1 skyrius – 10 rekomendacija, diskusijos darbo grupėje).</w:t>
      </w:r>
    </w:p>
    <w:p>
      <w:pPr>
        <w:pStyle w:val="Puce3"/>
        <w:tabs>
          <w:tab w:val="clear" w:pos="720"/>
        </w:tabs>
        <w:rPr/>
      </w:pPr>
      <w:r>
        <w:rPr/>
        <w:t>5.</w:t>
        <w:tab/>
        <w:t>Investuoti į technologijas, kuriomis galima gaminti atsinaujinančiąją energiją, pavyzdžiui, veiksmingą ekologiško vandenilio gamybą, ypač tuose sektoriuose, kuriuos sunku elektrifikuoti (3 skyrius – 31 rekomendacija, diskusijos darbo grupėje).</w:t>
      </w:r>
    </w:p>
    <w:p>
      <w:pPr>
        <w:pStyle w:val="Puce3"/>
        <w:tabs>
          <w:tab w:val="clear" w:pos="720"/>
        </w:tabs>
        <w:rPr/>
      </w:pPr>
      <w:r>
        <w:rPr/>
        <w:t>6.</w:t>
        <w:tab/>
        <w:t>Investuoti į naujų energijos šaltinių ir aplinkai nekenkiančių saugojimo metodų tyrinėjimą ir, kol bus rastas konkretus sprendimas, papildomai investuoti į esamus optimalius energijos gamybos ir saugojimo sprendimus (3 skyrius – 9 ir 31 rekomendacijos).</w:t>
      </w:r>
    </w:p>
    <w:p>
      <w:pPr>
        <w:pStyle w:val="Puce3"/>
        <w:tabs>
          <w:tab w:val="clear" w:pos="720"/>
        </w:tabs>
        <w:rPr/>
      </w:pPr>
      <w:r>
        <w:rPr/>
        <w:t>7.</w:t>
        <w:tab/>
        <w:t>Nustatyti, kad</w:t>
      </w:r>
      <w:r>
        <w:rPr>
          <w:vertAlign w:val="subscript"/>
        </w:rPr>
        <w:t>CO2 filtrai būtų privalomi</w:t>
      </w:r>
      <w:r>
        <w:rPr/>
        <w:t xml:space="preserve"> iškastinio kuro jėgainėse, ir teikti finansinę paramą valstybėms narėms, neturinčioms finansinių išteklių CO2 filtrams įgyvendinti (3</w:t>
      </w:r>
      <w:r>
        <w:rPr>
          <w:vertAlign w:val="subscript"/>
        </w:rPr>
        <w:t>grupė</w:t>
      </w:r>
      <w:r>
        <w:rPr/>
        <w:t xml:space="preserve"> – 29 rekomendacija).</w:t>
      </w:r>
    </w:p>
    <w:p>
      <w:pPr>
        <w:pStyle w:val="Puce3"/>
        <w:tabs>
          <w:tab w:val="clear" w:pos="720"/>
        </w:tabs>
        <w:rPr/>
      </w:pPr>
      <w:r>
        <w:rPr/>
        <w:t>8.</w:t>
        <w:tab/>
        <w:t>Teisingo perėjimo užtikrinimas, darbuotojų ir darbo vietų apsauga tinkamai finansuojant pertvarką ir tolesnius mokslinius tyrimus, reformuojant mokesčių sistemą taikant teisingesnes apmokestinimo ir kovos su sukčiavimu mokesčių srityje priemones ir užtikrinant įtraukų požiūrį į valdymą formuojant politiką visais lygmenimis (pvz., plataus užmojo perkvalifikavimo ir kvalifikacijos kėlimo priemonės, tvirta socialinė apsauga, viešųjų paslaugų išsaugojimas valstybės rankose, darbuotojų sveikatos ir saugos taisyklių išlaikymas) (plenariniai debatai, diskusijos darbo grupėje, NPC).</w:t>
      </w:r>
    </w:p>
    <w:p>
      <w:pPr>
        <w:pStyle w:val="Puce3"/>
        <w:tabs>
          <w:tab w:val="clear" w:pos="720"/>
        </w:tabs>
        <w:rPr/>
      </w:pPr>
      <w:r>
        <w:rPr/>
        <w:t>9.</w:t>
        <w:tab/>
        <w:t>Nustatyti klimatui nekenkiančių technologijų ir inovacijų investicijų paketą, kuris turėtų būti finansuojamas iš su klimatu susijusių importo muitų ir su klimato kaita susijusių anglies dioksido koregavimo mokesčių (DE rekomendacija).</w:t>
      </w:r>
    </w:p>
    <w:p>
      <w:pPr>
        <w:pStyle w:val="Puce3"/>
        <w:tabs>
          <w:tab w:val="clear" w:pos="720"/>
        </w:tabs>
        <w:rPr/>
      </w:pPr>
      <w:r>
        <w:rPr/>
        <w:t>10.</w:t>
        <w:tab/>
        <w:t>Pasibaigus pereinamajam laikotarpiui iškastinis kuras nebeturėtų gauti subsidijų ir neturėtų būti skiriamas finansavimas tradicinei dujų infrastruktūrai (diskusijos darbo grupėje).</w:t>
      </w:r>
    </w:p>
    <w:p>
      <w:pPr>
        <w:pStyle w:val="Puce3"/>
        <w:tabs>
          <w:tab w:val="clear" w:pos="720"/>
        </w:tabs>
        <w:rPr/>
      </w:pPr>
      <w:r>
        <w:rPr/>
        <w:t>11.</w:t>
        <w:tab/>
        <w:t>Didinti ES lyderystę ir vaidmenį bei atsakomybę skatinant plataus užmojo veiksmus klimato kaitos srityje ir teisingą pertvarką, taip pat prisidėti prie reagavimo į nuostolius ir žalą tarptautinėje arenoje, kurioje JT turi būti veiksmų pagrindas (NL rekomendacija, darbo grupės diskusijos).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Pasiūlymas: Klimato kaita, energetika, transportas</w:t>
      </w:r>
    </w:p>
    <w:p>
      <w:pPr>
        <w:pStyle w:val="P68B1DB1Normal15"/>
        <w:rPr>
          <w:b/>
          <w:b/>
        </w:rPr>
      </w:pPr>
      <w:r>
        <w:rPr/>
        <w:t>Tikslas: Sukurti modernią, saugią, ekologišką ir kokybišką infrastruktūrą, užtikrinančią junglumą, be kita ko, kaimo ir salų vietovėse, be kita ko, pasitelkiant įperkamą viešąjį transportą.</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Priemonės:</w:t>
      </w:r>
    </w:p>
    <w:p>
      <w:pPr>
        <w:pStyle w:val="Puce3"/>
        <w:tabs>
          <w:tab w:val="clear" w:pos="720"/>
        </w:tabs>
        <w:rPr/>
      </w:pPr>
      <w:r>
        <w:rPr/>
        <w:t>1.</w:t>
        <w:tab/>
        <w:t>Remti viešąjį transportą ir plėtoti veiksmingą, patikimą ir įperkamą Europos viešojo transporto tinklą, ypač kaimo ir salų vietovėse, taikant papildomas paskatas naudotis viešuoju transportu (3 skyrius – 36 rekomendacija, 4 grupė – 2 rekomendacija).</w:t>
      </w:r>
    </w:p>
    <w:p>
      <w:pPr>
        <w:pStyle w:val="Puce3"/>
        <w:tabs>
          <w:tab w:val="clear" w:pos="720"/>
        </w:tabs>
        <w:rPr/>
      </w:pPr>
      <w:r>
        <w:rPr/>
        <w:t>2.</w:t>
        <w:tab/>
        <w:t>Investuoti į greituosius naktinius traukinius ir nustatyti bendrą aplinkai nekenksmingų geležinkelių technologijų standartą Europoje, kad būtų galima pasiūlyti patikimą alternatyvą ir palengvinti galimybę pakeisti trumpalaikius skrydžius ir atgrasyti nuo jų (diskusijos darbo grupėje, NPM).</w:t>
      </w:r>
    </w:p>
    <w:p>
      <w:pPr>
        <w:pStyle w:val="Puce3"/>
        <w:tabs>
          <w:tab w:val="clear" w:pos="720"/>
        </w:tabs>
        <w:rPr/>
      </w:pPr>
      <w:r>
        <w:rPr/>
        <w:t>3.</w:t>
        <w:tab/>
        <w:t>Skatinti pirkti, atsižvelgiant į jų įperkamumą namų ūkiams, ir (bendrai) naudoti elektra varomas transporto priemones, kurios atitinka gerą baterijų naudojimo laiką, taip pat investuoti į būtiną įkrovimo infrastruktūrą ir investicijas į kitų netaršių technologijų, skirtų transporto priemonėms, kurių elektrifikavimą sunku pasiekti, kūrimą (3 lentelė, 38 rekomendacija).</w:t>
      </w:r>
    </w:p>
    <w:p>
      <w:pPr>
        <w:pStyle w:val="Puce3"/>
        <w:tabs>
          <w:tab w:val="clear" w:pos="720"/>
        </w:tabs>
        <w:rPr/>
      </w:pPr>
      <w:r>
        <w:rPr/>
        <w:t>4.</w:t>
        <w:tab/>
        <w:t>Užtikrinti plačiajuostį ryšį su internetu ir judriojo ryšio tinklu kaimo ir salų vietovėse (3 skyrius – Rekomendacija Nr. 36).</w:t>
      </w:r>
    </w:p>
    <w:p>
      <w:pPr>
        <w:pStyle w:val="Puce3"/>
        <w:tabs>
          <w:tab w:val="clear" w:pos="720"/>
        </w:tabs>
        <w:rPr/>
      </w:pPr>
      <w:r>
        <w:rPr/>
        <w:t>5.</w:t>
        <w:tab/>
        <w:t>Gerinti esamą transporto infrastruktūrą ekologiniu požiūriu (3 lentelė – Rekomendacija Nr. 37).</w:t>
      </w:r>
    </w:p>
    <w:p>
      <w:pPr>
        <w:pStyle w:val="Puce3"/>
        <w:tabs>
          <w:tab w:val="clear" w:pos="720"/>
        </w:tabs>
        <w:rPr/>
      </w:pPr>
      <w:r>
        <w:rPr/>
        <w:t>6.</w:t>
        <w:tab/>
        <w:t>Reikalauti miestų plėtros programų, skirtų ekologiškesniems miestams, kuriuose išmetama mažiau teršalų, ir konkrečioms vietovėms be automobilių miestuose, nedarant žalos komercinėms zonoms (3 skyrius – 6 rekomendacija).</w:t>
      </w:r>
    </w:p>
    <w:p>
      <w:pPr>
        <w:pStyle w:val="Puce3"/>
        <w:tabs>
          <w:tab w:val="clear" w:pos="720"/>
        </w:tabs>
        <w:rPr/>
      </w:pPr>
      <w:r>
        <w:rPr/>
        <w:t>7.</w:t>
        <w:tab/>
        <w:t>Gerinti dviračių infrastruktūrą ir suteikti daugiau teisių bei teisinės apsaugos dviratininkams ir pėstiesiems, ypač įvykus nelaimingiems atsitikimams su motorine transporto priemone, užtikrinant kelių eismo saugumą ir rengiant mokymus apie kelių kodeksą (3 skyrius – 4 rekomendacija).</w:t>
      </w:r>
    </w:p>
    <w:p>
      <w:pPr>
        <w:pStyle w:val="Puce3"/>
        <w:tabs>
          <w:tab w:val="clear" w:pos="720"/>
        </w:tabs>
        <w:rPr/>
      </w:pPr>
      <w:r>
        <w:rPr/>
        <w:t>8.</w:t>
        <w:tab/>
        <w:t>Reguliuoti kriptovaliutų, kurios naudoja didelį kiekį energijos (PNM), kasybą.</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Pasiūlymas: Tvarus vartojimas, pakavimas ir gamyba</w:t>
      </w:r>
    </w:p>
    <w:p>
      <w:pPr>
        <w:pStyle w:val="P68B1DB1Normal15"/>
        <w:rPr>
          <w:b/>
          <w:b/>
        </w:rPr>
      </w:pPr>
      <w:r>
        <w:rPr/>
        <w:t>Tikslas: Gerinti medžiagų naudojimą ir valdymą Sąjungoje, siekiant skatinti žiedinę ekonomiką, tapti autonomiškesnėmis ir būti mažiau priklausomomis. Plėtoti žiedinę ekonomiką skatinant tvarią gamybą ir produktus Sąjungoje. Užtikrinti, kad visi Sąjungos rinkai pateikiami produktai atitiktų bendrus Sąjungos aplinkos apsaugos standartus.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Priemonės:</w:t>
      </w:r>
    </w:p>
    <w:p>
      <w:pPr>
        <w:pStyle w:val="Puce3"/>
        <w:tabs>
          <w:tab w:val="clear" w:pos="720"/>
        </w:tabs>
        <w:rPr/>
      </w:pPr>
      <w:r>
        <w:rPr/>
        <w:t>1.</w:t>
        <w:tab/>
        <w:t>Griežtesni ir suderinti Sąjungos gamybos standartai ir skaidri ženklinimo sistema visiems ES rinkoje parduodamiems produktams, atsižvelgiant į jų tvarumą ir (arba) aplinkosauginį pėdsaką ir ilgaamžiškumą, naudojant QR kodą ir ekologinį arba skaitmeninį produkto pasą (3 lentelė – 8, 13, 20 ir 21 rekomendacijos, 1 grupė – 16 rekomendacija, 4 grupė – 13 rekomendacija).</w:t>
      </w:r>
    </w:p>
    <w:p>
      <w:pPr>
        <w:pStyle w:val="Puce3"/>
        <w:tabs>
          <w:tab w:val="clear" w:pos="720"/>
        </w:tabs>
        <w:rPr/>
      </w:pPr>
      <w:r>
        <w:rPr/>
        <w:t>2.</w:t>
        <w:tab/>
        <w:t>Peržiūrėti pasaulines tiekimo grandines, įskaitant žemės ūkio gamybą, siekiant sumažinti ES priklausomybę ir trumpąsias grandines (PNM).</w:t>
      </w:r>
    </w:p>
    <w:p>
      <w:pPr>
        <w:pStyle w:val="Puce3"/>
        <w:tabs>
          <w:tab w:val="clear" w:pos="720"/>
        </w:tabs>
        <w:rPr/>
      </w:pPr>
      <w:r>
        <w:rPr/>
        <w:t>3.</w:t>
        <w:tab/>
        <w:t>Toliau užkirsti kelią atliekų susidarymui nustatant prevencijos ir pakartotinio naudojimo tikslus ir nustatant atliekų rūšiavimo sistemų kokybės standartus (diskusijos darbo grupės, FR rekomendacijoje).</w:t>
      </w:r>
    </w:p>
    <w:p>
      <w:pPr>
        <w:pStyle w:val="Puce3"/>
        <w:tabs>
          <w:tab w:val="clear" w:pos="720"/>
        </w:tabs>
        <w:rPr/>
      </w:pPr>
      <w:r>
        <w:rPr/>
        <w:t>4.</w:t>
        <w:tab/>
        <w:t>Palaipsniui atsisakyti netvarių pakuočių formų, reguliuoti aplinkai nekenksmingas pakuotes ir vengti pakuočių medžiagų švaistymo taikant finansines paskatas ir sankcijas, taip pat investuojant į alternatyvius mokslinius tyrimus (3 lentelė – 15 ir 25 rekomendacijos, 1 grupė – 12 rekomendacija, 4 grupė – 16 rekomendacija).</w:t>
      </w:r>
    </w:p>
    <w:p>
      <w:pPr>
        <w:pStyle w:val="Puce3"/>
        <w:tabs>
          <w:tab w:val="clear" w:pos="720"/>
        </w:tabs>
        <w:rPr/>
      </w:pPr>
      <w:r>
        <w:rPr/>
        <w:t>5.</w:t>
        <w:tab/>
        <w:t>Įdiegti Europos pakuočių užstato sistemą ir pažangius konteinerių standartus (3 skydelis – 22 ir 23 rekomendacijos, NPC).</w:t>
      </w:r>
    </w:p>
    <w:p>
      <w:pPr>
        <w:pStyle w:val="Puce3"/>
        <w:tabs>
          <w:tab w:val="clear" w:pos="720"/>
        </w:tabs>
        <w:rPr/>
      </w:pPr>
      <w:r>
        <w:rPr/>
        <w:t>6.</w:t>
        <w:tab/>
        <w:t>Sukurti ES žinių platformą apie tai, kaip užtikrinti tvarų ir ilgalaikį produktų naudojimą ir kaip juos „taisyti“, įskaitant vartotojų asociacijų turimą informaciją (3 lentelė, 20 rekomendacija).</w:t>
      </w:r>
    </w:p>
    <w:p>
      <w:pPr>
        <w:pStyle w:val="Puce3"/>
        <w:tabs>
          <w:tab w:val="clear" w:pos="720"/>
        </w:tabs>
        <w:rPr/>
      </w:pPr>
      <w:r>
        <w:rPr/>
        <w:t>7.</w:t>
        <w:tab/>
        <w:t>Nustatyti priemones, kuriomis būtų kovojama su ankstyvu ar priešlaikiniu nusidėvėjimu, įskaitant planuojamą nusidėvėjimą, užtikrinti ilgesnės apsaugos priemones, skatinti teisę į remontą ir užtikrinti suderinamų atsarginių dalių prieinamumą ir prieinamumą (3 lentelė – 20 rekomendacija, FR rekomendacija, DE rekomendacija, 1 grupė – 14 rekomendacija).</w:t>
      </w:r>
    </w:p>
    <w:p>
      <w:pPr>
        <w:pStyle w:val="Puce3"/>
        <w:tabs>
          <w:tab w:val="clear" w:pos="720"/>
        </w:tabs>
        <w:rPr/>
      </w:pPr>
      <w:r>
        <w:rPr/>
        <w:t>8.</w:t>
        <w:tab/>
        <w:t>Sukurti antrinių žaliavų rinką, atsižvelgiant į privalomus perdirbtų medžiagų kiekius, skatinant mažesnį žaliavų naudojimą (diskusijos darbo grupėje).</w:t>
      </w:r>
    </w:p>
    <w:p>
      <w:pPr>
        <w:pStyle w:val="Puce3"/>
        <w:tabs>
          <w:tab w:val="clear" w:pos="720"/>
        </w:tabs>
        <w:rPr/>
      </w:pPr>
      <w:r>
        <w:rPr/>
        <w:t>9.</w:t>
        <w:tab/>
        <w:t>Sparčiai įgyvendinti plataus užmojo tekstilės strategiją ir apibrėžti mechanizmą, pagal kurį vartotojai žinotų, kad gaminys atitinka tvarumo kriterijus (3 lentelė – 28 rekomendacija, diskusijos darbo grupėje).</w:t>
      </w:r>
    </w:p>
    <w:p>
      <w:pPr>
        <w:pStyle w:val="Puce3"/>
        <w:tabs>
          <w:tab w:val="clear" w:pos="720"/>
        </w:tabs>
        <w:rPr/>
      </w:pPr>
      <w:r>
        <w:rPr/>
        <w:t>10.</w:t>
        <w:tab/>
        <w:t>ES priemonės, kuriomis siekiama sudaryti sąlygas vartotojams ilgiau naudoti gaminius ir skatinti juos tai daryti (3 lentelė – Rekomendacija Nr. 20).</w:t>
      </w:r>
    </w:p>
    <w:p>
      <w:pPr>
        <w:pStyle w:val="Puce3"/>
        <w:tabs>
          <w:tab w:val="clear" w:pos="720"/>
        </w:tabs>
        <w:rPr/>
      </w:pPr>
      <w:r>
        <w:rPr/>
        <w:t>11.</w:t>
        <w:tab/>
        <w:t>Sugriežtinti aplinkosaugos standartus ir užtikrinti, kad būtų laikomasi atliekų eksporto į ES ir į trečiąsias šalis taisyklių (4 lentelė – Rekomendacija Nr. 15, NPK).</w:t>
      </w:r>
    </w:p>
    <w:p>
      <w:pPr>
        <w:pStyle w:val="Puce3"/>
        <w:tabs>
          <w:tab w:val="clear" w:pos="720"/>
        </w:tabs>
        <w:rPr/>
      </w:pPr>
      <w:r>
        <w:rPr/>
        <w:t>12.</w:t>
        <w:tab/>
        <w:t>Nustatyti priemones, kuriomis būtų ribojama aplinkai kenksmingų produktų reklama, nustatant privalomą atsakomybės už ypač aplinkai kenksmingus produktus atsisakymą (3 lentelė – 22 rekomendacija).</w:t>
      </w:r>
    </w:p>
    <w:p>
      <w:pPr>
        <w:pStyle w:val="Puce3"/>
        <w:tabs>
          <w:tab w:val="clear" w:pos="720"/>
        </w:tabs>
        <w:rPr/>
      </w:pPr>
      <w:r>
        <w:rPr/>
        <w:t>13.</w:t>
        <w:tab/>
        <w:t>Visoje gamybos ir vertės grandinėje taikyti griežtesnius gamybos standartus ir sąžiningas darbo sąlygas (3 lentelė, 21 rekomendacija).</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Pasiūlymas: Informavimas, sąmoningumas, dialogas ir gyvenimo būdas</w:t>
      </w:r>
    </w:p>
    <w:p>
      <w:pPr>
        <w:pStyle w:val="P68B1DB1Normal15"/>
        <w:rPr>
          <w:b/>
          <w:b/>
        </w:rPr>
      </w:pPr>
      <w:r>
        <w:rPr/>
        <w:t>Tikslas: Skatinti žinias, sąmoningumą, švietimą ir dialogą aplinkos, klimato kaitos, energijos vartojimo ir tvarumo klausimais.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Priemonės:</w:t>
      </w:r>
    </w:p>
    <w:p>
      <w:pPr>
        <w:pStyle w:val="Puce3"/>
        <w:tabs>
          <w:tab w:val="clear" w:pos="720"/>
        </w:tabs>
        <w:rPr/>
      </w:pPr>
      <w:r>
        <w:rPr/>
        <w:t>1.</w:t>
        <w:tab/>
        <w:t>Sukurti interaktyvią platformą, kurios faktai buvo patikrinti siekiant teikti įvairiapusę ir reguliariai atnaujinamą mokslinę informaciją aplinkos srityje (3 lentelė, 33 rekomendacija).</w:t>
      </w:r>
    </w:p>
    <w:p>
      <w:pPr>
        <w:pStyle w:val="Puce3"/>
        <w:tabs>
          <w:tab w:val="clear" w:pos="720"/>
        </w:tabs>
        <w:rPr/>
      </w:pPr>
      <w:r>
        <w:rPr/>
        <w:t>2.</w:t>
        <w:tab/>
        <w:t>Remti ekologinio sąmoningumo didinimo kampanijas, įskaitant ilgalaikę Europos tausaus vartojimo ir gyvenimo būdo kampaniją (DE, NL ir FR rekomendacijos, 3 grupė – 7 rekomendacija).</w:t>
      </w:r>
    </w:p>
    <w:p>
      <w:pPr>
        <w:pStyle w:val="Puce3"/>
        <w:tabs>
          <w:tab w:val="clear" w:pos="720"/>
        </w:tabs>
        <w:rPr/>
      </w:pPr>
      <w:r>
        <w:rPr/>
        <w:t>3.</w:t>
        <w:tab/>
        <w:t>Skatinti ir palengvinti dialogą ir konsultacijas visais sprendimų priėmimo lygmenimis, visų pirma su jaunimu ir vietos lygmeniu (DE, NL ir FR rekomendacijos, 3 grupė – 27 ir 35 rekomendacijos, plenarinio posėdžio diskusijos).</w:t>
      </w:r>
    </w:p>
    <w:p>
      <w:pPr>
        <w:pStyle w:val="Puce3"/>
        <w:tabs>
          <w:tab w:val="clear" w:pos="720"/>
        </w:tabs>
        <w:rPr/>
      </w:pPr>
      <w:r>
        <w:rPr/>
        <w:t>4.</w:t>
        <w:tab/>
        <w:t>Sąjunga, padedama valstybių narių, nustato bendrą Europos chartiją, skirtą aplinkos klausimams ir visų piliečių informuotumo apie aplinką skatinimui (3 skyrius – 7 rekomendacija).</w:t>
      </w:r>
    </w:p>
    <w:p>
      <w:pPr>
        <w:pStyle w:val="Puce3"/>
        <w:tabs>
          <w:tab w:val="clear" w:pos="720"/>
        </w:tabs>
        <w:rPr/>
      </w:pPr>
      <w:r>
        <w:rPr/>
        <w:t>5.</w:t>
        <w:tab/>
        <w:t>Rengti visiems skirtus mokymo kursus ir mokymo medžiagą, kad būtų pagerintos žinios apie klimatą ir tvarumą ir sudarytos sąlygos mokytis visą gyvenimą aplinkosaugos klausimais (1 skyrius – 15 ir 35 rekomendacijos, 3 grupė – 24 rekomendacija, darbo grupės diskusijos).</w:t>
      </w:r>
    </w:p>
    <w:p>
      <w:pPr>
        <w:pStyle w:val="Puce3"/>
        <w:tabs>
          <w:tab w:val="clear" w:pos="720"/>
        </w:tabs>
        <w:rPr/>
      </w:pPr>
      <w:r>
        <w:rPr/>
        <w:t>6.</w:t>
        <w:tab/>
        <w:t>Integruoti maisto gamybą ir biologinės įvairovės apsaugą į švietimo sistemą, įskaitant neperdirbto maisto naudą, o ne perdirbtą maistą, ir skatinti mokyklų sodų kūrimą ir dotacijas miesto sodininkystės projektams ir vertikaliajam žemės ūkiui (3 lentelė – 5 rekomendacija, 1 grupė – 18 rekomendacija). Apsvarstyti galimybę, kad biologinė įvairovė mokyklose taptų privaloma tema, ir didinti visuomenės informuotumą apie biologinę įvairovę visoje ES propaguojamomis žiniasklaidos kampanijomis ir „konkurencijomis“ (vietos valdžios konkursai) (3 skyrius – 5 rekomendacija, 1 grupė – 18 rekomendacija).</w:t>
      </w:r>
    </w:p>
    <w:p>
      <w:pPr>
        <w:pStyle w:val="Puce3"/>
        <w:tabs>
          <w:tab w:val="clear" w:pos="720"/>
        </w:tabs>
        <w:rPr/>
      </w:pPr>
      <w:r>
        <w:rPr/>
        <w:t>7.</w:t>
        <w:tab/>
        <w:t>Stiprinti Sąjungos vaidmenį ir veiksmus aplinkos ir švietimo srityje, išplečiant Sąjungos kompetenciją švietimo klimato kaitos ir aplinkos klausimais srityje ir išplečiant sprendimų priėmimą kvalifikuota balsų dauguma, įtraukiant „Europos interesus“, pavyzdžiui, aplinką (NL ir FR rekomendacijos).</w:t>
      </w:r>
    </w:p>
    <w:p>
      <w:pPr>
        <w:pStyle w:val="Puce3"/>
        <w:tabs>
          <w:tab w:val="clear" w:pos="720"/>
        </w:tabs>
        <w:rPr/>
      </w:pPr>
      <w:r>
        <w:rPr/>
        <w:t>8.</w:t>
        <w:tab/>
        <w:t>Skatinti augalų mitybą klimato apsaugos ir aplinkos išsaugojimo tikslais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Paveikslėli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aveikslėlis22"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Sveikata“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7.Pasiūlymas: Sveika mityba ir sveikas gyvenimo būdas </w:t>
      </w:r>
    </w:p>
    <w:p>
      <w:pPr>
        <w:pStyle w:val="P68B1DB1Normal15"/>
        <w:rPr>
          <w:b/>
          <w:b/>
        </w:rPr>
      </w:pPr>
      <w:r>
        <w:rPr/>
        <w:t>Tikslas: Užtikrinti, kad visi europiečiai turėtų prieigą prie sveikos mitybos švietimo ir sveiko bei įperkamo maisto, kaip sveikos gyvensenos pagrindą, visų pirma taikant šias priemones: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Priemonės</w:t>
      </w:r>
      <w:r>
        <w:rPr>
          <w:rStyle w:val="Ancredenotedefin"/>
          <w:rStyle w:val="Ancredenotedefin"/>
        </w:rPr>
        <w:endnoteReference w:id="2"/>
      </w:r>
      <w:r>
        <w:rPr/>
        <w:t>:</w:t>
      </w:r>
    </w:p>
    <w:p>
      <w:pPr>
        <w:pStyle w:val="Puce3"/>
        <w:tabs>
          <w:tab w:val="clear" w:pos="720"/>
        </w:tabs>
        <w:rPr/>
      </w:pPr>
      <w:r>
        <w:rPr/>
        <w:t>1.</w:t>
        <w:tab/>
        <w:t>Nustatyti būtiniausius maisto kokybės ir atsekamumo standartus, visų pirma apribojant antibiotikų ir kitų veterinarinių vaistų naudojimą tiek, kiek griežtai būtina siekiant apsaugoti gyvūnų sveikatą ir gerovę, o ne juos naudoti prevenciniu būdu ir užtikrinti, kad šiuo atžvilgiu būtų stiprinama kontrolė. [#23, #17]</w:t>
      </w:r>
    </w:p>
    <w:p>
      <w:pPr>
        <w:pStyle w:val="Puce3"/>
        <w:tabs>
          <w:tab w:val="clear" w:pos="720"/>
        </w:tabs>
        <w:rPr/>
      </w:pPr>
      <w:r>
        <w:rPr/>
        <w:t>2.</w:t>
        <w:tab/>
        <w:t>Šviesti piliečius apie sveikus įpročius nuo ankstyvo amžiaus ir skatinti juos rinktis saugiai ir sveikai apmokestinant perdirbtus maisto produktus, kurių nėra, ir užtikrinant, kad informacija apie sveikatą būtų lengvai prieinama; šiuo tikslu sukurti Europos masto perdirbtų maisto produktų vertinimo sistemą, pagrįstą moksline ir nepriklausoma patirtimi, taip pat hormoninių medžiagų ir endokrininę sistemą ardančių medžiagų naudojimo maisto gamyboje etiketę, ir šiuo atžvilgiu stiprinti esamų taisyklių stebėseną bei vykdymo užtikrinimą ir apsvarstyti galimybę jas sugriežtinti. [#18, #19, GT]</w:t>
      </w:r>
    </w:p>
    <w:p>
      <w:pPr>
        <w:pStyle w:val="Puce3"/>
        <w:tabs>
          <w:tab w:val="clear" w:pos="720"/>
        </w:tabs>
        <w:rPr/>
      </w:pPr>
      <w:r>
        <w:rPr/>
        <w:t>3.</w:t>
        <w:tab/>
        <w:t>Skatinti dialogą su maisto grandinės dalyviais nuo gamybos iki pardavimo, kaip įmonių socialinės atsakomybės už sveiką maistą dalį. [#19, GT]</w:t>
      </w:r>
    </w:p>
    <w:p>
      <w:pPr>
        <w:pStyle w:val="Puce3"/>
        <w:tabs>
          <w:tab w:val="clear" w:pos="720"/>
        </w:tabs>
        <w:rPr/>
      </w:pPr>
      <w:r>
        <w:rPr/>
        <w:t>4.</w:t>
        <w:tab/>
        <w:t>Sąjungos lygmeniu remti sveiko, įvairaus ir įperkamo maisto tiekimą viešųjų paslaugų įstaigose, pavyzdžiui, mokyklų valgyklose, ligoninėse ar sveikatos priežiūros įstaigose, be kita ko, skiriant specialų finansavimą. [#3, plenarinis posėdis, darbo grupė]</w:t>
      </w:r>
    </w:p>
    <w:p>
      <w:pPr>
        <w:pStyle w:val="Puce3"/>
        <w:tabs>
          <w:tab w:val="clear" w:pos="720"/>
        </w:tabs>
        <w:rPr/>
      </w:pPr>
      <w:r>
        <w:rPr/>
        <w:t>5.</w:t>
        <w:tab/>
        <w:t>Investuoti į antibiotikų vartojimo pasekmių ir hormoninių medžiagų bei endokrininę sistemą ardančių medžiagų poveikio žmonių sveikatai mokslinius tyrimus.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Pasiūlymas: Sveikatos priežiūros sistemos stiprinimas</w:t>
      </w:r>
    </w:p>
    <w:p>
      <w:pPr>
        <w:pStyle w:val="P68B1DB1Normal15"/>
        <w:rPr>
          <w:b/>
          <w:b/>
        </w:rPr>
      </w:pPr>
      <w:r>
        <w:rPr/>
        <w:t>Tikslas: Stiprinti mūsų sveikatos sistemų atsparumą ir kokybę, be kita ko:</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Priemonės</w:t>
      </w:r>
      <w:r>
        <w:rPr>
          <w:rStyle w:val="Ancredenotedefin"/>
          <w:rStyle w:val="Ancredenotedefin"/>
        </w:rPr>
        <w:endnoteReference w:id="4"/>
      </w:r>
      <w:r>
        <w:rPr/>
        <w:t>:</w:t>
      </w:r>
    </w:p>
    <w:p>
      <w:pPr>
        <w:pStyle w:val="Puce3"/>
        <w:tabs>
          <w:tab w:val="clear" w:pos="720"/>
        </w:tabs>
        <w:rPr/>
      </w:pPr>
      <w:r>
        <w:rPr/>
        <w:t>1.</w:t>
        <w:tab/>
        <w:t>Sukurti Europos sveikatos duomenų erdvę, kuri palengvintų keitimąsi sveikatos duomenimis; individualūs sveikatos įrašai galėtų būti teikiami savanoriškai, naudojant ES individualų elektroninį sveikatos pasą, laikantis duomenų apsaugos taisyklių. [#41, GT]</w:t>
      </w:r>
    </w:p>
    <w:p>
      <w:pPr>
        <w:pStyle w:val="Puce3"/>
        <w:tabs>
          <w:tab w:val="clear" w:pos="720"/>
        </w:tabs>
        <w:rPr/>
      </w:pPr>
      <w:r>
        <w:rPr/>
        <w:t>2.</w:t>
        <w:tab/>
        <w:t>Tinkamos darbo sąlygos, visų pirma palaikant tvirtą socialinį dialogą, įskaitant darbo užmokestį ir darbo tvarką, ir sveikatos priežiūros specialistų mokymo ir sertifikavimo standartų suderinimas; reikėtų plėtoti tinklų kūrimo ir mainų programas, pavyzdžiui, medicinos mokykloms skirtą programą „Erasmus“, kuri labai prisidėtų prie įgūdžių ugdymo. Siekiant išlaikyti talentus Europoje ir sudaryti sąlygas jauniems specialistams plėsti savo žinias ir įgyti profesinės patirties, reikėtų įgyvendinti ES mainų programas, siekiant užtikrinti, kad į trečiąsias šalis nebūtų traukiami geriausi gyvosios gamtos mokslai. [#39, GT]</w:t>
      </w:r>
    </w:p>
    <w:p>
      <w:pPr>
        <w:pStyle w:val="Puce3"/>
        <w:tabs>
          <w:tab w:val="clear" w:pos="720"/>
        </w:tabs>
        <w:rPr/>
      </w:pPr>
      <w:r>
        <w:rPr/>
        <w:t>3.</w:t>
        <w:tab/>
        <w:t>Užtikrinti strateginį savarankiškumą Sąjungos lygmeniu, kad būtų išvengta priklausomybės nuo trečiųjų šalių [NL2]</w:t>
      </w:r>
      <w:r>
        <w:rPr>
          <w:rStyle w:val="Ancredenotedefin"/>
          <w:rStyle w:val="Ancredenotedefin"/>
        </w:rPr>
        <w:endnoteReference w:id="5"/>
      </w:r>
      <w:r>
        <w:rPr/>
        <w:t xml:space="preserve"> vaistų (visų pirma veikliųjų medžiagų) ir medicinos prietaisų (įskaitant žaliavas) atžvilgiu; visų pirma, remiantis esamomis Europos agentūromis ir HERA, Sąjungos lygmeniu turėtų būti sudarytas ne tik esminių ir prioritetinių vaistų ir gydymo būdų, bet ir naujoviškų vaistų ir gydymo būdų (pvz., biotechnologinių sprendimų) sąrašas, kad piliečiams būtų užtikrintas jų prieinamumas. Apsvarstyti galimybę organizuoti koordinuotą strateginį saugojimą visoje Sąjungoje. Siekiant įgyvendinti būtinus suderintus ir ilgalaikius veiksmus Sąjungos lygmeniu, iš dalies keičiant SESV 4 straipsnį, sveikatos ir sveikatos priežiūra būtų įtraukta į Sąjungos ir jos valstybių narių pasidalijamąją kompetenciją. [#40, #49, plenarinė sesija, darbo grupė]</w:t>
      </w:r>
    </w:p>
    <w:p>
      <w:pPr>
        <w:pStyle w:val="Puce3"/>
        <w:tabs>
          <w:tab w:val="clear" w:pos="720"/>
        </w:tabs>
        <w:rPr/>
      </w:pPr>
      <w:r>
        <w:rPr/>
        <w:t>4.</w:t>
        <w:tab/>
        <w:t>Toliau plėtoti, koordinuoti ir finansuoti esamas sveikatos mokslinių tyrimų ir inovacijų programas, nekenkiant kitoms su sveikata susijusioms programoms, visų pirma Europos referencijos centrų tinklams, nes jos sudaro sveikatos priežiūros tinklų, skirtų labai specializuotiems ir sudėtingiems gydymams, plėtojimo pagrindą. [#42, #43, GT]</w:t>
      </w:r>
    </w:p>
    <w:p>
      <w:pPr>
        <w:pStyle w:val="Puce3"/>
        <w:tabs>
          <w:tab w:val="clear" w:pos="720"/>
        </w:tabs>
        <w:rPr/>
      </w:pPr>
      <w:r>
        <w:rPr/>
        <w:t>5.</w:t>
        <w:tab/>
        <w:t>Investuoti į sveikatos sistemas, visų pirma į viešąją ir ne pelno sritį, infrastruktūrą ir skaitmeninę sveikatą, ir užtikrinti, kad sveikatos priežiūros paslaugų teikėjai laikytųsi visiško paslaugų prieinamumo, įperkamumo ir kokybės principų, taip užtikrindami, kad sveikatos priežiūros specialistai, kurie mažai arba visai nesirūpindami viešuoju interesu, nepašalintų išteklių. [#51, GT]</w:t>
      </w:r>
    </w:p>
    <w:p>
      <w:pPr>
        <w:pStyle w:val="Puce3"/>
        <w:tabs>
          <w:tab w:val="clear" w:pos="720"/>
        </w:tabs>
        <w:rPr/>
      </w:pPr>
      <w:r>
        <w:rPr/>
        <w:t>6.</w:t>
        <w:tab/>
        <w:t>Teikti tvirtas rekomendacijas valstybėms narėms investuoti į veiksmingas, prieinamas, įperkamas, kokybiškas ir atsparias sveikatos priežiūros sistemas, be kita ko, įgyvendinant Europos semestrą. Ukrainos karo poveikis visuomenės sveikatai rodo, kad reikia toliau plėtoti atsparias sveikatos priežiūros sistemas ir solidarumo mechanizmus.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Pasiūlymas: Platesnis požiūris į sveikatą</w:t>
      </w:r>
    </w:p>
    <w:p>
      <w:pPr>
        <w:pStyle w:val="P68B1DB1Normal15"/>
        <w:rPr>
          <w:b/>
          <w:b/>
        </w:rPr>
      </w:pPr>
      <w:r>
        <w:rPr/>
        <w:t>Tikslas: Laikytis holistinio požiūrio į sveikatą, be ligų ir gydymo, sprendžiant sveikatos kultūros ir prevencijos klausimus ir skatinant bendrą supratimą apie problemas, su kuriomis susiduria ligoniai ar neįgalieji, laikantis bendros sveikatos principo, kuris turėtų būti pabrėžtas kaip kompleksinis ir pagrindinis principas, apimantis visas Sąjungos politikos sritis.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Priemonės</w:t>
      </w:r>
      <w:r>
        <w:rPr>
          <w:rStyle w:val="Ancredenotedefin"/>
          <w:rStyle w:val="Ancredenotedefin"/>
        </w:rPr>
        <w:endnoteReference w:id="6"/>
      </w:r>
      <w:r>
        <w:rPr/>
        <w:t>:</w:t>
      </w:r>
    </w:p>
    <w:p>
      <w:pPr>
        <w:pStyle w:val="Puce3"/>
        <w:tabs>
          <w:tab w:val="clear" w:pos="720"/>
        </w:tabs>
        <w:rPr/>
      </w:pPr>
      <w:r>
        <w:rPr/>
        <w:t>1.</w:t>
        <w:tab/>
        <w:t>Gerinti supratimą apie psichikos sveikatos problemas ir jų sprendimo būdus, įskaitant ankstyvąją vaikystę ir ankstyvąją diagnozę, remiantis visoje Sąjungoje sukaupta gerąja patirtimi, kuri turėtų būti lengvai prieinama per Visuomenės sveikatos gerosios patirties portalą. Siekdamos didinti informuotumą, Sąjungos institucijos ir atitinkami suinteresuotieji subjektai turėtų organizuoti geriausios praktikos mainų renginius ir padėti savo nariams ją skleisti savo rinkimų apygardoje. Turėtų būti parengtas ES psichikos sveikatos veiksmų planas, kuriame būtų numatyta ilgalaikė psichikos sveikatos strategija, įskaitant mokslinius tyrimus, taip pat būtų sprendžiamas specialistų, įskaitant nepilnamečius, prieinamumo klausimas ir artimiausioje ateityje paskelbti Europos psichikos sveikatos metai.</w:t>
      </w:r>
    </w:p>
    <w:p>
      <w:pPr>
        <w:pStyle w:val="Puce3"/>
        <w:tabs>
          <w:tab w:val="clear" w:pos="720"/>
        </w:tabs>
        <w:rPr/>
      </w:pPr>
      <w:r>
        <w:rPr/>
        <w:t>2.</w:t>
        <w:tab/>
        <w:t>ES lygmeniu parengti standartinę sveikos gyvensenos švietimo programą, kuri taip pat apimtų lytinį švietimą. Į programą taip pat turėtų būti įtraukti veiksmai, kuriais siekiama sveiko gyvenimo būdo ir aplinkos apsaugos, ir kaip jie gali padėti išvengti daugelio ligų, pvz., dviračių, kaip sveikos kasdienės kelionės priemonės. Ji būtų nemokama valstybėms narėms ir mokykloms, kurios prireikus galėtų ją panaudoti savo programose. Tokia programa spręstų stereotipus apie sergančius ar neįgalius žmones. [#46, GT]</w:t>
      </w:r>
    </w:p>
    <w:p>
      <w:pPr>
        <w:pStyle w:val="Puce3"/>
        <w:tabs>
          <w:tab w:val="clear" w:pos="720"/>
        </w:tabs>
        <w:rPr/>
      </w:pPr>
      <w:r>
        <w:rPr/>
        <w:t>3.</w:t>
        <w:tab/>
        <w:t>Parengti praktinius pirmosios pagalbos mokymus, kurie būtų nemokamai siūlomi visiems piliečiams, ir apsvarstyti galimybę rengti reguliarius kursus kaip bendrą praktiką tiek studentams, tiek darbo vietoje. Visose valstybėse narėse viešosiose vietose taip pat turėtų būti įrengtas minimalus defibriliatorių skaičius. [#50]</w:t>
      </w:r>
    </w:p>
    <w:p>
      <w:pPr>
        <w:pStyle w:val="Puce3"/>
        <w:tabs>
          <w:tab w:val="clear" w:pos="720"/>
        </w:tabs>
        <w:rPr/>
      </w:pPr>
      <w:r>
        <w:rPr/>
        <w:t>4.</w:t>
        <w:tab/>
        <w:t>Išplėsti Sveikatos savaitės iniciatyvą, kuri būtų vykdoma visoje Sąjungoje tą pačią savaitę ir kurios metu būtų sprendžiami ir svarstomi visi sveikatos klausimai. Taip pat apsvarstykite Sveikatos metų iniciatyvas, pradedant Psichikos sveikatos metais. [#44, GT]</w:t>
      </w:r>
    </w:p>
    <w:p>
      <w:pPr>
        <w:pStyle w:val="Puce3"/>
        <w:tabs>
          <w:tab w:val="clear" w:pos="720"/>
        </w:tabs>
        <w:rPr/>
      </w:pPr>
      <w:r>
        <w:rPr/>
        <w:t>5.</w:t>
        <w:tab/>
        <w:t>Pripažinti reguliariu gydymu apmokestinant hormoninius kontraceptinius produktus, naudojamus dėl medicininių priežasčių, pavyzdžiui, fibromialgijos ir endometriozės atvejais, taip pat moteriškų higienos produktų atveju. Užtikrinti prieigą prie reprodukcinio gydymo visiems žmonėms, turintiems vaisingumo problemų.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Pasiūlymas: Vienodos galimybės visiems naudotis sveikatos priežiūros paslaugomis</w:t>
      </w:r>
    </w:p>
    <w:p>
      <w:pPr>
        <w:pStyle w:val="Normal"/>
        <w:rPr/>
      </w:pPr>
      <w:r>
        <w:rPr/>
        <w:t>Tikslas: Sukurti „teisės į sveikatą“ užtikrinimą visiems europiečiams užtikrinant vienodas ir visuotines galimybes naudotis įperkamomis, prevencinėmis, gydomosiomis ir kokybiškomis sveikatos priežiūros paslaugomis.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7"/>
      </w:r>
      <w:r>
        <w:rPr/>
        <w:t>:</w:t>
      </w:r>
    </w:p>
    <w:p>
      <w:pPr>
        <w:pStyle w:val="Puce3"/>
        <w:tabs>
          <w:tab w:val="clear" w:pos="720"/>
        </w:tabs>
        <w:rPr/>
      </w:pPr>
      <w:r>
        <w:rPr/>
        <w:t>1.</w:t>
        <w:tab/>
        <w:t>Sąjungos lygmeniu nustatyti bendrus būtiniausius sveikatos standartus, kurie taip pat apimtų sveikatos priežiūros prevenciją ir prieinamumą, taip pat priežiūros artumą, ir teikti paramą tokių standartų nustatymui. [#39, GT]</w:t>
      </w:r>
    </w:p>
    <w:p>
      <w:pPr>
        <w:pStyle w:val="Puce3"/>
        <w:tabs>
          <w:tab w:val="clear" w:pos="720"/>
        </w:tabs>
        <w:rPr/>
      </w:pPr>
      <w:r>
        <w:rPr/>
        <w:t>2.</w:t>
        <w:tab/>
        <w:t>Pripažinti, kad reikia visapusiškai atsižvelgti į subsidiarumo principą ir svarbų vietos, regionų ir nacionalinių sveikatos srities subjektų [NL3] vaidmenį, siekiant užtikrinti, kad būtų galima imtis veiksmų Sąjungos lygmeniu, kai bus geriau atsižvelgiama į teisę į sveikatą; Sudaryti sąlygas greičiau ir tvirčiau priimti sprendimus svarbiausiais klausimais ir pagerinti Europos sveikatos sąjungos kūrimo (pvz., pandemijos ar retųjų ligų) Europos valdymo veiksmingumą. [#49, FRsouhait11, skaitmeninė platforma]</w:t>
      </w:r>
    </w:p>
    <w:p>
      <w:pPr>
        <w:pStyle w:val="Puce3"/>
        <w:tabs>
          <w:tab w:val="clear" w:pos="720"/>
        </w:tabs>
        <w:rPr/>
      </w:pPr>
      <w:r>
        <w:rPr/>
        <w:t>3.</w:t>
        <w:tab/>
        <w:t>Stiprinti Europos sveikatos sąjungą išnaudojant visą dabartinės sistemos potencialą ir iš dalies pakeičiant SESV 4 straipsnį įtraukti sveikatos ir sveikatos priežiūros sritį į Sąjungos ir jos valstybių narių pasidalijamosios kompetencijos sritį. [#49, FRsouhait11, skaitmeninė platforma, GT]</w:t>
      </w:r>
      <w:r>
        <w:rPr>
          <w:rStyle w:val="Ancredenotedefin"/>
          <w:rStyle w:val="Ancredenotedefin"/>
        </w:rPr>
        <w:endnoteReference w:id="8"/>
      </w:r>
      <w:r>
        <w:rPr/>
        <w:t>.</w:t>
      </w:r>
    </w:p>
    <w:p>
      <w:pPr>
        <w:pStyle w:val="Puce3"/>
        <w:tabs>
          <w:tab w:val="clear" w:pos="720"/>
        </w:tabs>
        <w:rPr/>
      </w:pPr>
      <w:r>
        <w:rPr/>
        <w:t>4.</w:t>
        <w:tab/>
        <w:t>Užtikrinti, kad visi asmenys turėtų galimybę gauti gydymą pirmojoje ES šalyje, kurioje jie yra prieinami; šiuo tikslu gerinti tarpvalstybinį bendradarbiavimą, visų pirma retųjų ligų, vėžio, širdies ir kraujagyslių ligų ir labai specializuoto gydymo, pavyzdžiui, organų transplantacijos ir sunkių nudegimų gydymo, srityse. Visiems Europos pacientams, kuriems reikia transplantacijos, turėtų būti sukurtas Europos organų transplantacijos ir donorystės tinklas. [plenarinis ir GT]</w:t>
      </w:r>
    </w:p>
    <w:p>
      <w:pPr>
        <w:pStyle w:val="Puce3"/>
        <w:tabs>
          <w:tab w:val="clear" w:pos="720"/>
        </w:tabs>
        <w:rPr/>
      </w:pPr>
      <w:r>
        <w:rPr/>
        <w:t>5.</w:t>
        <w:tab/>
        <w:t>Užtikrinti įperkamą priežiūrą, daugiau investuojant į sveikatos priežiūrą, visų pirma į dantų priežiūrą, įskaitant profilaktiką, ir užtikrinti, kad įperkama dantų priežiūra būtų prieinama visiems per 15–20 metų. [#48, GT]</w:t>
      </w:r>
    </w:p>
    <w:p>
      <w:pPr>
        <w:pStyle w:val="Puce3"/>
        <w:tabs>
          <w:tab w:val="clear" w:pos="720"/>
        </w:tabs>
        <w:rPr/>
      </w:pPr>
      <w:r>
        <w:rPr/>
        <w:t>6.</w:t>
        <w:tab/>
        <w:t>Užtikrinti, kad gydymas ir vaistai visoje Sąjungoje būtų vienodos kokybės ir būtų sąžiningi vietos lygmeniu, be kita ko, šalinant dabartinį vidaus rinkos susiskaidymą. [#40, NL3, darbo grupė, plenarinė sesija]</w:t>
      </w:r>
    </w:p>
    <w:p>
      <w:pPr>
        <w:pStyle w:val="Puce3"/>
        <w:tabs>
          <w:tab w:val="clear" w:pos="720"/>
        </w:tabs>
        <w:rPr/>
      </w:pPr>
      <w:r>
        <w:rPr/>
        <w:t>7.</w:t>
        <w:tab/>
        <w:t>Kovoti su sveikatos nesaugumu skatinant nemokamą dantų priežiūrą vaikams, mažas pajamas gaunančioms grupėms ir kitoms pažeidžiamoms grupėms, pavyzdžiui, neįgaliesiems. Taip pat ištirti prasto būsto pasekmes sveikatai. [#48, GT]</w:t>
      </w:r>
    </w:p>
    <w:p>
      <w:pPr>
        <w:pStyle w:val="Puce3"/>
        <w:tabs>
          <w:tab w:val="clear" w:pos="720"/>
        </w:tabs>
        <w:rPr/>
      </w:pPr>
      <w:r>
        <w:rPr/>
        <w:t>8.</w:t>
        <w:tab/>
        <w:t>Atsižvelgti į tarptautinį sveikatos aspektą ir pripažinti, kad vaistai turėtų būti visuotinai prieinami, taip pat ir skurdžiausiose šalyse.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Paveikslėli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aveikslėlis23"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Stipresnė ekonomika, socialinis teisingumas ir užimtumas</w:t>
      </w:r>
    </w:p>
    <w:p>
      <w:pPr>
        <w:pStyle w:val="P68B1DB1Normal15"/>
        <w:rPr>
          <w:b/>
          <w:b/>
        </w:rPr>
      </w:pPr>
      <w:r>
        <w:rPr/>
        <w:t>Įvadas</w:t>
      </w:r>
    </w:p>
    <w:p>
      <w:pPr>
        <w:pStyle w:val="Normal"/>
        <w:rPr/>
      </w:pPr>
      <w:r>
        <w:rPr/>
        <w:t>Gyvename išskirtinėmis aplinkybėmis ir Europos Sąjunga bus vertinama pagal jos pastangas po dabartinių krizių sustiprėti taikant tvaresnį, įtraukesnį, konkurencingesnį ir atsparesnį augimo modelį. Rusijos invazija į Ukrainą ir COVID-19 pandemija pakeitė ES veidą. Konferencijoje taip pat reikės aptarti socialines ir ekonomines šio karo pasekmes jau ir taip labai sudėtingomis popandeminėmis aplinkybėmis. Be to, klimato kaita vis dar kelia grėsmę žmonijai ir turės dramatišką poveikį ekonomikai ir mūsų visuomenei. Iš gautų rekomendacijų aišku, kad piliečiai ragina imtis aktyvesnių ES veiksmų. Neišspręstiems tarpvalstybiniams uždaviniams, pavyzdžiui, nelygybei, konkurencingumui, sveikatai, klimato kaitai, migracijai, skaitmeninimui ar sąžiningam apmokestinimui, reikalingi tinkami europiniai sprendimai. Iš rekomendacijų ir diskusijų taip pat aišku, kad mums reikia išsamios strategijos, kuri užtikrintų didesnę Europos piliečių gerovę įvairiais jų gyvenimo aspektais. Kai kurie šios strategijos elementai yra įtraukti į esamą politiką ir gali būti pasiekti visapusiškai pasinaudojant esama institucine sistema Europos ir nacionaliniu lygmenimis; kitoms reikės naujos politikos, o kai kuriais atvejais – sutarčių pakeitimų. Tačiau nauja politika ir sutarčių pakeitimai turėtų būti vertinami kaip gerovės gerinimo priemonė, o ne kaip savitikslis. Galima ir būtina iš naujo apibrėžti Sąjungą, kad būtų užtikrintas jos strateginis savarankiškumas, tvarus augimas, gyvenimo ir darbo sąlygų gerinimas ir žmogaus pažanga, neišeikvojant ir nesunaikinant mūsų planetos išteklių pagal atnaujintą socialinę sutartį. Šiomis rekomendacijomis siekiama šių tikslų. Toliau pateikti pasiūlymai turėtų būti aiškinami atsižvelgiant į tai, kad visos Europos piliečiai pateikė įvairių nuomonių ir rekomendacijų. Būtent ši nuomonių įvairovė yra vienas iš nepalyginamų Europos vertybių.</w:t>
      </w:r>
    </w:p>
    <w:p>
      <w:pPr>
        <w:pStyle w:val="Normal"/>
        <w:rPr/>
      </w:pPr>
      <w:r>
        <w:rPr/>
      </w:r>
      <w:r>
        <w:br w:type="page"/>
      </w:r>
    </w:p>
    <w:p>
      <w:pPr>
        <w:pStyle w:val="Titre3"/>
        <w:numPr>
          <w:ilvl w:val="2"/>
          <w:numId w:val="2"/>
        </w:numPr>
        <w:rPr/>
      </w:pPr>
      <w:bookmarkStart w:id="58" w:name="__RefHeading___Toc298290_1346298689"/>
      <w:bookmarkEnd w:id="58"/>
      <w:r>
        <w:rPr/>
        <w:t>11. Pasiūlymas: Tvarus augimas ir inovacijos</w:t>
      </w:r>
    </w:p>
    <w:p>
      <w:pPr>
        <w:pStyle w:val="P68B1DB1Normal15"/>
        <w:rPr>
          <w:b/>
          <w:b/>
        </w:rPr>
      </w:pPr>
      <w:r>
        <w:rPr/>
        <w:t>Tikslas: Siūlome ES remti perėjimą prie tvaraus ir atsparaus augimo modelio, atsižvelgiant į žaliąją ir skaitmeninę pertvarką, turinčią stiprų socialinį aspektą Europos semestre ir suteikiančią galių piliečiams, profesinėms sąjungoms ir įmonėms. Tradiciniai makroekonominiai rodikliai ir BVP galėtų būti papildyti naujais rodikliais, kurie atitiktų naujus Europos prioritetus, pavyzdžiui, Europos žaliąjį kursą arba Europos socialinių teisių ramstį, ir geriau atspindėtų žaliąją ir skaitmeninę pertvarką bei žmonių gerovę. Tai būtų galima pasiekti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9"/>
      </w:r>
      <w:r>
        <w:rPr/>
        <w:t>:</w:t>
      </w:r>
    </w:p>
    <w:p>
      <w:pPr>
        <w:pStyle w:val="Puce3"/>
        <w:rPr/>
      </w:pPr>
      <w:r>
        <w:rPr/>
        <w:t>1.</w:t>
        <w:tab/>
        <w:t>Skatinti ekologiškesnius įmonių gamybos procesus, padėti įmonėms rasti geriausius sprendimus ir teikti teigiamas ir neigiamas paskatas. (PCE 11 ir 12) ir didinti vietos gamybą ir vartojimą (diskusijos).</w:t>
      </w:r>
    </w:p>
    <w:p>
      <w:pPr>
        <w:pStyle w:val="Puce3"/>
        <w:tabs>
          <w:tab w:val="clear" w:pos="720"/>
        </w:tabs>
        <w:rPr/>
      </w:pPr>
      <w:r>
        <w:rPr/>
        <w:t>2.</w:t>
        <w:tab/>
        <w:t>Siekti tvaresnės žiedinės ekonomikos sprendžiant planuojamo nusidėvėjimo problemą ir užtikrinant teisę į žalos atlyginimą (PCE 14).</w:t>
      </w:r>
    </w:p>
    <w:p>
      <w:pPr>
        <w:pStyle w:val="Puce3"/>
        <w:tabs>
          <w:tab w:val="clear" w:pos="720"/>
        </w:tabs>
        <w:rPr/>
      </w:pPr>
      <w:r>
        <w:rPr/>
        <w:t>3.</w:t>
        <w:tab/>
        <w:t>Išnagrinėti Sąjungos ekonomikos valdymą ir Europos semestrą siekiant užtikrinti, kad žalioji ir skaitmeninė pertvarka, socialinis teisingumas ir socialinė pažanga būtų neatsiejamos nuo ekonominio konkurencingumo, nepamirštant Europos semestro ekonominio ir biudžetinio pobūdžio. Be to, reikia labiau įtraukti socialinius partnerius ir vietos bei regionų valdžios institucijas į Europos semestro įgyvendinimą, kad būtų pagerintas jo taikymas ir atskaitomybė (e. platforma, diskusijos).</w:t>
      </w:r>
    </w:p>
    <w:p>
      <w:pPr>
        <w:pStyle w:val="Puce3"/>
        <w:tabs>
          <w:tab w:val="clear" w:pos="720"/>
        </w:tabs>
        <w:rPr/>
      </w:pPr>
      <w:r>
        <w:rPr/>
        <w:t>4.</w:t>
        <w:tab/>
        <w:t>Kovoti su vienkartinių plastikinių pakuočių ir (arba) konteinerių naudojimu (PCE 12).</w:t>
      </w:r>
    </w:p>
    <w:p>
      <w:pPr>
        <w:pStyle w:val="Puce3"/>
        <w:tabs>
          <w:tab w:val="clear" w:pos="720"/>
        </w:tabs>
        <w:rPr/>
      </w:pPr>
      <w:r>
        <w:rPr/>
        <w:t>5.</w:t>
        <w:tab/>
        <w:t>Plačiau naudoti Europos technologijas ir užtikrinti, kad jos taptų perspektyvia užsienio technologijų alternatyva (diskusijos).</w:t>
      </w:r>
    </w:p>
    <w:p>
      <w:pPr>
        <w:pStyle w:val="Puce3"/>
        <w:tabs>
          <w:tab w:val="clear" w:pos="720"/>
        </w:tabs>
        <w:rPr/>
      </w:pPr>
      <w:r>
        <w:rPr/>
        <w:t>6.</w:t>
        <w:tab/>
        <w:t>Skatinti naujų medžiagų ir technologijų mokslinius tyrimus, taip pat novatorišką esamų medžiagų naudojimą, vengiant mokslinių tyrimų pastangų dubliavimo (PCE 9, NL 1).</w:t>
      </w:r>
    </w:p>
    <w:p>
      <w:pPr>
        <w:pStyle w:val="Puce3"/>
        <w:tabs>
          <w:tab w:val="clear" w:pos="720"/>
        </w:tabs>
        <w:rPr/>
      </w:pPr>
      <w:r>
        <w:rPr/>
        <w:t>7.</w:t>
        <w:tab/>
        <w:t>Atsižvelgti į energijos tvarumą, įperkamumą ir prieinamumą, atsižvelgiant į energijos nepriteklių ir priklausomybę nuo trečiųjų šalių, didinant tvariai pagamintos energijos dalį (CEP 10, LT 3, IT 1.1).</w:t>
      </w:r>
    </w:p>
    <w:p>
      <w:pPr>
        <w:pStyle w:val="Puce3"/>
        <w:tabs>
          <w:tab w:val="clear" w:pos="720"/>
        </w:tabs>
        <w:rPr/>
      </w:pPr>
      <w:r>
        <w:rPr/>
        <w:t>8.</w:t>
        <w:tab/>
        <w:t>Didinti įmonių ir piliečių informuotumą apie tvaresnį elgesį ir užtikrinti teisingą pertvarką, grindžiamą socialiniu dialogu ir kokybiškomis darbo vietomis (CEP 12 ir interneto platforma).</w:t>
      </w:r>
    </w:p>
    <w:p>
      <w:pPr>
        <w:pStyle w:val="Puce3"/>
        <w:tabs>
          <w:tab w:val="clear" w:pos="720"/>
        </w:tabs>
        <w:rPr/>
      </w:pPr>
      <w:r>
        <w:rPr/>
        <w:t>9.</w:t>
        <w:tab/>
        <w:t>Į naujus ES prekybos susitarimus įtraukti plataus užmojo socialinius, darbo ir sveikatos standartus, įskaitant darbuotojų sveikatą ir saugą.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Pasiūlymas: Sąjungos konkurencingumo stiprinimas ir tolesnis bendrosios rinkos stiprinimas</w:t>
      </w:r>
    </w:p>
    <w:p>
      <w:pPr>
        <w:pStyle w:val="Normal"/>
        <w:rPr/>
      </w:pPr>
      <w:r>
        <w:rPr/>
        <w:t>Tikslas: Siūlome stiprinti ES ekonomikos, bendrosios rinkos ir pramonės konkurencingumą bei atsparumą ir spręsti strateginės priklausomybės klausimą. Turime skatinti verslumo kultūrą ES, kurioje būtų skatinamos ir galėtų klestėti įvairaus dydžio novatoriškos įmonės, visų pirma labai mažos, mažosios ir vidutinės įmonės bei startuoliai, siekiant prisidėti prie atsparesnės ir įtraukesnės visuomenės kūrimo. Kad būtų lengviau įgyvendinti socialiai atsakingesnės Europos viziją, reikia stiprios ir perspektyvios rinkos ekonomikos. Tai būtų galima pasiekti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0"/>
      </w:r>
      <w:r>
        <w:rPr/>
        <w:t>:</w:t>
      </w:r>
    </w:p>
    <w:p>
      <w:pPr>
        <w:pStyle w:val="Puce3"/>
        <w:tabs>
          <w:tab w:val="clear" w:pos="720"/>
        </w:tabs>
        <w:rPr/>
      </w:pPr>
      <w:r>
        <w:rPr/>
        <w:t>1.</w:t>
        <w:tab/>
        <w:t>Parengti aiškią Europos ekonomikos viziją ir remtis Europos privalumais, kokybe ir įvairove, kartu atsižvelgiant į ekonominius ir kitus valstybių narių skirtumus, ir skatinti įmonių bendradarbiavimą ir konkurenciją. (NL 1 ir 2)</w:t>
      </w:r>
    </w:p>
    <w:p>
      <w:pPr>
        <w:pStyle w:val="Puce3"/>
        <w:tabs>
          <w:tab w:val="clear" w:pos="720"/>
        </w:tabs>
        <w:rPr/>
      </w:pPr>
      <w:r>
        <w:rPr/>
        <w:t>2.</w:t>
        <w:tab/>
        <w:t>Konsoliduoti tai, kas buvo padaryta bendros valiutos ir mokėjimo sistemų bei telekomunikacijų sujungimo srityje. (4.a.2)</w:t>
      </w:r>
    </w:p>
    <w:p>
      <w:pPr>
        <w:pStyle w:val="Puce3"/>
        <w:tabs>
          <w:tab w:val="clear" w:pos="720"/>
        </w:tabs>
        <w:rPr/>
      </w:pPr>
      <w:r>
        <w:rPr/>
        <w:t>3.</w:t>
        <w:tab/>
        <w:t>Sumažinti produktų standartizavimą ir pripažinti vietos ir regionų ypatumus, susijusius su kultūra ir gamyba (pagarba gamybos tradicijoms). (IT 2.2)</w:t>
      </w:r>
    </w:p>
    <w:p>
      <w:pPr>
        <w:pStyle w:val="Puce3"/>
        <w:tabs>
          <w:tab w:val="clear" w:pos="720"/>
        </w:tabs>
        <w:rPr/>
      </w:pPr>
      <w:r>
        <w:rPr/>
        <w:t>4.</w:t>
        <w:tab/>
        <w:t>Stiprinti aukštynkryptę socialinę ir ekonominę konvergenciją bendrojoje rinkoje, užbaigti esamas iniciatyvas, pavyzdžiui, bankų sąjungą ir kapitalo rinkų sąjungą, ir įgyvendinti į ateitį orientuotą mūsų ekonominės ir pinigų sąjungos reformą (diskusijos).</w:t>
      </w:r>
    </w:p>
    <w:p>
      <w:pPr>
        <w:pStyle w:val="Puce3"/>
        <w:tabs>
          <w:tab w:val="clear" w:pos="720"/>
        </w:tabs>
        <w:rPr/>
      </w:pPr>
      <w:r>
        <w:rPr/>
        <w:t>5.</w:t>
        <w:tab/>
        <w:t>Skatinti politiką, kuria siekiama stiprios pramoninės bazės ir inovacijų bazinių didelio poveikio technologijų srityje, taip pat į ateitį orientuotą klimato politiką, kartu su pramonės konkurencingumu, turinčiu stiprų socialinį aspektą, grindžiamą socialiniu dialogu ir gerai veikiančiais darbo santykiais (diskusijos).</w:t>
      </w:r>
    </w:p>
    <w:p>
      <w:pPr>
        <w:pStyle w:val="Puce3"/>
        <w:tabs>
          <w:tab w:val="clear" w:pos="720"/>
        </w:tabs>
        <w:rPr/>
      </w:pPr>
      <w:r>
        <w:rPr/>
        <w:t>6.</w:t>
        <w:tab/>
        <w:t>Visose naujose iniciatyvose ypatingą dėmesį skirti MVĮ, kurios yra mūsų ekonomikos pagrindas. Visuose ES pasiūlymuose dėl teisėkūros procedūra priimamų aktų turi būti laikomasi principo „visų pirma galvoti apie MVĮ“, o poveikio MVĮ tyrimas turėtų būti sustiprintas Komisijos poveikio vertinimuose, laikantis aiškių principų, kartu visapusiškai laikantis socialinių ir aplinkos apsaugos standartų ir vartotojų teisių (diskusijos).</w:t>
      </w:r>
    </w:p>
    <w:p>
      <w:pPr>
        <w:pStyle w:val="Puce3"/>
        <w:tabs>
          <w:tab w:val="clear" w:pos="720"/>
        </w:tabs>
        <w:rPr/>
      </w:pPr>
      <w:r>
        <w:rPr/>
        <w:t>7.</w:t>
        <w:tab/>
        <w:t>Užtikrinti MVĮ dalyvavimą finansavimo paraiškose, kvietimuose dalyvauti konkursuose ir tinkluose, dedant kuo mažiau administracinių pastangų. MVĮ, vykdančioms didelės rizikos inovacijų projektus, galimybes gauti finansavimą turėtų toliau plėtoti tokie subjektai kaip Europos inovacijų taryba ir Europos investicijų bankas (diskusijos).</w:t>
      </w:r>
    </w:p>
    <w:p>
      <w:pPr>
        <w:pStyle w:val="Puce3"/>
        <w:tabs>
          <w:tab w:val="clear" w:pos="720"/>
        </w:tabs>
        <w:rPr/>
      </w:pPr>
      <w:r>
        <w:rPr/>
        <w:t>8.</w:t>
        <w:tab/>
        <w:t>Sukurti geresnę investicijų į mokslinius tyrimus ir inovacijas sistemą, kad būtų sukurti tvaresni ir labiau biologine įvairove pasižymintys verslo modeliai (CEP 10, 11 ir 14); sutelkti dėmesį į technologijas ir inovacijas kaip augimo varomąsias jėgas. (IT 1.3)</w:t>
      </w:r>
    </w:p>
    <w:p>
      <w:pPr>
        <w:pStyle w:val="Puce3"/>
        <w:tabs>
          <w:tab w:val="clear" w:pos="720"/>
        </w:tabs>
        <w:rPr/>
      </w:pPr>
      <w:r>
        <w:rPr/>
        <w:t>9.</w:t>
        <w:tab/>
        <w:t>Skatinti kolektyvinius ekonominės veiklos rezultatus pasitelkiant savarankišką ir konkurencingą pramonę. (FR3)</w:t>
      </w:r>
    </w:p>
    <w:p>
      <w:pPr>
        <w:pStyle w:val="Puce3"/>
        <w:tabs>
          <w:tab w:val="clear" w:pos="720"/>
        </w:tabs>
        <w:rPr/>
      </w:pPr>
      <w:r>
        <w:rPr/>
        <w:t>10.</w:t>
        <w:tab/>
        <w:t>Nustatyti ir plėtoti strateginius sektorius, įskaitant kosmoso, robotikos ir dirbtinio intelekto sektorius. (EN 3 ir 9)</w:t>
      </w:r>
    </w:p>
    <w:p>
      <w:pPr>
        <w:pStyle w:val="Puce3"/>
        <w:tabs>
          <w:tab w:val="clear" w:pos="720"/>
        </w:tabs>
        <w:rPr/>
      </w:pPr>
      <w:r>
        <w:rPr/>
        <w:t>11.</w:t>
        <w:tab/>
        <w:t>Investuokite į turizmą ir kultūros ekonomiką, taip pat vertindami daugybę mažų Europos vietovių. (TAI 1.2)</w:t>
      </w:r>
    </w:p>
    <w:p>
      <w:pPr>
        <w:pStyle w:val="Puce3"/>
        <w:tabs>
          <w:tab w:val="clear" w:pos="720"/>
        </w:tabs>
        <w:rPr/>
      </w:pPr>
      <w:r>
        <w:rPr/>
        <w:t>12.</w:t>
        <w:tab/>
        <w:t>Užtikrinti tiekimo saugumą įvairinant žaliavų ir žaliavų šaltinius ir didinant pagrindinių prekių, pavyzdžiui, sveikatos, maisto, energetikos, gynybos ir transporto, gamybą Europoje. (EN 9, LT 1, IT 1.4)</w:t>
      </w:r>
    </w:p>
    <w:p>
      <w:pPr>
        <w:pStyle w:val="Puce3"/>
        <w:tabs>
          <w:tab w:val="clear" w:pos="720"/>
        </w:tabs>
        <w:rPr/>
      </w:pPr>
      <w:r>
        <w:rPr/>
        <w:t>13.</w:t>
        <w:tab/>
        <w:t>Skatinti Europos įmonių skaitmeninimą, pavyzdžiui, parengiant specialią rezultatų suvestinę, kad įmonės galėtų palyginti savo skaitmeninimo lygį, siekdamos bendro tikslo – didinti jų konkurencingumą. (NUO 2.1)</w:t>
      </w:r>
    </w:p>
    <w:p>
      <w:pPr>
        <w:pStyle w:val="Puce3"/>
        <w:tabs>
          <w:tab w:val="clear" w:pos="720"/>
        </w:tabs>
        <w:rPr/>
      </w:pPr>
      <w:r>
        <w:rPr/>
        <w:t>14.</w:t>
        <w:tab/>
        <w:t>Skatinti skaitmeninę sanglaudą siekiant prisidėti prie ekonominės, socialinės ir teritorinės sanglaudos, kaip apibrėžta Sutartyje dėl Europos Sąjungos veikimo (diskusijos).</w:t>
      </w:r>
    </w:p>
    <w:p>
      <w:pPr>
        <w:pStyle w:val="Puce3"/>
        <w:tabs>
          <w:tab w:val="clear" w:pos="720"/>
        </w:tabs>
        <w:rPr/>
      </w:pPr>
      <w:r>
        <w:rPr/>
        <w:t>15.</w:t>
        <w:tab/>
        <w:t>Stiprinti tarpvalstybinį bendradarbiavimą, siekiant stiprinti sanglaudą ir atsparumą regionuose ir už jų ribų, skatinant Europos tarpvalstybinį mechanizmą ir panašias priemones (diskusijas).</w:t>
      </w:r>
    </w:p>
    <w:p>
      <w:pPr>
        <w:pStyle w:val="Puce3"/>
        <w:tabs>
          <w:tab w:val="clear" w:pos="720"/>
        </w:tabs>
        <w:rPr/>
      </w:pPr>
      <w:r>
        <w:rPr/>
        <w:t>16.</w:t>
        <w:tab/>
        <w:t>Stiprinti ir skatinti tarpvalstybinio mokymo galimybes, siekiant tobulinti Europos darbo jėgos įgūdžius ir didinti konkurencingumą, kartu stiprinant piliečių įgūdžius ekonomikos srityje. (DE 2.2, LT7). Skatinti Europos darbuotojų prekybą pasitelkiant Europos užimtumo centrą; (6.1) skatinti jaunimą studijuoti mokslo dalykus. (TAI 1.5)</w:t>
      </w:r>
    </w:p>
    <w:p>
      <w:pPr>
        <w:pStyle w:val="Puce3"/>
        <w:tabs>
          <w:tab w:val="clear" w:pos="720"/>
        </w:tabs>
        <w:rPr/>
      </w:pPr>
      <w:r>
        <w:rPr/>
        <w:t>17.</w:t>
        <w:tab/>
        <w:t>Sumažinti biurokratiją (leidimus, sertifikatus), kai tai nėra būtina. (2.1)</w:t>
      </w:r>
    </w:p>
    <w:p>
      <w:pPr>
        <w:pStyle w:val="Puce3"/>
        <w:tabs>
          <w:tab w:val="clear" w:pos="720"/>
        </w:tabs>
        <w:rPr/>
      </w:pPr>
      <w:r>
        <w:rPr/>
        <w:t>18.</w:t>
        <w:tab/>
        <w:t>Kovoti su klastojimu ir nesąžininga konkurencija. (ŽR. 2.4 PUNKTĄ)</w:t>
      </w:r>
    </w:p>
    <w:p>
      <w:pPr>
        <w:pStyle w:val="Puce3"/>
        <w:tabs>
          <w:tab w:val="clear" w:pos="720"/>
        </w:tabs>
        <w:rPr/>
      </w:pPr>
      <w:r>
        <w:rPr/>
        <w:t>19.</w:t>
        <w:tab/>
        <w:t>Užtikrinti aktyvesnį startuolių ir MVĮ dalyvavimą inovacijų projektuose, nes tai didina jų inovacinį pajėgumą, konkurencingumą ir tinklų kūrimą (e. platforma, diskusijos).</w:t>
      </w:r>
    </w:p>
    <w:p>
      <w:pPr>
        <w:pStyle w:val="Puce3"/>
        <w:tabs>
          <w:tab w:val="clear" w:pos="720"/>
        </w:tabs>
        <w:rPr/>
      </w:pPr>
      <w:r>
        <w:rPr/>
        <w:t>20.</w:t>
        <w:tab/>
        <w:t>Bendrosios rinkos konsolidavimas ir apsauga turėtų išlikti prioritetu; priemonės ir iniciatyvos, kurių imamasi nacionaliniu ir Sąjungos lygmenimis, neturėtų daryti poveikio bendrajai rinkai ir turėtų prisidėti prie laisvo asmenų, prekių, paslaugų ir kapitalo judėjimo (diskusijos).</w:t>
      </w:r>
    </w:p>
    <w:p>
      <w:pPr>
        <w:pStyle w:val="Puce3"/>
        <w:tabs>
          <w:tab w:val="clear" w:pos="720"/>
        </w:tabs>
        <w:rPr/>
      </w:pPr>
      <w:r>
        <w:rPr/>
        <w:t>21.</w:t>
        <w:tab/>
        <w:t>Naujoms ES politikos iniciatyvoms turėtų būti taikoma „konkurencingumo patikra“, kad būtų galima išanalizuoti jų poveikį įmonėms ir verslo aplinkai (ekonominės veiklos sąnaudos, inovaciniai pajėgumai, tarptautinis konkurencingumas, vienodos sąlygos ir kt.). Ši stebėsena atitinka Paryžiaus susitarimą ir darnaus vystymosi tikslus, įskaitant lyčių lygybę, ir nekenkia žmogaus teisių, socialinių ir darbo teisių apsaugai arba aplinkos ir vartotojų apsaugos standartams. Šiuo tikslu taip pat siūlome įsteigti Europos konkurencingumo patariamąjį organą, kuris stebėtų, kaip vykdoma konkurencingumo stebėsena, ir visų pirma vertintų bendrą teisės aktų poveikį, taip pat pateiktų pasiūlymų, kaip pagerinti tinkamas pagrindines ES įmonių konkurencingumo sąlygas. Šis organas į savo valdymą turėtų įtraukti organizuotą pilietinę visuomenę ir socialinius partnerius; (diskusijos)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Pasiūlymas: Įtraukios darbo rinkos</w:t>
      </w:r>
    </w:p>
    <w:p>
      <w:pPr>
        <w:pStyle w:val="P68B1DB1Normal15"/>
        <w:rPr>
          <w:b/>
          <w:b/>
        </w:rPr>
      </w:pPr>
      <w:r>
        <w:rPr/>
        <w:t>Tikslas: Siūlome gerinti darbo rinkų veikimą, kad būtų užtikrintos teisingesnės darbo sąlygos ir skatinama lyčių lygybė ir užimtumas, ypač jaunimui ir pažeidžiamoms grupėms. ES, valstybės narės ir socialiniai partneriai turi dirbti, kad panaikintų darbuotojų skurdą, sustiprintų platformų darbuotojų teises, uždraustų nemokamas stažuotes ir užtikrintų sąžiningą darbo jėgos judumą Sąjungoje. Turime skatinti socialinį dialogą ir kolektyvines derybas. Turime užtikrinti visapusišką Europos socialinių teisių ramsčio, įskaitant jo atitinkamus pagrindinius 2030 m. tikslus, įgyvendinimą Europos, nacionaliniu, regionų ir vietos lygmenimis lygių galimybių ir galimybių patekti į darbo rinką ir tinkamų darbo sąlygų srityse, kartu paisant kompetencijos ir subsidiarumo bei proporcingumo principų, ir į Sutartis įtraukti Protokolą dėl socialinės pažangos. Tai darant būtina gerbti nacionalines tradicijas ir socialinių partnerių savarankiškumą bei bendradarbiauti su pilietine visuomene. Tai būtų galima pasiekti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1"/>
      </w:r>
      <w:r>
        <w:rPr/>
        <w:t>:</w:t>
      </w:r>
    </w:p>
    <w:p>
      <w:pPr>
        <w:pStyle w:val="Puce3"/>
        <w:tabs>
          <w:tab w:val="clear" w:pos="720"/>
        </w:tabs>
        <w:rPr/>
      </w:pPr>
      <w:r>
        <w:rPr/>
        <w:t>1.</w:t>
        <w:tab/>
        <w:t>Užtikrinti, kad nustatytasis minimalusis darbo užmokestis užtikrintų deramą ir panašią kiekvieno darbuotojo gyvenimo kokybę visose valstybėse narėse. Nustatant minimalų darbo užmokestį, reikėtų nustatyti aiškius kriterijus (pvz., pragyvenimo išlaidas, infliaciją, skurdo ribą viršijantį lygį, vidutinį ir vidutinį darbo užmokestį nacionaliniu lygmeniu). Nustatytojo minimaliojo darbo užmokesčio dydžiai turėtų būti reguliariai peržiūrimi atsižvelgiant į šiuos kriterijus, siekiant užtikrinti jų adekvatumą. Ypatingas dėmesys turėtų būti skiriamas veiksmingam šių taisyklių įgyvendinimui ir gyvenimo lygio gerinimo stebėsenai ir stebėsenai. Kartu visoje Sąjungoje turėtų būti stiprinamos ir skatinamos kolektyvinės derybos (PCE 1 ir 30; 4.2.; interneto platforma).</w:t>
      </w:r>
    </w:p>
    <w:p>
      <w:pPr>
        <w:pStyle w:val="Puce3"/>
        <w:tabs>
          <w:tab w:val="clear" w:pos="720"/>
        </w:tabs>
        <w:rPr/>
      </w:pPr>
      <w:r>
        <w:rPr/>
        <w:t>2.</w:t>
        <w:tab/>
        <w:t>Įvertinti ir toliau stiprinti Darbo laiko direktyvos (Direktyva 2003/88/EB) ir kitų atitinkamų teisės aktų, kuriais užtikrinama sveika profesinio ir asmeninio gyvenimo pusiausvyra, įgyvendinimą, kartu atsižvelgiant į naują nacionalinę šios srities politiką (CEP 2).</w:t>
      </w:r>
    </w:p>
    <w:p>
      <w:pPr>
        <w:pStyle w:val="Puce3"/>
        <w:tabs>
          <w:tab w:val="clear" w:pos="720"/>
        </w:tabs>
        <w:rPr/>
      </w:pPr>
      <w:r>
        <w:rPr/>
        <w:t>3.</w:t>
        <w:tab/>
        <w:t>Priimti arba sustiprinti galiojančius teisės aktus dėl „pažangaus darbo“ ir skatinti įmones propaguoti šį naują darbo būdą. (PCE 7) Sąjunga turėtų užtikrinti teisę atsijungti, labiau kovoti su skaitmenine atskirtimi darbo vietoje ir įvertinti nuotolinio darbo poveikį sveikatai, darbo laikui ir veiklos rezultatams. Reikia užtikrinti sąžiningą skaitmeninimą, grindžiamą žmogaus teisėmis, geresnėmis darbo sąlygomis ir kolektyvinėmis derybomis (diskusijos).</w:t>
      </w:r>
    </w:p>
    <w:p>
      <w:pPr>
        <w:pStyle w:val="Puce3"/>
        <w:tabs>
          <w:tab w:val="clear" w:pos="720"/>
        </w:tabs>
        <w:rPr/>
      </w:pPr>
      <w:r>
        <w:rPr/>
        <w:t>4.</w:t>
        <w:tab/>
        <w:t>Užimtumo politikos integravimas ES lygmeniu, kai aktyvi darbo rinkos politika išlieka svarbiausia ir vis labiau koordinuojama (IT 6.2), o valstybės narės daugiausia dėmesio skiria tolesnėms reformoms, kad būtų sukurtos palankios sąlygos kokybiškoms darbo vietoms kurti (diskusijos).</w:t>
      </w:r>
    </w:p>
    <w:p>
      <w:pPr>
        <w:pStyle w:val="Puce3"/>
        <w:tabs>
          <w:tab w:val="clear" w:pos="720"/>
        </w:tabs>
        <w:rPr/>
      </w:pPr>
      <w:r>
        <w:rPr/>
        <w:t>5.</w:t>
        <w:tab/>
        <w:t>Imtis priemonių siekiant užtikrinti visapusišką socialinių teisių apsaugą ir pirmenybę teikti ekonominėms laisvėms konflikto atveju, be kita ko, į Sutartis įtraukiant socialinės pažangos protokolą (interneto platforma, diskusijos).</w:t>
      </w:r>
    </w:p>
    <w:p>
      <w:pPr>
        <w:pStyle w:val="Puce3"/>
        <w:tabs>
          <w:tab w:val="clear" w:pos="720"/>
        </w:tabs>
        <w:rPr/>
      </w:pPr>
      <w:r>
        <w:rPr/>
        <w:t>6.</w:t>
        <w:tab/>
        <w:t>Užtikrinti lyčių lygybę pagal 2020–2025 m. ES lyčių lygybės strategiją. Sąjunga turėtų toliau vertinti lyčių lygybę taikydama lyčių lygybės indeksą (požiūris, darbo užmokesčio skirtumas, užimtumas, lyderystė ir t. t.), kasmet stebėti strategiją, skaidriai informuoti apie pasiektus rezultatus, skatinti dalijimąsi ekspertinėmis žiniomis ir geriausios praktikos pavyzdžiais ir sukurti galimą tiesioginį piliečių grįžtamosios informacijos mechanizmą (pvz., ombudsmenas) (EKP 28; 5.a.1). Reikia spręsti vyrų ir moterų darbo užmokesčio skirtumo problemą ir nustatyti vyresniosios vadovybės pareigybių kvotas. Moterys verslininkės turėtų gauti didesnę paramą verslo aplinkoje, taip pat moterys mokslo, technologijų, inžinerijos ir matematikos srityse (diskusijos).</w:t>
      </w:r>
    </w:p>
    <w:p>
      <w:pPr>
        <w:pStyle w:val="Puce3"/>
        <w:tabs>
          <w:tab w:val="clear" w:pos="720"/>
        </w:tabs>
        <w:rPr/>
      </w:pPr>
      <w:r>
        <w:rPr/>
        <w:t>7.</w:t>
        <w:tab/>
        <w:t>Skatinti jaunimo užimtumą, inter alia, teikiant finansinę paramą įmonėms, taip pat teikiant papildomą paramą darbdaviams ir darbuotojams (NL 4) ir remiant jaunus verslininkus ir jaunus savarankiškai dirbančius asmenis, pavyzdžiui, pasitelkiant švietimo priemones ir kursus (diskusijas).</w:t>
      </w:r>
    </w:p>
    <w:p>
      <w:pPr>
        <w:pStyle w:val="Puce3"/>
        <w:tabs>
          <w:tab w:val="clear" w:pos="720"/>
        </w:tabs>
        <w:rPr/>
      </w:pPr>
      <w:r>
        <w:rPr/>
        <w:t>8.</w:t>
        <w:tab/>
        <w:t>Skatinti palankių sąlygų neturinčių grupių užimtumą (NL 4), ypač neįgaliesiems (internetinė platforma).</w:t>
      </w:r>
    </w:p>
    <w:p>
      <w:pPr>
        <w:pStyle w:val="Puce3"/>
        <w:tabs>
          <w:tab w:val="clear" w:pos="720"/>
        </w:tabs>
        <w:rPr/>
      </w:pPr>
      <w:r>
        <w:rPr/>
        <w:t>9.</w:t>
        <w:tab/>
        <w:t>Skatinti užimtumą ir socialinį judumą, kad žmonės turėtų visas asmeninio tobulėjimo ir apsisprendimo galimybes. (5.a.4 ir IT 6.1) Gali būti ilgalaikė strategija, siekiant užtikrinti, kad bet kuris mūsų visuomenės narys turėtų tinkamų įgūdžių rasti darbą ir ugdyti savo talentus, ypač jaunąją kartą (diskusijos). Svarbu investuoti į kintančius darbo rinkos poreikius pritaikytus įgūdžius ir skatinti mokymąsi visą gyvenimą pasitelkiant, inter alia, mainų programą visais gyvenimo etapais, taip pat užtikrinti teisę į mokymąsi visą gyvenimą ir teisę į mokymą. (FR 6; Šiuo tikslu būtina stiprinti įmonių, profesinių sąjungų ir profesinio mokymo paslaugų teikėjų bendradarbiavimą (diskusijos).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Pasiūlymas: Stipresnė socialinė politika</w:t>
      </w:r>
    </w:p>
    <w:p>
      <w:pPr>
        <w:pStyle w:val="Normal"/>
        <w:rPr/>
      </w:pPr>
      <w:r>
        <w:rPr/>
        <w:t>Tikslas: Siūlome mažinti nelygybę, kovoti su socialine atskirtimi ir skurdu. Turime parengti išsamią kovos su skurdu strategiją, kuri galėtų apimti, inter alia, vaiko garantijų ir Jaunimo garantijų iniciatyvos stiprinimą, minimalaus darbo užmokesčio nustatymą, bendrą Europos minimalių pajamų sistemų sistemą ir deramą socialinį būstą. Turime užtikrinti visapusišką Europos socialinių teisių ramsčio, įskaitant jo atitinkamus pagrindinius 2030 m. tikslus, įgyvendinimą Europos, nacionaliniu, regionų ir vietos lygmenimis socialinės apsaugos ir įtraukties srityse, kartu paisant atitinkamų kompetencijų ir subsidiarumo bei proporcingumo principų, ir į Sutartis įtraukti Protokolą dėl socialinės pažangos. Tai būtų galima pasiekti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2"/>
      </w:r>
      <w:r>
        <w:rPr/>
        <w:t>:</w:t>
      </w:r>
    </w:p>
    <w:p>
      <w:pPr>
        <w:pStyle w:val="Puce3"/>
        <w:tabs>
          <w:tab w:val="clear" w:pos="720"/>
        </w:tabs>
        <w:rPr/>
      </w:pPr>
      <w:r>
        <w:rPr/>
        <w:t>1.</w:t>
        <w:tab/>
        <w:t>Stiprinti Sąjungos kompetenciją socialinės politikos srityje ir pasiūlyti suderintus Sąjungos masto teisės aktus, kuriais būtų skatinama socialinė politika ir užtikrinamos lygios teisės, įskaitant sveikatos teises, atsižvelgiant į priimtas taisykles ir būtiniausius reikalavimus visoje teritorijoje. (CEP 19 ir 21) ES galėtų remti ir papildyti valstybių narių politiką, inter alia, siūlydama bendrą sistemą minimalioms pajamoms užtikrinti, kad niekas nebūtų paliktas nuošalyje. Šie veiksmai turėtų būti vykdomi visapusiškai įgyvendinant Europos socialinių teisių ramstį ir jo veiksmų planą (diskusijos).</w:t>
      </w:r>
    </w:p>
    <w:p>
      <w:pPr>
        <w:pStyle w:val="Puce3"/>
        <w:tabs>
          <w:tab w:val="clear" w:pos="720"/>
        </w:tabs>
        <w:rPr/>
      </w:pPr>
      <w:r>
        <w:rPr/>
        <w:t>2.</w:t>
        <w:tab/>
        <w:t>Nekompromituokite socialinių teisių (visuomenės sveikatos, viešojo švietimo, darbo politikos). (4.a.1)</w:t>
      </w:r>
    </w:p>
    <w:p>
      <w:pPr>
        <w:pStyle w:val="Puce3"/>
        <w:tabs>
          <w:tab w:val="clear" w:pos="720"/>
        </w:tabs>
        <w:rPr/>
      </w:pPr>
      <w:r>
        <w:rPr/>
        <w:t>3.</w:t>
        <w:tab/>
        <w:t>Skatinti socialinius ir sveikatos mokslinius tyrimus ES, vadovaujantis viešojo intereso ir valstybių narių patvirtintomis prioritetinėmis kryptimis, ir numatyti tinkamą finansavimą. Tai iš dalies būtų galima pasiekti stiprinant kompetencijos sričių, šalių ir studijų centrų (universitetų ir kt.) bendradarbiavimą (CEP 20).</w:t>
      </w:r>
    </w:p>
    <w:p>
      <w:pPr>
        <w:pStyle w:val="Puce3"/>
        <w:tabs>
          <w:tab w:val="clear" w:pos="720"/>
        </w:tabs>
        <w:rPr/>
      </w:pPr>
      <w:r>
        <w:rPr/>
        <w:t>4.</w:t>
        <w:tab/>
        <w:t>Suteikti galimybę naudotis medicinos paslaugomis visiems asmenims iki 16 metų visoje ES, jei šios paslaugos nėra prieinamos nacionaliniu lygmeniu (diskusijos).</w:t>
      </w:r>
    </w:p>
    <w:p>
      <w:pPr>
        <w:pStyle w:val="Puce3"/>
        <w:tabs>
          <w:tab w:val="clear" w:pos="720"/>
        </w:tabs>
        <w:rPr/>
      </w:pPr>
      <w:r>
        <w:rPr/>
        <w:t>5.</w:t>
        <w:tab/>
        <w:t>Užtikrinti, kad ES kartu su socialiniais partneriais ir nacionalinėmis vyriausybėmis remtų tikslingą piliečių prieigą prie deramo socialinio būsto, atsižvelgiant į jų konkrečius poreikius; finansinės pastangos turėtų būti paskirstytos privatiems paramos teikėjams, namų savininkams, būsto gavėjams, valstybių narių vyriausybėms centriniu ir vietos lygmenimis ir Europos Sąjungai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Pasiūlymas: Demografiniai pokyčiai</w:t>
      </w:r>
    </w:p>
    <w:p>
      <w:pPr>
        <w:pStyle w:val="P68B1DB1Normal15"/>
        <w:rPr>
          <w:b/>
          <w:b/>
        </w:rPr>
      </w:pPr>
      <w:r>
        <w:rPr/>
        <w:t>Tikslas: siūlome spręsti problemas, kylančias dėl demografinio perėjimo, nes tai yra labai svarbus bendro Europos atsparumo elementas, visų pirma mažas gimstamumas ir nuolatinis gyventojų senėjimas, teikiant paramą žmonėms visą gyvenimą. Tai turėtų būti visapusiški veiksmai, skirti visoms kartoms – nuo vaikų ir jaunimo iki šeimų, darbingo amžiaus gyventojų, vyresnio amžiaus žmonių, vis dar pasirengusių dirbti, ir tiems, kurie yra išėję į pensiją arba kuriems reikia priežiūros. Tai būtų galima pasiekti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3"/>
      </w:r>
      <w:r>
        <w:rPr/>
        <w:t>:</w:t>
      </w:r>
    </w:p>
    <w:p>
      <w:pPr>
        <w:pStyle w:val="Puce3"/>
        <w:tabs>
          <w:tab w:val="clear" w:pos="720"/>
        </w:tabs>
        <w:rPr/>
      </w:pPr>
      <w:r>
        <w:rPr/>
        <w:t>1.</w:t>
        <w:tab/>
        <w:t>Užtikrinti kokybiškas, įperkamas ir prieinamas vaikų priežiūros paslaugas visoje ES, kad motinos ir tėvai galėtų užtikrintai suderinti profesinį ir šeimos gyvenimą. Tam tikrais atvejais tai galėtų apimti vaikų priežiūros galimybes darbo vietoje arba šalia jos. Kai kuriose valstybėse narėse taip pat teikiamos vaikų priežiūros paslaugos, kurios turėtų būti pavyzdys. Be to, šias priemones galėtų papildyti paramos priemonės, pavyzdžiui, lengvatiniai PVM tarifai vaikams reikalingai įrangai. Labai svarbu užkirsti kelią vaikų skurdui ir socialinei atskirčiai. (CEP 22–26) Vaiko garantijų sistemos stiprinimas, užtikrinant galimybę vaikams, kuriems jos reikia, naudotis tokiomis paslaugomis kaip švietimas ir vaikų priežiūra, sveikatos priežiūra, mityba ir būstas, galėtų būti priemonė šiam tikslui pasiekti (e. platforma, diskusijos).</w:t>
      </w:r>
    </w:p>
    <w:p>
      <w:pPr>
        <w:pStyle w:val="Puce3"/>
        <w:tabs>
          <w:tab w:val="clear" w:pos="720"/>
        </w:tabs>
        <w:rPr/>
      </w:pPr>
      <w:r>
        <w:rPr/>
        <w:t>2.</w:t>
        <w:tab/>
        <w:t>Nustatyti specialią paramą jaunimui ir darbo apsaugą. Darbingo amžiaus gyventojams skirtos priemonės turėtų apimti motinų ir tėvų galimybes gauti žinių jiems grįžus į darbą (CEP 22). Jaunimo garantijų iniciatyvos stiprinimas galėtų būti priemonė, kuria būtų gerinamos jaunimo iki 30 metų galimybės gauti kokybišką darbo, tęstinio švietimo, pameistrystės ar stažuočių pasiūlymą. (diskusijos)</w:t>
      </w:r>
    </w:p>
    <w:p>
      <w:pPr>
        <w:pStyle w:val="Puce3"/>
        <w:tabs>
          <w:tab w:val="clear" w:pos="720"/>
        </w:tabs>
        <w:rPr/>
      </w:pPr>
      <w:r>
        <w:rPr/>
        <w:t>3.</w:t>
        <w:tab/>
        <w:t>Skatinti teisę į laisvą švietimo judėjimą Sąjungoje, visų pirma abipusiu diplomų, lygių, kompetencijų ir kvalifikacijų pripažinimu. (diskusijos)</w:t>
      </w:r>
    </w:p>
    <w:p>
      <w:pPr>
        <w:pStyle w:val="Puce3"/>
        <w:tabs>
          <w:tab w:val="clear" w:pos="720"/>
        </w:tabs>
        <w:rPr/>
      </w:pPr>
      <w:r>
        <w:rPr/>
        <w:t>4.</w:t>
        <w:tab/>
        <w:t>Tobulinti teisės aktus ir jų įgyvendinimą, kad visose valstybėse narėse būtų teikiama parama šeimoms, pavyzdžiui, vaiko priežiūros atostogų, vaiko gimimo ir vaiko priežiūros pašalpų srityje. (PCE 26 ir IT 5.a.1) Būstas atlieka labai svarbų vaidmenį remiant šeimas ir turėtų būti sprendžiamas (internetinė platforma, diskusijos).</w:t>
      </w:r>
    </w:p>
    <w:p>
      <w:pPr>
        <w:pStyle w:val="Puce3"/>
        <w:tabs>
          <w:tab w:val="clear" w:pos="720"/>
        </w:tabs>
        <w:rPr/>
      </w:pPr>
      <w:r>
        <w:rPr/>
        <w:t>5.</w:t>
        <w:tab/>
        <w:t>Imtis priemonių siekiant užtikrinti, kad visos šeimos turėtų vienodas šeimos teises visose valstybėse narėse. Tai turėtų apimti teisę į santuoką ir įvaikinimą. (PCE 27)</w:t>
      </w:r>
    </w:p>
    <w:p>
      <w:pPr>
        <w:pStyle w:val="Puce3"/>
        <w:tabs>
          <w:tab w:val="clear" w:pos="720"/>
        </w:tabs>
        <w:rPr/>
      </w:pPr>
      <w:r>
        <w:rPr/>
        <w:t>6.</w:t>
        <w:tab/>
        <w:t>Skatinti lankstų pensinį amžių, atsižvelgiant į ypatingą vyresnio amžiaus žmonių padėtį. Nustatant pensinį amžių, būtina diferencijuoti pagal profesiją ir todėl atsižvelgti į itin reiklų darbą – tiek protinį, tiek fizinį. (PCE 21 ir IT 5.a.1)</w:t>
      </w:r>
    </w:p>
    <w:p>
      <w:pPr>
        <w:pStyle w:val="Puce3"/>
        <w:tabs>
          <w:tab w:val="clear" w:pos="720"/>
        </w:tabs>
        <w:rPr/>
      </w:pPr>
      <w:r>
        <w:rPr/>
        <w:t>7.</w:t>
        <w:tab/>
        <w:t>Užkirsti kelią vyresnio amžiaus žmonių skurdui įvedant minimalias pensijas. Nustatant šiuos minimalius lygius turėtų būti atsižvelgiama į gyvenimo lygį, skurdo ribą ir perkamąją galią atitinkamoje valstybėje narėje. (PCE 21)</w:t>
      </w:r>
    </w:p>
    <w:p>
      <w:pPr>
        <w:pStyle w:val="Puce3"/>
        <w:tabs>
          <w:tab w:val="clear" w:pos="720"/>
        </w:tabs>
        <w:rPr/>
      </w:pPr>
      <w:r>
        <w:rPr/>
        <w:t>8.</w:t>
        <w:tab/>
        <w:t>Užtikrinti tinkamą socialinę paramą ir sveikatos priežiūrą vyresnio amžiaus žmonėms. Tokiu būdu svarbu sutelkti dėmesį tiek į bendruomeninę, tiek į stacionarinę globą. Be to, taikant priemones turi būti atsižvelgiama ir į priežiūros gavėjus, ir į priežiūros paslaugų teikėjus. (PCE 23)</w:t>
      </w:r>
    </w:p>
    <w:p>
      <w:pPr>
        <w:pStyle w:val="Puce3"/>
        <w:tabs>
          <w:tab w:val="clear" w:pos="720"/>
        </w:tabs>
        <w:rPr/>
      </w:pPr>
      <w:r>
        <w:rPr/>
        <w:t>9.</w:t>
        <w:tab/>
        <w:t>Užtikrinti mažiau išsivysčiusių regionų darnų vystymąsi ir demografinį atsparumą, kad jie taptų dinamiškesni ir patrauklesni, be kita ko, įgyvendinant sanglaudos politiką. (internetinė platforma ir diskusijos)</w:t>
      </w:r>
    </w:p>
    <w:p>
      <w:pPr>
        <w:pStyle w:val="Puce3"/>
        <w:tabs>
          <w:tab w:val="clear" w:pos="720"/>
        </w:tabs>
        <w:rPr/>
      </w:pPr>
      <w:r>
        <w:rPr/>
        <w:t>10.</w:t>
        <w:tab/>
        <w:t>Imtis koordinuotų veiksmų Europos lygmeniu, kad būtų renkami duomenys, suskirstyti pagal tokius veiksnius kaip lytis, ir analizuojamos demografinės tendencijos, dalijamasi geriausia patirtimi ir žiniomis ir padedama valstybėms narėms kurti ir įgyvendinti tinkamą politiką, be kita ko, įsteigiant šioje srityje specializuotą ES įstaigą. (interneto platforma ir diskusijos).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Pasiūlymas: Fiskalinė ir fiskalinė politika</w:t>
      </w:r>
    </w:p>
    <w:p>
      <w:pPr>
        <w:pStyle w:val="P68B1DB1Normal15"/>
        <w:rPr>
          <w:b/>
          <w:b/>
        </w:rPr>
      </w:pPr>
      <w:r>
        <w:rPr/>
        <w:t>Tikslas: siūlome ES skatinti į ateitį orientuotas investicijas, daugiausia dėmesio skiriant žaliajai ir skaitmeninei pertvarkai, turinčiai stiprų socialinį ir lyčių aspektą, atsižvelgiant į priemonės „Next Generation EU“ ir Europos laikinos paramos, skirtos nedarbo rizikai ekstremaliosiose situacijose mažinti (SURE), pavyzdžius. Sąjunga turi atsižvelgti į socialinį ir ekonominį karo prieš Ukrainą poveikį ir jos ekonomikos valdymo bei naujų geopolitinių aplinkybių sąsają, didindama savo biudžetą naujais nuosavais ištekliais. Piliečiai nori, kad apmokestinimas atsiribotų nuo piliečių ir MVĮ ir būtų nukreiptas į sukčiautojus mokesčių srityje, didelius teršėjus ir skaitmenines milžines, o ES norėtų remti valstybių narių ir vietos valdžios institucijų gebėjimą finansuoti save ir naudoti ES lėšas. Šio tikslo turėtų būti siekiama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4"/>
      </w:r>
      <w:r>
        <w:rPr/>
        <w:t>:</w:t>
      </w:r>
    </w:p>
    <w:p>
      <w:pPr>
        <w:pStyle w:val="Puce3"/>
        <w:tabs>
          <w:tab w:val="clear" w:pos="720"/>
        </w:tabs>
        <w:rPr/>
      </w:pPr>
      <w:r>
        <w:rPr/>
        <w:t>1.</w:t>
        <w:tab/>
        <w:t>Suderinti ir koordinuoti mokesčių politiką ES valstybėse narėse, siekiant užkirsti kelią mokesčių slėpimui ir vengimui, išvengti mokesčių rojų ES viduje ir nukreipti perkėlimą Europos viduje, be kita ko, užtikrinant, kad sprendimai dėl mokesčių galėtų būti priimami kvalifikuota balsų dauguma ES Taryboje. Kita vertus, yra piliečių grupių rekomendacijų, kad apmokestinimas priklauso skirtingų šalių, kurios turi savo tikslus ir aplinkybes, kompetencijai. (PCE 13 ir 31, IT 4.b.3, NL 2.3)</w:t>
      </w:r>
    </w:p>
    <w:p>
      <w:pPr>
        <w:pStyle w:val="Puce3"/>
        <w:tabs>
          <w:tab w:val="clear" w:pos="720"/>
        </w:tabs>
        <w:rPr/>
      </w:pPr>
      <w:r>
        <w:rPr/>
        <w:t>2.</w:t>
        <w:tab/>
        <w:t>Skatinti ES valstybių narių bendradarbiavimą siekiant užtikrinti, kad visos ES įmonės sąžiningai mokėtų savo mokesčių dalį; nustatyti bendrą pelno mokesčio bazę (BPMB) arba minimalų faktinį tarifą. (NL 3)</w:t>
      </w:r>
    </w:p>
    <w:p>
      <w:pPr>
        <w:pStyle w:val="Puce3"/>
        <w:tabs>
          <w:tab w:val="clear" w:pos="720"/>
        </w:tabs>
        <w:rPr/>
      </w:pPr>
      <w:r>
        <w:rPr/>
        <w:t>3.</w:t>
        <w:tab/>
        <w:t>Užtikrinti, kad įmonės mokėtų mokesčius ten, kur gaunamas pelnas. (PCE 13)</w:t>
      </w:r>
    </w:p>
    <w:p>
      <w:pPr>
        <w:pStyle w:val="Puce3"/>
        <w:tabs>
          <w:tab w:val="clear" w:pos="720"/>
        </w:tabs>
        <w:rPr/>
      </w:pPr>
      <w:r>
        <w:rPr/>
        <w:t>4.</w:t>
        <w:tab/>
        <w:t>Užtikrinti, kad mokesčių politika remtų Europos pramonę ir užkirstų kelią darbo vietų praradimui Europoje. (PCE 13 ir 31)</w:t>
      </w:r>
    </w:p>
    <w:p>
      <w:pPr>
        <w:pStyle w:val="Puce3"/>
        <w:tabs>
          <w:tab w:val="clear" w:pos="720"/>
        </w:tabs>
        <w:rPr/>
      </w:pPr>
      <w:r>
        <w:rPr/>
        <w:t>5.</w:t>
        <w:tab/>
        <w:t>Išsamiau išnagrinėti galimybę bendrai skolintis Sąjungos lygmeniu, kad būtų sudarytos palankesnės skolinimosi sąlygos, kartu išlaikant atsakingą fiskalinę politiką valstybių narių lygmeniu. (LT 9)</w:t>
      </w:r>
    </w:p>
    <w:p>
      <w:pPr>
        <w:pStyle w:val="Puce3"/>
        <w:tabs>
          <w:tab w:val="clear" w:pos="720"/>
        </w:tabs>
        <w:rPr/>
      </w:pPr>
      <w:r>
        <w:rPr/>
        <w:t>6.</w:t>
        <w:tab/>
        <w:t>Stiprinti Sąjungos lėšų panaudojimo ir naudojimo stebėseną, be kita ko, vietos ir savivaldybių lygmenimis.(LT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Paveikslėli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aveikslėlis24"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ES pasaulyje“</w:t>
      </w:r>
    </w:p>
    <w:p>
      <w:pPr>
        <w:pStyle w:val="Titre3"/>
        <w:numPr>
          <w:ilvl w:val="2"/>
          <w:numId w:val="2"/>
        </w:numPr>
        <w:rPr/>
      </w:pPr>
      <w:bookmarkStart w:id="65" w:name="__RefHeading___Toc298304_1346298689"/>
      <w:bookmarkEnd w:id="65"/>
      <w:r>
        <w:rPr/>
        <w:t>17. Pasiūlymas: ES priklausomybės nuo užsienio subjektų strateginiuose sektoriuose mažinimas ekonominiu požiūriu</w:t>
      </w:r>
    </w:p>
    <w:p>
      <w:pPr>
        <w:pStyle w:val="P68B1DB1Normal15"/>
        <w:rPr>
          <w:b/>
          <w:b/>
        </w:rPr>
      </w:pPr>
      <w:r>
        <w:rPr/>
        <w:t>Tikslas: Siūlome, kad ES imtųsi veiksmų, kad sustiprintų savo savarankiškumą pagrindiniuose strateginiuose sektoriuose, pavyzdžiui, žemės ūkio produktų, strateginių ekonominių prekių, puslaidininkių, medicinos gaminių, novatoriškų skaitmeninių ir aplinkos technologijų ir energetikos srityse, taikant šias priemones: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Mokslinių tyrimų, technologinės plėtros ir inovacijų veiklos skatinimas ir viešojo bei privačiojo sektorių partnerių bendradarbiavimas šioje srityje.</w:t>
      </w:r>
    </w:p>
    <w:p>
      <w:pPr>
        <w:pStyle w:val="Puce3"/>
        <w:tabs>
          <w:tab w:val="clear" w:pos="720"/>
        </w:tabs>
        <w:rPr/>
      </w:pPr>
      <w:r>
        <w:rPr/>
        <w:t>2.</w:t>
        <w:tab/>
        <w:t>Išlaikyti plataus užmojo prekybos derybų darbotvarkę, kuri galėtų padėti stiprinti tiekimo grandinių, ypač žaliavų, atsparumą ir įvairinimą, tuo pačiu teisingiau dalijantis prekybos teikiama nauda ir su daugiau partnerių, taip sumažinant mūsų poveikį ir priklausomybę nuo nedidelio skaičiaus tiekėjų, kurie gali kelti riziką</w:t>
      </w:r>
      <w:r>
        <w:rPr>
          <w:rStyle w:val="Ancredenotedefin"/>
          <w:rStyle w:val="Ancredenotedefin"/>
        </w:rPr>
        <w:endnoteReference w:id="15"/>
      </w:r>
      <w:r>
        <w:rPr/>
        <w:t>.</w:t>
      </w:r>
    </w:p>
    <w:p>
      <w:pPr>
        <w:pStyle w:val="Puce3"/>
        <w:tabs>
          <w:tab w:val="clear" w:pos="720"/>
        </w:tabs>
        <w:rPr/>
      </w:pPr>
      <w:r>
        <w:rPr/>
        <w:t>3.</w:t>
        <w:tab/>
        <w:t>Didinti ES tiekimo grandinių atsparumą skatinant investicijas į strateginius Sąjungos sektorius, saugant ypatingos svarbos gamybą ir prietaisus ir įvairinant svarbiausių žaliavų tiekimo šaltinius.</w:t>
      </w:r>
    </w:p>
    <w:p>
      <w:pPr>
        <w:pStyle w:val="Puce3"/>
        <w:tabs>
          <w:tab w:val="clear" w:pos="720"/>
        </w:tabs>
        <w:rPr/>
      </w:pPr>
      <w:r>
        <w:rPr/>
        <w:t>4.</w:t>
        <w:tab/>
        <w:t>Naujos investicijos į vidaus rinkos kūrimą ir vienodų sąlygų sudarymas, kad šių gaminių gamyba ir pirkimas Europos Sąjungoje taptų patrauklesnis.</w:t>
      </w:r>
    </w:p>
    <w:p>
      <w:pPr>
        <w:pStyle w:val="Puce3"/>
        <w:tabs>
          <w:tab w:val="clear" w:pos="720"/>
        </w:tabs>
        <w:rPr/>
      </w:pPr>
      <w:r>
        <w:rPr/>
        <w:t>5.</w:t>
        <w:tab/>
        <w:t>Remti šių produktų prieinamumą ir įperkamumą Europos vartotojams ir padėti mažinti išorės priklausomybę, pavyzdžiui, vykdant struktūrinę ir regioninę politiką, taikant mokesčių lengvatas, subsidijas, investicijas į infrastruktūrą ir investicijas į mokslinius tyrimus, didinant MVĮ konkurencingumą, taip pat įgyvendinant švietimo programas, kad Europoje būtų išlaikyti atitinkami įgūdžiai ir darbo vietos, kurios yra svarbios siekiant užtikrinti pagrindinius poreikius</w:t>
      </w:r>
      <w:r>
        <w:rPr>
          <w:rStyle w:val="Ancredenotedefin"/>
          <w:rStyle w:val="Ancredenotedefin"/>
        </w:rPr>
        <w:endnoteReference w:id="16"/>
      </w:r>
      <w:r>
        <w:rPr/>
        <w:t>.</w:t>
      </w:r>
    </w:p>
    <w:p>
      <w:pPr>
        <w:pStyle w:val="Puce3"/>
        <w:tabs>
          <w:tab w:val="clear" w:pos="720"/>
        </w:tabs>
        <w:rPr/>
      </w:pPr>
      <w:r>
        <w:rPr/>
        <w:t>6.</w:t>
        <w:tab/>
        <w:t>Europos programa, kuria siekiama remti visų</w:t>
      </w:r>
      <w:r>
        <w:rPr>
          <w:rStyle w:val="Ancredenotedefin"/>
          <w:rStyle w:val="Ancredenotedefin"/>
        </w:rPr>
        <w:endnoteReference w:id="17"/>
      </w:r>
      <w:r>
        <w:rPr/>
        <w:t>valstybių narių strateginiuose sektoriuose veikiančius smulkiuosius vietos gamintojus, labiau naudojantis ES programomis ir finansinėmis priemonėmis, pavyzdžiui, „InvestEU“.</w:t>
      </w:r>
    </w:p>
    <w:p>
      <w:pPr>
        <w:pStyle w:val="Puce3"/>
        <w:tabs>
          <w:tab w:val="clear" w:pos="720"/>
        </w:tabs>
        <w:rPr/>
      </w:pPr>
      <w:r>
        <w:rPr/>
        <w:t>7.</w:t>
        <w:tab/>
        <w:t>Geresnis valstybių narių bendradarbiavimas valdant tiekimo grandinės rizikos valdymą.</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Pasiūlymas: ES priklausomybės nuo užsienio energetikos subjektų mažinimas</w:t>
      </w:r>
    </w:p>
    <w:p>
      <w:pPr>
        <w:pStyle w:val="P68B1DB1Normal15"/>
        <w:rPr>
          <w:b/>
          <w:b/>
        </w:rPr>
      </w:pPr>
      <w:r>
        <w:rPr/>
        <w:t>Tikslas: Siūlome, kad vykstant ekologinei pertvarkai ES užtikrintų didesnę energijos gamybos ir tiekimo autonomiją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Strategijos, kuria siekiama, kad ji taptų savarankiškesnė energijos gamybos srityje, priėmimas. Europos įstaiga turėtų integruoti esamas Europos energetikos agentūras, koordinuoti atsinaujinančiųjų išteklių energijos plėtrą ir skatinti dalijimąsi žiniomis</w:t>
      </w:r>
      <w:r>
        <w:rPr>
          <w:rStyle w:val="Ancredenotedefin"/>
          <w:rStyle w:val="Ancredenotedefin"/>
        </w:rPr>
        <w:endnoteReference w:id="19"/>
      </w:r>
      <w:r>
        <w:rPr/>
        <w:t>.</w:t>
      </w:r>
    </w:p>
    <w:p>
      <w:pPr>
        <w:pStyle w:val="Puce3"/>
        <w:tabs>
          <w:tab w:val="clear" w:pos="720"/>
        </w:tabs>
        <w:rPr/>
      </w:pPr>
      <w:r>
        <w:rPr/>
        <w:t>2.</w:t>
        <w:tab/>
        <w:t>Aktyvi parama viešojo transporto ir energijos vartojimo efektyvumo projektams, greitojo Europos krovininio transporto geležinkelių tinklui, švarios ir atsinaujinančios energijos (įskaitant saulės ir vėjo energiją) tiekimo plėtrai, alternatyvioms technologijoms (pvz., vandeniliui arba energijos atgavimui iš atliekų) ir perėjimas nuo vieno automobilio kultūros prie viešojo transporto kultūros, dalijimosi elektromobiliais ir dviračių transporto kultūros</w:t>
      </w:r>
      <w:r>
        <w:rPr>
          <w:rStyle w:val="Ancredenotedefin"/>
          <w:rStyle w:val="Ancredenotedefin"/>
        </w:rPr>
        <w:endnoteReference w:id="20"/>
      </w:r>
      <w:r>
        <w:rPr/>
        <w:t>.</w:t>
      </w:r>
    </w:p>
    <w:p>
      <w:pPr>
        <w:pStyle w:val="Puce3"/>
        <w:tabs>
          <w:tab w:val="clear" w:pos="720"/>
        </w:tabs>
        <w:rPr/>
      </w:pPr>
      <w:r>
        <w:rPr/>
        <w:t>3.</w:t>
        <w:tab/>
        <w:t>Užtikrinti teisingą ir sąžiningą pertvarką, visų pirma remiant pažeidžiamus piliečius, kurie susiduria su didžiausiais iššūkiais pereinant prie neutralaus poveikio klimatui ir kurie jau kenčia nuo didesnių energijos kainų dėl energetinės priklausomybės ir neseniai patrigubėjusių energijos kainų.</w:t>
      </w:r>
    </w:p>
    <w:p>
      <w:pPr>
        <w:pStyle w:val="Normal"/>
        <w:rPr/>
      </w:pPr>
      <w:r>
        <w:rPr/>
      </w:r>
    </w:p>
    <w:p>
      <w:pPr>
        <w:pStyle w:val="Puce3"/>
        <w:tabs>
          <w:tab w:val="clear" w:pos="720"/>
        </w:tabs>
        <w:rPr/>
      </w:pPr>
      <w:r>
        <w:rPr/>
        <w:t>4.</w:t>
        <w:tab/>
        <w:t>Glaudesnis bendradarbiavimas vertinant branduolinės energijos naudojimą Europoje vykstant žaliajai pertvarkai prie atsinaujinančiųjų išteklių energijos, nagrinėjant kolektyvines problemas, kurias būtų galima išspręsti ar sukurti, nes ją vis dar naudoja daugelis valstybių narių</w:t>
      </w:r>
      <w:r>
        <w:rPr>
          <w:rStyle w:val="Ancredenotedefin"/>
          <w:rStyle w:val="Ancredenotedefin"/>
        </w:rPr>
        <w:endnoteReference w:id="21"/>
      </w:r>
      <w:r>
        <w:rPr/>
        <w:t>.</w:t>
      </w:r>
    </w:p>
    <w:p>
      <w:pPr>
        <w:pStyle w:val="Puce3"/>
        <w:tabs>
          <w:tab w:val="clear" w:pos="720"/>
        </w:tabs>
        <w:rPr/>
      </w:pPr>
      <w:r>
        <w:rPr/>
        <w:t>5.</w:t>
        <w:tab/>
        <w:t>Bendradarbiavimas su tarptautiniais partneriais, kad jie įsipareigotų siekti platesnio užmojo klimato kaitos tikslų įvairiuose tarptautiniuose forumuose, įskaitant G 7 ir G20.</w:t>
      </w:r>
    </w:p>
    <w:p>
      <w:pPr>
        <w:pStyle w:val="Puce3"/>
        <w:tabs>
          <w:tab w:val="clear" w:pos="720"/>
        </w:tabs>
        <w:rPr/>
      </w:pPr>
      <w:r>
        <w:rPr/>
        <w:t>6.</w:t>
        <w:tab/>
        <w:t>Susieti išorės prekybą su klimato kaitos politikos priemonėmis (pvz., pradėti įgyvendinti klimatui nekenkiančių technologijų ir inovacijų investicinių priemonių rinkinį, įskaitant finansavimo programas)</w:t>
      </w:r>
      <w:r>
        <w:rPr>
          <w:rStyle w:val="Ancredenotedefin"/>
          <w:rStyle w:val="Ancredenotedefin"/>
        </w:rPr>
        <w:endnoteReference w:id="22"/>
      </w:r>
      <w:r>
        <w:rPr/>
        <w:t>.</w:t>
      </w:r>
    </w:p>
    <w:p>
      <w:pPr>
        <w:pStyle w:val="Puce3"/>
        <w:tabs>
          <w:tab w:val="clear" w:pos="720"/>
        </w:tabs>
        <w:rPr/>
      </w:pPr>
      <w:r>
        <w:rPr/>
        <w:t>7.</w:t>
        <w:tab/>
        <w:t>Bendri importuojamos energijos pirkimai ir tvarios energetikos partnerystės, siekiant sumažinti Europos priklausomybę nuo energijos importo, visų pirma dujų ir naftos srityje, ir plėtoti ES vidaus energijos šaltinius.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Pasiūlymas: Prekybos ir investicijų santykių standartų nustatymas ES ir už jos ribų</w:t>
      </w:r>
    </w:p>
    <w:p>
      <w:pPr>
        <w:pStyle w:val="P68B1DB1Normal15"/>
        <w:rPr>
          <w:b/>
          <w:b/>
        </w:rPr>
      </w:pPr>
      <w:r>
        <w:rPr/>
        <w:t>Tikslas: Siūlome, kad ES stiprintų savo prekybos ir investicijų santykių etinį aspektą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Mūsų taisyklėmis grindžiamos daugiašalės tarptautinės prekybos struktūros išsaugojimas ir reforma bei partnerystė su panašiai mąstančiomis demokratinėmis valstybėmis.</w:t>
      </w:r>
    </w:p>
    <w:p>
      <w:pPr>
        <w:pStyle w:val="Puce3"/>
        <w:tabs>
          <w:tab w:val="clear" w:pos="720"/>
        </w:tabs>
        <w:rPr/>
      </w:pPr>
      <w:r>
        <w:rPr/>
        <w:t>2.</w:t>
        <w:tab/>
        <w:t>Veiksmingi ir proporcingi ES teisės aktai, kuriais siekiama užtikrinti, kad deramo darbo standartai būtų visapusiškai taikomi visose pasaulinėse vertės grandinėse, įskaitant ES gamybos ir tiekimo procesus, ir kad importuojamos prekės atitiktų kokybinius etikos standartus, darnaus vystymosi ir žmogaus teisių standartus, įskaitant darbo ir profesinių sąjungų teises, siūlant produktų sertifikavimą pagal šiuos ES teisės aktus</w:t>
      </w:r>
      <w:r>
        <w:rPr>
          <w:rStyle w:val="Ancredenotedefin"/>
          <w:rStyle w:val="Ancredenotedefin"/>
        </w:rPr>
        <w:endnoteReference w:id="23"/>
      </w:r>
      <w:r>
        <w:rPr/>
        <w:t xml:space="preserve"> ir dalyvaujant ES masto dialogo procese, kuriuo siekiama informuoti ir šviesti strateginių tarptautinės prekybos pokyčių poveikį aplinkai ir etiką.</w:t>
      </w:r>
    </w:p>
    <w:p>
      <w:pPr>
        <w:pStyle w:val="Normal"/>
        <w:rPr/>
      </w:pPr>
      <w:r>
        <w:rPr/>
      </w:r>
    </w:p>
    <w:p>
      <w:pPr>
        <w:pStyle w:val="Puce3"/>
        <w:tabs>
          <w:tab w:val="clear" w:pos="720"/>
        </w:tabs>
        <w:rPr/>
      </w:pPr>
      <w:r>
        <w:rPr/>
        <w:t>3.</w:t>
        <w:tab/>
        <w:t>Produktų importo ir pardavimo iš šalių, kuriose leidžiamas priverstinis darbas ir vaikų darbas, apribojimai, reguliariai atnaujinamas įmonių juodasis sąrašas ir vartotojų informuotumas apie vaikų darbą, skelbiant oficialiais ES kanalais</w:t>
      </w:r>
      <w:r>
        <w:rPr>
          <w:rStyle w:val="Ancredenotedefin"/>
          <w:rStyle w:val="Ancredenotedefin"/>
        </w:rPr>
        <w:endnoteReference w:id="24"/>
      </w:r>
      <w:r>
        <w:rPr/>
        <w:t>.</w:t>
      </w:r>
    </w:p>
    <w:p>
      <w:pPr>
        <w:pStyle w:val="Puce3"/>
        <w:tabs>
          <w:tab w:val="clear" w:pos="720"/>
        </w:tabs>
        <w:rPr/>
      </w:pPr>
      <w:r>
        <w:rPr/>
        <w:t>4.</w:t>
        <w:tab/>
        <w:t>Vykdytinų prekybos ir darnaus vystymosi skyrių ES laisvosios prekybos susitarimuose stebėsena ir vykdymo užtikrinimas, įskaitant galimybę kraštutiniu atveju taikyti sankcijomis grindžiamą mechanizmą.</w:t>
      </w:r>
    </w:p>
    <w:p>
      <w:pPr>
        <w:pStyle w:val="Puce3"/>
        <w:tabs>
          <w:tab w:val="clear" w:pos="720"/>
        </w:tabs>
        <w:rPr/>
      </w:pPr>
      <w:r>
        <w:rPr/>
        <w:t>5.</w:t>
        <w:tab/>
        <w:t>ES bendrosios lengvatų sistemos (BLS) reforma, siekiant įtraukti griežtas kompleksinio paramos susiejimo nuostatas ir veiksmingus bei tinkamus stebėsenos, ataskaitų teikimo ir dialogo procesus, kad būtų padidintas BLS poveikis prekybai, žmogaus teisėms ir vystymuisi šalyse partnerėse, numatant galimybę panaikinti prekybos lengvatas reikalavimų nesilaikymo atveju.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Pasiūlymas: Aplinkos politikos standartų nustatymas ES viduje ir už jos ribų</w:t>
      </w:r>
    </w:p>
    <w:p>
      <w:pPr>
        <w:pStyle w:val="P68B1DB1Normal15"/>
        <w:rPr>
          <w:b/>
          <w:b/>
        </w:rPr>
      </w:pPr>
      <w:r>
        <w:rPr/>
        <w:t>Tikslas: Siūlome, kad ES sustiprintų savo prekybos santykių aplinkos aspektą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Ekologinio ženklinimo ir privalomo Europos poveikio aplinkai rodiklio (ekoscore) visuose vartojimo produktuose suderinimas ir stiprinimas. Ekologinis rezultatas būtų apskaičiuojamas remiantis gamybos ir transporto išmetamais teršalais, taip pat turinio kenksmingumu, remiantis pavojingų produktų sąrašu. „Ecoscore“ turėtų būti valdoma ir stebima Europos institucijos</w:t>
      </w:r>
      <w:r>
        <w:rPr>
          <w:rStyle w:val="Ancredenotedefin"/>
          <w:rStyle w:val="Ancredenotedefin"/>
        </w:rPr>
        <w:endnoteReference w:id="25"/>
      </w:r>
      <w:r>
        <w:rPr/>
        <w:t>.</w:t>
      </w:r>
    </w:p>
    <w:p>
      <w:pPr>
        <w:pStyle w:val="Puce3"/>
        <w:tabs>
          <w:tab w:val="clear" w:pos="720"/>
        </w:tabs>
        <w:rPr/>
      </w:pPr>
      <w:r>
        <w:rPr/>
        <w:t>2.</w:t>
        <w:tab/>
        <w:t>Griežtesni aplinkos apsaugos standartai atliekų eksportui, taip pat griežtesnė kontrolė ir sankcijos siekiant sustabdyti neteisėtą eksportą. Sąjunga turėtų skatinti valstybes nares perdirbti savo atliekas ir jas naudoti energijai gaminti</w:t>
      </w:r>
      <w:r>
        <w:rPr>
          <w:rStyle w:val="Ancredenotedefin"/>
          <w:rStyle w:val="Ancredenotedefin"/>
        </w:rPr>
        <w:endnoteReference w:id="26"/>
      </w:r>
      <w:r>
        <w:rPr/>
        <w:t>.</w:t>
      </w:r>
    </w:p>
    <w:p>
      <w:pPr>
        <w:pStyle w:val="Puce3"/>
        <w:tabs>
          <w:tab w:val="clear" w:pos="720"/>
        </w:tabs>
        <w:rPr/>
      </w:pPr>
      <w:r>
        <w:rPr/>
        <w:t>3.</w:t>
        <w:tab/>
        <w:t>Tikslo panaikinti taršias pakuotes apibrėžtį skatinant mažiau taršias pakuotes arba ekologiškesnes pakuotes</w:t>
      </w:r>
      <w:r>
        <w:rPr>
          <w:rStyle w:val="Ancredenotedefin"/>
          <w:rStyle w:val="Ancredenotedefin"/>
        </w:rPr>
        <w:endnoteReference w:id="27"/>
      </w:r>
      <w:r>
        <w:rPr/>
        <w:t xml:space="preserve"> ir užmezgant partnerystes su besivystančiomis šalimis, remiant jų infrastruktūrą ir svarstant abipusiai naudingus prekybos susitarimus, siekiant padėti joms pereiti prie ekologiškų energijos šaltinių</w:t>
      </w:r>
      <w:r>
        <w:rPr>
          <w:rStyle w:val="Ancredenotedefin"/>
          <w:rStyle w:val="Ancredenotedefin"/>
        </w:rPr>
        <w:endnoteReference w:id="28"/>
      </w:r>
      <w:r>
        <w:rPr/>
        <w:t>.</w:t>
      </w:r>
    </w:p>
    <w:p>
      <w:pPr>
        <w:pStyle w:val="Puce3"/>
        <w:tabs>
          <w:tab w:val="clear" w:pos="720"/>
        </w:tabs>
        <w:rPr/>
      </w:pPr>
      <w:r>
        <w:rPr/>
        <w:t>4.</w:t>
        <w:tab/>
        <w:t>Galimybė atlyginti šalims, taikančioms aukštus tvarumo standartus, suteikiant papildomą patekimą į ES rinką jų ilgalaikio vartojimo prekėms ir paslaugoms vienašališkai per BLS+ bendrąją lengvatų sistemą arba dvišaliu pagrindu sudarant prekybos susitarimus, dėl kurių deramasi, arba daugiašaliu būdu įgyvendinant iniciatyvas Pasaulio prekybos organizacijoje.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Pasiūlymas: Sprendimų priėmimas ir sanglauda Sąjungoje</w:t>
      </w:r>
    </w:p>
    <w:p>
      <w:pPr>
        <w:pStyle w:val="P68B1DB1Normal15"/>
        <w:rPr>
          <w:b/>
          <w:b/>
        </w:rPr>
      </w:pPr>
      <w:r>
        <w:rPr/>
        <w:t>Tikslas: Mes siūlome, kad ES sustiprintų savo gebėjimą greitai ir veiksmingai priimti sprendimus pagal bendrą užsienio ir saugumo politiką (BUSP), kalbėdamas vienu balsu ir veikdama kaip tikrai pasaulinio masto veikėja, kad atliktų teigiamą vaidmenį pasaulyje ir padarytų pokyčių reaguojant į bet kokią krizę, įskaitant: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Užtikrinant, kad, visų pirma BUSP srityje, klausimai, kurie šiuo metu priimami vieningai, paprastai būtų priimami kvalifikuota balsų dauguma</w:t>
      </w:r>
      <w:r>
        <w:rPr>
          <w:rStyle w:val="Ancredenotedefin"/>
          <w:rStyle w:val="Ancredenotedefin"/>
        </w:rPr>
        <w:endnoteReference w:id="29"/>
      </w:r>
      <w:r>
        <w:rPr/>
        <w:t>.</w:t>
      </w:r>
    </w:p>
    <w:p>
      <w:pPr>
        <w:pStyle w:val="Puce3"/>
        <w:tabs>
          <w:tab w:val="clear" w:pos="720"/>
        </w:tabs>
        <w:rPr/>
      </w:pPr>
      <w:r>
        <w:rPr/>
        <w:t>2.</w:t>
        <w:tab/>
        <w:t>Bendradarbiavimą saugumo ir gynybos politikos srityje grįsti neseniai patvirtintu strateginiu kompasu ir naudoti Europos taikos priemonę</w:t>
      </w:r>
      <w:r>
        <w:rPr>
          <w:rStyle w:val="Ancredenotedefin"/>
          <w:rStyle w:val="Ancredenotedefin"/>
        </w:rPr>
        <w:endnoteReference w:id="30"/>
      </w:r>
      <w:r>
        <w:rPr/>
        <w:t>.</w:t>
      </w:r>
    </w:p>
    <w:p>
      <w:pPr>
        <w:pStyle w:val="Puce3"/>
        <w:tabs>
          <w:tab w:val="clear" w:pos="720"/>
        </w:tabs>
        <w:rPr/>
      </w:pPr>
      <w:r>
        <w:rPr/>
        <w:t>3.</w:t>
        <w:tab/>
        <w:t>Vyriausiojo įgaliotinio vaidmens stiprinimas užtikrinant, kad ES kalbėtų vienu balsu</w:t>
      </w:r>
      <w:r>
        <w:rPr>
          <w:rStyle w:val="Ancredenotedefin"/>
          <w:rStyle w:val="Ancredenotedefin"/>
        </w:rPr>
        <w:endnoteReference w:id="31"/>
      </w:r>
      <w:r>
        <w:rPr/>
        <w:t>.</w:t>
      </w:r>
    </w:p>
    <w:p>
      <w:pPr>
        <w:pStyle w:val="Puce3"/>
        <w:tabs>
          <w:tab w:val="clear" w:pos="720"/>
        </w:tabs>
        <w:rPr/>
      </w:pPr>
      <w:r>
        <w:rPr/>
        <w:t>4.</w:t>
        <w:tab/>
        <w:t>Susitarti dėl tvirtos vizijos ir bendros strategijos siekiant sustiprinti ES vienybę ir sprendimų priėmimo gebėjimus, kad Sąjunga būtų pasirengusi tolesnei plėtrai</w:t>
      </w:r>
      <w:r>
        <w:rPr>
          <w:rStyle w:val="Ancredenotedefin"/>
          <w:rStyle w:val="Ancredenotedefin"/>
        </w:rPr>
        <w:endnoteReference w:id="32"/>
      </w:r>
      <w:r>
        <w:rPr/>
        <w:t>.</w:t>
      </w:r>
    </w:p>
    <w:p>
      <w:pPr>
        <w:pStyle w:val="Puce3"/>
        <w:tabs>
          <w:tab w:val="clear" w:pos="720"/>
        </w:tabs>
        <w:rPr/>
      </w:pPr>
      <w:r>
        <w:rPr/>
        <w:t>5.</w:t>
        <w:tab/>
        <w:t>Greitai ratifikuojant neseniai sudarytus prekybos susitarimus, neatsisakant atitinkamų svarstymų ir diskusijų.</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Pasiūlymas: ES ir jos santykių su piliečiais skaidrumas</w:t>
      </w:r>
    </w:p>
    <w:p>
      <w:pPr>
        <w:pStyle w:val="P68B1DB1Normal15"/>
        <w:rPr>
          <w:b/>
          <w:b/>
        </w:rPr>
      </w:pPr>
      <w:r>
        <w:rPr/>
        <w:t>Tikslas: siūlome, kad ES, visų pirma imdamasi veiksmų tarptautiniu lygmeniu, įskaitant prekybos derybas, padidintų savo prieinamumą piliečiams gerindama informavimą, švietimą, piliečių dalyvavimą ir skaidrumą,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Ryšių su piliečiais ir vietos institucijomis stiprinimas siekiant padidinti skaidrumą, pasiekti piliečius ir geriau su jais bendrauti bei palaikyti ryšius dėl konkrečių ES iniciatyvų tarptautiniu lygmeniu</w:t>
      </w:r>
      <w:r>
        <w:rPr>
          <w:rStyle w:val="Ancredenotedefin"/>
          <w:rStyle w:val="Ancredenotedefin"/>
        </w:rPr>
        <w:endnoteReference w:id="33"/>
      </w:r>
      <w:r>
        <w:rPr/>
        <w:t>.</w:t>
      </w:r>
    </w:p>
    <w:p>
      <w:pPr>
        <w:pStyle w:val="Puce3"/>
        <w:tabs>
          <w:tab w:val="clear" w:pos="720"/>
        </w:tabs>
        <w:rPr/>
      </w:pPr>
      <w:r>
        <w:rPr/>
        <w:t>2.</w:t>
        <w:tab/>
        <w:t>Aktyvesnis piliečių dalyvavimas ES tarptautinėje politikoje ir tiesioginio piliečių dalyvavimo renginiuose, pavyzdžiui, Konferencijoje dėl Europos ateities, organizuojamoje nacionaliniu, vietos ir Europos lygiu</w:t>
      </w:r>
      <w:r>
        <w:rPr>
          <w:rStyle w:val="Ancredenotedefin"/>
          <w:rStyle w:val="Ancredenotedefin"/>
        </w:rPr>
        <w:endnoteReference w:id="34"/>
      </w:r>
      <w:r>
        <w:rPr/>
        <w:t xml:space="preserve"> ir aktyviai dalyvaujant organizuotai pilietinei visuomenei</w:t>
      </w:r>
      <w:r>
        <w:rPr>
          <w:rStyle w:val="Ancredenotedefin"/>
          <w:rStyle w:val="Ancredenotedefin"/>
        </w:rPr>
        <w:endnoteReference w:id="35"/>
      </w:r>
      <w:r>
        <w:rPr/>
        <w:t>.</w:t>
      </w:r>
    </w:p>
    <w:p>
      <w:pPr>
        <w:pStyle w:val="Puce3"/>
        <w:tabs>
          <w:tab w:val="clear" w:pos="720"/>
        </w:tabs>
        <w:rPr/>
      </w:pPr>
      <w:r>
        <w:rPr/>
        <w:t>3.</w:t>
        <w:tab/>
        <w:t>Visapusiška visų atitinkamų suinteresuotųjų subjektų parama piliečiams, kurie nusprendžia dalyvauti organizuotose pilietinės visuomenės organizacijose, kaip buvo COVID-19 ir Ukrainos atveju.</w:t>
      </w:r>
    </w:p>
    <w:p>
      <w:pPr>
        <w:pStyle w:val="Puce3"/>
        <w:tabs>
          <w:tab w:val="clear" w:pos="720"/>
        </w:tabs>
        <w:rPr/>
      </w:pPr>
      <w:r>
        <w:rPr/>
        <w:t>4.</w:t>
        <w:tab/>
        <w:t>Skirti specialų biudžetą švietimo programoms, susijusioms su ES veikimu ir vertybėmis, kurias ji galėtų pasiūlyti valstybėms narėms, jei jos to pageidauja, kad jos galėtų įtraukti jas į savo mokymo programas (pradinį, vidurinį ir universitetinį). Be to, studentams, norintiems studijuoti kitoje Europos šalyje pagal programą „Erasmus“, būtų galima pasiūlyti specialų kursą apie Sąjungą ir jos veikimą. Studentams, kurie pasirenka šį kursą, būtų teikiama pirmenybė, kad jie galėtų pasinaudoti „Erasmus“ programomis.</w:t>
      </w:r>
    </w:p>
    <w:p>
      <w:pPr>
        <w:pStyle w:val="Puce3"/>
        <w:tabs>
          <w:tab w:val="clear" w:pos="720"/>
        </w:tabs>
        <w:rPr/>
      </w:pPr>
      <w:r>
        <w:rPr/>
        <w:t>5.</w:t>
        <w:tab/>
        <w:t>Gerinti ES žiniasklaidos strategiją didinant matomumą socialinėje žiniasklaidoje ir aktyviai propaguojant jos turinį; inovacijų skatinimas gerinant ES dalyvavimo socialinėje žiniasklaidoje prieinamumą</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Pasiūlymas: ES – pasaulio lyderė taikos ir saugumo srityje</w:t>
      </w:r>
    </w:p>
    <w:p>
      <w:pPr>
        <w:pStyle w:val="P68B1DB1Normal15"/>
        <w:rPr>
          <w:b/>
          <w:b/>
        </w:rPr>
      </w:pPr>
      <w:r>
        <w:rPr/>
        <w:t>Tikslas: siūlome ES toliau skatinti dialogą ir užtikrinti taiką bei taisyklėmis grindžiamą tarptautinę tvarką, stiprinti daugiašališkumą ir remtis ilgalaikėmis ES taikos iniciatyvomis, kuriomis prisidėta prie Nobelio premijos skyrimo 2012 m., kartu stiprinant jos bendrą saugumą šiomis priemonėmis: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Bendros ginkluotosios pajėgos, naudojamos savigynos tikslais ir skirtos užkirsti kelią bet kokiems agresyviems kariniams veiksmams, galinčioms teikti pagalbą krizės metu, įskaitant stichinės nelaimės atveju. Už Europos sienų jie galėtų būti dislokuoti išimtinėmis aplinkybėmis, pageidautina pagal Jungtinių Tautų Saugumo Tarybos teisinius įgaliojimus ir todėl laikantis tarptautinės teisės</w:t>
      </w:r>
      <w:r>
        <w:rPr>
          <w:rStyle w:val="Ancredenotedefin"/>
          <w:rStyle w:val="Ancredenotedefin"/>
        </w:rPr>
        <w:endnoteReference w:id="39"/>
      </w:r>
      <w:r>
        <w:rPr/>
        <w:t>, nekonkuruojant su NATO ir nedubliuojant NATO ir gerbiant įvairius nacionalinius santykius su NATO; šiuo atžvilgiu ES santykių su NATO vertinimas turėtų būti atliekamas vykstant diskusijoms dėl ES strateginio savarankiškumo.</w:t>
      </w:r>
    </w:p>
    <w:p>
      <w:pPr>
        <w:pStyle w:val="Normal"/>
        <w:rPr/>
      </w:pPr>
      <w:r>
        <w:rPr/>
      </w:r>
    </w:p>
    <w:p>
      <w:pPr>
        <w:pStyle w:val="Puce3"/>
        <w:tabs>
          <w:tab w:val="clear" w:pos="720"/>
        </w:tabs>
        <w:rPr/>
      </w:pPr>
      <w:r>
        <w:rPr/>
        <w:t>2.</w:t>
        <w:tab/>
        <w:t>Pagrindinis vaidmuo kuriant pokarinę pasaulinę saugumo tvarką Ukrainoje, remiantis neseniai priimtu ES strateginiu kompasu.</w:t>
      </w:r>
    </w:p>
    <w:p>
      <w:pPr>
        <w:pStyle w:val="Puce3"/>
        <w:tabs>
          <w:tab w:val="clear" w:pos="720"/>
        </w:tabs>
        <w:rPr/>
      </w:pPr>
      <w:r>
        <w:rPr/>
        <w:t>3.</w:t>
        <w:tab/>
        <w:t>Strateginių mokslinių tyrimų ir pajėgumų apsaugos prioritetiniuose sektoriuose, pavyzdžiui, kosmoso, kibernetinio saugumo, medicinos sektoriaus ir aplinkos</w:t>
      </w:r>
      <w:r>
        <w:rPr>
          <w:rStyle w:val="Ancredenotedefin"/>
          <w:rStyle w:val="Ancredenotedefin"/>
        </w:rPr>
        <w:endnoteReference w:id="40"/>
      </w:r>
      <w:r>
        <w:rPr/>
        <w:t>.</w:t>
      </w:r>
    </w:p>
    <w:p>
      <w:pPr>
        <w:pStyle w:val="Puce3"/>
        <w:tabs>
          <w:tab w:val="clear" w:pos="720"/>
        </w:tabs>
        <w:rPr/>
      </w:pPr>
      <w:r>
        <w:rPr/>
        <w:t>4.</w:t>
        <w:tab/>
        <w:t>Stiprinti operatyvinius pajėgumus, būtinus siekiant užtikrinti savitarpio pagalbos sąlygos, numatytos Europos Sąjungos sutarties 42 straipsnio 7 dalyje, kuria užtikrinama tinkama ES apsauga bet kuriai valstybei narei, kurią užpuolė trečioji šalis, veiksmingumą.</w:t>
      </w:r>
    </w:p>
    <w:p>
      <w:pPr>
        <w:pStyle w:val="Puce3"/>
        <w:tabs>
          <w:tab w:val="clear" w:pos="720"/>
        </w:tabs>
        <w:rPr/>
      </w:pPr>
      <w:r>
        <w:rPr/>
        <w:t>5.</w:t>
        <w:tab/>
        <w:t>Apsvarstyti, kaip objektyviai ir faktiškai kovoti su dezinformacija ir propaganda.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Pasiūlymas: ES – pirmaujanti pasaulinio masto veikėja plėtojant santykius</w:t>
      </w:r>
    </w:p>
    <w:p>
      <w:pPr>
        <w:pStyle w:val="P68B1DB1Normal15"/>
        <w:rPr>
          <w:b/>
          <w:b/>
        </w:rPr>
      </w:pPr>
      <w:r>
        <w:rPr/>
        <w:t>Tikslas: Mes siūlome, kad ES, palaikydama santykius su trečiosiomis šalimis: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Labiau išnaudoti savo bendrą politinę ir ekonominę svarbą, kalbėti vienu balsu ir veikti vieningai, kai kurios valstybės narės nedalija Sąjungos dėl netinkamų dvišalių intervencijų</w:t>
      </w:r>
      <w:r>
        <w:rPr>
          <w:rStyle w:val="Ancredenotedefin"/>
          <w:rStyle w:val="Ancredenotedefin"/>
        </w:rPr>
        <w:endnoteReference w:id="41"/>
      </w:r>
      <w:r>
        <w:rPr/>
        <w:t>.</w:t>
      </w:r>
    </w:p>
    <w:p>
      <w:pPr>
        <w:pStyle w:val="Puce3"/>
        <w:tabs>
          <w:tab w:val="clear" w:pos="720"/>
        </w:tabs>
        <w:rPr/>
      </w:pPr>
      <w:r>
        <w:rPr/>
        <w:t>2.</w:t>
        <w:tab/>
        <w:t>Stiprina savo gebėjimą taikyti sankcijas valstybėms, vyriausybėms, subjektams, grupėms ar organizacijoms, taip pat asmenims, kurie nesilaiko jos pagrindinių principų, susitarimų ir įstatymų, ir užtikrina, kad esamos sankcijos būtų greitai įgyvendinamos ir vykdomos. Trečiosioms šalims skirtos sankcijos turėtų būti proporcingos veiksmams, kuriais jos buvo paskatintos, būti veiksmingos ir taikomos laiku</w:t>
      </w:r>
      <w:r>
        <w:rPr>
          <w:rStyle w:val="Ancredenotedefin"/>
          <w:rStyle w:val="Ancredenotedefin"/>
        </w:rPr>
        <w:endnoteReference w:id="42"/>
      </w:r>
      <w:r>
        <w:rPr/>
        <w:t>.</w:t>
      </w:r>
    </w:p>
    <w:p>
      <w:pPr>
        <w:pStyle w:val="Puce3"/>
        <w:tabs>
          <w:tab w:val="clear" w:pos="720"/>
        </w:tabs>
        <w:rPr/>
      </w:pPr>
      <w:r>
        <w:rPr/>
        <w:t>3.</w:t>
        <w:tab/>
        <w:t>Skatinti tvarią ir taisyklėmis grindžiamą prekybą, kartu atveriant naujų prekybos ir investavimo galimybių Europos įmonėms. Nors dvišaliai prekybos ir investicijų susitarimai yra labai svarbūs siekiant skatinti Europos konkurencingumą, reikia standartų ir taisyklių, kad būtų užtikrintos vienodos sąlygos. ES turi išlikti aktyvia ir patikima partnere derantis, sudarant ir įgyvendinant prekybos susitarimus, kuriais taip pat nustatomi aukšti tvarumo standartai.</w:t>
      </w:r>
    </w:p>
    <w:p>
      <w:pPr>
        <w:pStyle w:val="Puce3"/>
        <w:tabs>
          <w:tab w:val="clear" w:pos="720"/>
        </w:tabs>
        <w:rPr/>
      </w:pPr>
      <w:r>
        <w:rPr/>
        <w:t>4.</w:t>
        <w:tab/>
        <w:t>Sudarė pagrindinius tarptautinio bendradarbiavimo susitarimus atstovaudami Europos Sąjungai, o ne atskiroms šalims</w:t>
      </w:r>
      <w:r>
        <w:rPr>
          <w:rStyle w:val="Ancredenotedefin"/>
          <w:rStyle w:val="Ancredenotedefin"/>
        </w:rPr>
        <w:endnoteReference w:id="43"/>
      </w:r>
      <w:r>
        <w:rPr/>
        <w:t>.</w:t>
      </w:r>
    </w:p>
    <w:p>
      <w:pPr>
        <w:pStyle w:val="Puce3"/>
        <w:tabs>
          <w:tab w:val="clear" w:pos="720"/>
        </w:tabs>
        <w:rPr/>
      </w:pPr>
      <w:r>
        <w:rPr/>
        <w:t>5.</w:t>
        <w:tab/>
        <w:t>Reformuoti ES prekybos ir investicijų politiką, kad būtų atnaujintas pasaulinis daugiašališkumas, siekiant sukurti deramas darbo vietas ir apsaugoti pagrindines žmogaus teises, įskaitant darbuotojų teises ir profesinių sąjungų teises, išsaugoti aplinką ir biologinę įvairovę ir laikytis Paryžiaus susitarimo dėl klimato kaitos, užtikrinti kokybiškas viešąsias paslaugas ir stiprinti Europos pramoninę bazę. ES turėtų prisidėti prie pasaulinio daugiašališkumo atnaujinimo, vykdydama esmines reformas, grindžiamas demokratija ir taika, solidarumu ir pagarba žmogaus teisėms, socialinėms ir aplinkos teisėms, taip pat sustiprindama TDO vaidmenį.</w:t>
      </w:r>
    </w:p>
    <w:p>
      <w:pPr>
        <w:pStyle w:val="Puce3"/>
        <w:tabs>
          <w:tab w:val="clear" w:pos="720"/>
        </w:tabs>
        <w:rPr/>
      </w:pPr>
      <w:r>
        <w:rPr/>
        <w:t>6.</w:t>
        <w:tab/>
        <w:t>Apima kovą su prekyba žmonėmis ir neteisėta imigracija, taip pat bendradarbiavimą vykdant galimas grąžinimo operacijas, bendradarbiavimo ir investicijų susitarimus su trečiosiomis šalimis.</w:t>
      </w:r>
    </w:p>
    <w:p>
      <w:pPr>
        <w:pStyle w:val="Puce3"/>
        <w:tabs>
          <w:tab w:val="clear" w:pos="720"/>
        </w:tabs>
        <w:rPr/>
      </w:pPr>
      <w:r>
        <w:rPr/>
        <w:t>7.</w:t>
        <w:tab/>
        <w:t>Plėtoti partnerystes su besivystančiomis šalimis, kad būtų remiama jų infrastruktūra, ir apsvarstyti abipusiai naudingus prekybos susitarimus, siekiant padėti joms pereiti prie ekologiškų energijos šaltinių</w:t>
      </w:r>
      <w:r>
        <w:rPr>
          <w:rStyle w:val="Ancredenotedefin"/>
          <w:rStyle w:val="Ancredenotedefin"/>
        </w:rPr>
        <w:endnoteReference w:id="44"/>
      </w:r>
      <w:r>
        <w:rPr/>
        <w:t>.</w:t>
      </w:r>
    </w:p>
    <w:p>
      <w:pPr>
        <w:pStyle w:val="Puce3"/>
        <w:tabs>
          <w:tab w:val="clear" w:pos="720"/>
        </w:tabs>
        <w:rPr/>
      </w:pPr>
      <w:r>
        <w:rPr/>
        <w:t>8.</w:t>
        <w:tab/>
        <w:t>Plėtoti veiksmingesnę ir vieningesnę autokratinių ir hibridinių režimų politiką ir plėtoti partnerystes su šių šalių pilietinės visuomenės organizacijomis.</w:t>
      </w:r>
    </w:p>
    <w:p>
      <w:pPr>
        <w:pStyle w:val="Puce3"/>
        <w:tabs>
          <w:tab w:val="clear" w:pos="720"/>
        </w:tabs>
        <w:rPr/>
      </w:pPr>
      <w:r>
        <w:rPr/>
        <w:t>9.</w:t>
        <w:tab/>
        <w:t>Padidinti ES rinkimų stebėjimo misijų išteklius.</w:t>
      </w:r>
    </w:p>
    <w:p>
      <w:pPr>
        <w:pStyle w:val="Puce3"/>
        <w:tabs>
          <w:tab w:val="clear" w:pos="720"/>
        </w:tabs>
        <w:rPr/>
      </w:pPr>
      <w:r>
        <w:rPr/>
        <w:t>10.</w:t>
        <w:tab/>
        <w:t>Suteikia patikimą stojimo į ES perspektyvą šalims kandidatėms ir potencialioms šalims kandidatėms, siekiant skatinti taiką ir stabilumą Europoje ir užtikrinti gerovę milijonams europiečių</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PASTABA: Keletas darbo grupės narių mano, kad pasiūlymai „ES priklausomybės nuo užsienio subjektų energetikos srityje mažinimas“ ir „ES skaidrumas ir jos santykiai su piliečiais“ visų pirma priklauso kitoms darbo grupėms. Kai kurie nariai norėjo ne tik balsuoti kvalifikuota balsų dauguma, bet ir paminėti vieningo balsavimo Taryboje alternatyvas, pvz., kintamosios geometrijos, nedalyvavimo sąlygas ir tvirtesnį bendradarbiavimą. Kai kurie darbo grupės nariai paragino pasiūlyme „prekybos ir investicijų santykiuose nustatyti standartus ES viduje ir už jos ribų“ vartoti terminą „tvarus“, o ne „etiškas“. Nuomonės dėl to, ar naujų valstybių narių stojimui ir toliau turėtų būti reikalingas vieningas visų dabartinių valstybių narių pritarimas, skiriasi. Buvo pareikšta įvairių nuomonių dėl pageidaujamo jungtinių ginkluotųjų pajėgų lygio. Du nariai paminėjo Airijos vienybės perspektyvą tuo atveju, jei Šiaurės Airija balsuotų šia kryptimi pagal Didžiojo penktadienio susitarimo nuostatas, ir kad Sąjunga turi būti pasirengusi tokiam atvejui.</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Paveikslėli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aveikslėlis25"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Vertybės ir teisės, teisinė valstybė, saugumas</w:t>
      </w:r>
    </w:p>
    <w:p>
      <w:pPr>
        <w:pStyle w:val="Titre3"/>
        <w:numPr>
          <w:ilvl w:val="2"/>
          <w:numId w:val="2"/>
        </w:numPr>
        <w:rPr/>
      </w:pPr>
      <w:bookmarkStart w:id="74" w:name="__RefHeading___Toc298322_1346298689"/>
      <w:bookmarkEnd w:id="74"/>
      <w:r>
        <w:rPr/>
        <w:t>25. Pasiūlymas: Teisinė valstybė, demokratinės vertybės ir europinė tapatybė</w:t>
      </w:r>
    </w:p>
    <w:p>
      <w:pPr>
        <w:pStyle w:val="P68B1DB1Normal15"/>
        <w:rPr>
          <w:b/>
          <w:b/>
        </w:rPr>
      </w:pPr>
      <w:r>
        <w:rPr/>
        <w:t>Tikslas: Sistemingai laikytis teisinės valstybės principo visose valstybėse narėse, įskaitant: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46"/>
      </w:r>
      <w:r>
        <w:rPr/>
        <w:t>:</w:t>
      </w:r>
    </w:p>
    <w:p>
      <w:pPr>
        <w:pStyle w:val="Puce3"/>
        <w:tabs>
          <w:tab w:val="clear" w:pos="720"/>
        </w:tabs>
        <w:rPr/>
      </w:pPr>
      <w:r>
        <w:rPr/>
        <w:t>1.</w:t>
        <w:tab/>
        <w:t>Užtikrinti, kad ES sutartyse ir Europos Sąjungos pagrindinių teisių chartijoje įtvirtintos vertybės ir principai būtų nediskutuotini ir negrįžtami ir kad tai būtų būtina narystės ir stojimo į Sąjungą sąlyga. ES vertybės turi būti visapusiškai gerbiamos visose valstybėse narėse; jie taip pat turėtų veikti kaip tarptautinis standartas ir būti patrauklumo poliu per diplomatiją ir dialogą. Sąjungos plėtra neturėtų pakenkti ES acquis, kiek tai susiję su pagrindinėmis vertybėmis ir piliečių teisėmis</w:t>
      </w:r>
      <w:r>
        <w:rPr>
          <w:rStyle w:val="Ancredenotedefin"/>
          <w:rStyle w:val="Ancredenotedefin"/>
        </w:rPr>
        <w:endnoteReference w:id="47"/>
      </w:r>
      <w:r>
        <w:rPr/>
        <w:t>.</w:t>
      </w:r>
    </w:p>
    <w:p>
      <w:pPr>
        <w:pStyle w:val="Puce3"/>
        <w:tabs>
          <w:tab w:val="clear" w:pos="720"/>
        </w:tabs>
        <w:rPr/>
      </w:pPr>
      <w:r>
        <w:rPr/>
        <w:t>2.</w:t>
        <w:tab/>
        <w:t>Užtikrinant, kad Europos vertybės taptų apčiuopiama ES piliečių tikrove, visų pirma užtikrinant aktyvesnį ir tiesioginį dalyvavimą, Europos pilietybė turėtų būti stiprinama, pavyzdžiui, suteikiant Sąjungos piliečio statusą su piliečių teisėmis ir laisvėmis, taip pat sukuriant Europos tarpvalstybinių asociacijų ir ne pelno organizacijų statutą. Be to, Europos vertybės turėtų būti skatinamos naudojant „integracijos portfelį“, kurį sudaro mokomieji elementai ir piliečiams skirta informacinė medžiaga. Galiausiai Europos audiovizualinės ir internetinės žiniasklaidos viešoji erdvė turėtų būti sukurta pasitelkiant naujas ES investicijas, tobulinant esamas žiniasklaidos platformas ir teikiant didesnę paramą daugiau kaip 500 vietos lygmeniu veikiančių Europos ryšių biurų</w:t>
      </w:r>
      <w:r>
        <w:rPr>
          <w:rStyle w:val="Ancredenotedefin"/>
          <w:rStyle w:val="Ancredenotedefin"/>
        </w:rPr>
        <w:endnoteReference w:id="48"/>
      </w:r>
      <w:r>
        <w:rPr/>
        <w:t xml:space="preserve">. </w:t>
      </w:r>
    </w:p>
    <w:p>
      <w:pPr>
        <w:pStyle w:val="Puce3"/>
        <w:tabs>
          <w:tab w:val="clear" w:pos="720"/>
        </w:tabs>
        <w:rPr/>
      </w:pPr>
      <w:r>
        <w:rPr/>
        <w:t>3.</w:t>
        <w:tab/>
        <w:t>Europos Sąjungos pagrindinių teisių chartija turėtų būti taikoma visuotinai. Be to, turėtų būti rengiamos metinės teisinės valstybės srities konferencijos (remiantis Komisijos teisinės valstybės principo taikymo ataskaita), kuriose dalyvautų visų valstybių narių delegacijos, sudarytos iš piliečių, pareigūnų, parlamento narių, vietos valdžios institucijų, socialinių partnerių ir pilietinės visuomenės, atrinktos atsitiktine tvarka ir įvairiai. Taip pat svarbu toliau remti organizacijas, įskaitant pilietinės visuomenės organizacijas, kurios skatina teisinę valstybę vietoje</w:t>
      </w:r>
      <w:r>
        <w:rPr>
          <w:rStyle w:val="Ancredenotedefin"/>
          <w:rStyle w:val="Ancredenotedefin"/>
        </w:rPr>
        <w:endnoteReference w:id="49"/>
      </w:r>
      <w:r>
        <w:rPr/>
        <w:t>.</w:t>
      </w:r>
    </w:p>
    <w:p>
      <w:pPr>
        <w:pStyle w:val="Puce3"/>
        <w:tabs>
          <w:tab w:val="clear" w:pos="720"/>
        </w:tabs>
        <w:rPr/>
      </w:pPr>
      <w:r>
        <w:rPr/>
        <w:t>4.</w:t>
        <w:tab/>
        <w:t>Veiksmingai taikant vadinamąjį kompleksinio paramos susiejimo reglamentą, vertinant to reglamento ir kitų teisinės valstybės priemonių taikymo sritį, taip pat svarstant galimybę išplėsti jų taikymo sritį į naujas sritis, neatsižvelgiant į jų svarbą Sąjungos biudžetui. Visos būtinos teisių gynimo priemonės, įskaitant Sutarčių pakeitimus, turėtų būti laikomos sankcijomis už teisinės valstybės principo pažeidimus</w:t>
      </w:r>
      <w:r>
        <w:rPr>
          <w:rStyle w:val="Ancredenotedefin"/>
          <w:rStyle w:val="Ancredenotedefin"/>
        </w:rPr>
        <w:endnoteReference w:id="50"/>
      </w:r>
      <w:r>
        <w:rPr/>
        <w:t>.</w:t>
      </w:r>
    </w:p>
    <w:p>
      <w:pPr>
        <w:pStyle w:val="Puce3"/>
        <w:tabs>
          <w:tab w:val="clear" w:pos="720"/>
        </w:tabs>
        <w:rPr/>
      </w:pPr>
      <w:r>
        <w:rPr/>
        <w:t>5.</w:t>
        <w:tab/>
        <w:t>Skatinti švietimo ir žiniasklaidos programas, pagal kurias migrantų integracijos procese daugiausia dėmesio skiriama Sąjungos vertybėms, ir skatinti Sąjungos piliečių ir migrantų sąveiką, siekiant sudaryti sąlygas jiems sėkmingai integruotis į Sąjungos visuomenę ir didinti Sąjungos piliečių informuotumą migracijos klausimais.</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Pasiūlymas: Duomenų apsauga</w:t>
      </w:r>
    </w:p>
    <w:p>
      <w:pPr>
        <w:pStyle w:val="Corpsdetexte"/>
        <w:rPr/>
      </w:pPr>
      <w:r>
        <w:rPr/>
      </w:r>
    </w:p>
    <w:p>
      <w:pPr>
        <w:pStyle w:val="P68B1DB1Normal15"/>
        <w:rPr>
          <w:b/>
          <w:b/>
        </w:rPr>
      </w:pPr>
      <w:r>
        <w:rPr/>
        <w:t>Tikslas: užtikrinti didesnę piliečių apsaugą ir geresnę duomenų tvarkymo politiką,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52"/>
      </w:r>
      <w:r>
        <w:rPr/>
        <w:t>:</w:t>
      </w:r>
    </w:p>
    <w:p>
      <w:pPr>
        <w:pStyle w:val="Puce3"/>
        <w:tabs>
          <w:tab w:val="clear" w:pos="720"/>
        </w:tabs>
        <w:rPr/>
      </w:pPr>
      <w:r>
        <w:rPr/>
        <w:t>1.</w:t>
        <w:tab/>
        <w:t>Visapusiškai įgyvendinant ir peržiūrint galiojančius duomenų apsaugos teisės aktus, siekiant įvertinti, ar reikia griežtesnių vykdymo užtikrinimo mechanizmų asmens duomenis tvarkantiems subjektams, kurie šiuo metu priklauso nepriklausomų nacionalinių duomenų apsaugos institucijų kompetencijai, laikantis subsidiarumo principo. Tiems subjektams turėtų būti taikomos griežtesnės sankcijos nei šiuo metu taikant taisykles, proporcingai jų metinei apyvartai (iki 4 proc.) arba netgi uždraudžiant jų veiklą, ir jiems turėtų būti taikomas nepriklausomas metinis auditas</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Labiau įgyvendinant pritaikytosios arba standartizuotosios privatumo apsaugos principą, pavyzdžiui, įvertinant ir plėtojant duomenų sutikimo formas, kurios yra lengvai suprantamos, glaustos ir intuityvios ir kuriose aiškiai nurodoma, ko reikia, o kas ne. Naudotojai turi galėti paprastai, greitai ir visam laikui duoti arba atšaukti savo sutikimą tvarkyti duomenis.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Įvertinti ir nustatyti aiškesnes ir labiau apsaugančias su nepilnamečiais susijusių duomenų tvarkymo taisykles, galbūt ES Bendrajame duomenų apsaugos reglamente, visų pirma sukuriant specialią nepilnamečių neskelbtinų duomenų kategoriją ir suderinant minimalų amžių, nuo kurio gali būti duotas sutikimas valstybėse narėse. Nors dauguma privatumo ir informuotumo didinimo taisyklių įgyvendinimo ir toliau turėtų priklausyti valstybių narių kompetencijai, visų pirma didinant nacionalinio lygmens investicijas ir išteklius, Sąjunga taip pat turėtų atlikti svarbesnį vaidmenį, pavyzdžiui, ugdant europinius gebėjimus pilietinio švietimo duomenų apsaugos srityje srityje</w:t>
      </w:r>
      <w:r>
        <w:rPr>
          <w:rStyle w:val="Ancredenotedefin"/>
          <w:rStyle w:val="Ancredenotedefin"/>
        </w:rPr>
        <w:endnoteReference w:id="57"/>
      </w:r>
      <w:r>
        <w:rPr/>
        <w:t>.</w:t>
      </w:r>
    </w:p>
    <w:p>
      <w:pPr>
        <w:pStyle w:val="Puce3"/>
        <w:tabs>
          <w:tab w:val="clear" w:pos="720"/>
        </w:tabs>
        <w:rPr/>
      </w:pPr>
      <w:r>
        <w:rPr/>
        <w:t>4.</w:t>
        <w:tab/>
        <w:t>Geriau laikytis Europos ir nacionalinėms duomenų apsaugos institucijoms taikomų tinkamumo kriterijų, susijusių su kvalifikacija ir tinkamumu, kad būtų užtikrintas kuo didesnis jų narių nepriklausomumas.</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Pasiūlymas: Žiniasklaida, melagingos naujienos, dezinformacija, faktų tikrinimas, kibernetinis saugumas</w:t>
      </w:r>
    </w:p>
    <w:p>
      <w:pPr>
        <w:pStyle w:val="P68B1DB1Normal15"/>
        <w:rPr>
          <w:b/>
          <w:b/>
        </w:rPr>
      </w:pPr>
      <w:r>
        <w:rPr/>
        <w:t>Tikslas: Kova su dezinformacija didinant žiniasklaidos nepriklausomumą ir pliuralizmą bei žiniasklaidos priemonių naudojimo raštingumą,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60"/>
      </w:r>
      <w:r>
        <w:rPr/>
        <w:t>:</w:t>
      </w:r>
    </w:p>
    <w:p>
      <w:pPr>
        <w:pStyle w:val="Puce3"/>
        <w:tabs>
          <w:tab w:val="clear" w:pos="720"/>
        </w:tabs>
        <w:rPr/>
      </w:pPr>
      <w:r>
        <w:rPr/>
        <w:t>1.</w:t>
        <w:tab/>
        <w:t>Priimti teisės aktus, kuriais būtų kovojama su grėsmėmis žiniasklaidos nepriklausomumui, nustatant visoje Sąjungoje taikytinus būtiniausius standartus, įskaitant žiniasklaidos verslo modelio peržiūrą, kad būtų užtikrintas Europos žiniasklaidos rinkos vientisumas ir nepriklausomumas</w:t>
      </w:r>
      <w:r>
        <w:rPr>
          <w:rStyle w:val="Ancredenotedefin"/>
          <w:rStyle w:val="Ancredenotedefin"/>
        </w:rPr>
        <w:endnoteReference w:id="61"/>
      </w:r>
      <w:r>
        <w:rPr/>
        <w:t>.</w:t>
      </w:r>
    </w:p>
    <w:p>
      <w:pPr>
        <w:pStyle w:val="Puce3"/>
        <w:tabs>
          <w:tab w:val="clear" w:pos="720"/>
        </w:tabs>
        <w:rPr/>
      </w:pPr>
      <w:r>
        <w:rPr/>
        <w:t>2.</w:t>
        <w:tab/>
        <w:t>Griežtai taikyti ES konkurencijos taisykles žiniasklaidos sektoriuje, siekiant užkirsti kelią didelių žiniasklaidos monopolijų kūrimui ir užtikrinti žiniasklaidos pliuralizmą ir nepriklausomumą nuo bet kokio nepageidaujamo politinių, verslo ir (arba) užsienio šalių kišimosi. Taip pat turėtų būti skatinama kokybiška žurnalistika su pripažintais aukštais etikos ir savireguliacijos standartais</w:t>
      </w:r>
      <w:r>
        <w:rPr>
          <w:rStyle w:val="Ancredenotedefin"/>
          <w:rStyle w:val="Ancredenotedefin"/>
        </w:rPr>
        <w:endnoteReference w:id="62"/>
      </w:r>
      <w:r>
        <w:rPr/>
        <w:t>.</w:t>
      </w:r>
    </w:p>
    <w:p>
      <w:pPr>
        <w:pStyle w:val="Puce3"/>
        <w:tabs>
          <w:tab w:val="clear" w:pos="720"/>
        </w:tabs>
        <w:rPr/>
      </w:pPr>
      <w:r>
        <w:rPr/>
        <w:t>3.</w:t>
        <w:tab/>
        <w:t xml:space="preserve">Įsteigti ES organą, kuris kovotų su tiksline dezinformacija ir kišimusi, gerintų padėties suvokimą ir stiprintų faktų tikrinimo organizacijas bei nepriklausomą žiniasklaidą. Be to, reikėtų toliau remti ir aktyviau remti „skubių atvejų numerius“ ir svetaines, pvz., „Europe Direct“, suteikiančias piliečiams ir nacionalinei žiniasklaidai galimybę prašyti ir gauti patikrintą informaciją apie ES strategijas ir politiką.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Skatinti žiniasklaidos priemonių naudojimo raštingumą ir visuomenės informavimą apie dezinformaciją ir netyčinį naujienų sklaidą, be kita ko, pasitelkiant privalomą mokyklinį ugdymą. Valstybės narės taip pat turėtų būti skatinamos šiam tikslui skirti pakankamai žmogiškųjų ir finansinių išteklių. </w:t>
      </w:r>
      <w:r>
        <w:rPr>
          <w:rStyle w:val="Ancredenotedefin"/>
          <w:rStyle w:val="Ancredenotedefin"/>
        </w:rPr>
        <w:endnoteReference w:id="65"/>
      </w:r>
    </w:p>
    <w:p>
      <w:pPr>
        <w:pStyle w:val="Puce3"/>
        <w:tabs>
          <w:tab w:val="clear" w:pos="720"/>
        </w:tabs>
        <w:rPr/>
      </w:pPr>
      <w:r>
        <w:rPr/>
        <w:t>5.</w:t>
        <w:tab/>
        <w:t>Remiantis esamomis iniciatyvomis, pavyzdžiui, Kovos su dezinformacija praktikos kodeksu ir Europos skaitmeninės žiniasklaidos observatorija (EDMO), įpareigoti interneto platformas skelbti aiškią informaciją apie jų naudojamus algoritmus (naudotojams pasirenkant sutikimą arba ne) ir apie dezinformacijos, su kuria susiduria naudotojai, riziką, kartu išsaugant teisę į žodžio laisvę ir teisę į privatumą.</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Pasiūlymas: Žiniasklaida, melagingos naujienos, dezinformacija, faktų tikrinimas, kibernetinis saugumas (bis)</w:t>
      </w:r>
    </w:p>
    <w:p>
      <w:pPr>
        <w:pStyle w:val="P68B1DB1Normal15"/>
        <w:rPr>
          <w:b/>
          <w:b/>
        </w:rPr>
      </w:pPr>
      <w:r>
        <w:rPr/>
        <w:t>Tikslas: stiprinti Sąjungos vaidmenį kovojant su kibernetinio saugumo grėsmėmis,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 xml:space="preserve">Stiprinti Europos Sąjungos kibernetinio saugumo agentūrą (ENISA), siekiant geriau apsaugoti asmenis, organizacijas ir institucijas nuo kibernetinio saugumo pažeidimų ir dirbtinio intelekto naudojimo nusikalstamais tikslais. Kartu turėtų būti išsaugotas asmens duomenų konfidencialumas ir apsauga.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Gerinti nacionalinių kibernetinio saugumo institucijų veiklos koordinavimą ir dėti papildomas pastangas siekiant užtikrinti veiksmingą Sąjungos taisyklių įgyvendinimą nacionaliniu lygmeniu.</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Pasiūlymas: Kova su diskriminacija, lygybe ir gyvenimo kokybe</w:t>
      </w:r>
    </w:p>
    <w:p>
      <w:pPr>
        <w:pStyle w:val="P68B1DB1Normal15"/>
        <w:rPr>
          <w:b/>
          <w:b/>
        </w:rPr>
      </w:pPr>
      <w:r>
        <w:rPr/>
        <w:t>TIKSLAS: Imtis priemonių, kad būtų suderintos gyvenimo sąlygos visoje Sąjungoje ir pagerinta jos piliečių socialinė ir ekonominė gyvenimo kokybė,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72"/>
      </w:r>
      <w:r>
        <w:rPr/>
        <w:t>:</w:t>
      </w:r>
    </w:p>
    <w:p>
      <w:pPr>
        <w:pStyle w:val="Puce3"/>
        <w:tabs>
          <w:tab w:val="clear" w:pos="720"/>
        </w:tabs>
        <w:rPr/>
      </w:pPr>
      <w:r>
        <w:rPr/>
        <w:t>1.</w:t>
        <w:tab/>
        <w:t>Be kita ko, įgyvendinant Europos socialinių teisių ramstį, parengti skaidrius gyvenimo kokybės rodiklius, įskaitant ekonominius, socialinius ir teisinės valstybės kriterijus, konsultuojantis su ekspertais ir socialiniais partneriais, kad būtų nustatytas aiškus ir realistiškas socialinių standartų didinimo tvarkaraštis ir bendra Sąjungos socialinė ir ekonominė struktūra. Šios priemonės turėtų būti integruotos į ekonomikos valdymo sistemą ir Europos semestro procesą</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Didinti ir palengvinti tiesiogines viešąsias investicijas į sveikatos priežiūrą, švietimą, fizinę infrastruktūrą ir pagyvenusių žmonių bei neįgaliųjų priežiūrą. Papildomomis investicijomis taip pat turėtų būti siekiama užtikrinti tinkamą profesinio ir asmeninio gyvenimo pusiausvyrą piliečiams. Šios investicijos turėtų būti vykdomos visiškai skaidriai, kad būtų galima stebėti visą procesą</w:t>
      </w:r>
      <w:r>
        <w:rPr>
          <w:rStyle w:val="Ancredenotedefin"/>
          <w:rStyle w:val="Ancredenotedefin"/>
        </w:rPr>
        <w:endnoteReference w:id="75"/>
      </w:r>
      <w:r>
        <w:rPr/>
        <w:t>.</w:t>
      </w:r>
    </w:p>
    <w:p>
      <w:pPr>
        <w:pStyle w:val="Puce3"/>
        <w:tabs>
          <w:tab w:val="clear" w:pos="720"/>
        </w:tabs>
        <w:rPr/>
      </w:pPr>
      <w:r>
        <w:rPr/>
        <w:t>3.</w:t>
        <w:tab/>
        <w:t>Skatinti didelių įmonių apmokestinimą, kovoti su galimybe naudotis mokesčių rojais ir panaikinti jų egzistavimą ES, siekiant padidinti viešąsias investicijas tokiose prioritetinėse srityse kaip švietimas (studijų stipendijos, programa „Erasmus“) ir moksliniai tyrimai. Kova su mokesčių slėpimu ES lygmeniu taip pat turėtų būti priemonė pritraukti lėšų viešosiomis lėšomis finansuojamoms iniciatyvoms</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Nustatant Sąjungos masto kovos su diskriminacija darbo rinkoje kriterijus ir skatinant privačias įmones įdarbinti asmenis, kurie dažniausiai patiria diskriminaciją (įskaitant jaunimą, vyresnio amžiaus žmones, moteris ir mažumoms priklausančius asmenis), be kita ko, teikiant subsidijas, ir, antra, nustatant laikinas kvotas. Socialiniai partneriai turėtų aktyviai dalyvauti šiose pastangose. Diskriminacija už darbo rinkos ribų taip pat turėtų būti draudžiama teisės aktais ir turėtų būti skatinama lygybė</w:t>
      </w:r>
      <w:r>
        <w:rPr>
          <w:rStyle w:val="Ancredenotedefin"/>
          <w:rStyle w:val="Ancredenotedefin"/>
        </w:rPr>
        <w:endnoteReference w:id="78"/>
      </w:r>
      <w:r>
        <w:rPr/>
        <w:t>.</w:t>
      </w:r>
    </w:p>
    <w:p>
      <w:pPr>
        <w:pStyle w:val="Puce3"/>
        <w:tabs>
          <w:tab w:val="clear" w:pos="720"/>
        </w:tabs>
        <w:rPr/>
      </w:pPr>
      <w:r>
        <w:rPr/>
        <w:t>5.</w:t>
        <w:tab/>
        <w:t>Užtikrinti įperkamų vaikų darželių, tiek viešųjų, tiek privačių, kūrimą ir sudaryti jiems palankesnes sąlygas, taip pat nemokamas vaikų priežiūros paslaugas tiems, kuriems jos reikia</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Pasiūlymas: Gyvūnų teisės, žemės ūkis</w:t>
      </w:r>
    </w:p>
    <w:p>
      <w:pPr>
        <w:pStyle w:val="P68B1DB1Normal15"/>
        <w:rPr>
          <w:b/>
          <w:b/>
        </w:rPr>
      </w:pPr>
      <w:r>
        <w:rPr/>
        <w:t>Tikslas: Imtis ryžtingų priemonių siekiant skatinti ir užtikrinti ekologiškesnį ir klimatui nekenkiantį žemės ūkį,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80"/>
      </w:r>
      <w:r>
        <w:rPr/>
        <w:t>:</w:t>
      </w:r>
    </w:p>
    <w:p>
      <w:pPr>
        <w:pStyle w:val="Puce3"/>
        <w:tabs>
          <w:tab w:val="clear" w:pos="720"/>
        </w:tabs>
        <w:rPr/>
      </w:pPr>
      <w:r>
        <w:rPr/>
        <w:t>1.</w:t>
        <w:tab/>
        <w:t>Nustatant išsamius, išmatuojamus ir per nustatytą laiką nustatytus minimalius ūkinių gyvūnų apsaugos kriterijus, siekiant užtikrinti aukštesnius gyvūnų gerovės standartus, atitinkančius tvarumo tikslus ir remiantis integruotu požiūriu į maisto sistemą</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Nustatyti finansines nuobaudas už neigiamą žemės ūkio veiklos poveikį (pvz., šiltnamio efektą sukeliančių dujų išmetimą, pesticidų naudojimą, pernelyg didelį vandens suvartojimą, tolimojo susisiekimo transportą ir kt.), atsižvelgiant į jų poveikį aplinkai. Šiuo pagrindu taip pat turėtų būti vertinami į Sąjungą importuojami žemės ūkio produktai, be kita ko, taikant muitus, kad būtų panaikintas bet koks konkurencinis pranašumas, atsirandantis dėl ne tokių griežtų aplinkosaugos standartų</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Mažinti subsidijas masinei žemės ūkio gamybai, kai ji neprisideda prie tvarios pertvarkos, ir nukreipti šiuos išteklius, kad būtų remiamas aplinkos atžvilgiu tvarus žemės ūkis, kartu užtikrinant maisto produktų įperkamumą.</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Paveikslėli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aveikslėlis26"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Skaitmeninė transformacija“</w:t>
      </w:r>
    </w:p>
    <w:p>
      <w:pPr>
        <w:pStyle w:val="Normal"/>
        <w:rPr/>
      </w:pPr>
      <w:r>
        <w:rPr/>
        <w:t>Europa turi būti pasaulio lyderė ir nustatyti skaitmeninės transformacijos standartus, be to, ji turi nubrėžti europinį kelią į etišką, į žmogų orientuotą, skaidrią ir saugią visuomenę. Europa turi laikytis plataus užmojo požiūrio ir visapusiškai pasinaudoti skaitmeninimo teikiamomis galimybėmis, kartu valdydama skaitmeninimo keliamą riziką ir iššūkius. Skaitmeninimas yra susijęs su visomis mūsų visuomenės sritimis ir į jį reikia sistemingai atsižvelgti. Šiuo atžvilgiu buvo daroma nuoroda į Europos deklaraciją dėl skaitmeninių teisių ir skaitmeninio dešimtmečio principų ir pasiūlyta ateityje apsvarstyti galimybę parengti Skaitmeninių teisių chartiją.</w:t>
      </w:r>
    </w:p>
    <w:p>
      <w:pPr>
        <w:pStyle w:val="Normal"/>
        <w:rPr/>
      </w:pPr>
      <w:r>
        <w:rPr/>
        <w:t>Rusijos agresija Ukrainoje tik patvirtina daugelį pasiūlymų elementų, tokių kaip skaitmeninio suverenumo poreikis, didesnis dėmesys kibernetinei gynybai ir apsauga nuo dezinformacijos. Tai taip pat įrodo, kad šiuolaikiniai konfliktai turi pasekmių skaitmeninėje srityje ir kelia naujų klausimų, tokių kaip ilgalaikės piktnaudžiavimo asmenine informacija pasekmės ir neteisėtas šių duomenų naudojimas ateityje.</w:t>
      </w:r>
    </w:p>
    <w:p>
      <w:pPr>
        <w:pStyle w:val="Normal"/>
        <w:rPr/>
      </w:pPr>
      <w:r>
        <w:rPr/>
      </w:r>
    </w:p>
    <w:p>
      <w:pPr>
        <w:pStyle w:val="Titre3"/>
        <w:numPr>
          <w:ilvl w:val="2"/>
          <w:numId w:val="2"/>
        </w:numPr>
        <w:rPr/>
      </w:pPr>
      <w:bookmarkStart w:id="81" w:name="__RefHeading___Toc298336_1346298689"/>
      <w:bookmarkEnd w:id="81"/>
      <w:r>
        <w:rPr/>
        <w:t>31. Pasiūlymas: Prieiga prie skaitmeninės infrastruktūros</w:t>
      </w:r>
    </w:p>
    <w:p>
      <w:pPr>
        <w:pStyle w:val="Normal"/>
        <w:rPr/>
      </w:pPr>
      <w:r>
        <w:rPr/>
        <w:t>Tikslas: Vienoda prieiga prie interneto yra pagrindinė kiekvieno Europos piliečio teisė. Siūlome, kad visi Europoje turėtų veiksmingą prieigą prie interneto ir skaitmeninių paslaugų ir kad būtų stiprinamas ES skaitmeninės infrastruktūros suverenumas įgyvendinant šias priemones: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86"/>
      </w:r>
      <w:r>
        <w:rPr/>
        <w:t>:</w:t>
      </w:r>
    </w:p>
    <w:p>
      <w:pPr>
        <w:pStyle w:val="Puce3"/>
        <w:tabs>
          <w:tab w:val="clear" w:pos="720"/>
        </w:tabs>
        <w:rPr/>
      </w:pPr>
      <w:r>
        <w:rPr/>
        <w:t>1.</w:t>
        <w:tab/>
        <w:t>Investicijos į aukštos kokybės ir novatorišką Europos skaitmeninę infrastruktūrą (įskaitant 5G ir 6G plėtrą Europoje) (Nyderlandų NKP 1 ECP 40 ir 47 rekomendacijos ir Nyderlandų NKP Nr. 1 rekomendacijos).</w:t>
      </w:r>
    </w:p>
    <w:p>
      <w:pPr>
        <w:pStyle w:val="Puce3"/>
        <w:tabs>
          <w:tab w:val="clear" w:pos="720"/>
        </w:tabs>
        <w:rPr/>
      </w:pPr>
      <w:r>
        <w:rPr/>
        <w:t>2.</w:t>
        <w:tab/>
        <w:t>Užtikrinti sparčią, įperkamą, saugią ir stabilią interneto prieigą visoje Sąjungoje, įskaitant tarptinklinį ryšį, pirmenybę teikiant interneto ryšio įdiegimui „baltosiose/mirusiose zonose“, kaimo ir atokiose bei periferinėse vietovėse, siekiant spręsti skaitmeninės atskirties tarp valstybių narių ir jų viduje problemą ir užtikrinti, kad niekas nebūtų paliktas nuošalyje (Nyderlandų NKP 1 ir Nr. 1 17 ir 47 rekomendacijos).</w:t>
      </w:r>
    </w:p>
    <w:p>
      <w:pPr>
        <w:pStyle w:val="Puce3"/>
        <w:tabs>
          <w:tab w:val="clear" w:pos="720"/>
        </w:tabs>
        <w:rPr/>
      </w:pPr>
      <w:r>
        <w:rPr/>
        <w:t>3.</w:t>
        <w:tab/>
        <w:t>Skatinti skaitmeninės ir elektros infrastruktūros diegimą viešosiose ir privačiose erdvėse, kad būtų galima naudoti elektra varomas ir autonomines transporto priemones (diskusijos darbo grupėje)</w:t>
      </w:r>
      <w:r>
        <w:rPr>
          <w:rStyle w:val="Ancredenotedefin"/>
          <w:rStyle w:val="Ancredenotedefin"/>
        </w:rPr>
        <w:endnoteReference w:id="87"/>
      </w:r>
      <w:r>
        <w:rPr/>
        <w:t>.</w:t>
      </w:r>
    </w:p>
    <w:p>
      <w:pPr>
        <w:pStyle w:val="Puce3"/>
        <w:tabs>
          <w:tab w:val="clear" w:pos="720"/>
        </w:tabs>
        <w:rPr/>
      </w:pPr>
      <w:r>
        <w:rPr/>
        <w:t>4.</w:t>
        <w:tab/>
        <w:t>Imtis priemonių siekiant užtikrinti sąžiningą ir atvirą konkurenciją ir užkirsti kelią monopolijoms, priklausomybei nuo tiekėjų, duomenų koncentracijai ir priklausomybei nuo trečiųjų šalių infrastruktūra ir paslaugomis; rinkų gerinimas iš vartotojų perspektyvos (CEP rekomendacija Nr. 17 1).</w:t>
      </w:r>
    </w:p>
    <w:p>
      <w:pPr>
        <w:pStyle w:val="Puce3"/>
        <w:tabs>
          <w:tab w:val="clear" w:pos="720"/>
        </w:tabs>
        <w:rPr/>
      </w:pPr>
      <w:r>
        <w:rPr/>
        <w:t>5.</w:t>
        <w:tab/>
        <w:t>Pirmenybę teikti vaikams, šeimoms, pagyvenusiems žmonėms ir pažeidžiamoms grupėms, kiek tai susiję su prieiga prie interneto ir IT įrangos, įskaitant prieigą prie švietimo, viešųjų paslaugų ir sveikatos priežiūros paslaugų (CEP 1 rekomendacija Nr. 17 ir diskusija darbo grupėje).</w:t>
      </w:r>
    </w:p>
    <w:p>
      <w:pPr>
        <w:pStyle w:val="Puce3"/>
        <w:tabs>
          <w:tab w:val="clear" w:pos="720"/>
        </w:tabs>
        <w:rPr/>
      </w:pPr>
      <w:r>
        <w:rPr/>
        <w:t>6.</w:t>
        <w:tab/>
        <w:t>Piliečiams ir įmonėms gerinti skaitmeninę prieigą prie esminių viešųjų ir privačiųjų paslaugų, užtikrinant visišką jų prieinamumą, pvz., administracinių procedūrų atžvilgiu, ir visiems užtikrinti prieigą prie šių paslaugų ir su jomis susijusią paramą, pvz., teikiant paramos paslaugas (diskusijos darbo grupėje, daugiakalbė skaitmeninė platforma).</w:t>
      </w:r>
    </w:p>
    <w:p>
      <w:pPr>
        <w:pStyle w:val="Puce3"/>
        <w:tabs>
          <w:tab w:val="clear" w:pos="720"/>
        </w:tabs>
        <w:rPr/>
      </w:pPr>
      <w:r>
        <w:rPr/>
        <w:t>7.</w:t>
        <w:tab/>
        <w:t>Suderinti aukštos kokybės skaitmeninius standartus ir pagerinti saugų duomenų judumą, kad būtų sudarytos palankesnės sąlygos tarpvalstybiniam sąveikumui (diskusijos darbo grupėje, daugiakalbė skaitmeninė platforma).</w:t>
      </w:r>
    </w:p>
    <w:p>
      <w:pPr>
        <w:pStyle w:val="Puce3"/>
        <w:tabs>
          <w:tab w:val="clear" w:pos="720"/>
        </w:tabs>
        <w:rPr/>
      </w:pPr>
      <w:r>
        <w:rPr/>
        <w:t>8.</w:t>
        <w:tab/>
        <w:t>Apsvarstyti skaitmeninės infrastruktūros ir skaitmeninimo poveikį aplinkai, kad skaitmeninė transformacija būtų tvari ir pereiti prie žaliosios skaitmeninės visuomenės (diskusijos darbo grupėje, daugiakalbė skaitmeninė platforma).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Pasiūlymas: Skaitmeninės žinios ir įgūdžiai, suteikiantys galių žmonėms</w:t>
      </w:r>
    </w:p>
    <w:p>
      <w:pPr>
        <w:pStyle w:val="P68B1DB1Normal15"/>
        <w:rPr>
          <w:b/>
          <w:b/>
        </w:rPr>
      </w:pPr>
      <w:r>
        <w:rPr/>
        <w:t>Tikslas: Siūlome, kad ES užtikrintų, jog visi Europos piliečiai galėtų pasinaudoti skaitmeninimo teikiamais privalumais, įgalindami juos įgyti reikiamų skaitmeninių įgūdžių ir galimybių įgyvendinant šias priemones: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88"/>
      </w:r>
      <w:r>
        <w:rPr/>
        <w:t>:</w:t>
      </w:r>
    </w:p>
    <w:p>
      <w:pPr>
        <w:pStyle w:val="Puce3"/>
        <w:tabs>
          <w:tab w:val="clear" w:pos="720"/>
        </w:tabs>
        <w:rPr/>
      </w:pPr>
      <w:r>
        <w:rPr/>
        <w:t>1.</w:t>
        <w:tab/>
        <w:t>Užtikrinti prieigą prie mokymo ir švietimo, įskaitant mokyklos, formaliąsias ir neformaliąsias mokymo programas, prie visą gyvenimą trunkančių skaitmeninių įgūdžių ir žinių, remiantis esamomis Europos lygmens iniciatyvomis, ypatingą dėmesį skiriant pažeidžiamoms grupėms priklausančių asmenų ir vyresnio amžiaus asmenų įtraukčiai, taip pat vaikų skaitmeninių įgūdžių stiprinimui, suderinamu su jų tinkamu vystymusi, ir kovai su skaitmenine nelygybe, įskaitant skaitmeninę vyrų ir moterų atskirtį (EKP rekomendacija Nr. 8, Italijos NKP 5.2 rekomendacija ir diskusijos darbo grupėje).</w:t>
      </w:r>
    </w:p>
    <w:p>
      <w:pPr>
        <w:pStyle w:val="Puce3"/>
        <w:tabs>
          <w:tab w:val="clear" w:pos="720"/>
        </w:tabs>
        <w:rPr/>
      </w:pPr>
      <w:r>
        <w:rPr/>
        <w:t>2.</w:t>
        <w:tab/>
        <w:t>Užtikrinti patikimą naudojimąsi internetu, skatinant valstybes nares plėtoti skaitmeninių įgūdžių ugdymą visoms amžiaus grupėms su suderintomis programomis ir turiniu Europos lygmeniu, pavyzdžiui, interneto rizikos ir galimybių, vartotojų teisių internete ir netiketo (CEP 1 rekomendacija Nr. 47 ir diskusijos darbo grupėje).</w:t>
      </w:r>
    </w:p>
    <w:p>
      <w:pPr>
        <w:pStyle w:val="Puce3"/>
        <w:tabs>
          <w:tab w:val="clear" w:pos="720"/>
        </w:tabs>
        <w:rPr/>
      </w:pPr>
      <w:r>
        <w:rPr/>
        <w:t>3.</w:t>
        <w:tab/>
        <w:t>Imtis visų būtinų priemonių siekiant užtikrinti, kad visuomenės skaitmeninimas neužkirstų kelio vyresnio amžiaus žmonėms ir kad technologijos jiems būtų prieinamos, skatinant atitinkamas programas ir iniciatyvas, pavyzdžiui, jų poreikiams pritaikytus kursus. Kartu turėtų būti užtikrinta, kad esminės paslaugos taip pat būtų prieinamos asmeniškai ir neskaitmeniniu būdu (CEP 34 ir 47 rekomendacijos).</w:t>
      </w:r>
    </w:p>
    <w:p>
      <w:pPr>
        <w:pStyle w:val="Puce3"/>
        <w:tabs>
          <w:tab w:val="clear" w:pos="720"/>
        </w:tabs>
        <w:rPr/>
      </w:pPr>
      <w:r>
        <w:rPr/>
        <w:t>4.</w:t>
        <w:tab/>
        <w:t>Mokyklose įdiegti Europos skaitmeninių įgūdžių sertifikavimą, kuris padėtų parengti jaunimą būsimai darbo rinkai (CEP 8 rekomendacija).</w:t>
      </w:r>
    </w:p>
    <w:p>
      <w:pPr>
        <w:pStyle w:val="Puce3"/>
        <w:tabs>
          <w:tab w:val="clear" w:pos="720"/>
        </w:tabs>
        <w:rPr/>
      </w:pPr>
      <w:r>
        <w:rPr/>
        <w:t>5.</w:t>
        <w:tab/>
        <w:t>Sąjungos lygmeniu įgyvendinti suderintas mokymo iniciatyvas, skirtas darbuotojų perkvalifikavimui ir kvalifikacijos kėlimui, kad jie išliktų konkurencingi darbo rinkoje, visų pirma atsižvelgiant į įgūdžius ir kvalifikaciją, kurių reikia mažosioms ir vidutinėms įmonėms, taip pat siekiant mokyti skaitmeninės srities specialistus (CEP 8 rekomendacija ir diskusijos darbo grupėje).</w:t>
      </w:r>
    </w:p>
    <w:p>
      <w:pPr>
        <w:pStyle w:val="Puce3"/>
        <w:tabs>
          <w:tab w:val="clear" w:pos="720"/>
        </w:tabs>
        <w:rPr/>
      </w:pPr>
      <w:r>
        <w:rPr/>
        <w:t>6.</w:t>
        <w:tab/>
        <w:t>Viešinti esamas skaitmenines platformas, jungiančias piliečius su darbdaviais ir padedančias jiems rasti darbą ES, pavyzdžiui, EURES (CEP rekomendacija Nr. 8 1).</w:t>
      </w:r>
    </w:p>
    <w:p>
      <w:pPr>
        <w:pStyle w:val="Puce3"/>
        <w:tabs>
          <w:tab w:val="clear" w:pos="720"/>
        </w:tabs>
        <w:rPr/>
      </w:pPr>
      <w:r>
        <w:rPr/>
        <w:t>7.</w:t>
        <w:tab/>
        <w:t>Didinti investicijas ir pastangas švietimo, įskaitant aukštąjį mokslą, skaitmeninimui skatinti (diskusijos darbo grupėje/daugiakalbė skaitmeninėje platformoje).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Pasiūlymas: Saugi ir patikima skaitmeninė visuomenė. Kibernetinis saugumas ir dezinformacija</w:t>
      </w:r>
    </w:p>
    <w:p>
      <w:pPr>
        <w:pStyle w:val="P68B1DB1Normal15"/>
        <w:rPr>
          <w:b/>
          <w:b/>
        </w:rPr>
      </w:pPr>
      <w:r>
        <w:rPr/>
        <w:t>Tikslas: siūlome, kad, siekiant sukurti saugią, atsparią ir patikimą skaitmeninę visuomenę, ES turėtų užtikrinti veiksmingą ir savalaikį galiojančių teisės aktų įgyvendinimą ir turėtų daugiau kompetencijos stiprinti kibernetinį saugumą, kovoti su neteisėtu turiniu ir elektroniniais nusikaltimais, spręsti ir šalinti nevalstybinių subjektų ir autoritarinių valstybių kibernetinių grėsmių padarinius ir kovoti su dezinformacija įgyvendinant šias priemones: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89"/>
      </w:r>
      <w:r>
        <w:rPr/>
        <w:t>:</w:t>
      </w:r>
    </w:p>
    <w:p>
      <w:pPr>
        <w:pStyle w:val="Puce3"/>
        <w:tabs>
          <w:tab w:val="clear" w:pos="720"/>
        </w:tabs>
        <w:rPr/>
      </w:pPr>
      <w:r>
        <w:rPr/>
        <w:t>1.</w:t>
        <w:tab/>
        <w:t>Stiprinti Europolo/Europos kovos su elektroniniu nusikalstamumu centro gebėjimus finansinių ir žmogiškųjų išteklių srityje, kad būtų galima laikytis aktyvesnio požiūrio į kibernetinius nusikaltimus ir stiprinti bendrus Europos kibernetinės gynybos pajėgumus kovojant su didelio masto išpuoliais, be kita ko, glaudžiau bendradarbiaujant (ECP rekomendacija Nr. 39, Lietuvos NKP 2.6 rekomendacija ir Nyderlandų NKP Nr. 1 NKP 1-oji rekomendacija ir diskusijos darbo grupėje).</w:t>
      </w:r>
    </w:p>
    <w:p>
      <w:pPr>
        <w:pStyle w:val="Puce3"/>
        <w:tabs>
          <w:tab w:val="clear" w:pos="720"/>
        </w:tabs>
        <w:rPr/>
      </w:pPr>
      <w:r>
        <w:rPr/>
        <w:t>2.</w:t>
        <w:tab/>
        <w:t>Imtis būtinų priemonių, kad būtų pasirengta didelio masto atakoms ir paslaugų sutrikimams ir būtų galima greitai juos įveikti, pavyzdžiui, užtikrinant atsparios infrastruktūros ir alternatyvių ryšių kanalų buvimą (diskusijos darbo grupėje).</w:t>
      </w:r>
    </w:p>
    <w:p>
      <w:pPr>
        <w:pStyle w:val="Puce3"/>
        <w:tabs>
          <w:tab w:val="clear" w:pos="720"/>
        </w:tabs>
        <w:rPr/>
      </w:pPr>
      <w:r>
        <w:rPr/>
        <w:t>3.</w:t>
        <w:tab/>
        <w:t>Užtikrinti panašias sankcijas ir jų greitą bei veiksmingą vykdymą valstybėse narėse elektroninių nusikaltimų atveju, geriau koordinuojant vietos, regioninius ir nacionalinius kibernetinio saugumo centrus ir institucijas (CEP rekomendacija Nr. 39 1).</w:t>
      </w:r>
    </w:p>
    <w:p>
      <w:pPr>
        <w:pStyle w:val="Puce3"/>
        <w:tabs>
          <w:tab w:val="clear" w:pos="720"/>
        </w:tabs>
        <w:rPr/>
      </w:pPr>
      <w:r>
        <w:rPr/>
        <w:t>4.</w:t>
        <w:tab/>
        <w:t>Gerinti skaitmenines žinias ir kritinį mąstymą, siekiant kovoti su dezinformacija, grėsmėmis internete ir neapykantą kurstančiomis kalbomis, taip pat suklastotomis sąsajomis ir lengvatinėmis kainomis (diskusijos darbo grupėje).</w:t>
      </w:r>
    </w:p>
    <w:p>
      <w:pPr>
        <w:pStyle w:val="Puce3"/>
        <w:tabs>
          <w:tab w:val="clear" w:pos="720"/>
        </w:tabs>
        <w:rPr/>
      </w:pPr>
      <w:r>
        <w:rPr/>
        <w:t>5.</w:t>
        <w:tab/>
        <w:t>Kova su dezinformacija priimant teisės aktus ir gaires, kuriais užtikrinama, kad interneto platformos ir socialinės žiniasklaidos bendrovės spręstų savo dezinformacijos pažeidžiamumo problemas ir taikytų skaidrumo priemones, įskaitant, pavyzdžiui, dirbtiniu intelektu grindžiamus algoritmus, kuriais galima pabrėžti informacijos patikimumą socialinėje žiniasklaidoje ir naujose žiniasklaidos priemonėse, pateikiant naudotojams patikrintus informacijos šaltinius. Kai naudojami algoritmai, galutinė sprendimų priėmimo procesų kontrolė turėtų būti žmonių atsakomybė (CEP 1 rekomendacija Nr. 46 ir diskusija darbo grupėje).</w:t>
      </w:r>
    </w:p>
    <w:p>
      <w:pPr>
        <w:pStyle w:val="Puce3"/>
        <w:tabs>
          <w:tab w:val="clear" w:pos="720"/>
        </w:tabs>
        <w:rPr/>
      </w:pPr>
      <w:r>
        <w:rPr/>
        <w:t>6.</w:t>
        <w:tab/>
        <w:t>Remti skaitmenines platformas, kurios prisideda prie žiniasklaidos pliuralizmo ir teikia išteklius bei iniciatyvas, skirtas įvertinti tradicinės žiniasklaidos (televizijos, spausdinimo, radijo) ir kitų žiniasklaidos priemonių informacijos patikimumą ir nešališkumą, visapusiškai laikantis žiniasklaidos laisvės principo, ir teikti piliečiams informaciją apie informacijos kokybę (CEP 46 rekomendacija).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Pasiūlymas: Saugi ir patikima skaitmeninė visuomenė. Duomenų apsauga</w:t>
      </w:r>
    </w:p>
    <w:p>
      <w:pPr>
        <w:pStyle w:val="P68B1DB1Normal15"/>
        <w:rPr>
          <w:b/>
          <w:b/>
        </w:rPr>
      </w:pPr>
      <w:r>
        <w:rPr/>
        <w:t>Tikslas: Remiame žmonių duomenų suverenumą, geresnį informuotumą ir veiksmingesnį esamų duomenų apsaugos taisyklių (BDAR) įgyvendinimą ir vykdymo užtikrinimą, kad būtų sustiprinta žmonių duomenų kontrolė ir apribotas netinkamas duomenų naudojimas, įgyvendinant šias priemones: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90"/>
      </w:r>
      <w:r>
        <w:rPr/>
        <w:t>:</w:t>
      </w:r>
    </w:p>
    <w:p>
      <w:pPr>
        <w:pStyle w:val="Puce3"/>
        <w:tabs>
          <w:tab w:val="clear" w:pos="720"/>
        </w:tabs>
        <w:rPr/>
      </w:pPr>
      <w:r>
        <w:rPr/>
        <w:t>1.</w:t>
        <w:tab/>
        <w:t>Geriau paaiškinti duomenų apsaugos taisykles (BDAR), didinti skaidrumą ir gerinti komunikaciją parengiant gaires dėl informuoto asmens sutikimo tekstų, kuriuose vartojama paprasta, aiški ir suprantama kalba, įskaitant vaizdingesnį sutikimo naudoti duomenis pateikimą, pridedant juos informavimo kampanijai, taip pat užtikrinant, kad duomenų valdytojai turėtų reikiamų įgūdžių ir konsultuotų tuos, kuriems reikia pagalbos (Nyderlandų NKP Nr. 1 ir Nr. 2 42 ir 45 rekomendacijos).</w:t>
      </w:r>
    </w:p>
    <w:p>
      <w:pPr>
        <w:pStyle w:val="Puce3"/>
        <w:tabs>
          <w:tab w:val="clear" w:pos="720"/>
        </w:tabs>
        <w:rPr/>
      </w:pPr>
      <w:r>
        <w:rPr/>
        <w:t>2.</w:t>
        <w:tab/>
        <w:t>Užtikrinti, kad būtų laikomasi galiojančio draudimo duoti sutikimą pakartotinai naudoti arba perparduoti duomenis (CEP rekomendacija Nr. 42 1).</w:t>
      </w:r>
    </w:p>
    <w:p>
      <w:pPr>
        <w:pStyle w:val="Puce3"/>
        <w:tabs>
          <w:tab w:val="clear" w:pos="720"/>
        </w:tabs>
        <w:rPr/>
      </w:pPr>
      <w:r>
        <w:rPr/>
        <w:t>3.</w:t>
        <w:tab/>
        <w:t>Užtikrinti, kad naudotojų prašymai galutinai ištrinti duomenis būtų patenkinti per nustatytą laikotarpį (CEP rekomendacija Nr. 42).</w:t>
      </w:r>
    </w:p>
    <w:p>
      <w:pPr>
        <w:pStyle w:val="Puce3"/>
        <w:tabs>
          <w:tab w:val="clear" w:pos="720"/>
        </w:tabs>
        <w:rPr/>
      </w:pPr>
      <w:r>
        <w:rPr/>
        <w:t>4.</w:t>
        <w:tab/>
        <w:t>Teikti naudotojams aiškią ir glaustą informaciją apie tai, kaip duomenys bus naudojami ir kas juos naudos (CEP rekomendacija Nr. 42 1)</w:t>
      </w:r>
    </w:p>
    <w:p>
      <w:pPr>
        <w:pStyle w:val="Puce3"/>
        <w:tabs>
          <w:tab w:val="clear" w:pos="720"/>
        </w:tabs>
        <w:rPr/>
      </w:pPr>
      <w:r>
        <w:rPr/>
        <w:t>5.</w:t>
        <w:tab/>
        <w:t>Užtikrinti, kad ne Europos bendrovės laikytųsi Europos duomenų apsaugos taisyklių (CEP 1 rekomendacijos Nr. 42 ir 43).</w:t>
      </w:r>
    </w:p>
    <w:p>
      <w:pPr>
        <w:pStyle w:val="Puce3"/>
        <w:tabs>
          <w:tab w:val="clear" w:pos="720"/>
        </w:tabs>
        <w:rPr/>
      </w:pPr>
      <w:r>
        <w:rPr/>
        <w:t>6.</w:t>
        <w:tab/>
        <w:t>Skatinti ES lygmeniu sukurti sertifikavimo sistemą, pagal kurią būtų galima prieinamu, aiškiu ir paprastu būdu patvirtinti atitiktį Bendrajam duomenų apsaugos reglamentui, kuri būtų matoma interneto svetainėse ir platformose ir kurią turėtų išduoti nepriklausomas sertifikuotojas Europos lygmeniu. Tai neturėtų sudaryti neproporcingos naštos mažosioms ir vidutinėms įmonėms (CEP 1 rekomendacija Nr. 44 ir diskusija darbo grupėje).</w:t>
      </w:r>
    </w:p>
    <w:p>
      <w:pPr>
        <w:pStyle w:val="Puce3"/>
        <w:tabs>
          <w:tab w:val="clear" w:pos="720"/>
        </w:tabs>
        <w:rPr/>
      </w:pPr>
      <w:r>
        <w:rPr/>
        <w:t>7.</w:t>
        <w:tab/>
        <w:t>Užtikrinti veiksmingą ir savalaikę pagalbą piliečiams, kurie susiduria su sunkumais paprieštaraudami jų duomenų tvarkymui arba atšaukdami savo sutikimą. Šiuo tikslu Europos lygmeniu būtina geriau apibrėžti intervencinį elgesį ir parengti pagrindinius principus bei mechanizmus, kurie leistų piliečiams prieštarauti jų duomenų tvarkymui ir juos ištrinti, taip pat nustatyti sukčiautojus ir už juos bausti (CEP 43 rekomendacija ir diskusijos darbo grupėje).</w:t>
      </w:r>
    </w:p>
    <w:p>
      <w:pPr>
        <w:pStyle w:val="Puce3"/>
        <w:tabs>
          <w:tab w:val="clear" w:pos="720"/>
        </w:tabs>
        <w:rPr/>
      </w:pPr>
      <w:r>
        <w:rPr/>
        <w:t>8.</w:t>
        <w:tab/>
        <w:t>Numatyti sankcijas, įskaitant įmonių apyvartai proporcingą baudą ir jų veiklos apribojimus, pavyzdžiui, laikinus ar galutinius draudimus tvarkyti nepageidaujamus duomenis, ir padėti Europos duomenų apsaugos priežiūros pareigūnui ir nacionalinėms agentūroms užtikrinti jų įgyvendinimą (CEP 1 rekomendacijos Nr. 42 ir 43 ir diskusijos darbo grupėje).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Pasiūlymas: Skaitmeninės inovacijos socialinei ir tvariai ekonomikai stiprinti</w:t>
      </w:r>
    </w:p>
    <w:p>
      <w:pPr>
        <w:pStyle w:val="Normal"/>
        <w:rPr/>
      </w:pPr>
      <w:r>
        <w:rPr/>
        <w:t>Tikslas: Siūlome, kad ES skatintų skaitmeninimo priemones, kuriomis sąžiningai ir tvariai stiprinama ekonomika ir bendroji rinka, didinamas Europos konkurencingumas technologijų ir inovacijų srityse, gerinama bendroji skaitmeninė rinka visų dydžių įmonėms ir Europa pirmauja pasaulyje skaitmeninės transformacijos ir į žmogų orientuoto skaitmeninimo srityje, taikant šias priemones: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91"/>
      </w:r>
      <w:r>
        <w:rPr/>
        <w:t>:</w:t>
      </w:r>
    </w:p>
    <w:p>
      <w:pPr>
        <w:pStyle w:val="Puce3"/>
        <w:tabs>
          <w:tab w:val="clear" w:pos="720"/>
        </w:tabs>
        <w:rPr/>
      </w:pPr>
      <w:r>
        <w:rPr/>
        <w:t>1.</w:t>
        <w:tab/>
        <w:t>Priimti teisės aktus arba sugriežtinti galiojančius teisės aktus dėl judaus (į žmogų orientuoto) darbo, atsižvelgiant į jo poveikį darbuotojų fizinei ir psichinei sveikatai, pavyzdžiui, užtikrinant teisę atsijungti. Į žmogų orientuotas požiūris suponuoja „žmogaus kontrolės“ principą (PCE 1 rekomendacija Nr. 7 ir diskusijos darbo grupėje)</w:t>
      </w:r>
      <w:r>
        <w:rPr>
          <w:rStyle w:val="Ancredenotedefin"/>
          <w:rStyle w:val="Ancredenotedefin"/>
        </w:rPr>
        <w:endnoteReference w:id="92"/>
      </w:r>
      <w:r>
        <w:rPr/>
        <w:t>.</w:t>
      </w:r>
    </w:p>
    <w:p>
      <w:pPr>
        <w:pStyle w:val="Puce3"/>
        <w:tabs>
          <w:tab w:val="clear" w:pos="720"/>
        </w:tabs>
        <w:rPr/>
      </w:pPr>
      <w:r>
        <w:rPr/>
        <w:t>2.</w:t>
        <w:tab/>
        <w:t>ES lygmens teisės aktai, kuriais siekiama skatinti įmones būti socialiai atsakingomis ir išlaikyti kokybiškas mobilias darbo vietas Europoje, taip išvengiant šių darbo vietų perkėlimo į šalis mažesnėmis sąnaudomis. Paskatos gali būti finansinio pobūdžio ir (arba) daryti poveikį įmonės įvaizdžiui ir jomis turėtų būti atsižvelgiama į tarptautiniu mastu pripažintus aplinkos, socialinius ir valdymo (ASV) kriterijus. Šiuo tikslu Sąjunga turėtų sudaryti iš visų suinteresuotųjų šalių ekspertų sudarytą darbo grupę, kuri peržiūrėtų ir sustiprintų šiuos teisės aktus (CEP 7 rekomendacija).</w:t>
      </w:r>
    </w:p>
    <w:p>
      <w:pPr>
        <w:pStyle w:val="Puce3"/>
        <w:tabs>
          <w:tab w:val="clear" w:pos="720"/>
        </w:tabs>
        <w:rPr/>
      </w:pPr>
      <w:r>
        <w:rPr/>
        <w:t>3.</w:t>
        <w:tab/>
        <w:t>Užtikrinti žmogaus vykdomą sprendimų priėmimo procesų, kuriuose naudojamas dirbtinis intelektas darbo vietoje, kontrolę ir naudojamų algoritmų skaidrumą; atsižvelgti į beribio skaitmeninio stebėjimo darbo vietoje žalingą poveikį; darbuotojų informavimas ir konsultavimasis su jais prieš diegiant skaitmenines technologijas, kurios daro poveikį darbo sąlygoms; užtikrinti, kad naujos užimtumo formos, pvz., darbas platformose, atitiktų darbuotojų teises ir sudarytų tinkamas darbo sąlygas (diskusijos darbo grupėje).</w:t>
      </w:r>
    </w:p>
    <w:p>
      <w:pPr>
        <w:pStyle w:val="Puce3"/>
        <w:tabs>
          <w:tab w:val="clear" w:pos="720"/>
        </w:tabs>
        <w:rPr/>
      </w:pPr>
      <w:r>
        <w:rPr/>
        <w:t>4.</w:t>
        <w:tab/>
        <w:t>Imtis iniciatyvų, kuriomis būtų padedama remti nuotolinį darbą, pavyzdžiui, kuriant biuro patalpas su sparčia ir patikima interneto prieiga, organizuojant skaitmeninius mokymus ir teikiant išteklius ergonomiškai darbo įrangai namuose (CEP 1 rekomendacija Nr. 17 ir diskusija darbo grupėje).</w:t>
      </w:r>
    </w:p>
    <w:p>
      <w:pPr>
        <w:pStyle w:val="Puce3"/>
        <w:tabs>
          <w:tab w:val="clear" w:pos="720"/>
        </w:tabs>
        <w:rPr/>
      </w:pPr>
      <w:r>
        <w:rPr/>
        <w:t>5.</w:t>
        <w:tab/>
        <w:t>Sukurti viešai prieinamą skaitmeninę rezultatų suvestinę, kurioje būtų sukurta reitingavimo sistema, rodanti ir palyginanti dabartinį ES įmonių skaitmeninimo lygį (Vokietijos NKP).</w:t>
      </w:r>
    </w:p>
    <w:p>
      <w:pPr>
        <w:pStyle w:val="Puce3"/>
        <w:tabs>
          <w:tab w:val="clear" w:pos="720"/>
        </w:tabs>
        <w:rPr/>
      </w:pPr>
      <w:r>
        <w:rPr/>
        <w:t>6.</w:t>
        <w:tab/>
        <w:t>Stiprios ir konkurencingos skaitmeninės ekonomikos kūrimas ir teisingas skaitmeninės transformacijos naudos pasidalijimas visoje Europoje, sutelkiant dėmesį į technologijas ir inovacijas kaip augimo varomąsias jėgas, skatinant pokyčius skatinančius pažangiausius mokslinius tyrimus, taip pat sudarant sąlygas inovacijų ekosistemoms visuose regionuose gerinant MVĮ ir startuolių veiklos aplinką ir užtikrinant sąžiningas galimybes gauti finansavimą ir pašalinant teisinę ar kitokią naštą, kuri trukdo tarpvalstybinei veiklai (Italijos NKP rekomendacija 1.3, darbo grupės diskusijos ir daugiakalbė skaitmeninė platforma). Duomenų infrastruktūros, grindžiamos Europos vertybėmis, kūrimas; taikyti skaitmeninio prioriteto ir bendro informacijos perdavimo principus ir sudaryti palankesnes sąlygas skaitmeninei ir saugiai prieigai prie duomenų inovacijų ir verslo tikslais; skatinti viešųjų paslaugų skaitmeninimą (diskusijos darbo grupėje ir daugiakalbė skaitmeninė platforma). Visapusiškai išnaudoti patikimo ir atsakingo dirbtinio intelekto naudojimo potencialą ir pasinaudoti blokų grandinės ir debesijos paslaugų technologijų teikiamomis galimybėmis, nustatant apsaugos priemones ir standartus, kuriais užtikrinamas skaidrumas ir sąveikumas, kuriamas pasitikėjimas, sudaromos palankesnės sąlygos naudoti diskriminacinius ar šališkus algoritmus ir panaikinami diskriminaciniai ar šališki algoritmai (diskusijos darbo grupėje ir daugiakalbė skaitmeninėje platformoje).</w:t>
      </w:r>
    </w:p>
    <w:p>
      <w:pPr>
        <w:pStyle w:val="Puce3"/>
        <w:tabs>
          <w:tab w:val="clear" w:pos="720"/>
        </w:tabs>
        <w:rPr/>
      </w:pPr>
      <w:r>
        <w:rPr/>
        <w:t>9.</w:t>
        <w:tab/>
        <w:t>Skatinti laisvą programinę įrangą, jos naudojimą švietimo ir mokymo srityje ir laisvą prieigą prie valstybės finansuojamų mokslinių tyrimų ir programinės įrangos (diskusijos darbo grupėje ir daugiakalbėje skaitmeninėje platformoje).</w:t>
      </w:r>
    </w:p>
    <w:p>
      <w:pPr>
        <w:pStyle w:val="Puce3"/>
        <w:tabs>
          <w:tab w:val="clear" w:pos="720"/>
        </w:tabs>
        <w:rPr/>
      </w:pPr>
      <w:r>
        <w:rPr/>
        <w:t>10.</w:t>
        <w:tab/>
        <w:t>Sukurti bendrą Europos skaitmeninę tapatybę, kad būtų sudarytos palankesnės sąlygos tarpvalstybinėms skaitmeninėms operacijoms ir paslaugoms, taikant Europos standartus ir pagrindinius principus, kuriais užtikrinamos būtinos apsaugos priemonės (diskusijos darbo grupėje ir daugiakalbė skaitmeninėje platformoje).</w:t>
      </w:r>
    </w:p>
    <w:p>
      <w:pPr>
        <w:pStyle w:val="Puce3"/>
        <w:tabs>
          <w:tab w:val="clear" w:pos="720"/>
        </w:tabs>
        <w:rPr/>
      </w:pPr>
      <w:r>
        <w:rPr/>
        <w:t>11.</w:t>
        <w:tab/>
        <w:t>Įvertinti, ar būtų galima skaitmeninti informaciją apie vartotojus ir maisto produktus naudojant standartizuotą Europos taikomąją programą, kuri suteiktų vartotojams patogesnę prieigą prie informacijos ir teiktų papildomą informaciją apie produktus ir gamybos grandinę (CEP rekomendacija Nr.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Paveikslėlis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aveikslėlis27"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Europos demokratija“</w:t>
      </w:r>
    </w:p>
    <w:p>
      <w:pPr>
        <w:pStyle w:val="Titre3"/>
        <w:numPr>
          <w:ilvl w:val="2"/>
          <w:numId w:val="2"/>
        </w:numPr>
        <w:rPr/>
      </w:pPr>
      <w:bookmarkStart w:id="87" w:name="__RefHeading___Toc298348_1346298689"/>
      <w:bookmarkEnd w:id="87"/>
      <w:r>
        <w:rPr/>
        <w:t>36. Pasiūlymas: Piliečių informavimas, dalyvavimas ir jaunimas</w:t>
      </w:r>
    </w:p>
    <w:p>
      <w:pPr>
        <w:pStyle w:val="P68B1DB1Normal15"/>
        <w:rPr>
          <w:b/>
          <w:b/>
        </w:rPr>
      </w:pPr>
      <w:r>
        <w:rPr/>
        <w:t>Tikslas: Didinti piliečių dalyvavimą ir jaunimo dalyvavimą demokratijos veikloje ES lygmeniu, siekiant sukurti „visišką piliečių patirtį“ europiečiams; užtikrinti, kad būtų atsižvelgta į jų nuomonę, įskaitant ne rinkimų laikotarpius, ir kad jų dalyvavimas būtų realus. Todėl būtina nustatyti, kokia dalyvavimo forma yra tinkamiausia kiekvienai temai, pavyzdžiui: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Sukurti naujus piliečių dalyvavimo mechanizmus ir padidinti esamų mechanizmų veiksmingumą, laikantis Europos acquis, kartu gerinant komunikaciją apie visus šiuos mechanizmus. Idealiu atveju visa informacija apie dalyvaujamąsias erdves turėtų būti apibendrinta</w:t>
      </w:r>
      <w:r>
        <w:rPr>
          <w:rStyle w:val="Ancredenotedefin"/>
          <w:rStyle w:val="Ancredenotedefin"/>
        </w:rPr>
        <w:endnoteReference w:id="93"/>
      </w:r>
      <w:r>
        <w:rPr/>
        <w:t xml:space="preserve"> oficialioje interneto svetainėje su įvairiomis funkcijomis</w:t>
      </w:r>
      <w:r>
        <w:rPr>
          <w:rStyle w:val="Ancredenotedefin"/>
          <w:rStyle w:val="Ancredenotedefin"/>
        </w:rPr>
        <w:endnoteReference w:id="94"/>
      </w:r>
      <w:r>
        <w:rPr/>
        <w:t>. Turėtų būti sukurtas politinių ir teisėkūros iniciatyvų, susijusių su dalyvaujamosios demokratijos procesais, stebėsenos mechanizmas</w:t>
      </w:r>
      <w:r>
        <w:rPr>
          <w:rStyle w:val="Ancredenotedefin"/>
          <w:rStyle w:val="Ancredenotedefin"/>
        </w:rPr>
        <w:endnoteReference w:id="95"/>
      </w:r>
      <w:r>
        <w:rPr/>
        <w:t>. Dalyvavimo mechanizmai turėtų būti skirti visiems gyventojams, kad pasiektų įvairią auditoriją. Dėmesys turėtų būti skiriamas moderatorių turiniui, temoms ir įgūdžiams. Šie mechanizmai turėtų būti grindžiami atitinkamų priemonių poveikio, visų pirma moterims ir pažeidžiamiems asmenims, analize</w:t>
      </w:r>
      <w:r>
        <w:rPr>
          <w:rStyle w:val="Ancredenotedefin"/>
          <w:rStyle w:val="Ancredenotedefin"/>
        </w:rPr>
        <w:endnoteReference w:id="96"/>
      </w:r>
      <w:r>
        <w:rPr/>
        <w:t>.</w:t>
      </w:r>
    </w:p>
    <w:p>
      <w:pPr>
        <w:pStyle w:val="Puce3"/>
        <w:tabs>
          <w:tab w:val="clear" w:pos="720"/>
        </w:tabs>
        <w:rPr/>
      </w:pPr>
      <w:r>
        <w:rPr/>
        <w:t>2.</w:t>
        <w:tab/>
        <w:t>Didinant ES institucijų ir piliečių bendravimo internetu ir ne internetu dažnumą įvairiomis priemonėmis, siekiant užtikrinti, kad jie galėtų dalyvauti Europos politikos formavimo procese, pareikšti savo nuomonę ir gauti grįžtamosios informacijos, taip pat parengti Europos pareigūnų dalyvavimo chartiją</w:t>
      </w:r>
      <w:r>
        <w:rPr>
          <w:rStyle w:val="Ancredenotedefin"/>
          <w:rStyle w:val="Ancredenotedefin"/>
        </w:rPr>
        <w:endnoteReference w:id="97"/>
      </w:r>
      <w:r>
        <w:rPr/>
        <w:t>.</w:t>
      </w:r>
    </w:p>
    <w:p>
      <w:pPr>
        <w:pStyle w:val="Puce3"/>
        <w:tabs>
          <w:tab w:val="clear" w:pos="720"/>
        </w:tabs>
        <w:rPr/>
      </w:pPr>
      <w:r>
        <w:rPr/>
        <w:t>3.</w:t>
        <w:tab/>
        <w:t>Pasiūlyti patogią naudoti skaitmeninę platformą, kurioje piliečiai, visų pirma jaunimas, galėtų dalytis savo idėjomis, užduoti klausimus Europos institucijų atstovams ir pareikšti savo nuomonę svarbiais Europos klausimais, taip pat pasiūlymus dėl teisėkūros procedūra priimamų aktų. Taip pat reikėtų numatyti galimybę šioje platformoje organizuoti apklausas internetu</w:t>
      </w:r>
      <w:r>
        <w:rPr>
          <w:rStyle w:val="Ancredenotedefin"/>
          <w:rStyle w:val="Ancredenotedefin"/>
        </w:rPr>
        <w:endnoteReference w:id="98"/>
      </w:r>
      <w:r>
        <w:rPr/>
        <w:t>.</w:t>
      </w:r>
    </w:p>
    <w:p>
      <w:pPr>
        <w:pStyle w:val="Puce3"/>
        <w:tabs>
          <w:tab w:val="clear" w:pos="720"/>
        </w:tabs>
        <w:rPr/>
      </w:pPr>
      <w:r>
        <w:rPr/>
        <w:t>4.</w:t>
        <w:tab/>
        <w:t>Tobulinti ir suderinti esamus Europos, nacionalinio ir vietos lygmens mechanizmus, kad jie taptų saugesni, prieinamesni, labiau matomi ir įtraukesni</w:t>
      </w:r>
      <w:r>
        <w:rPr>
          <w:rStyle w:val="Ancredenotedefin"/>
          <w:rStyle w:val="Ancredenotedefin"/>
        </w:rPr>
        <w:endnoteReference w:id="99"/>
      </w:r>
      <w:r>
        <w:rPr/>
        <w:t>.</w:t>
      </w:r>
    </w:p>
    <w:p>
      <w:pPr>
        <w:pStyle w:val="Puce3"/>
        <w:tabs>
          <w:tab w:val="clear" w:pos="720"/>
        </w:tabs>
        <w:rPr/>
      </w:pPr>
      <w:r>
        <w:rPr/>
        <w:t>5.</w:t>
        <w:tab/>
        <w:t>Įtraukti pilietinės visuomenės organizacijas, regionų ir vietos valdžios institucijas ir esamas įstaigas, pavyzdžiui, Europos ekonomikos ir socialinių reikalų komitetą (EESRK) ir Regionų komitetą (RK</w:t>
      </w:r>
      <w:r>
        <w:rPr>
          <w:rStyle w:val="Ancredenotedefin"/>
          <w:rStyle w:val="Ancredenotedefin"/>
        </w:rPr>
        <w:endnoteReference w:id="100"/>
      </w:r>
      <w:r>
        <w:rPr/>
        <w:t>), į piliečių dalyvavimo procesus</w:t>
      </w:r>
      <w:r>
        <w:rPr>
          <w:rStyle w:val="Ancredenotedefin"/>
          <w:rStyle w:val="Ancredenotedefin"/>
        </w:rPr>
        <w:endnoteReference w:id="101"/>
      </w:r>
      <w:r>
        <w:rPr/>
        <w:t>.</w:t>
      </w:r>
    </w:p>
    <w:p>
      <w:pPr>
        <w:pStyle w:val="Puce3"/>
        <w:tabs>
          <w:tab w:val="clear" w:pos="720"/>
        </w:tabs>
        <w:rPr/>
      </w:pPr>
      <w:r>
        <w:rPr/>
        <w:t>6.</w:t>
        <w:tab/>
        <w:t>Sukuriant ES vietos patarėjų sistemą, kad Europos institucijos būtų artimesnės Europos piliečiams</w:t>
      </w:r>
      <w:r>
        <w:rPr>
          <w:rStyle w:val="Ancredenotedefin"/>
          <w:rStyle w:val="Ancredenotedefin"/>
        </w:rPr>
        <w:endnoteReference w:id="102"/>
      </w:r>
      <w:r>
        <w:rPr/>
        <w:t>.</w:t>
      </w:r>
    </w:p>
    <w:p>
      <w:pPr>
        <w:pStyle w:val="Puce3"/>
        <w:tabs>
          <w:tab w:val="clear" w:pos="720"/>
        </w:tabs>
        <w:rPr/>
      </w:pPr>
      <w:r>
        <w:rPr/>
        <w:t>7.</w:t>
        <w:tab/>
        <w:t>Periodiškai suburti piliečių asamblėją teisiškai privalomu ES teisės pagrindu. Dalyviai bus atrenkami burtų keliu pagal reprezentatyvumo kriterijus, o dalyvavimas bus labai skatinamas. Jei reikia, specialistai suteiks asamblėjos nariams informaciją, susijusią su jų svarstymais. Jei institucijos neatsižvelgia į šių susitikimų išvadas, jos turės motyvuoti savo sprendimą</w:t>
      </w:r>
      <w:r>
        <w:rPr>
          <w:rStyle w:val="Ancredenotedefin"/>
          <w:rStyle w:val="Ancredenotedefin"/>
        </w:rPr>
        <w:endnoteReference w:id="103"/>
      </w:r>
      <w:r>
        <w:rPr/>
        <w:t>. Svarbu, kad išrinkti atstovai, prieš priimdami politinius sprendimus, konsultuotųsi su piliečiais ir pilietine visuomene ir atsižvelgtų į jų indėlį. Europos Sąjunga grindžiama atstovaujamąja demokratija: per Europos Parlamento rinkimus piliečiai siunčia aiškią žinią savo atstovams ir netiesiogiai kalba apie ES politiką</w:t>
      </w:r>
      <w:r>
        <w:rPr>
          <w:rStyle w:val="Ancredenotedefin"/>
          <w:rStyle w:val="Ancredenotedefin"/>
        </w:rPr>
        <w:endnoteReference w:id="104"/>
      </w:r>
      <w:r>
        <w:rPr/>
        <w:t>.</w:t>
      </w:r>
    </w:p>
    <w:p>
      <w:pPr>
        <w:pStyle w:val="Puce3"/>
        <w:tabs>
          <w:tab w:val="clear" w:pos="720"/>
        </w:tabs>
        <w:rPr/>
      </w:pPr>
      <w:r>
        <w:rPr/>
        <w:t>8.</w:t>
        <w:tab/>
        <w:t>Teikti didesnę finansinę ar kitokią struktūrinę paramą pilietinei visuomenei, visų pirma jaunimui, ir vietos valdžios institucijoms steigti vietos jaunimo tarybas</w:t>
      </w:r>
      <w:r>
        <w:rPr>
          <w:rStyle w:val="Ancredenotedefin"/>
          <w:rStyle w:val="Ancredenotedefin"/>
        </w:rPr>
        <w:endnoteReference w:id="105"/>
      </w:r>
      <w:r>
        <w:rPr/>
        <w:t>; pilietinės visuomenės ir socialinių partnerių dalyvavimas galėtų būti visapusiškas Europos demokratijos veiksmų plano ramstis, o konkreti strategija galėtų būti skirta pilietinei visuomenei</w:t>
      </w:r>
      <w:r>
        <w:rPr>
          <w:rStyle w:val="Ancredenotedefin"/>
          <w:rStyle w:val="Ancredenotedefin"/>
        </w:rPr>
        <w:endnoteReference w:id="106"/>
      </w:r>
      <w:r>
        <w:rPr/>
        <w:t>.</w:t>
      </w:r>
    </w:p>
    <w:p>
      <w:pPr>
        <w:pStyle w:val="Puce3"/>
        <w:tabs>
          <w:tab w:val="clear" w:pos="720"/>
        </w:tabs>
        <w:rPr/>
      </w:pPr>
      <w:r>
        <w:rPr/>
        <w:t>9.</w:t>
        <w:tab/>
        <w:t>Nustatyti „jaunimo“ teisės aktų kontrolę, kuri apimtų poveikio vertinimą ir konsultavimosi su jaunimo atstovais mechanizmą, kai teisės aktai gali daryti poveikį jaunimui</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Stiprinant ES teisės aktų leidėjų ir pilietinės visuomenės organizacijų bendradarbiavimą, kad būtų pasinaudota jų ryšiais tarp sprendimus priimančių asmenų ir piliečių</w:t>
      </w:r>
      <w:r>
        <w:rPr>
          <w:rStyle w:val="Ancredenotedefin"/>
          <w:rStyle w:val="Ancredenotedefin"/>
        </w:rPr>
        <w:endnoteReference w:id="108"/>
      </w:r>
      <w:r>
        <w:rPr/>
        <w:t>.</w:t>
      </w:r>
    </w:p>
    <w:p>
      <w:pPr>
        <w:pStyle w:val="Puce3"/>
        <w:tabs>
          <w:tab w:val="clear" w:pos="720"/>
        </w:tabs>
        <w:rPr/>
      </w:pPr>
      <w:r>
        <w:rPr/>
        <w:t>11.</w:t>
        <w:tab/>
        <w:t>Apibendrinti klausimus, susijusius su piliečių dalyvavimu Europos chartijoje dėl piliečių indėlio į Europos reikalus.</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Pasiūlymas: Piliečių informavimas, dalyvavimas ir jaunimas (a)</w:t>
      </w:r>
    </w:p>
    <w:p>
      <w:pPr>
        <w:pStyle w:val="P68B1DB1Normal15"/>
        <w:rPr>
          <w:b/>
          <w:b/>
        </w:rPr>
      </w:pPr>
      <w:r>
        <w:rPr/>
        <w:t>Tikslas: Padaryti Europos Sąjungą suprantamesnę ir prieinamesnę; stiprinti bendrą Europos tapatybę,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Užtikrinti minimalų švietimo lygį Europos Sąjungoje, ypač jos demokratiniuose procesuose, nepamirštant Europos integracijos istorijos ir Europos pilietybės. Visų amžiaus grupių žmonės turėtų turėti galimybę pasinaudoti šiomis programomis, kurios turėtų būti parengtos patraukliai ir atsižvelgiant į amžių, pavyzdžiui, rengti specialias švietimo programas ir medžiagą vaikams, mokykloms</w:t>
      </w:r>
      <w:r>
        <w:rPr>
          <w:rStyle w:val="Ancredenotedefin"/>
          <w:rStyle w:val="Ancredenotedefin"/>
        </w:rPr>
        <w:endnoteReference w:id="110"/>
      </w:r>
      <w:r>
        <w:rPr/>
        <w:t xml:space="preserve"> ir pilietinės visuomenės organizacijoms, veikiančioms neformaliojo švietimo srityje</w:t>
      </w:r>
      <w:r>
        <w:rPr>
          <w:rStyle w:val="Ancredenotedefin"/>
          <w:rStyle w:val="Ancredenotedefin"/>
        </w:rPr>
        <w:endnoteReference w:id="111"/>
      </w:r>
      <w:r>
        <w:rPr/>
        <w:t>.</w:t>
      </w:r>
    </w:p>
    <w:p>
      <w:pPr>
        <w:pStyle w:val="Puce3"/>
        <w:tabs>
          <w:tab w:val="clear" w:pos="720"/>
        </w:tabs>
        <w:rPr/>
      </w:pPr>
      <w:r>
        <w:rPr/>
        <w:t>2.</w:t>
        <w:tab/>
        <w:t>Užtikrinti, kad visi piliečiai galėtų lengvai gauti patikimą informaciją apie Sąjungą. Europos institucijos turėtų vartoti prieinamesnę kalbą ir vengti biurokratinio žargono naudojimo bendraujant, kartu išlaikant teikiamos informacijos kokybę ir techninį lygį, ir pritaikyti informaciją prie įvairių ryšių kanalų ir gavėjų profilių.</w:t>
      </w:r>
      <w:r>
        <w:rPr>
          <w:rStyle w:val="Ancredenotedefin"/>
          <w:rStyle w:val="Ancredenotedefin"/>
        </w:rPr>
        <w:endnoteReference w:id="112"/>
      </w:r>
      <w:r>
        <w:rPr/>
        <w:t xml:space="preserve"> Jos turėtų apsvarstyti galimybę, pavyzdžiui, sukurti mobiliąją programėlę, kurioje būtų aiškiai pateikiama informacija apie ES politiką</w:t>
      </w:r>
      <w:r>
        <w:rPr>
          <w:rStyle w:val="Ancredenotedefin"/>
          <w:rStyle w:val="Ancredenotedefin"/>
        </w:rPr>
        <w:endnoteReference w:id="113"/>
      </w:r>
      <w:r>
        <w:rPr/>
        <w:t>. Reikėtų dėti ypatingas pastangas siekiant užmegzti ryšius su jaunimu socialiniuose tinkluose, taip pat pasitelkiant jaunimo judėjimus ir įvairius „ambasadorius“ (organizacijas ir asmenis)</w:t>
      </w:r>
      <w:r>
        <w:rPr>
          <w:rStyle w:val="Ancredenotedefin"/>
          <w:rStyle w:val="Ancredenotedefin"/>
        </w:rPr>
        <w:endnoteReference w:id="114"/>
      </w:r>
      <w:r>
        <w:rPr/>
        <w:t>, paaiškinančius Europos projektą</w:t>
      </w:r>
      <w:r>
        <w:rPr>
          <w:rStyle w:val="Ancredenotedefin"/>
          <w:rStyle w:val="Ancredenotedefin"/>
        </w:rPr>
        <w:endnoteReference w:id="115"/>
      </w:r>
      <w:r>
        <w:rPr/>
        <w:t>.</w:t>
      </w:r>
    </w:p>
    <w:p>
      <w:pPr>
        <w:pStyle w:val="Puce3"/>
        <w:tabs>
          <w:tab w:val="clear" w:pos="720"/>
        </w:tabs>
        <w:rPr/>
      </w:pPr>
      <w:r>
        <w:rPr/>
        <w:t>3.</w:t>
        <w:tab/>
        <w:t>Aktyviau naudotis dirbtiniu intelektu ir mašininio vertimo technologijomis siekiant įveikti</w:t>
      </w:r>
      <w:r>
        <w:rPr>
          <w:rStyle w:val="Ancredenotedefin"/>
          <w:rStyle w:val="Ancredenotedefin"/>
        </w:rPr>
        <w:endnoteReference w:id="116"/>
      </w:r>
      <w:r>
        <w:rPr/>
        <w:t xml:space="preserve"> kalbos barjerą</w:t>
      </w:r>
      <w:r>
        <w:rPr>
          <w:rStyle w:val="Ancredenotedefin"/>
          <w:rStyle w:val="Ancredenotedefin"/>
        </w:rPr>
        <w:endnoteReference w:id="117"/>
      </w:r>
      <w:r>
        <w:rPr/>
        <w:t>, užtikrinant, kad visos skaitmeninės priemonės būtų prieinamos neįgaliesiems</w:t>
      </w:r>
      <w:r>
        <w:rPr>
          <w:rStyle w:val="Ancredenotedefin"/>
          <w:rStyle w:val="Ancredenotedefin"/>
        </w:rPr>
        <w:endnoteReference w:id="118"/>
      </w:r>
      <w:r>
        <w:rPr/>
        <w:t xml:space="preserve"> ir lengvai naudojamos.</w:t>
      </w:r>
    </w:p>
    <w:p>
      <w:pPr>
        <w:pStyle w:val="Puce3"/>
        <w:tabs>
          <w:tab w:val="clear" w:pos="720"/>
        </w:tabs>
        <w:rPr/>
      </w:pPr>
      <w:r>
        <w:rPr/>
        <w:t>4.</w:t>
        <w:tab/>
        <w:t>Ginant ir remiant žiniasklaidos laisvę, pliuralizmą ir nepriklausomumą, taip pat skatinant žiniasklaidą, įskaitant visuomeninius transliuotojus, visuomenines naujienų agentūras ir Europos žiniasklaidą, reguliariau aprėpti Europos reikalus, kartu gerbiant jų laisvę ir nepriklausomumą, kad toks nušvietimas būtų reguliarus ir visapusiškas visose Sąjungos valstybėse narėse</w:t>
      </w:r>
      <w:r>
        <w:rPr>
          <w:rStyle w:val="Ancredenotedefin"/>
          <w:rStyle w:val="Ancredenotedefin"/>
        </w:rPr>
        <w:endnoteReference w:id="119"/>
      </w:r>
      <w:r>
        <w:rPr/>
        <w:t>, didinant pastangas kovoti su dezinformacija ir užsienio kišimusi ir apsaugoti žurnalistus</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Priartinant Europą prie piliečių stiprinant kontaktinius</w:t>
      </w:r>
      <w:r>
        <w:rPr>
          <w:rStyle w:val="Ancredenotedefin"/>
          <w:rStyle w:val="Ancredenotedefin"/>
        </w:rPr>
        <w:endnoteReference w:id="121"/>
      </w:r>
      <w:r>
        <w:rPr/>
        <w:t xml:space="preserve"> centrus ir specializuotus centrus („Europe Houses“) vietos lygmeniu, kurie teiktų išteklius, informaciją ir konsultacijas piliečiams Europos klausimais, išklausytų jiems rūpimus klausimus ir aptartų su asociacijomis, kad piliečių nuomonė būtų perduota Europos lygmeniu</w:t>
      </w:r>
      <w:r>
        <w:rPr>
          <w:rStyle w:val="Ancredenotedefin"/>
          <w:rStyle w:val="Ancredenotedefin"/>
        </w:rPr>
        <w:endnoteReference w:id="122"/>
      </w:r>
      <w:r>
        <w:rPr/>
        <w:t>.</w:t>
      </w:r>
    </w:p>
    <w:p>
      <w:pPr>
        <w:pStyle w:val="Puce3"/>
        <w:tabs>
          <w:tab w:val="clear" w:pos="720"/>
        </w:tabs>
        <w:rPr/>
      </w:pPr>
      <w:r>
        <w:rPr/>
        <w:t>6.</w:t>
        <w:tab/>
        <w:t>Imantis naujų priemonių bendrai europiečių tapatybei stiprinti, pavyzdžiui, pasitelkiant ES fondą, kuris skatintų įvairią ES piliečių sąveiką internetu ir ne internetu (pvz., mainų programas, grupes ar susitikimus), Europos sporto renginius, jungtines komandas arba gegužės 9 d. (Europos diena)</w:t>
      </w:r>
      <w:r>
        <w:rPr>
          <w:rStyle w:val="Ancredenotedefin"/>
          <w:rStyle w:val="Ancredenotedefin"/>
        </w:rPr>
        <w:endnoteReference w:id="123"/>
      </w:r>
      <w:r>
        <w:rPr/>
        <w:t xml:space="preserve"> visiems Europos piliečiams papildomas atostogas</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Pasiūlymas: Demokratija ir rinkimai</w:t>
      </w:r>
    </w:p>
    <w:p>
      <w:pPr>
        <w:pStyle w:val="Normal"/>
        <w:rPr/>
      </w:pPr>
      <w:r>
        <w:rPr/>
        <w:t>Tikslas: Stiprinti Europos demokratiją stiprinant jos pagrindus, skatinant piliečius dalyvauti Europos Parlamento rinkimuose, skatinant tarpvalstybines diskusijas Europos klausimais ir užtikrinant tvirtą piliečių ir jų išrinktų atstovų ryšį,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Užtikrinti Sutartyse įtvirtintų Europos vertybių, įskaitant teisinės valstybės principą ir tvirtą socialinį modelį, kurie</w:t>
      </w:r>
      <w:r>
        <w:rPr>
          <w:rStyle w:val="Ancredenotedefin"/>
          <w:rStyle w:val="Ancredenotedefin"/>
        </w:rPr>
        <w:endnoteReference w:id="125"/>
      </w:r>
      <w:r>
        <w:rPr/>
        <w:t>yra Europos demokratijos pagrindas, apsaugą. Palaikydama santykius su likusiu pasauliu, Sąjunga turėtų teikti pirmenybę bendrosioms demokratinėms vertybėms pasienio šalyse. Tik pasiekusi šį tikslą ji gali tapti mūsų demokratinio modelio ambasadore šalyse, kurios yra pajėgios ir nori tai daryti pasitelkdamos diplomatiją ir dialogą</w:t>
      </w:r>
      <w:r>
        <w:rPr>
          <w:rStyle w:val="Ancredenotedefin"/>
          <w:rStyle w:val="Ancredenotedefin"/>
        </w:rPr>
        <w:endnoteReference w:id="126"/>
      </w:r>
      <w:r>
        <w:rPr/>
        <w:t>.</w:t>
      </w:r>
    </w:p>
    <w:p>
      <w:pPr>
        <w:pStyle w:val="Puce3"/>
        <w:tabs>
          <w:tab w:val="clear" w:pos="720"/>
        </w:tabs>
        <w:rPr/>
      </w:pPr>
      <w:r>
        <w:rPr/>
        <w:t>2.</w:t>
        <w:tab/>
        <w:t>Europos Parlamento iniciatyva numatant galimybę išimties tvarka surengti referendumą visoje Sąjungoje, jei paaiškėja, kad klausimas yra ypač svarbus visiems Europos piliečiams</w:t>
      </w:r>
      <w:r>
        <w:rPr>
          <w:rStyle w:val="Ancredenotedefin"/>
          <w:rStyle w:val="Ancredenotedefin"/>
        </w:rPr>
        <w:endnoteReference w:id="127"/>
      </w:r>
      <w:r>
        <w:rPr/>
        <w:t>.</w:t>
      </w:r>
    </w:p>
    <w:p>
      <w:pPr>
        <w:pStyle w:val="Puce3"/>
        <w:tabs>
          <w:tab w:val="clear" w:pos="720"/>
        </w:tabs>
        <w:rPr/>
      </w:pPr>
      <w:r>
        <w:rPr/>
        <w:t>3.</w:t>
        <w:tab/>
        <w:t>Iš dalies keičiant Sąjungos rinkimų įstatymą, kad būtų suderinta Europos Parlamento rinkimų tvarka (pvz., daugumos amžius, rinkimų data, rinkimų apygardoms, kandidatams, politinėms partijoms ir jų finansavimui taikomi reikalavimai), taip pat pereinant prie visos Europos ar tarpvalstybinių sąrašų, į kuriuos būtų</w:t>
      </w:r>
      <w:r>
        <w:rPr>
          <w:rStyle w:val="Ancredenotedebasdepage"/>
          <w:rStyle w:val="Ancredenotedebasdepage"/>
        </w:rPr>
        <w:footnoteReference w:id="11"/>
      </w:r>
      <w:r>
        <w:rPr/>
        <w:t xml:space="preserve"> įtraukti kandidatai iš skirtingų valstybių narių, atsižvelgus į valstybių narių piliečių šiuo klausimu pareikštas</w:t>
      </w:r>
      <w:r>
        <w:rPr>
          <w:rStyle w:val="Ancredenotedefin"/>
          <w:rStyle w:val="Ancredenotedefin"/>
        </w:rPr>
        <w:endnoteReference w:id="128"/>
      </w:r>
      <w:r>
        <w:rPr/>
        <w:t xml:space="preserve"> nuomones</w:t>
      </w:r>
      <w:r>
        <w:rPr>
          <w:rStyle w:val="Ancredenotedefin"/>
          <w:rStyle w:val="Ancredenotedefin"/>
        </w:rPr>
        <w:endnoteReference w:id="129"/>
      </w:r>
      <w:r>
        <w:rPr/>
        <w:t>.</w:t>
      </w:r>
    </w:p>
    <w:p>
      <w:pPr>
        <w:pStyle w:val="Alineanegatifpuce"/>
        <w:numPr>
          <w:ilvl w:val="0"/>
          <w:numId w:val="3"/>
        </w:numPr>
        <w:rPr/>
      </w:pPr>
      <w:r>
        <w:rPr/>
        <w:t xml:space="preserve"> </w:t>
      </w:r>
      <w:r>
        <w:rPr/>
        <w:t>Kai kurie Europos Parlamento nariai turėtų būti renkami iš visos Europos sąrašų, o kiti – valstybių narių lygmeniu</w:t>
      </w:r>
      <w:r>
        <w:rPr>
          <w:rStyle w:val="Ancredenotedefin"/>
          <w:rStyle w:val="Ancredenotedefin"/>
        </w:rPr>
        <w:endnoteReference w:id="130"/>
      </w:r>
      <w:r>
        <w:rPr/>
        <w:t>.</w:t>
      </w:r>
    </w:p>
    <w:p>
      <w:pPr>
        <w:pStyle w:val="Alineanegatifpuce"/>
        <w:numPr>
          <w:ilvl w:val="0"/>
          <w:numId w:val="3"/>
        </w:numPr>
        <w:rPr/>
      </w:pPr>
      <w:r>
        <w:rPr/>
        <w:t xml:space="preserve"> </w:t>
      </w:r>
      <w:r>
        <w:rPr/>
        <w:t>Reformos tikslas taip pat turėtų būti sudaryti palankesnes sąlygas skaitmeniniam balsavimui</w:t>
      </w:r>
      <w:r>
        <w:rPr>
          <w:rStyle w:val="Ancredenotedefin"/>
          <w:rStyle w:val="Ancredenotedefin"/>
        </w:rPr>
        <w:endnoteReference w:id="131"/>
      </w:r>
      <w:r>
        <w:rPr/>
        <w:t xml:space="preserve"> ir užtikrinti tikrąją neįgaliųjų teisę balsuoti</w:t>
      </w:r>
      <w:r>
        <w:rPr>
          <w:rStyle w:val="Ancredenotedefin"/>
          <w:rStyle w:val="Ancredenotedefin"/>
        </w:rPr>
        <w:endnoteReference w:id="132"/>
      </w:r>
      <w:r>
        <w:rPr/>
        <w:t>.</w:t>
      </w:r>
    </w:p>
    <w:p>
      <w:pPr>
        <w:pStyle w:val="Puce3"/>
        <w:tabs>
          <w:tab w:val="clear" w:pos="720"/>
        </w:tabs>
        <w:rPr/>
      </w:pPr>
      <w:r>
        <w:rPr/>
        <w:t>4.</w:t>
        <w:tab/>
        <w:t>Piliečių ir jų išrinktų atstovų ryšių stiprinimas, atsižvelgiant į nacionalinius ypatumus: piliečiai nori jausti, kad EP nariai ir nacionalinių parlamentų nariai yra jiems artimi, ir reaguoti į jiems susirūpinimą keliančius klausimus konkrečiomis priemonėmis</w:t>
      </w:r>
      <w:r>
        <w:rPr>
          <w:rStyle w:val="Ancredenotedefin"/>
          <w:rStyle w:val="Ancredenotedefin"/>
        </w:rPr>
        <w:endnoteReference w:id="133"/>
      </w:r>
      <w:r>
        <w:rPr/>
        <w:t>. Tai yra visuotinė problema ir visų amžiaus grupių žmonės turėtų įsitraukti</w:t>
      </w:r>
      <w:r>
        <w:rPr>
          <w:rStyle w:val="Ancredenotedefin"/>
          <w:rStyle w:val="Ancredenotedefin"/>
        </w:rPr>
        <w:endnoteReference w:id="134"/>
      </w:r>
      <w:r>
        <w:rPr/>
        <w:t>.</w:t>
      </w:r>
    </w:p>
    <w:p>
      <w:pPr>
        <w:pStyle w:val="Alineanegatifpuce"/>
        <w:numPr>
          <w:ilvl w:val="0"/>
          <w:numId w:val="3"/>
        </w:numPr>
        <w:rPr/>
      </w:pPr>
      <w:r>
        <w:rPr/>
        <w:t xml:space="preserve"> </w:t>
      </w:r>
      <w:r>
        <w:rPr/>
        <w:t>Europos piliečiai turėtų turėti daugiau įtakos renkant Komisijos pirmininką. Šį tikslą būtų galima pasiekti tiesiogiai išrinkus Komisijos pirmininką</w:t>
      </w:r>
      <w:r>
        <w:rPr>
          <w:rStyle w:val="Ancredenotedefin"/>
          <w:rStyle w:val="Ancredenotedefin"/>
        </w:rPr>
        <w:endnoteReference w:id="135"/>
      </w:r>
      <w:r>
        <w:rPr/>
        <w:t xml:space="preserve"> arba taikant aukščiausio sąrašo kandidatų sistemą</w:t>
      </w:r>
      <w:r>
        <w:rPr>
          <w:rStyle w:val="Ancredenotedebasdepage"/>
          <w:rStyle w:val="Ancredenotedebasdepage"/>
        </w:rPr>
        <w:footnoteReference w:id="12"/>
      </w:r>
      <w:r>
        <w:rPr/>
        <w:t>.</w:t>
      </w:r>
    </w:p>
    <w:p>
      <w:pPr>
        <w:pStyle w:val="Alineanegatifpuce"/>
        <w:numPr>
          <w:ilvl w:val="0"/>
          <w:numId w:val="3"/>
        </w:numPr>
        <w:rPr/>
      </w:pPr>
      <w:r>
        <w:rPr/>
        <w:t xml:space="preserve"> </w:t>
      </w:r>
      <w:r>
        <w:rPr/>
        <w:t>Europos Parlamentas turėtų turėti teisėkūros iniciatyvos teisę, kad galėtų pasiūlyti</w:t>
      </w:r>
      <w:r>
        <w:rPr>
          <w:rStyle w:val="Ancredenotedefin"/>
          <w:rStyle w:val="Ancredenotedefin"/>
        </w:rPr>
        <w:endnoteReference w:id="136"/>
      </w:r>
      <w:r>
        <w:rPr/>
        <w:t xml:space="preserve"> svarstytinas temas ir priimti reikiamus tekstus, kad būtų atsižvelgta į po svarstymų pateiktas rekomendacijas</w:t>
      </w:r>
      <w:r>
        <w:rPr>
          <w:rStyle w:val="Ancredenotedefin"/>
          <w:rStyle w:val="Ancredenotedefin"/>
        </w:rPr>
        <w:endnoteReference w:id="137"/>
      </w:r>
      <w:r>
        <w:rPr/>
        <w:t>.</w:t>
      </w:r>
    </w:p>
    <w:p>
      <w:pPr>
        <w:pStyle w:val="Alineanegatifpuce"/>
        <w:numPr>
          <w:ilvl w:val="0"/>
          <w:numId w:val="3"/>
        </w:numPr>
        <w:rPr/>
      </w:pPr>
      <w:r>
        <w:rPr/>
        <w:t xml:space="preserve"> </w:t>
      </w:r>
      <w:r>
        <w:rPr/>
        <w:t>Europos Parlamentas turėtų priimti sprendimą dėl ES biudžeto, kaip tai daro nacionaliniai parlamentai</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Politinės partijos, pilietinės visuomenės organizacijos ir profesinės sąjungos turėtų būti dinamiškesnės ir prieinamesnės, kad piliečiai galėtų aktyviau dalyvauti ir daugiau investuoti į Europos demokratiją</w:t>
      </w:r>
      <w:r>
        <w:rPr>
          <w:rStyle w:val="Ancredenotedefin"/>
          <w:rStyle w:val="Ancredenotedefin"/>
        </w:rPr>
        <w:endnoteReference w:id="139"/>
      </w:r>
      <w:r>
        <w:rPr/>
        <w:t>. Tai taip pat paskatintų Europos klausimus įtraukti į viešas diskusijas, kurias organizuoja politinės partijos, pilietinės visuomenės organizacijos ir socialiniai partneriai rengiantis Europos Parlamento rinkimams ar rengiantis nacionaliniams, regioniniams ar vietos rinkimams</w:t>
      </w:r>
      <w:r>
        <w:rPr>
          <w:rStyle w:val="Ancredenotedefin"/>
          <w:rStyle w:val="Ancredenotedefin"/>
        </w:rPr>
        <w:endnoteReference w:id="140"/>
      </w:r>
      <w:r>
        <w:rPr/>
        <w:t>.</w:t>
      </w:r>
    </w:p>
    <w:p>
      <w:pPr>
        <w:pStyle w:val="Puce3"/>
        <w:tabs>
          <w:tab w:val="clear" w:pos="720"/>
        </w:tabs>
        <w:rPr/>
      </w:pPr>
      <w:r>
        <w:rPr/>
        <w:t>5.</w:t>
        <w:tab/>
        <w:t>Demokratija įsikūnija institucijose ir visuomenėje apskritai, taip pat ir darbo vietoje dėl socialinių partnerių</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Pasiūlymas: Sąjungos sprendimų priėmimo procesas</w:t>
      </w:r>
    </w:p>
    <w:p>
      <w:pPr>
        <w:pStyle w:val="P68B1DB1Normal15"/>
        <w:rPr>
          <w:b/>
          <w:b/>
        </w:rPr>
      </w:pPr>
      <w:r>
        <w:rPr/>
        <w:t>Tikslas: Gerinti Sąjungos sprendimų priėmimo procesą, kad būtų užtikrintas jos gebėjimas veikti, kartu atsižvelgiant į kiekvienos valstybės narės interesus ir užtikrinant skaidrų ir suprantamą procesą piliečiams, visų pirma:</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Peržiūrėti sprendimų priėmimo ir balsavimo Europos institucijose taisykles. Vieningo balsavimo klausimui reikia skirti ypatingą dėmesį, nes dėl jo bet koks susitarimas tampa labai sudėtingas. Siekiant apsaugoti mažų šalių interesus, turėtų būti užtikrintas teisingas balsų paskirstymas</w:t>
      </w:r>
      <w:r>
        <w:rPr>
          <w:rStyle w:val="Ancredenotedefin"/>
          <w:rStyle w:val="Ancredenotedefin"/>
        </w:rPr>
        <w:endnoteReference w:id="142"/>
      </w:r>
      <w:r>
        <w:rPr/>
        <w:t>.</w:t>
      </w:r>
    </w:p>
    <w:p>
      <w:pPr>
        <w:pStyle w:val="Alineanegatifpuce"/>
        <w:numPr>
          <w:ilvl w:val="0"/>
          <w:numId w:val="3"/>
        </w:numPr>
        <w:rPr/>
      </w:pPr>
      <w:r>
        <w:rPr/>
        <w:t xml:space="preserve"> </w:t>
      </w:r>
      <w:r>
        <w:rPr/>
        <w:t>Visi šiuo metu vieningai priimti sprendimai ateityje turėtų būti priimami kvalifikuota balsų dauguma. Vienintelės išimtys turėtų būti naujų valstybių narių priėmimas į Europos Sąjungą ir pagrindinių Sąjungos principų, įtvirtintų Europos Sąjungos sutarties 2 straipsnyje ir Europos Sąjungos pagrindinių teisių chartijoje, pakeitimas</w:t>
      </w:r>
      <w:r>
        <w:rPr>
          <w:rStyle w:val="Ancredenotedefin"/>
          <w:rStyle w:val="Ancredenotedefin"/>
        </w:rPr>
        <w:endnoteReference w:id="143"/>
      </w:r>
      <w:r>
        <w:rPr/>
        <w:t>.</w:t>
      </w:r>
    </w:p>
    <w:p>
      <w:pPr>
        <w:pStyle w:val="Puce3"/>
        <w:tabs>
          <w:tab w:val="clear" w:pos="720"/>
        </w:tabs>
        <w:rPr/>
      </w:pPr>
      <w:r>
        <w:rPr/>
        <w:t>2.</w:t>
        <w:tab/>
        <w:t>Užtikrinti sprendimų priėmimo proceso skaidrumą, sudaryti sąlygas nepriklausomiems piliečių stebėtojams atidžiai stebėti šį procesą, taikyti platesnę teisę susipažinti su dokumentais</w:t>
      </w:r>
      <w:r>
        <w:rPr>
          <w:rStyle w:val="Ancredenotedefin"/>
          <w:rStyle w:val="Ancredenotedefin"/>
        </w:rPr>
        <w:endnoteReference w:id="144"/>
      </w:r>
      <w:r>
        <w:rPr/>
        <w:t xml:space="preserve"> ir šiuo pagrindu užmegzti glaudesnius piliečių ir Europos institucijų ryšius ir stiprinti dialogą</w:t>
      </w:r>
      <w:r>
        <w:rPr>
          <w:rStyle w:val="Ancredenotedefin"/>
          <w:rStyle w:val="Ancredenotedefin"/>
        </w:rPr>
        <w:endnoteReference w:id="145"/>
      </w:r>
      <w:r>
        <w:rPr/>
        <w:t>.</w:t>
      </w:r>
    </w:p>
    <w:p>
      <w:pPr>
        <w:pStyle w:val="Alineanegatifpuce"/>
        <w:numPr>
          <w:ilvl w:val="0"/>
          <w:numId w:val="3"/>
        </w:numPr>
        <w:rPr/>
      </w:pPr>
      <w:r>
        <w:rPr/>
        <w:t xml:space="preserve"> </w:t>
      </w:r>
      <w:r>
        <w:rPr/>
        <w:t>Sąjunga turi padidinti savo sprendimų priėmimo proceso ir institucijų skaidrumą. Pavyzdžiui, Tarybos ir Europos Parlamento posėdžiai, įskaitant balsavimo sesijas, turėtų būti platinami internetu tokiu pačiu būdu. Tai leistų suinteresuotiems piliečiams stebėti ES politikos formavimą ir įpareigotų politikos formuotojus pranešti apie savo veiksmus</w:t>
      </w:r>
      <w:r>
        <w:rPr>
          <w:rStyle w:val="Ancredenotedefin"/>
          <w:rStyle w:val="Ancredenotedefin"/>
        </w:rPr>
        <w:endnoteReference w:id="146"/>
      </w:r>
      <w:r>
        <w:rPr/>
        <w:t>. Taip pat turėtų būti sustiprinta Europos Parlamento tyrimo teisė.</w:t>
      </w:r>
      <w:r>
        <w:rPr>
          <w:rStyle w:val="Ancredenotedefin"/>
          <w:rStyle w:val="Ancredenotedefin"/>
        </w:rPr>
        <w:endnoteReference w:id="147"/>
      </w:r>
      <w:r>
        <w:rPr/>
        <w:t xml:space="preserve"> Darbo grupės pakeitimas Nr. 44A.</w:t>
      </w:r>
    </w:p>
    <w:p>
      <w:pPr>
        <w:pStyle w:val="Alineanegatifpuce"/>
        <w:numPr>
          <w:ilvl w:val="0"/>
          <w:numId w:val="3"/>
        </w:numPr>
        <w:rPr/>
      </w:pPr>
      <w:r>
        <w:rPr/>
        <w:t xml:space="preserve"> </w:t>
      </w:r>
      <w:r>
        <w:rPr/>
        <w:t>Sąjungos sprendimų priėmimo procesas turėtų būti toliau plėtojamas siekiant įtraukti daugiau nacionalinių, regioninių ir vietos atstovų, socialinių partnerių ir pilietinės visuomenės organizacijų</w:t>
      </w:r>
      <w:r>
        <w:rPr>
          <w:rStyle w:val="Ancredenotedefin"/>
          <w:rStyle w:val="Ancredenotedefin"/>
        </w:rPr>
        <w:endnoteReference w:id="148"/>
      </w:r>
      <w:r>
        <w:rPr/>
        <w:t>. Reikėtų stiprinti tarpparlamentinį bendradarbiavimą ir dialogą. Europos Parlamentas taip pat turėtų labiau įtraukti nacionalinius parlamentus į Europos teisėkūros procedūrą, pavyzdžiui, kviesdamas juos į klausymus</w:t>
      </w:r>
      <w:r>
        <w:rPr>
          <w:rStyle w:val="Ancredenotedefin"/>
          <w:rStyle w:val="Ancredenotedefin"/>
        </w:rPr>
        <w:endnoteReference w:id="149"/>
      </w:r>
      <w:r>
        <w:rPr/>
        <w:t>. Be to, būtų naudinga užtikrinti aktyvesnį subnacionalinių valdžios institucijų ir RK dalyvavimą, kad būtų galima geriau atsižvelgti į jų patirtį įgyvendinant Europos teisės aktus</w:t>
      </w:r>
      <w:r>
        <w:rPr>
          <w:rStyle w:val="Ancredenotedefin"/>
          <w:rStyle w:val="Ancredenotedefin"/>
        </w:rPr>
        <w:endnoteReference w:id="150"/>
      </w:r>
      <w:r>
        <w:rPr/>
        <w:t>.</w:t>
      </w:r>
    </w:p>
    <w:p>
      <w:pPr>
        <w:pStyle w:val="Puce3"/>
        <w:tabs>
          <w:tab w:val="clear" w:pos="720"/>
        </w:tabs>
        <w:rPr/>
      </w:pPr>
      <w:r>
        <w:rPr/>
        <w:t>3.</w:t>
        <w:tab/>
        <w:t>Apsvarstyti galimybę pakeisti Europos institucijų pavadinimus siekiant paaiškinti kiekvienos iš jų vaidmenį ir vaidmenį Sąjungos sprendimų priėmimo procese piliečių akyse</w:t>
      </w:r>
      <w:r>
        <w:rPr>
          <w:rStyle w:val="Ancredenotedefin"/>
          <w:rStyle w:val="Ancredenotedefin"/>
        </w:rPr>
        <w:endnoteReference w:id="151"/>
      </w:r>
      <w:r>
        <w:rPr/>
        <w:t>.</w:t>
      </w:r>
    </w:p>
    <w:p>
      <w:pPr>
        <w:pStyle w:val="Alineanegatifpuce"/>
        <w:numPr>
          <w:ilvl w:val="0"/>
          <w:numId w:val="3"/>
        </w:numPr>
        <w:rPr/>
      </w:pPr>
      <w:r>
        <w:rPr/>
        <w:t xml:space="preserve"> </w:t>
      </w:r>
      <w:r>
        <w:rPr/>
        <w:t>ES sprendimų priėmimo procesas turėtų būti grindžiamas aiškesne ir suprantamesne struktūra, panašia į nacionalines sistemas</w:t>
      </w:r>
      <w:r>
        <w:rPr>
          <w:rStyle w:val="Ancredenotedefin"/>
          <w:rStyle w:val="Ancredenotedefin"/>
        </w:rPr>
        <w:endnoteReference w:id="152"/>
      </w:r>
      <w:r>
        <w:rPr/>
        <w:t xml:space="preserve"> ir aiškiai rodančia kompetencijos pasidalijimą tarp Europos institucijų ir valstybių narių</w:t>
      </w:r>
      <w:r>
        <w:rPr>
          <w:rStyle w:val="Ancredenotedefin"/>
          <w:rStyle w:val="Ancredenotedefin"/>
        </w:rPr>
        <w:endnoteReference w:id="153"/>
      </w:r>
      <w:r>
        <w:rPr/>
        <w:t>.</w:t>
      </w:r>
    </w:p>
    <w:p>
      <w:pPr>
        <w:pStyle w:val="Alineanegatifpuce"/>
        <w:numPr>
          <w:ilvl w:val="0"/>
          <w:numId w:val="3"/>
        </w:numPr>
        <w:rPr/>
      </w:pPr>
      <w:r>
        <w:rPr/>
        <w:t xml:space="preserve"> </w:t>
      </w:r>
      <w:r>
        <w:rPr/>
        <w:t>Pavyzdžiui, Europos Sąjungos Taryba galėtų būti pervadinta į Sąjungos Senatą, o Europos Komisija – į Sąjungos vykdomąją komisiją</w:t>
      </w:r>
      <w:r>
        <w:rPr>
          <w:rStyle w:val="Ancredenotedefin"/>
          <w:rStyle w:val="Ancredenotedefin"/>
        </w:rPr>
        <w:endnoteReference w:id="154"/>
      </w:r>
      <w:r>
        <w:rPr/>
        <w:t>.</w:t>
      </w:r>
    </w:p>
    <w:p>
      <w:pPr>
        <w:pStyle w:val="Puce3"/>
        <w:tabs>
          <w:tab w:val="clear" w:pos="720"/>
        </w:tabs>
        <w:rPr/>
      </w:pPr>
      <w:r>
        <w:rPr/>
        <w:t>4.</w:t>
        <w:tab/>
        <w:t>Stiprinti Sąjungos gebėjimus pasiekti rezultatų pagrindinėse srityse</w:t>
      </w:r>
      <w:r>
        <w:rPr>
          <w:rStyle w:val="Ancredenotedefin"/>
          <w:rStyle w:val="Ancredenotedefin"/>
        </w:rPr>
        <w:endnoteReference w:id="155"/>
      </w:r>
      <w:r>
        <w:rPr/>
        <w:t>.</w:t>
      </w:r>
    </w:p>
    <w:p>
      <w:pPr>
        <w:pStyle w:val="Puce3"/>
        <w:tabs>
          <w:tab w:val="clear" w:pos="720"/>
        </w:tabs>
        <w:rPr/>
      </w:pPr>
      <w:r>
        <w:rPr/>
        <w:t>5.</w:t>
        <w:tab/>
        <w:t>Užtikrinti socialinio dialogo ir konsultavimosi su piliečiais mechanizmus visais Sąjungos sprendimų priėmimo proceso etapais – nuo poveikio vertinimo iki priemonių rengimo ir įgyvendinimo</w:t>
      </w:r>
      <w:r>
        <w:rPr>
          <w:rStyle w:val="Ancredenotedefin"/>
          <w:rStyle w:val="Ancredenotedefin"/>
        </w:rPr>
        <w:endnoteReference w:id="156"/>
      </w:r>
      <w:r>
        <w:rPr/>
        <w:t>.</w:t>
      </w:r>
    </w:p>
    <w:p>
      <w:pPr>
        <w:pStyle w:val="Puce3"/>
        <w:tabs>
          <w:tab w:val="clear" w:pos="720"/>
        </w:tabs>
        <w:rPr/>
      </w:pPr>
      <w:r>
        <w:rPr/>
        <w:t>6.</w:t>
        <w:tab/>
        <w:t>Reformuoti Europos Sąjungos veikimą, be kita ko, glaudžiau įtraukiant socialinius partnerius ir pilietinės visuomenės organizacijas. Reikia stiprinti esamas struktūras, kad sprendimų priėmimo procesas geriau atspindėtų Europos piliečių, kurie yra labai svarbūs Europos demokratijai, poreikius ir lūkesčius. Šiomis aplinkybėmis EESRK turi pasinaudoti priemonėmis, kad galėtų atlikti svarbesnį institucinį vaidmenį, t. y. užtikrinti dalyvaujamosios demokratijos veiklos garantą ir tarpininką, pavyzdžiui, vykdyti struktūrinį dialogą su pilietinės visuomenės organizacijomis ir piliečių grupėmis. Dinamiška pilietinė visuomenė yra labai svarbi demokratiniam Sąjungos gyvenimui</w:t>
      </w:r>
      <w:r>
        <w:rPr>
          <w:rStyle w:val="Ancredenotedefin"/>
          <w:rStyle w:val="Ancredenotedefin"/>
        </w:rPr>
        <w:endnoteReference w:id="157"/>
      </w:r>
      <w:r>
        <w:rPr/>
        <w:t>.</w:t>
      </w:r>
    </w:p>
    <w:p>
      <w:pPr>
        <w:pStyle w:val="Puce3"/>
        <w:tabs>
          <w:tab w:val="clear" w:pos="720"/>
        </w:tabs>
        <w:rPr/>
      </w:pPr>
      <w:r>
        <w:rPr/>
        <w:t>7.</w:t>
        <w:tab/>
        <w:t>Atnaujinant diskusijas dėl konstitucijos, jei reikia, siekiant aiškiai apibrėžti mūsų vertybes. Konstitucija galėtų suteikti daugiau tikslumo, sutelkti piliečius ir susitarti dėl sprendimų priėmimo proceso taisyklių</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Pasiūlymas: Subsidiarumas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Aktyvus subsidiarumas ir daugiapakopis valdymas yra pagrindiniai principai, kad Europos Sąjunga veiktų demokratiškai ir atskaitingai</w:t>
      </w:r>
      <w:r>
        <w:rPr>
          <w:rStyle w:val="Ancredenotedefin"/>
          <w:rStyle w:val="Ancredenotedefin"/>
        </w:rPr>
        <w:endnoteReference w:id="159"/>
      </w:r>
      <w:r>
        <w:rPr/>
        <w:t>;</w:t>
      </w:r>
    </w:p>
    <w:p>
      <w:pPr>
        <w:pStyle w:val="Puce3"/>
        <w:tabs>
          <w:tab w:val="clear" w:pos="720"/>
        </w:tabs>
        <w:rPr/>
      </w:pPr>
      <w:r>
        <w:rPr/>
        <w:t>2.</w:t>
        <w:tab/>
        <w:t>ES turi persvarstyti mechanizmą, pagal kurį nacionaliniai parlamentai nagrinėja, ar Europos pasiūlymais dėl teisėkūros procedūra priimamų aktų kišamasi į nacionalinę kompetenciją; nacionaliniai parlamentai turėtų turėti galimybę siūlyti teisėkūros iniciatyvas Europos institucijoms. Šie mechanizmai turėtų būti taikomi visiems teisėkūros įgaliojimus turintiems regioniniams parlamentams</w:t>
      </w:r>
      <w:r>
        <w:rPr>
          <w:rStyle w:val="Ancredenotedefin"/>
          <w:rStyle w:val="Ancredenotedefin"/>
        </w:rPr>
        <w:endnoteReference w:id="160"/>
      </w:r>
      <w:r>
        <w:rPr/>
        <w:t>.</w:t>
      </w:r>
    </w:p>
    <w:p>
      <w:pPr>
        <w:pStyle w:val="Puce3"/>
        <w:tabs>
          <w:tab w:val="clear" w:pos="720"/>
        </w:tabs>
        <w:rPr/>
      </w:pPr>
      <w:r>
        <w:rPr/>
        <w:t>3.</w:t>
        <w:tab/>
        <w:t>RK turėtų būti reformuotas, kad būtų atverti tinkami dialogo su regionais, miestais ir savivaldybėmis kanalai. Ji turėtų atlikti svarbesnį</w:t>
      </w:r>
      <w:r>
        <w:rPr>
          <w:rStyle w:val="Ancredenotedefin"/>
          <w:rStyle w:val="Ancredenotedefin"/>
        </w:rPr>
        <w:endnoteReference w:id="161"/>
      </w:r>
      <w:r>
        <w:rPr/>
        <w:t xml:space="preserve"> vaidmenį institucinėje struktūroje sprendžiant klausimus, susijusius su teritoriniais padariniais</w:t>
      </w:r>
      <w:r>
        <w:rPr>
          <w:rStyle w:val="Ancredenotedefin"/>
          <w:rStyle w:val="Ancredenotedefin"/>
        </w:rPr>
        <w:endnoteReference w:id="162"/>
      </w:r>
      <w:r>
        <w:rPr/>
        <w:t>.</w:t>
      </w:r>
    </w:p>
    <w:p>
      <w:pPr>
        <w:pStyle w:val="Normal"/>
        <w:rPr/>
      </w:pPr>
      <w:r>
        <w:rPr/>
      </w:r>
    </w:p>
    <w:p>
      <w:pPr>
        <w:pStyle w:val="Puce3"/>
        <w:tabs>
          <w:tab w:val="clear" w:pos="720"/>
        </w:tabs>
        <w:rPr/>
      </w:pPr>
      <w:r>
        <w:rPr/>
        <w:t>4.</w:t>
        <w:tab/>
        <w:t>Sistemingas bendros subsidiarumo apibrėžties, kuriai pritaria visos Europos institucijos, naudojimas galėtų aiškiau apibrėžti, kokiu lygmeniu (Europos, nacionaliniu ar regioniniu) turėtų būti priimami sprendimai</w:t>
      </w:r>
      <w:r>
        <w:rPr>
          <w:rStyle w:val="Ancredenotedefin"/>
          <w:rStyle w:val="Ancredenotedefin"/>
        </w:rPr>
        <w:endnoteReference w:id="163"/>
      </w:r>
      <w:r>
        <w:rPr/>
        <w:t>.</w:t>
      </w:r>
    </w:p>
    <w:p>
      <w:pPr>
        <w:pStyle w:val="Puce3"/>
        <w:tabs>
          <w:tab w:val="clear" w:pos="720"/>
        </w:tabs>
        <w:rPr/>
      </w:pPr>
      <w:r>
        <w:rPr/>
        <w:t>5.</w:t>
        <w:tab/>
        <w:t>Socialiniai partneriai ir pilietinės visuomenės organizacijos, kurios yra labai svarbios Europos demokratijai, turi aktyviau dalyvauti sprendimų priėmimo procese. Dinamiška visuomenė yra labai svarbi demokratiniam Sąjungos gyvenimui.</w:t>
      </w:r>
      <w:r>
        <w:rPr>
          <w:rStyle w:val="Ancredenotedefin"/>
          <w:rStyle w:val="Ancredenotedefin"/>
        </w:rPr>
        <w:endnoteReference w:id="164"/>
      </w:r>
    </w:p>
    <w:p>
      <w:pPr>
        <w:pStyle w:val="Puce3"/>
        <w:tabs>
          <w:tab w:val="clear" w:pos="720"/>
        </w:tabs>
        <w:rPr/>
      </w:pPr>
      <w:r>
        <w:rPr/>
        <w:t>6.</w:t>
        <w:tab/>
        <w:t>Raginame ES institucijas įgyvendinti šios darbo grupės išvadas ir užtikrinti, kad jos būtų veiksmingos. Tai būtų galima padaryti taikant esamas Lisabonos sutarties nuostatas ir prireikus raginant pradėti Europos konventą</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Paveikslėli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aveikslėlis28"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Migracijos“</w:t>
      </w:r>
    </w:p>
    <w:p>
      <w:pPr>
        <w:pStyle w:val="Titre3"/>
        <w:numPr>
          <w:ilvl w:val="2"/>
          <w:numId w:val="2"/>
        </w:numPr>
        <w:rPr/>
      </w:pPr>
      <w:bookmarkStart w:id="93" w:name="__RefHeading___Toc298360_1346298689"/>
      <w:bookmarkEnd w:id="93"/>
      <w:r>
        <w:rPr/>
        <w:t>41. Pasiūlymas: Teisėta migracija</w:t>
      </w:r>
    </w:p>
    <w:p>
      <w:pPr>
        <w:pStyle w:val="P68B1DB1Normal15"/>
        <w:rPr>
          <w:b/>
          <w:b/>
        </w:rPr>
      </w:pPr>
      <w:r>
        <w:rPr/>
        <w:t>Tikslas: ES vaidmens teisėtos migracijos srityje stiprinimas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66"/>
      </w:r>
      <w:r>
        <w:rPr/>
        <w:t>:</w:t>
      </w:r>
    </w:p>
    <w:p>
      <w:pPr>
        <w:pStyle w:val="Puce3"/>
        <w:tabs>
          <w:tab w:val="clear" w:pos="720"/>
        </w:tabs>
        <w:rPr/>
      </w:pPr>
      <w:r>
        <w:rPr/>
        <w:t>1.</w:t>
        <w:tab/>
        <w:t>Europos lygmeniu pradėti informavimo kampaniją, kuria siekiama užtikrinti, kad EURES (Europos užimtumo tarnybų tinklas), ES imigracijos portalas ir trečiųjų šalių piliečiams skirta Europos įgūdžių profiliavimo priemonė būtų geriau žinomi Europos piliečiams ir dažniau jais naudotųsi ES įmonės įdarbindamos (6 rekomendacija).</w:t>
      </w:r>
    </w:p>
    <w:p>
      <w:pPr>
        <w:pStyle w:val="Puce3"/>
        <w:tabs>
          <w:tab w:val="clear" w:pos="720"/>
        </w:tabs>
        <w:rPr/>
      </w:pPr>
      <w:r>
        <w:rPr/>
        <w:t>2.</w:t>
        <w:tab/>
        <w:t>Įsteigti Europos subjektą, kad migrantai galėtų patekti į ES darbo rinką, arba, jei tai neįmanoma, išplėsti Europos užimtumo tarnybų tinklo (EURES) kompetenciją, pvz., gerinti talentų pritraukimo partnerystės projektus (Rekomendacija Nr. 7 ir diskusija darbo grupėje), numatant galimybę patenkinti įgūdžių pasiūlą ir paklausą internetu išvykimo šalyje remiantis vertinimo kriterijais (Rekomendacija Nr. 9 ir diskusijos darbo grupėje). Sąjunga turėtų skatinti valstybes nares supaprastinti teisėtų migrantų priėmimo ir integracijos procesą ir jų patekimą į Sąjungos darbo rinką gerinant įvairių atitinkamų administracijų sąveikumą (diskusijos darbo grupėje).</w:t>
      </w:r>
    </w:p>
    <w:p>
      <w:pPr>
        <w:pStyle w:val="Puce3"/>
        <w:tabs>
          <w:tab w:val="clear" w:pos="720"/>
        </w:tabs>
        <w:rPr/>
      </w:pPr>
      <w:r>
        <w:rPr/>
        <w:t>3.</w:t>
        <w:tab/>
        <w:t>Gerinti Mėlynosios kortelės direktyvos veikimą ir įgyvendinimą siekiant pritraukti įgūdžių, kurių reikia ES ekonomikai (Rekomendacija Nr. 7 ir diskusijos darbo grupėje), tinkamai atsižvelgiant į protų nutekėjimo riziką (pagal 42 pasiūlymo 1 priemonę).</w:t>
      </w:r>
    </w:p>
    <w:p>
      <w:pPr>
        <w:pStyle w:val="Puce3"/>
        <w:tabs>
          <w:tab w:val="clear" w:pos="720"/>
        </w:tabs>
        <w:rPr/>
      </w:pPr>
      <w:r>
        <w:rPr/>
        <w:t>4.</w:t>
        <w:tab/>
        <w:t>Harmoningai skatinti aukštynkryptę darbo sąlygų konvergenciją visoje Sąjungoje, kad būtų kovojama su darbo sąlygų nelygybe, užtikrinama veiksminga ES darbo jėgos migracijos politika ir ginamos darbuotojų teisės. Atsižvelgiant į tai, stiprinti profesinių sąjungų vaidmenį nacionaliniu ir tarptautiniu lygmenimis (Rekomendacija Nr. 28 ir diskusijos darbo grupėje), bendradarbiaujant su darbdavių organizacijomis (diskusijos plenariniame posėdyje).</w:t>
      </w:r>
    </w:p>
    <w:p>
      <w:pPr>
        <w:pStyle w:val="Puce3"/>
        <w:tabs>
          <w:tab w:val="clear" w:pos="720"/>
        </w:tabs>
        <w:rPr/>
      </w:pPr>
      <w:r>
        <w:rPr/>
        <w:t>5.</w:t>
        <w:tab/>
        <w:t>Dėti daugiau pastangų siekiant informuoti ir šviesti valstybių narių piliečius migracijos ir integracijos klausimais (rekomendacija Nr. 30, LT grupės 9 rekomendacija ir darbo grupės diskusijos).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Pasiūlymas: Neteisėta migracija</w:t>
      </w:r>
    </w:p>
    <w:p>
      <w:pPr>
        <w:pStyle w:val="P68B1DB1Normal15"/>
        <w:rPr>
          <w:b/>
          <w:b/>
        </w:rPr>
      </w:pPr>
      <w:r>
        <w:rPr/>
        <w:t>Tikslas: Stiprinti Sąjungos vaidmenį kovojant su visų formų neteisėta migracija ir stiprinant Europos Sąjungos išorės sienų apsaugą, kartu gerbiant žmogaus teises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67"/>
      </w:r>
      <w:r>
        <w:rPr/>
        <w:t>:</w:t>
      </w:r>
    </w:p>
    <w:p>
      <w:pPr>
        <w:pStyle w:val="Puce3"/>
        <w:tabs>
          <w:tab w:val="clear" w:pos="720"/>
        </w:tabs>
        <w:rPr/>
      </w:pPr>
      <w:r>
        <w:rPr/>
        <w:t>1.</w:t>
        <w:tab/>
        <w:t>Aktyviai dalyvauti, pavyzdžiui, sudarant partnerystės susitarimus, Europos Sąjungai nepriklausančių šalių, iš kurių atvyksta didelis migrantų srautas, ekonominiam ir socialiniam vystymuisi, kad būtų šalinamos pagrindinės migracijos priežastys, įskaitant klimato kaitą. Šie veiksmai turėtų būti skaidrūs ir duoti apčiuopiamų rezultatų, turinčių išmatuojamą poveikį, apie kuriuos turėtų būti aiškiai pranešta ES piliečiams (Rekomendacija Nr. 27, NL rekomendacija Nr. 3 ir diskusijos darbo grupėje).</w:t>
      </w:r>
    </w:p>
    <w:p>
      <w:pPr>
        <w:pStyle w:val="Puce3"/>
        <w:tabs>
          <w:tab w:val="clear" w:pos="720"/>
        </w:tabs>
        <w:rPr/>
      </w:pPr>
      <w:r>
        <w:rPr/>
        <w:t>2.</w:t>
        <w:tab/>
        <w:t>Užtikrinti visų išorės sienų apsaugą didinant FRONTEX skaidrumą ir atskaitomybę ir stiprinant jos vaidmenį (rekomendacija Nr. 8 ir diskusijos darbo grupėje) ir pritaikant ES teisės aktus, kad būtų geriau sprendžiamos dabartinės neteisėtos migracijos problemos, kaip antai prekyba žmonėmis, prekyba žmonėmis, seksualinis išnaudojimas, hibridiniai išpuoliai, kuriuos vykdo valstybės, išnaudojančios migrantus, ir žmogaus teisių pažeidimai (Rekomendacija LT 10 ir diskusijos darbo grupėje).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Pasiūlymas: Neteisėta migracija (bis)</w:t>
      </w:r>
    </w:p>
    <w:p>
      <w:pPr>
        <w:pStyle w:val="P68B1DB1Normal15"/>
        <w:rPr>
          <w:b/>
          <w:b/>
        </w:rPr>
      </w:pPr>
      <w:r>
        <w:rPr/>
        <w:t>Tikslas: Visose valstybėse narėse vienodai taikyti bendras pirmojo migrantų priėmimo taisykles;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68"/>
      </w:r>
      <w:r>
        <w:rPr/>
        <w:t>:</w:t>
      </w:r>
    </w:p>
    <w:p>
      <w:pPr>
        <w:pStyle w:val="Puce3"/>
        <w:tabs>
          <w:tab w:val="clear" w:pos="720"/>
        </w:tabs>
        <w:rPr/>
      </w:pPr>
      <w:r>
        <w:rPr/>
        <w:t>1.</w:t>
        <w:tab/>
        <w:t>Parengti ES masto priemones, kuriomis būtų užtikrinta visų migrantų, visų pirma nėščių moterų, vaikų, nelydimų nepilnamečių ir visų pažeidžiamų asmenų sauga ir sveikata (10 ir 38 rekomendacijos ir diskusijos darbo grupėje).</w:t>
      </w:r>
    </w:p>
    <w:p>
      <w:pPr>
        <w:pStyle w:val="Normal"/>
        <w:rPr/>
      </w:pPr>
      <w:r>
        <w:rPr/>
      </w:r>
    </w:p>
    <w:p>
      <w:pPr>
        <w:pStyle w:val="Puce3"/>
        <w:tabs>
          <w:tab w:val="clear" w:pos="720"/>
        </w:tabs>
        <w:rPr/>
      </w:pPr>
      <w:r>
        <w:rPr/>
        <w:t>2.</w:t>
        <w:tab/>
        <w:t>Didinti ES finansinę, logistinę ir operatyvinę paramą, be kita ko, vietos valdžios institucijoms, regioniniams sprendimus priimantiems asmenims ir pilietinės visuomenės organizacijoms, kad būtų galima valdyti pirmąjį priėmimą, galbūt siekiant integruoti pabėgėlius arba teisėtus migrantus į ES ir grąžinti neteisėtus migrantus (Rekomendacija Nr. 35 ir diskusijos darbo grupėje).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Pasiūlymas: Prieglobstis, integracija</w:t>
      </w:r>
    </w:p>
    <w:p>
      <w:pPr>
        <w:pStyle w:val="P68B1DB1Normal15"/>
        <w:rPr>
          <w:b/>
          <w:b/>
        </w:rPr>
      </w:pPr>
      <w:r>
        <w:rPr/>
        <w:t>Tikslas: Sąjungos vaidmens stiprinimas ir Europos prieglobsčio sistemos reforma remiantis solidarumo ir teisingo atsakomybės pasidalijimo principais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69"/>
      </w:r>
      <w:r>
        <w:rPr/>
        <w:t>:</w:t>
      </w:r>
    </w:p>
    <w:p>
      <w:pPr>
        <w:pStyle w:val="Puce3"/>
        <w:tabs>
          <w:tab w:val="clear" w:pos="720"/>
        </w:tabs>
        <w:rPr/>
      </w:pPr>
      <w:r>
        <w:rPr/>
        <w:t>1.</w:t>
        <w:tab/>
        <w:t>Priimti bendras Sąjungos taisykles dėl tarptautinės apsaugos prašymų nagrinėjimo procedūrų valstybėse narėse, vienodai taikomas visiems prieglobsčio prašytojams. Šiomis procedūromis turi būti gerbiamas žmogaus orumas ir tarptautinė teisė (29 rekomendacija, IT rekomendacijos 3.8 ir 4.4, p. 15 ir diskusijos darbo grupėje). Kadangi priimant prieglobsčio prašytojus dalyvauja įvairūs nacionalinio lygmens subjektai, Sąjunga turėtų skatinti valstybes nares supaprastinti ir paspartinti šį procesą gerinant įvairių atitinkamų administracijų sąveikumą ir įsteigti bendrą biurą (langą arba vieną atvykimo punktą) prieglobsčio prašytojams, kad būtų supaprastintos nacionalinės administracinės procedūros (Rekomendacija Nr. 37 ir diskusijos darbo grupėje).</w:t>
      </w:r>
    </w:p>
    <w:p>
      <w:pPr>
        <w:pStyle w:val="Puce3"/>
        <w:tabs>
          <w:tab w:val="clear" w:pos="720"/>
        </w:tabs>
        <w:rPr/>
      </w:pPr>
      <w:r>
        <w:rPr/>
        <w:t>2.</w:t>
        <w:tab/>
        <w:t>Peržiūrėti Dublino sistemą, kad būtų užtikrintas solidarumas ir teisingas atsakomybės pasidalijimas, įskaitant migrantų pasiskirstymą tarp valstybių narių; taip pat būtų galima numatyti kitas paramos formas (33, 36, 37, 40 rekomendacijos; rekomendacija Nr. 2; rekomendacijos IT 3.8 (p. 15) ir NL 2, diskusijos darbo grupėje ir diskusijos plenariniame posėdyje).</w:t>
      </w:r>
    </w:p>
    <w:p>
      <w:pPr>
        <w:pStyle w:val="Puce3"/>
        <w:tabs>
          <w:tab w:val="clear" w:pos="720"/>
        </w:tabs>
        <w:rPr/>
      </w:pPr>
      <w:r>
        <w:rPr/>
        <w:t>3.</w:t>
        <w:tab/>
        <w:t>Sugriežtinti minimalias prieglobsčio prašytojų priėmimo normas, nustatytas Direktyvoje 2013/33/ES, taikant griežtesnes teisines priemones priėmimo infrastruktūrai ir apgyvendinimui gerinti (CEP 31 rekomendacija, IT rekomendacija 5.6, p. 11 ir diskusijos darbo grupėje).</w:t>
      </w:r>
    </w:p>
    <w:p>
      <w:pPr>
        <w:pStyle w:val="Puce3"/>
        <w:tabs>
          <w:tab w:val="clear" w:pos="720"/>
        </w:tabs>
        <w:rPr/>
      </w:pPr>
      <w:r>
        <w:rPr/>
        <w:t>4.</w:t>
        <w:tab/>
        <w:t>Ypatingas dėmesys turėtų būti skiriamas nėščioms moterims, vaikams, ypač nelydimiems nepilnamečiams (Rekomendacija Nr. 38 ir diskusija darbo grupėje).</w:t>
      </w:r>
    </w:p>
    <w:p>
      <w:pPr>
        <w:pStyle w:val="Puce3"/>
        <w:tabs>
          <w:tab w:val="clear" w:pos="720"/>
        </w:tabs>
        <w:rPr/>
      </w:pPr>
      <w:r>
        <w:rPr/>
        <w:t>5.</w:t>
        <w:tab/>
        <w:t>Stiprinti ir didinti Europos Sąjungos prieglobsčio agentūros finansinius ir žmogiškuosius išteklius bei valdymo pajėgumus koordinuoti ir valdyti prieglobsčio prašytojų perkėlimą ES valstybėse narėse, kad būtų užtikrintas teisingas paskirstymas (36 ir 37 rekomendacijos, LT rekomendacija Nr. 3 ir diskusijos darbo grupėje).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Pasiūlymas: Prieglobstis, integracija(bis)</w:t>
      </w:r>
    </w:p>
    <w:p>
      <w:pPr>
        <w:pStyle w:val="P68B1DB1Normal15"/>
        <w:rPr>
          <w:b/>
          <w:b/>
        </w:rPr>
      </w:pPr>
      <w:r>
        <w:rPr/>
        <w:t>Tikslas: Integracijos politikos tobulinimas visose valstybėse narėse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rPr>
        <w:endnoteReference w:id="170"/>
      </w:r>
      <w:r>
        <w:rPr/>
        <w:t>:</w:t>
      </w:r>
    </w:p>
    <w:p>
      <w:pPr>
        <w:pStyle w:val="Puce3"/>
        <w:tabs>
          <w:tab w:val="clear" w:pos="720"/>
        </w:tabs>
        <w:rPr/>
      </w:pPr>
      <w:r>
        <w:rPr/>
        <w:t>1.</w:t>
        <w:tab/>
        <w:t>Sąjunga, dalyvaujant vietos ir regionų valdžios institucijoms ir pilietinės visuomenės organizacijoms, taip pat užtikrina, kad visi prieglobsčio prašytojai ir pabėgėliai dalyvautų kalbos ir integracijos kursuose ir veikloje, taip pat profesiniame mokyme, kol bus nagrinėjamas jų prašymas gyventi šalyje (rekomendacija Nr. 32, rekomendacija FR Nr. 13, diskusijos darbo grupėje ir diskusijos plenariniame posėdyje).</w:t>
      </w:r>
    </w:p>
    <w:p>
      <w:pPr>
        <w:pStyle w:val="Puce3"/>
        <w:tabs>
          <w:tab w:val="clear" w:pos="720"/>
        </w:tabs>
        <w:rPr/>
      </w:pPr>
      <w:r>
        <w:rPr/>
        <w:t>2.</w:t>
        <w:tab/>
        <w:t>Prieglobsčio prašytojams, turintiems tinkamą kvalifikaciją, turėtų būti suteikta galimybė patekti į darbo rinką, jei įmanoma, siekiant sustiprinti jų savarankiškumą visoje Sąjungoje (rekomendacija Nr. 7 ir diskusijos darbo grupėje).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Paveikslėli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aveikslėlis29"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Švietimas, kultūra, jaunimas ir sportas</w:t>
      </w:r>
    </w:p>
    <w:p>
      <w:pPr>
        <w:pStyle w:val="Titre3"/>
        <w:numPr>
          <w:ilvl w:val="2"/>
          <w:numId w:val="2"/>
        </w:numPr>
        <w:rPr/>
      </w:pPr>
      <w:bookmarkStart w:id="99" w:name="__RefHeading___Toc298372_1346298689"/>
      <w:bookmarkEnd w:id="99"/>
      <w:r>
        <w:rPr/>
        <w:t>46. Pasiūlymas: Švietimas</w:t>
      </w:r>
    </w:p>
    <w:p>
      <w:pPr>
        <w:pStyle w:val="P68B1DB1Normal15"/>
        <w:rPr>
          <w:b/>
          <w:b/>
        </w:rPr>
      </w:pPr>
      <w:r>
        <w:rPr/>
        <w:t>Tikslas: ES ir jos valstybės narės turėtų stengtis iki 2025 m. sukurti įtraukią Europos švietimo erdvę, kurioje visi piliečiai, įskaitant kaimo ir atokiose vietovėse gyvenančius žmones, turėtų vienodas galimybes mokytis ir mokytis visą gyvenimą. Šiuo tikslu Europos Sąjunga ir jos valstybės narės visų pirma turėtų:</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Koordinuoti visų skirtingų švietimo programų lygį Europos Sąjungoje priimant nacionalinį, regioninį ir vietos turinį ir sukurti glaudesnius švietimo sistemų ryšius, visų pirma užtikrinant diplomų lygiavertiškumą</w:t>
      </w:r>
      <w:r>
        <w:rPr>
          <w:rStyle w:val="Ancredenotedefin"/>
          <w:rStyle w:val="Ancredenotedefin"/>
        </w:rPr>
        <w:endnoteReference w:id="171"/>
      </w:r>
      <w:r>
        <w:rPr/>
        <w:t>. Sertifikuotas minimalus pagrindinių dalykų mokymo standartas turėtų būti priimtas jau pradinėje mokykloje</w:t>
      </w:r>
      <w:r>
        <w:rPr>
          <w:rStyle w:val="Ancredenotedefin"/>
          <w:rStyle w:val="Ancredenotedefin"/>
        </w:rPr>
        <w:endnoteReference w:id="172"/>
      </w:r>
      <w:r>
        <w:rPr/>
        <w:t>171. Turėtų būti nustatyta pasidalijamoji kompetencija švietimo srityje, bent jau pilietinio ugdymo srityje, o Sąjungos naudojimasis ta kompetencija negali trukdyti valstybėms narėms naudotis savo kompetencija. Diplomai ir profesinis mokymas turėtų būti patvirtinami ir abipusiai pripažįstami visose Sąjungos valstybėse narėse</w:t>
      </w:r>
      <w:r>
        <w:rPr>
          <w:rStyle w:val="Ancredenotedefin"/>
          <w:rStyle w:val="Ancredenotedefin"/>
        </w:rPr>
        <w:endnoteReference w:id="173"/>
      </w:r>
      <w:r>
        <w:rPr/>
        <w:t>. Europos Sąjunga taip pat turėtų pasinaudoti neformaliojo mokymosi</w:t>
      </w:r>
      <w:r>
        <w:rPr>
          <w:rStyle w:val="Ancredenotedefin"/>
          <w:rStyle w:val="Ancredenotedefin"/>
        </w:rPr>
        <w:endnoteReference w:id="174"/>
      </w:r>
      <w:r>
        <w:rPr/>
        <w:t xml:space="preserve"> ir savišvietos bei jį siūlančių jaunimo organizacijų pripažinimu, taip pat mokymosi užsienyje laikotarpiais.</w:t>
      </w:r>
    </w:p>
    <w:p>
      <w:pPr>
        <w:pStyle w:val="Puce3"/>
        <w:tabs>
          <w:tab w:val="clear" w:pos="720"/>
        </w:tabs>
        <w:rPr/>
      </w:pPr>
      <w:r>
        <w:rPr/>
        <w:t>2.</w:t>
        <w:tab/>
        <w:t>Kuriant perspektyvią mokymosi visą gyvenimą ir švietimo sistemą Europoje, laikantis teisės į mokymą darbo vietoje visiems, daugiausia dėmesio skiriant šiems aspektams:</w:t>
        <w:br/>
        <w:t>Pilietinis švietimas apie demokratinius procesus ir ES vertybes bei Europos istoriją</w:t>
      </w:r>
      <w:r>
        <w:rPr>
          <w:rStyle w:val="Ancredenotedefin"/>
          <w:rStyle w:val="Ancredenotedefin"/>
        </w:rPr>
        <w:endnoteReference w:id="175"/>
      </w:r>
      <w:r>
        <w:rPr/>
        <w:t>. Jis turėtų tapti bendru moduliu, kuris būtų dėstomas visose valstybėse narėse. Taip pat reikėtų gerinti žinias apie ekonomiką, kad būtų galima geriau suprasti Europos integracijos procesą</w:t>
      </w:r>
      <w:r>
        <w:rPr>
          <w:rStyle w:val="Ancredenotedefin"/>
          <w:rStyle w:val="Ancredenotedefin"/>
        </w:rPr>
        <w:endnoteReference w:id="176"/>
      </w:r>
      <w:r>
        <w:rPr/>
        <w:t>.</w:t>
        <w:br/>
        <w:t>– Skaitmeniniai įgūdžiai</w:t>
      </w:r>
      <w:r>
        <w:rPr>
          <w:rStyle w:val="Ancredenotedefin"/>
          <w:rStyle w:val="Ancredenotedefin"/>
        </w:rPr>
        <w:endnoteReference w:id="177"/>
      </w:r>
      <w:r>
        <w:rPr/>
        <w:t>.</w:t>
        <w:br/>
        <w:t>STIAM</w:t>
      </w:r>
      <w:r>
        <w:rPr>
          <w:rStyle w:val="Ancredenotedefin"/>
          <w:rStyle w:val="Ancredenotedefin"/>
        </w:rPr>
        <w:endnoteReference w:id="178"/>
      </w:r>
      <w:r>
        <w:rPr/>
        <w:br/>
        <w:t>Verslumas ir moksliniai tyrimai.</w:t>
        <w:br/>
        <w:t>Kritinio mąstymo ugdymas. Žiniasklaidos priemonių naudojimo raštingumas turėtų būti pagerintas siekiant užtikrinti saugumą internete ir sudaryti sąlygas visų valstybių narių piliečiams nepriklausomai įvertinti, ar informacija yra patikima, ir nustatyti melagingą informaciją naudojantis interneto teikiamomis galimybėmis. Šis švietimas turėtų apimti specialių pagrindinio ugdymo kursų organizavimą ir kitose viešosiose erdvėse turėtų būti siūlomas visų amžiaus grupių piliečiams, prižiūrint specializuotai Sąjungos lygmens įstaigai, pasinaudojant visose valstybėse narėse esama gerąja patirtimi. ES turėtų užtikrinti, kad konkrečiai šiai veiklai skirtos lėšos būtų naudojamos numatytam tikslui</w:t>
      </w:r>
      <w:r>
        <w:rPr>
          <w:rStyle w:val="Ancredenotedefin"/>
          <w:rStyle w:val="Ancredenotedefin"/>
        </w:rPr>
        <w:endnoteReference w:id="179"/>
      </w:r>
      <w:r>
        <w:rPr/>
        <w:t>.</w:t>
        <w:br/>
        <w:t>netechninių įgūdžių integravimas į visus mokyklų mokymo programų kursus. Netechninė kompetencija – tai: tarpusavio klausymasis, dialogas, atsparumas, supratimas, pagarba ir vertinimas, kritinis mąstymas, savarankiškas mokymasis, smalsumas ir orientavimasis į rezultatus</w:t>
      </w:r>
      <w:r>
        <w:rPr>
          <w:rStyle w:val="Ancredenotedefin"/>
          <w:rStyle w:val="Ancredenotedefin"/>
        </w:rPr>
        <w:endnoteReference w:id="180"/>
      </w:r>
      <w:r>
        <w:rPr/>
        <w:t>; Suteikti visiems galimybę daugiau sužinoti apie aplinkos tvarumą ir jo sąsajas su sveikata. Biologinė įvairovė mokykloje turėtų būti privaloma tema. Ji turėtų prasidėti mokykloje su konkrečiomis temomis, kuriomis sprendžiami visi ekologiniai klausimai, ir įtraukti ekskursijas, kad būtų galima pateikti aktualius realius pavyzdžius, visa tai pasitelkiant finansavimo programą</w:t>
      </w:r>
      <w:r>
        <w:rPr>
          <w:rStyle w:val="Ancredenotedefin"/>
          <w:rStyle w:val="Ancredenotedefin"/>
        </w:rPr>
        <w:endnoteReference w:id="181"/>
      </w:r>
      <w:r>
        <w:rPr/>
        <w:t xml:space="preserve">. </w:t>
        <w:br/>
        <w:t>Kova su patyčiomis mokyklose ir rasizmu.</w:t>
      </w:r>
    </w:p>
    <w:p>
      <w:pPr>
        <w:pStyle w:val="Puce3"/>
        <w:tabs>
          <w:tab w:val="clear" w:pos="720"/>
        </w:tabs>
        <w:rPr/>
      </w:pPr>
      <w:r>
        <w:rPr/>
        <w:t>3.</w:t>
        <w:tab/>
        <w:t>Remti mokytojų rengimą</w:t>
      </w:r>
      <w:r>
        <w:rPr>
          <w:rStyle w:val="Ancredenotedefin"/>
          <w:rStyle w:val="Ancredenotedefin"/>
        </w:rPr>
        <w:endnoteReference w:id="182"/>
      </w:r>
      <w:r>
        <w:rPr/>
        <w:t>, kad būtų galima pasimokyti iš geriausios praktikos ir naudoti naujausius novatoriškus ir kūrybinius mokymo metodus, atspindinčius pedagoginių metodų raidą, įskaitant praktinę veiklą, taip pat remiantis patirtimi, kurią reikia išmokti per COVID-19 pandemiją ir kitų rūšių krizes, taip pat skatinant judumo galimybes</w:t>
      </w:r>
      <w:r>
        <w:rPr>
          <w:rStyle w:val="Ancredenotedefin"/>
          <w:rStyle w:val="Ancredenotedefin"/>
        </w:rPr>
        <w:endnoteReference w:id="183"/>
      </w:r>
      <w:r>
        <w:rPr/>
        <w:t>.</w:t>
      </w:r>
    </w:p>
    <w:p>
      <w:pPr>
        <w:pStyle w:val="Puce3"/>
        <w:tabs>
          <w:tab w:val="clear" w:pos="720"/>
        </w:tabs>
        <w:rPr/>
      </w:pPr>
      <w:r>
        <w:rPr/>
        <w:t>4.</w:t>
        <w:tab/>
        <w:t>Siekiant patenkinti visų vaikų ir šeimų švietimo poreikius, teikti pirmenybę prieigai prie įrangos ir veiksmingam plačiajuosčiam ryšiui</w:t>
      </w:r>
      <w:r>
        <w:rPr>
          <w:rStyle w:val="Ancredenotedefin"/>
          <w:rStyle w:val="Ancredenotedefin"/>
        </w:rPr>
        <w:endnoteReference w:id="184"/>
      </w:r>
      <w:r>
        <w:rPr/>
        <w:t>.</w:t>
      </w:r>
    </w:p>
    <w:p>
      <w:pPr>
        <w:pStyle w:val="Puce3"/>
        <w:tabs>
          <w:tab w:val="clear" w:pos="720"/>
        </w:tabs>
        <w:rPr/>
      </w:pPr>
      <w:r>
        <w:rPr/>
        <w:t>5.</w:t>
        <w:tab/>
        <w:t>Sukurti informacinę platformą, skirtą keitimuisi žiniomis ir patirtimi Sąjungos lygmeniu, dalijantis informacija apie tarpvalstybinius švietimo ir mokymo kursus Sąjungoje, pateikiant geriausios praktikos pavyzdžius ir suteikiant piliečiams galimybę pateikti naujų tarpvalstybinių mainų idėjų. Ji turėtų teikti mokomąją medžiagą apie klimato kaitą, aplinkos klausimus ir skaitmeninimą ir teikti informaciją apie esamus specializuotus forumus pagrindinėmis temomis</w:t>
      </w:r>
      <w:r>
        <w:rPr>
          <w:rStyle w:val="Ancredenotedefin"/>
          <w:rStyle w:val="Ancredenotedefin"/>
        </w:rPr>
        <w:endnoteReference w:id="185"/>
      </w:r>
      <w:r>
        <w:rPr/>
        <w:t>. – Prie to galėtų būti pridėta finansavimo programa, skirta platformos informacijos naudojimui ir naudojimui remti.</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Pasiūlymas: Klausimai, susiję su Europos jaunimu</w:t>
      </w:r>
    </w:p>
    <w:p>
      <w:pPr>
        <w:pStyle w:val="P68B1DB1Normal15"/>
        <w:rPr>
          <w:b/>
          <w:b/>
        </w:rPr>
      </w:pPr>
      <w:r>
        <w:rPr/>
        <w:t>Tikslas: ES ir jos valstybės narės turėtų sutelkti dėmesį į konkrečius jaunimo poreikius visose susijusiose politikos srityse, įskaitant ES regioninę politiką, kad jiems būtų sudarytos geriausios įmanomos sąlygos mokytis, dirbti ir pradėti savarankišką gyvenimą, kartu įtraukiant juos į demokratinį gyvenimą ir sprendimų priėmimo procesus, be kita ko, Europos lygmeniu. Jaunimo organizacijoms tenka svarbus vaidmuo. Norėdami pasiekti šį tikslą, siūlome: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Suteikti jaunimui daugiau galimybių dalyvauti ir atstovauti demokratiniuose ir sprendimų priėmimo procesuose visais lygmenimis ir remti esamas šios srities programas, be kita ko, organizuojant piliečių grupes su vaikais (pvz., 10–16 metų) mokyklose. Europos atstovai galėtų susitikti su moksleiviais savo mokyklose, kad nuo ankstyvo amžiaus piliečiai galėtų geriau artimiau ir geriau suprastų Europą</w:t>
      </w:r>
      <w:r>
        <w:rPr>
          <w:rStyle w:val="Ancredenotedefin"/>
          <w:rStyle w:val="Ancredenotedefin"/>
        </w:rPr>
        <w:endnoteReference w:id="186"/>
      </w:r>
      <w:r>
        <w:rPr/>
        <w:t>. Kad visi ES politiniai sprendimai būtų analizuojami atsižvelgiant į jaunimo poreikius, Europos lygmeniu turėtų būti parengtas jaunimo testas, siekiant užtikrinti, kad visiems naujiems politikos ir teisėkūros pasiūlymams būtų taikomas į jaunimą orientuotas poveikio vertinimas, įskaitant konsultacijas su jaunimu.</w:t>
      </w:r>
    </w:p>
    <w:p>
      <w:pPr>
        <w:pStyle w:val="Puce3"/>
        <w:tabs>
          <w:tab w:val="clear" w:pos="720"/>
        </w:tabs>
        <w:rPr/>
      </w:pPr>
      <w:r>
        <w:rPr/>
        <w:t>2.</w:t>
        <w:tab/>
        <w:t>Reikėtų aptarti ir apsvarstyti galimybę suteikti teisę balsuoti nuo 16 metų Europos Parlamento rinkimuose, taip pat stiprinti pilietiškumo ugdymą ir ES. Nacionalinės politinės partijos taip pat turėtų užtikrinti, kad jaunesni kandidatai būtų įtraukti į jų rinkimų į Europos Parlamentą sąrašus</w:t>
      </w:r>
      <w:r>
        <w:rPr>
          <w:rStyle w:val="Ancredenotedefin"/>
          <w:rStyle w:val="Ancredenotedefin"/>
        </w:rPr>
        <w:endnoteReference w:id="187"/>
      </w:r>
      <w:r>
        <w:rPr/>
        <w:t>.</w:t>
      </w:r>
    </w:p>
    <w:p>
      <w:pPr>
        <w:pStyle w:val="Puce3"/>
        <w:tabs>
          <w:tab w:val="clear" w:pos="720"/>
        </w:tabs>
        <w:rPr/>
      </w:pPr>
      <w:r>
        <w:rPr/>
        <w:t>3.</w:t>
        <w:tab/>
        <w:t>Geriau parengti jaunimą įsitraukti į darbo rinką, suteikti vidurinių mokyklų moksleiviams (nuo 12 metų) galimybę dalyvauti kokybiškuose stebėjimo vizituose į pelno nesiekiančias ir ne pelno organizacijas, glaudžiai bendradarbiaujant mokykloms, vietos valdžios institucijoms ir atitinkamoms organizacijoms bei įmonėms</w:t>
      </w:r>
      <w:r>
        <w:rPr>
          <w:rStyle w:val="Ancredenotedefin"/>
          <w:rStyle w:val="Ancredenotedefin"/>
        </w:rPr>
        <w:endnoteReference w:id="188"/>
      </w:r>
      <w:r>
        <w:rPr/>
        <w:t>. Šie vizitai turėtų būti laikomi platesnio profesinio orientavimo formaliojo švietimo srityje proceso dalimi, kad jaunimas galėtų pirmą kartą susisiekti su darbo pasauliu, kad galėtų vadovauti savo profesiniam pasirinkimui ir (arba) apsvarstyti galimybę tapti verslininku.</w:t>
      </w:r>
    </w:p>
    <w:p>
      <w:pPr>
        <w:pStyle w:val="Puce3"/>
        <w:tabs>
          <w:tab w:val="clear" w:pos="720"/>
        </w:tabs>
        <w:rPr/>
      </w:pPr>
      <w:r>
        <w:rPr/>
        <w:t>4.</w:t>
        <w:tab/>
        <w:t>Didesnis ES finansavimas pagal priemonę „NextGenerationEU“ taip pat turėtų būti skirtas sustiprintai Europos jaunimo garantijų iniciatyvai įgyvendinti, įskaitant aktyvesnį visų valstybių narių ir atitinkamų valdžios institucijų dalyvavimą, didesnį informuotumą, geresnę tiekimo kokybę, finansavimą ir veiksmus. Kadangi jaunimo organizacijos gali geriau nustatyti jaunimo poreikius, nacionalinės vyriausybės turėtų bendradarbiauti su jaunimo organizacijomis palaikydamos glaudų dialogą, kad užtikrintų kuo veiksmingesnį Jaunimo garantijų iniciatyvos įgyvendinimą.</w:t>
      </w:r>
    </w:p>
    <w:p>
      <w:pPr>
        <w:pStyle w:val="Puce3"/>
        <w:tabs>
          <w:tab w:val="clear" w:pos="720"/>
        </w:tabs>
        <w:rPr/>
      </w:pPr>
      <w:r>
        <w:rPr/>
        <w:t>5.</w:t>
        <w:tab/>
        <w:t>Užtikrinti, kad jaunimo stažuotės ir darbo vietos atitiktų kokybės standartus, visų pirma susijusius su darbo užmokesčiu, panaikinant minimalų darbo užmokestį jaunimui ir bet kokias kitas su jaunimu susijusių darbo teisės diskriminacines nuostatas ir teisinėmis priemonėmis uždraudžiant nemokamas stažuotes darbo rinkoje ir ne formaliojo švietimo sistemoje</w:t>
      </w:r>
      <w:r>
        <w:rPr>
          <w:rStyle w:val="Ancredenotedefin"/>
          <w:rStyle w:val="Ancredenotedefin"/>
        </w:rPr>
        <w:endnoteReference w:id="189"/>
      </w:r>
      <w:r>
        <w:rPr/>
        <w:t>.</w:t>
      </w:r>
    </w:p>
    <w:p>
      <w:pPr>
        <w:pStyle w:val="Puce3"/>
        <w:tabs>
          <w:tab w:val="clear" w:pos="720"/>
        </w:tabs>
        <w:rPr/>
      </w:pPr>
      <w:r>
        <w:rPr/>
        <w:t>6.</w:t>
        <w:tab/>
        <w:t>Užtikrinti tinkamą jaunimo gyvenimo lygį, įskaitant galimybę gauti socialinę apsaugą ir būstą. Jaunimas turėtų turėti galimybę naudotis tokio lygio socialine apsauga, kuri atitiktų kitų amžiaus grupių socialinę apsaugą. Taip pat turėtų būti sudarytos palankesnės sąlygos jaunimui gauti įperkamą būstą, be kita ko, pasitelkiant ES finansavimą</w:t>
      </w:r>
      <w:r>
        <w:rPr>
          <w:rStyle w:val="Ancredenotedefin"/>
          <w:rStyle w:val="Ancredenotedefin"/>
        </w:rPr>
        <w:endnoteReference w:id="190"/>
      </w:r>
      <w:r>
        <w:rPr/>
        <w:t>.</w:t>
      </w:r>
    </w:p>
    <w:p>
      <w:pPr>
        <w:pStyle w:val="Puce3"/>
        <w:tabs>
          <w:tab w:val="clear" w:pos="720"/>
        </w:tabs>
        <w:rPr/>
      </w:pPr>
      <w:r>
        <w:rPr/>
        <w:t>7.</w:t>
        <w:tab/>
        <w:t>Reikia konkrečių priemonių, kad būtų užkirstas kelias protų nutekėjimui iš tam tikrų Sąjungos regionų ir šalių dėl nepakankamų galimybių jaunimui, o Europa taptų patrauklesnė siekiant užkirsti kelią Europos talentų ir darbo jėgos nutekėjimui į trečiąsias šalis, kad nebūtų pakenkta teritorinei sanglaudai, visų pirma kalbant apie regionus, kuriuose labai prarandami jauni talentai, be kita ko, skiriant ES finansavimą</w:t>
      </w:r>
      <w:r>
        <w:rPr>
          <w:rStyle w:val="Ancredenotedefin"/>
          <w:rStyle w:val="Ancredenotedefin"/>
        </w:rPr>
        <w:endnoteReference w:id="191"/>
      </w:r>
      <w:r>
        <w:rPr/>
        <w:t>.</w:t>
      </w:r>
    </w:p>
    <w:p>
      <w:pPr>
        <w:pStyle w:val="Puce3"/>
        <w:tabs>
          <w:tab w:val="clear" w:pos="720"/>
        </w:tabs>
        <w:rPr/>
      </w:pPr>
      <w:r>
        <w:rPr/>
        <w:t>8.</w:t>
        <w:tab/>
        <w:t>Rimtos krizės (pvz., sveikatos krizės, karo) atveju turėtų būti parengti tinkamai parengti planai su išsamiais scenarijais, kad būtų kuo labiau sumažintas poveikis švietimui, profesiniam mokymui, perėjimui į darbo rinką ir jaunimo psichikos gerovei</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Pasiūlymas: Kultūra ir mainai</w:t>
      </w:r>
    </w:p>
    <w:p>
      <w:pPr>
        <w:pStyle w:val="P68B1DB1Normal15"/>
        <w:rPr>
          <w:b/>
          <w:b/>
        </w:rPr>
      </w:pPr>
      <w:r>
        <w:rPr/>
        <w:t>Tikslas: Siekdamos puoselėti mainų kultūrą ir skatinti europinę tapatybę bei įvairovę įvairiose srityse, valstybės narės, padedant Europos Sąjungai, turėtų:</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r>
        <w:rPr>
          <w:rStyle w:val="Ancredenotedefin"/>
          <w:rStyle w:val="Ancredenotedefin"/>
          <w:b/>
        </w:rPr>
        <w:endnoteReference w:id="193"/>
      </w:r>
      <w:r>
        <w:rPr/>
        <w:t>:</w:t>
      </w:r>
    </w:p>
    <w:p>
      <w:pPr>
        <w:pStyle w:val="Puce3"/>
        <w:tabs>
          <w:tab w:val="clear" w:pos="720"/>
        </w:tabs>
        <w:rPr/>
      </w:pPr>
      <w:r>
        <w:rPr/>
        <w:t>1.</w:t>
        <w:tab/>
        <w:t>Skatinti Europos mainus įvairiose srityse tiek fiziškai, tiek skaitmeniniu būdu, įskaitant švietimo mainus, porinius projektus, keliones ir profesinį judumą (ypač mokytojams ir vietos išrinktiems pareigūnams). Tokie mainai turėtų būti prieinami visiems visose valstybėse narėse, neatsižvelgiant į amžių, išsilavinimo lygį, kilmę ir finansines priemones</w:t>
      </w:r>
      <w:r>
        <w:rPr>
          <w:rStyle w:val="Ancredenotedefin"/>
          <w:rStyle w:val="Ancredenotedefin"/>
        </w:rPr>
        <w:endnoteReference w:id="194"/>
      </w:r>
      <w:r>
        <w:rPr/>
        <w:t>. Šiuo tikslu Sąjunga visų pirma turėtų stiprinti esamas mainų ir judumo programas Sąjungos lygmeniu, pavyzdžiui, Europos solidarumo korpusą, programą „Erasmus+“ ir „DiscoverEU“, užtikrinti platesnį ir įvairesnį dalyvavimą tose programose ir apsvarstyti galimybę įtraukti naujus elementus, pavyzdžiui, papildomą savanoriškos veiklos tikslą (Europos solidarumo korpuso atveju) ir kultūros prieigos pavadinimus (dėl iniciatyvos „DiscoverEU“). Vietos ir regionų valdžios institucijos, globojamos Regionų komiteto, turi atlikti pagrindinį vaidmenį šioje srityje.</w:t>
      </w:r>
    </w:p>
    <w:p>
      <w:pPr>
        <w:pStyle w:val="Puce3"/>
        <w:tabs>
          <w:tab w:val="clear" w:pos="720"/>
        </w:tabs>
        <w:rPr/>
      </w:pPr>
      <w:r>
        <w:rPr/>
        <w:t>2.</w:t>
        <w:tab/>
        <w:t>Skatinti daugiakalbystę, kaip vartus į kitas kultūras nuo ankstyvo amžiaus. Regioninėms ir mažumų kalboms reikia papildomos apsaugos, atsižvelgiant į Europos Tarybos konvenciją dėl mažumų kalbų ir Tautinių mažumų apsaugos pagrindų konvenciją. ES turėtų apsvarstyti galimybę įsteigti instituciją kalbų įvairovei skatinti Europos lygmeniu. Iš pradinės mokyklos turėtų būti reikalaujama, kad vaikai kuo aukštesniu lygiu įgytų kitos nei jų gimtosios aktyvios ES kalbos įgūdžių. Siekiant palengvinti Europos piliečių gebėjimą bendrauti su platesnėmis kitų europiečių grupėmis ir kaip Europos sanglaudos veiksnį, valstybės narės turėtų skatinti mokytis tiesiogiai pasienio regionuose besiribojančių ES valstybių narių kalbos ir įgyti sertifikuotą anglų kalbos lygį</w:t>
      </w:r>
      <w:r>
        <w:rPr>
          <w:rStyle w:val="Ancredenotedefin"/>
          <w:rStyle w:val="Ancredenotedefin"/>
        </w:rPr>
        <w:endnoteReference w:id="195"/>
      </w:r>
      <w:r>
        <w:rPr/>
        <w:t>.</w:t>
      </w:r>
    </w:p>
    <w:p>
      <w:pPr>
        <w:pStyle w:val="Puce3"/>
        <w:tabs>
          <w:tab w:val="clear" w:pos="720"/>
        </w:tabs>
        <w:rPr/>
      </w:pPr>
      <w:r>
        <w:rPr/>
        <w:t>3.</w:t>
        <w:tab/>
        <w:t>Sudaryti galimybes dalytis Europos kultūromis, suartinti žmones ir propaguoti bendrą europinę tapatybę, pavyzdžiui, organizuojant renginius ir susirinkimus, kuriuose dalyvautų visos tikslinės grupės ir kurie vyktų skirtingose vietose. Pavyzdžiui, Pasaulinių meno dienų organizavimas</w:t>
      </w:r>
      <w:r>
        <w:rPr>
          <w:rStyle w:val="Ancredenotedefin"/>
          <w:rStyle w:val="Ancredenotedefin"/>
        </w:rPr>
        <w:endnoteReference w:id="196"/>
      </w:r>
      <w:r>
        <w:rPr/>
        <w:t>, Europos paroda su pedagoginiais renginiais arba Europos dienos (gegužės 9 d.) pavertimas oficialia Europos švenčių diena visiems ES piliečiams</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Apsaugoti Europos kultūros paveldą ir Europos kultūrą, visų</w:t>
      </w:r>
      <w:r>
        <w:rPr>
          <w:rStyle w:val="Ancredenotedefin"/>
          <w:rStyle w:val="Ancredenotedefin"/>
        </w:rPr>
        <w:endnoteReference w:id="198"/>
      </w:r>
      <w:r>
        <w:rPr/>
        <w:t>pirma pripažįstant vietos ir regionų ypatumus kultūros ir gamybos srityje</w:t>
      </w:r>
      <w:r>
        <w:rPr>
          <w:rStyle w:val="Ancredenotedefin"/>
          <w:rStyle w:val="Ancredenotedefin"/>
        </w:rPr>
        <w:endnoteReference w:id="199"/>
      </w:r>
      <w:r>
        <w:rPr/>
        <w:t>, įgyvendinant naujas iniciatyvas, kuriomis siekiama jį išsaugoti ir švęsti, skatinant judumą, kad būtų skatinamas keitimasis kultūros paveldu, ir skatinant esamas priemones, pavyzdžiui, programą „Kūrybiška Europa“, naująjį europinį bauhauzą, miestų porines programas ir Europos kultūros sostinių programas, laikantis darnaus vystymosi tikslų.</w:t>
      </w:r>
    </w:p>
    <w:p>
      <w:pPr>
        <w:pStyle w:val="Puce3"/>
        <w:tabs>
          <w:tab w:val="clear" w:pos="720"/>
        </w:tabs>
        <w:rPr/>
      </w:pPr>
      <w:r>
        <w:rPr/>
        <w:t>5.</w:t>
        <w:tab/>
        <w:t>Imtis priemonių siekiant užtikrinti, kad kultūros srities specialistai būtų pakankamai apsaugoti ES lygmeniu, ypač per bet kokią būsimą krizę, priimant teisinį statutą Europos lygmeniu.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Pasiūlymas: Sportas</w:t>
      </w:r>
    </w:p>
    <w:p>
      <w:pPr>
        <w:pStyle w:val="P68B1DB1Normal15"/>
        <w:rPr>
          <w:b/>
          <w:b/>
        </w:rPr>
      </w:pPr>
      <w:r>
        <w:rPr/>
        <w:t>Tikslas: Sportas yra labai svarbus mūsų visuomenei – siekiant apginti mūsų vertybes, vadovauti sveikam gyvenimo būdui ir sveikam amžiui, skatinti mainų kultūrą ir pagerbti Europos paveldo įvairovę. Dėl šios priežasties valstybės narės, padedamos Europos Sąjungos, turėtų siekti: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Priemonės:</w:t>
      </w:r>
    </w:p>
    <w:p>
      <w:pPr>
        <w:pStyle w:val="Puce3"/>
        <w:tabs>
          <w:tab w:val="clear" w:pos="720"/>
        </w:tabs>
        <w:rPr/>
      </w:pPr>
      <w:r>
        <w:rPr/>
        <w:t>1.</w:t>
        <w:tab/>
        <w:t>Pabrėžti vertybes, visų pirma lyčių lygybę, lygybę ir įtrauktį, kurios gali būti konkrečiai atspindėtos sporto veikloje per visą mokymosi kelionę.</w:t>
      </w:r>
    </w:p>
    <w:p>
      <w:pPr>
        <w:pStyle w:val="Puce3"/>
        <w:tabs>
          <w:tab w:val="clear" w:pos="720"/>
        </w:tabs>
        <w:rPr/>
      </w:pPr>
      <w:r>
        <w:rPr/>
        <w:t>2.</w:t>
        <w:tab/>
        <w:t>Didinti informuotumą apie sporto ir fizinio aktyvumo naudą sveikatai</w:t>
      </w:r>
      <w:r>
        <w:rPr>
          <w:rStyle w:val="Ancredenotedefin"/>
          <w:rStyle w:val="Ancredenotedefin"/>
        </w:rPr>
        <w:endnoteReference w:id="200"/>
      </w:r>
      <w:r>
        <w:rPr/>
        <w:t>.</w:t>
      </w:r>
    </w:p>
    <w:p>
      <w:pPr>
        <w:pStyle w:val="Puce3"/>
        <w:tabs>
          <w:tab w:val="clear" w:pos="720"/>
        </w:tabs>
        <w:rPr/>
      </w:pPr>
      <w:r>
        <w:rPr/>
        <w:t>3.</w:t>
        <w:tab/>
        <w:t>Įtraukti sporto veiklą į mainų ir judumo programas ES lygmeniu</w:t>
      </w:r>
      <w:r>
        <w:rPr>
          <w:rStyle w:val="Ancredenotedefin"/>
          <w:rStyle w:val="Ancredenotedefin"/>
        </w:rPr>
        <w:endnoteReference w:id="201"/>
      </w:r>
      <w:r>
        <w:rPr/>
        <w:t>200.</w:t>
      </w:r>
    </w:p>
    <w:p>
      <w:pPr>
        <w:pStyle w:val="Puce3"/>
        <w:tabs>
          <w:tab w:val="clear" w:pos="720"/>
        </w:tabs>
        <w:rPr/>
      </w:pPr>
      <w:r>
        <w:rPr/>
        <w:t>4.</w:t>
        <w:tab/>
        <w:t>Didinti dėmesį ne tik profesionaliam ir komerciniam sportui, bet ir vietos bei tradiciniam sportui, kuris yra Europos kultūrų įvairovės liudininkas, siekiant propaguoti kultūros paveldą ir remti sporto čempionus neprofesionalioje aplinkoje.</w:t>
      </w:r>
    </w:p>
    <w:p>
      <w:pPr>
        <w:pStyle w:val="Normal"/>
        <w:rPr/>
      </w:pPr>
      <w:r>
        <w:rPr/>
      </w:r>
    </w:p>
    <w:p>
      <w:pPr>
        <w:pStyle w:val="Puce3"/>
        <w:tabs>
          <w:tab w:val="clear" w:pos="720"/>
        </w:tabs>
        <w:rPr/>
      </w:pPr>
      <w:r>
        <w:rPr/>
        <w:t>5.</w:t>
        <w:tab/>
        <w:t>Kartu skatinti europinės tapatybės propagavimą organizuojant daugiau Europos sporto renginių,</w:t>
      </w:r>
      <w:r>
        <w:rPr/>
        <w:commentReference w:id="0"/>
      </w:r>
      <w:r>
        <w:rPr/>
        <w:t>įsteigiant ES sporto komandas arba Europos sporto renginiuose rodant Europos vėliavą ar simbolius.</w:t>
      </w:r>
    </w:p>
    <w:p>
      <w:pPr>
        <w:pStyle w:val="Puce3"/>
        <w:tabs>
          <w:tab w:val="clear" w:pos="720"/>
        </w:tabs>
        <w:rPr/>
      </w:pPr>
      <w:r>
        <w:rPr/>
        <w:t>6.</w:t>
        <w:tab/>
        <w:t>Daugiau investuoti į komunikaciją, pavyzdžiui, Europos sporto savaitę, kad visos ES piliečiai galėtų kartu pasinaudoti aukščiausio lygio galimybėmis.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Galutiniai Vykdomosios valdybos svarstymai</w:t>
      </w:r>
    </w:p>
    <w:p>
      <w:pPr>
        <w:pStyle w:val="Normal"/>
        <w:rPr/>
      </w:pPr>
      <w:r>
        <w:rPr/>
      </w:r>
      <w:r>
        <w:br w:type="page"/>
      </w:r>
    </w:p>
    <w:p>
      <w:pPr>
        <w:pStyle w:val="Corpsdetexte"/>
        <w:rPr/>
      </w:pPr>
      <w:r>
        <w:rPr/>
        <w:t>Pagrindinis Konferencijos dėl Europos ateities tikslas buvo užtikrinti, kad Europos Sąjunga būtų pasirengusi spręsti dabartinius ir būsimus iššūkius, suteikiant piliečiams galimybę išreikšti savo susirūpinimą ir siekius ir, bendradarbiaujant su trijų institucijų atstovais, nacionaliniais parlamentais ir kitais suinteresuotaisiais subjektais, pateikti gaires ateičiai. Siekiant šio tikslo, konferencija turėjo būti orientuota į piliečius, remiantis principu „iš apačios į viršų“, kad būtų galima sukurti naują erdvę Europos prioritetams aptarti ir apžvelgti, ko piliečiai tikisi iš Europos Sąjungos.</w:t>
      </w:r>
    </w:p>
    <w:p>
      <w:pPr>
        <w:pStyle w:val="Corpsdetexte"/>
        <w:rPr/>
      </w:pPr>
      <w:r>
        <w:rPr/>
        <w:t>Konferencija tikrai galėjo atlikti šį vaidmenį. Konferencijoje dalyvavo visų sričių Europos piliečiai iš visų Sąjungos kampelių ir piliečių forumų rekomendacijos ir pasiūlymai dėl Europos ateities, bendradarbiaujant su vėlesnės plenarinės sesijos dalyviais, įskaitant Europos Parlamento, Tarybos ir Europos Komisijos narius, taip pat visų nacionalinių parlamentų, Regionų komiteto, regionų ir vietos išrinktų atstovų, Europos ekonomikos ir socialinių reikalų komiteto, socialinių partnerių ir pilietinės visuomenės atstovus ir kitus pagrindinius subjektus. Šiam procesui parengtos priemonės ir metodika yra unikalus išteklių rinkinys, kuris galėtų būti būsimų piliečių dalyvavimo ir patariamosios demokratijos ES lygmeniu pratybų pagrindas.</w:t>
      </w:r>
    </w:p>
    <w:p>
      <w:pPr>
        <w:pStyle w:val="Corpsdetexte"/>
        <w:rPr/>
      </w:pPr>
      <w:r>
        <w:rPr/>
        <w:t>Dėl daugybės renginių ir diskusijų visoje ES, interaktyvios daugiakalbės skaitmeninės platformos, Europos ir nacionalinių piliečių forumų ir Konferencijos plenarinės sesijos dabar Konferencija pateikė galutinę ataskaitą, įskaitant šiais metais tvariai atlikto darbo apžvalgą, taip pat plenarinės asamblėjos pateiktus pasiūlymus dėl Europos ateities. Iš šių pasiūlymų labai aišku, kad ES turi imtis veiksmų, kad sėkmingai įgyvendintų žaliąją ir skaitmeninę pertvarką, stiprintų Europos atsparumą ir jos socialinę sutartį, kartu spręsdama nelygybės problemą ir užtikrindama, kad Europos Sąjunga būtų teisinga, tvari, novatoriška ir konkurencinga ekonomika, kuri nė vieno nepaliktų nuošalyje.</w:t>
      </w:r>
    </w:p>
    <w:p>
      <w:pPr>
        <w:pStyle w:val="Corpsdetexte"/>
        <w:rPr/>
      </w:pPr>
      <w:r>
        <w:rPr/>
        <w:t>Geopolitinės padėties raida konferencijos metu, ypač Rusijos agresijos karas prieš Ukrainą, taip pat parodė, kad ES turi tapti atkaklesnė ir atlikti pagrindinį vaidmenį pasaulinėje arenoje propaguojant savo vertybes ir normas vis labiau sukrėstame pasaulyje.</w:t>
      </w:r>
    </w:p>
    <w:p>
      <w:pPr>
        <w:pStyle w:val="Corpsdetexte"/>
        <w:rPr/>
      </w:pPr>
      <w:r>
        <w:rPr/>
        <w:t>Konferencijoje buvo pateiktos aiškios gairės šiose srityse, o trys ES institucijos dabar turi apsvarstyti, kaip spręsti susirūpinimą keliančius klausimus, siekius ir idėjas. Kitas žingsnis šiame procese – remiantis konferencijos rezultatais parengti konkrečius ES veiksmus, kaip išdėstyta šioje galutinėje ataskaitoje. Todėl dabar ES institucijos išnagrinės šį pranešimą ir tolesnius su juo susijusius veiksmus pagal savo kompetenciją ir Sutartis. 2022 m. rudenį bus surengtas tolesnis renginys, kuriame piliečiai bus informuojami apie tai, kaip institucijos įgyvendins savo įsipareigojimą užtikrinti, kad jie būtų išklausyti ir laikytų savo rankose Europos ateitį.</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Paveikslėli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aveikslėlis30" descr=""/>
                    <pic:cNvPicPr>
                      <a:picLocks noChangeAspect="1" noChangeArrowheads="1"/>
                    </pic:cNvPicPr>
                  </pic:nvPicPr>
                  <pic:blipFill>
                    <a:blip r:embed="rId83"/>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I priedas. Keturių Europos piliečių forumų rekomendacijos</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Paveikslėli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aveikslėlis31" descr=""/>
                    <pic:cNvPicPr>
                      <a:picLocks noChangeAspect="1" noChangeArrowheads="1"/>
                    </pic:cNvPicPr>
                  </pic:nvPicPr>
                  <pic:blipFill>
                    <a:blip r:embed="rId84"/>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Sistema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Konferencija apie </w:t>
                            </w:r>
                          </w:p>
                          <w:p>
                            <w:pPr>
                              <w:pStyle w:val="P68B1DB1Normal16"/>
                              <w:rPr>
                                <w:color w:val="FFFFFF"/>
                                <w:sz w:val="72"/>
                              </w:rPr>
                            </w:pPr>
                            <w:r>
                              <w:rPr/>
                              <w:t xml:space="preserve">Europos ateitis </w:t>
                            </w:r>
                          </w:p>
                          <w:p>
                            <w:pPr>
                              <w:pStyle w:val="P68B1DB1Normal17"/>
                              <w:rPr>
                                <w:color w:val="FFFFFF"/>
                              </w:rPr>
                            </w:pPr>
                            <w:r>
                              <w:rPr/>
                              <w:t xml:space="preserve"> </w:t>
                            </w:r>
                            <w:r>
                              <w:rPr/>
                              <w:t>1-asis Europos piliečių</w:t>
                            </w:r>
                            <w:r>
                              <w:rPr>
                                <w:sz w:val="32"/>
                              </w:rPr>
                              <w:t xml:space="preserve">forumas: Stipresnė ekonomika, socialinis teisingumas ir užimtumas/Švietimas, kultūra, jaunimas ir sportas/skaitmeninė transformacija </w:t>
                            </w:r>
                          </w:p>
                          <w:p>
                            <w:pPr>
                              <w:pStyle w:val="P68B1DB1Normal17"/>
                              <w:rPr>
                                <w:color w:val="FFFFFF"/>
                              </w:rPr>
                            </w:pPr>
                            <w:r>
                              <w:rPr/>
                              <w:t xml:space="preserve"> </w:t>
                            </w:r>
                          </w:p>
                          <w:p>
                            <w:pPr>
                              <w:pStyle w:val="P68B1DB1Normal17"/>
                              <w:rPr>
                                <w:color w:val="FFFFFF"/>
                              </w:rPr>
                            </w:pPr>
                            <w:r>
                              <w:rPr/>
                              <w:t>Rekomendacijos</w:t>
                            </w:r>
                          </w:p>
                          <w:p>
                            <w:pPr>
                              <w:pStyle w:val="P68B1DB1Normal17"/>
                              <w:rPr>
                                <w:color w:val="FFFFFF"/>
                              </w:rPr>
                            </w:pPr>
                            <w:r>
                              <w:rPr/>
                              <w:t xml:space="preserve"> </w:t>
                            </w:r>
                            <w:r>
                              <w:rPr/>
                              <w:t>Nuotraukos © Europos Sąjunga, 2021 m.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Sistema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Konferencija apie </w:t>
                      </w:r>
                    </w:p>
                    <w:p>
                      <w:pPr>
                        <w:pStyle w:val="P68B1DB1Normal16"/>
                        <w:rPr>
                          <w:color w:val="FFFFFF"/>
                          <w:sz w:val="72"/>
                        </w:rPr>
                      </w:pPr>
                      <w:r>
                        <w:rPr/>
                        <w:t xml:space="preserve">Europos ateitis </w:t>
                      </w:r>
                    </w:p>
                    <w:p>
                      <w:pPr>
                        <w:pStyle w:val="P68B1DB1Normal17"/>
                        <w:rPr>
                          <w:color w:val="FFFFFF"/>
                        </w:rPr>
                      </w:pPr>
                      <w:r>
                        <w:rPr/>
                        <w:t xml:space="preserve"> </w:t>
                      </w:r>
                      <w:r>
                        <w:rPr/>
                        <w:t>1-asis Europos piliečių</w:t>
                      </w:r>
                      <w:r>
                        <w:rPr>
                          <w:sz w:val="32"/>
                        </w:rPr>
                        <w:t xml:space="preserve">forumas: Stipresnė ekonomika, socialinis teisingumas ir užimtumas/Švietimas, kultūra, jaunimas ir sportas/skaitmeninė transformacija </w:t>
                      </w:r>
                    </w:p>
                    <w:p>
                      <w:pPr>
                        <w:pStyle w:val="P68B1DB1Normal17"/>
                        <w:rPr>
                          <w:color w:val="FFFFFF"/>
                        </w:rPr>
                      </w:pPr>
                      <w:r>
                        <w:rPr/>
                        <w:t xml:space="preserve"> </w:t>
                      </w:r>
                    </w:p>
                    <w:p>
                      <w:pPr>
                        <w:pStyle w:val="P68B1DB1Normal17"/>
                        <w:rPr>
                          <w:color w:val="FFFFFF"/>
                        </w:rPr>
                      </w:pPr>
                      <w:r>
                        <w:rPr/>
                        <w:t>Rekomendacijos</w:t>
                      </w:r>
                    </w:p>
                    <w:p>
                      <w:pPr>
                        <w:pStyle w:val="P68B1DB1Normal17"/>
                        <w:rPr>
                          <w:color w:val="FFFFFF"/>
                        </w:rPr>
                      </w:pPr>
                      <w:r>
                        <w:rPr/>
                        <w:t xml:space="preserve"> </w:t>
                      </w:r>
                      <w:r>
                        <w:rPr/>
                        <w:t>Nuotraukos © Europos Sąjunga, 2021 m.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1-asis Europos piliečių forumas: Stipresnė ekonomika, socialinis teisingumas ir užimtumas/Švietimas, kultūra, jaunimas ir sportas/skaitmeninė transformacija </w:t>
      </w:r>
    </w:p>
    <w:p>
      <w:pPr>
        <w:pStyle w:val="P68B1DB1Normal18"/>
        <w:widowControl w:val="false"/>
        <w:spacing w:lineRule="exact" w:line="468"/>
        <w:ind w:left="425" w:right="0" w:hanging="0"/>
        <w:jc w:val="left"/>
        <w:rPr/>
      </w:pPr>
      <w:r>
        <w:rPr>
          <w:b/>
          <w:color w:val="1C4587"/>
        </w:rPr>
        <w:t>GRUPĖS PRIIMTOS REKOMENDACIJOS (TURI BŪTI PATEIKTOS PLENARINIAME POSĖDYJE)</w:t>
      </w:r>
      <w:r>
        <w:rPr>
          <w:color w:val="000000"/>
        </w:rPr>
        <w:t xml:space="preserve"> </w:t>
      </w:r>
    </w:p>
    <w:p>
      <w:pPr>
        <w:pStyle w:val="Titre3"/>
        <w:numPr>
          <w:ilvl w:val="2"/>
          <w:numId w:val="2"/>
        </w:numPr>
        <w:rPr/>
      </w:pPr>
      <w:bookmarkStart w:id="106" w:name="__RefHeading___Toc297145_1346298689"/>
      <w:bookmarkEnd w:id="106"/>
      <w:r>
        <w:rPr/>
        <w:t xml:space="preserve">1 ašis: Darbas Europoje </w:t>
      </w:r>
    </w:p>
    <w:p>
      <w:pPr>
        <w:pStyle w:val="Titre4"/>
        <w:numPr>
          <w:ilvl w:val="3"/>
          <w:numId w:val="2"/>
        </w:numPr>
        <w:rPr/>
      </w:pPr>
      <w:bookmarkStart w:id="107" w:name="__RefHeading___Toc297147_1346298689"/>
      <w:bookmarkEnd w:id="107"/>
      <w:r>
        <w:rPr/>
        <w:t xml:space="preserve">Poašis 1.1 Darbo rinka </w:t>
      </w:r>
    </w:p>
    <w:p>
      <w:pPr>
        <w:pStyle w:val="P68B1DB1Normal15"/>
        <w:rPr>
          <w:b/>
          <w:b/>
        </w:rPr>
      </w:pPr>
      <w:r>
        <w:rPr/>
        <w:t xml:space="preserve">1. Mes rekomenduojame įvesti minimalų darbo užmokestį, kad visose valstybėse narėse būtų užtikrinta panaši gyvenimo kokybė. Žinome, kad pagal ES direktyvą COM(2020) 682 dedamos pastangos suderinti gyvenimo būdą. Minimalus darbo užmokestis turi užtikrinti minimalias grynąsias pajamas, kad būtų pasiektas esminis tikslas: visi, kuriems reikia pagalbos, turėtų turėti didesnes pajamas. Nustatant minimalų darbo užmokestį turėtų būti atsižvelgiama į šiuos aspektus: </w:t>
      </w:r>
    </w:p>
    <w:p>
      <w:pPr>
        <w:pStyle w:val="P68B1DB1Normal15"/>
        <w:rPr>
          <w:b/>
          <w:b/>
        </w:rPr>
      </w:pPr>
      <w:r>
        <w:rPr/>
        <w:t xml:space="preserve">● </w:t>
      </w:r>
      <w:r>
        <w:rPr/>
        <w:t xml:space="preserve">ES turėtų užtikrinti veiksmingą jos įgyvendinimą, nes šiuo metu ne visos valstybės narės tinkamai taiko darbuotojų apsaugą; </w:t>
      </w:r>
    </w:p>
    <w:p>
      <w:pPr>
        <w:pStyle w:val="P68B1DB1Normal15"/>
        <w:rPr>
          <w:b/>
          <w:b/>
        </w:rPr>
      </w:pPr>
      <w:r>
        <w:rPr/>
        <w:t xml:space="preserve">● </w:t>
      </w:r>
      <w:r>
        <w:rPr/>
        <w:t xml:space="preserve">ypatingas dėmesys turėtų būti skiriamas gyvenimo lygio gerinimo stebėsenai; </w:t>
      </w:r>
    </w:p>
    <w:p>
      <w:pPr>
        <w:pStyle w:val="Normal"/>
        <w:rPr/>
      </w:pPr>
      <w:r>
        <w:rPr>
          <w:b/>
        </w:rPr>
        <w:t xml:space="preserve">● </w:t>
      </w:r>
      <w:r>
        <w:rPr>
          <w:b/>
        </w:rPr>
        <w:t>nustatant minimalų darbo užmokestį turi būti atsižvelgiama į perkamąją galią skirtingose šalyse. Siekiant ją pritaikyti prie pragyvenimo išlaidų pokyčių (pvz., siekiant atsižvelgti į infliaciją), reikalinga periodinė peržiūros procedūra.</w:t>
      </w:r>
      <w:r>
        <w:rPr/>
        <w:t xml:space="preserve"> </w:t>
      </w:r>
    </w:p>
    <w:p>
      <w:pPr>
        <w:pStyle w:val="Normal"/>
        <w:rPr/>
      </w:pPr>
      <w:r>
        <w:rPr/>
        <w:t xml:space="preserve"> </w:t>
      </w:r>
    </w:p>
    <w:p>
      <w:pPr>
        <w:pStyle w:val="Normal"/>
        <w:rPr/>
      </w:pPr>
      <w:r>
        <w:rPr/>
        <w:t xml:space="preserve">Pateikiame šią rekomendaciją, nes minimalusis darbo užmokestis stiprina socialinį teisingumą darbo rinkoje ir gerina konkrečias darbuotojų gyvenimo sąlygas visose valstybėse narėse, o tai ypač svarbu atsižvelgiant į sparčiai kintančią darbo aplinką, pavyzdžiui, dėl skaitmeninimo. </w:t>
      </w:r>
    </w:p>
    <w:p>
      <w:pPr>
        <w:pStyle w:val="Normal"/>
        <w:rPr/>
      </w:pPr>
      <w:r>
        <w:rPr/>
        <w:t xml:space="preserve"> </w:t>
      </w:r>
    </w:p>
    <w:p>
      <w:pPr>
        <w:pStyle w:val="P68B1DB1Normal15"/>
        <w:rPr>
          <w:b/>
          <w:b/>
        </w:rPr>
      </w:pPr>
      <w:r>
        <w:rPr/>
        <w:t xml:space="preserve">2. Jau priimtas ES teisės aktas (ES direktyva 2003/88/EB dėl darbo laiko), tačiau jo nepakanka sveikai profesinio ir asmeninio gyvenimo pusiausvyrai užtikrinti. Pirmiausia rekomenduojame peržiūrėti esamą sistemą, siekiant užtikrinti, kad ji būtų pritaikyta prie dabartinių aplinkybių. Antra, ES turėtų įdiegti griežtesnį stebėsenos mechanizmą, kad užtikrintų jo įgyvendinimą visose valstybėse narėse. Ypatingas dėmesys turėtų būti skiriamas įvairiems sektoriams, kuriuose patiriamas įvairaus lygio stresas ir našta, tiek psichologiniu, tiek fiziniu požiūriu. Tačiau kiti sektoriai taip pat priklauso nuo didesnio darbuotojų lankstumo prisitaikyti prie konkrečių įmonių poreikių. </w:t>
      </w:r>
    </w:p>
    <w:p>
      <w:pPr>
        <w:pStyle w:val="Normal"/>
        <w:rPr/>
      </w:pPr>
      <w:r>
        <w:rPr/>
        <w:t xml:space="preserve">Šią rekomendaciją teikiame dėl geresnės profesinio ir asmeninio gyvenimo pusiausvyros svarbos. Geresnė profesinio ir asmeninio gyvenimo pusiausvyra stiprina socialinę sanglaudą ir padeda sudaryti vienodas sąlygas darbuotojams. Be to, tai daro teigiamą poveikį individualiai darbuotojų gerovei. </w:t>
      </w:r>
    </w:p>
    <w:p>
      <w:pPr>
        <w:pStyle w:val="Normal"/>
        <w:rPr/>
      </w:pPr>
      <w:r>
        <w:rPr/>
        <w:t xml:space="preserve"> </w:t>
      </w:r>
    </w:p>
    <w:p>
      <w:pPr>
        <w:pStyle w:val="Titre4"/>
        <w:numPr>
          <w:ilvl w:val="3"/>
          <w:numId w:val="2"/>
        </w:numPr>
        <w:rPr/>
      </w:pPr>
      <w:bookmarkStart w:id="108" w:name="__RefHeading___Toc297151_1346298689"/>
      <w:bookmarkEnd w:id="108"/>
      <w:r>
        <w:rPr/>
        <w:t xml:space="preserve">Poašis „Jaunimas ir užimtumas“ </w:t>
      </w:r>
    </w:p>
    <w:p>
      <w:pPr>
        <w:pStyle w:val="Normal"/>
        <w:rPr/>
      </w:pPr>
      <w:r>
        <w:rPr/>
        <w:t xml:space="preserve"> </w:t>
      </w:r>
    </w:p>
    <w:p>
      <w:pPr>
        <w:pStyle w:val="P68B1DB1Normal15"/>
        <w:rPr>
          <w:b/>
          <w:b/>
        </w:rPr>
      </w:pPr>
      <w:r>
        <w:rPr/>
        <w:t xml:space="preserve">3. Rekomenduojame suderinti visų skirtingų ES švietimo programų lygį, pripažįstant nacionalinį turinį. Todėl rekomenduojame visus profesinius diplomus patvirtinti ir abipusiškai pripažinti visose ES valstybėse narėse. </w:t>
      </w:r>
    </w:p>
    <w:p>
      <w:pPr>
        <w:pStyle w:val="Normal"/>
        <w:rPr/>
      </w:pPr>
      <w:r>
        <w:rPr/>
        <w:t xml:space="preserve"> </w:t>
      </w:r>
    </w:p>
    <w:p>
      <w:pPr>
        <w:pStyle w:val="Normal"/>
        <w:rPr/>
      </w:pPr>
      <w:r>
        <w:rPr/>
        <w:t xml:space="preserve">Pateikiame šią rekomendaciją, nes norime palengvinti Europos darbo jėgos judumą ir sumažinti administracinę naštą. </w:t>
      </w:r>
    </w:p>
    <w:p>
      <w:pPr>
        <w:pStyle w:val="Normal"/>
        <w:rPr/>
      </w:pPr>
      <w:r>
        <w:rPr/>
      </w:r>
    </w:p>
    <w:p>
      <w:pPr>
        <w:pStyle w:val="P68B1DB1Normal15"/>
        <w:rPr>
          <w:b/>
          <w:b/>
        </w:rPr>
      </w:pPr>
      <w:r>
        <w:rPr/>
        <w:t xml:space="preserve">4. Rekomenduojame vidurinių mokyklų moksleiviams (nuo 12 metų) apžvelgti būsimą darbo rinką, suteikiant jiems galimybę dalyvauti įvairiuose kokybės stebėjimo vizituose pelno nesiekiančiose ir ne pelno organizacijose. Mes siūlome skatinti įmones pasveikinti studentus stebėjimo stažuočių, suteikiant jiems stipendijas. Mažiau galimybių turinčiose atokiose vietovėse vietos mokyklos, valdžios institucijos, organizacijos ir įmonės turi glaudžiai bendradarbiauti ir užtikrinti, kad šie stebėjimo vizitai taip pat būtų prieinami. </w:t>
      </w:r>
    </w:p>
    <w:p>
      <w:pPr>
        <w:pStyle w:val="Normal"/>
        <w:rPr/>
      </w:pPr>
      <w:r>
        <w:rPr/>
        <w:t xml:space="preserve"> </w:t>
      </w:r>
    </w:p>
    <w:p>
      <w:pPr>
        <w:pStyle w:val="Normal"/>
        <w:rPr/>
      </w:pPr>
      <w:r>
        <w:rPr/>
        <w:t xml:space="preserve">Pateikiame šią rekomendaciją, nes norime, kad jaunimas suprastų įvairias darbo rinkos teikiamas galimybes, kad jie galėtų geriau pasirinkti studijas ir būsimą darbą bei suprastų, kaip svarbu pasirinkti tinkamą išsilavinimą. Tai taip pat suteiktų jiems atsakomybės ir pagarbos darbo rinkai jausmą ir padėtų jiems integruotis į darbo rinką, suteikiant naudos visiems. </w:t>
      </w:r>
    </w:p>
    <w:p>
      <w:pPr>
        <w:pStyle w:val="Normal"/>
        <w:rPr/>
      </w:pPr>
      <w:r>
        <w:rPr/>
        <w:t xml:space="preserve"> </w:t>
      </w:r>
    </w:p>
    <w:p>
      <w:pPr>
        <w:pStyle w:val="P68B1DB1Normal15"/>
        <w:rPr>
          <w:b/>
          <w:b/>
        </w:rPr>
      </w:pPr>
      <w:r>
        <w:rPr/>
        <w:t xml:space="preserve">5. Mes rekomenduojame integruoti ne techninių įgūdžių praktiką į visus mokyklos mokymo kursus. Netechniniais įgūdžiais mes turime omenyje: tarpusavio klausymasis, dialogas, atsparumas, supratimas, pagarba ir vertinimas, kritinis mąstymas, savarankiškas mokymasis ir likti smalsus ir orientuotas į rezultatus. Mokytojai turėtų būti mokomi perduoti šiuos įgūdžius glaudžiai bendradarbiaujant su socialiniais darbuotojais ir (arba) psichologais. Kiti įgyvendinimo pasiūlymai: studentų mainų programų tarp mokyklų organizavimas, dalyvavimas tarpmokykliniuose sporto ir kultūros renginiuose ir kt. </w:t>
      </w:r>
    </w:p>
    <w:p>
      <w:pPr>
        <w:pStyle w:val="Normal"/>
        <w:rPr/>
      </w:pPr>
      <w:r>
        <w:rPr/>
        <w:t xml:space="preserve"> </w:t>
      </w:r>
    </w:p>
    <w:p>
      <w:pPr>
        <w:pStyle w:val="Normal"/>
        <w:rPr/>
      </w:pPr>
      <w:r>
        <w:rPr/>
        <w:t xml:space="preserve">Pateikiame šią rekomendaciją, nes netechniniai įgūdžiai yra būtini pagrindiniai įgūdžiai, kurie prarandami skaitmeniniame amžiuje ir kurių mūsų jaunimui tikrai reikės ateityje. Todėl primygtinai reikalaujame įtraukti šiuos įgūdžius į mokyklų mokymo programas, kad jaunimas būtų atsparus ir išvengtų protinių problemų, kurių jie gali patirti ateityje, arba jas įveiktų. Socialiniai įgūdžiai stiprina žmonių tarpusavio santykius ir taip padeda žmonėms rasti savo vietą visuomenėje. </w:t>
      </w:r>
    </w:p>
    <w:p>
      <w:pPr>
        <w:pStyle w:val="Normal"/>
        <w:rPr/>
      </w:pPr>
      <w:r>
        <w:rPr/>
        <w:t xml:space="preserve"> </w:t>
      </w:r>
    </w:p>
    <w:p>
      <w:pPr>
        <w:pStyle w:val="P68B1DB1Normal15"/>
        <w:rPr>
          <w:b/>
          <w:b/>
        </w:rPr>
      </w:pPr>
      <w:r>
        <w:rPr/>
        <w:t xml:space="preserve">6. Rekomenduojame, kad rimtos krizės (sveikatos krizės, karo ir kt.) atveju būtų parengti tinkamai parengti planai su išsamiais scenarijais, kad būtų kuo labiau sumažintas poveikis mūsų jaunimo švietimui, profesiniam mokymui ir psichikos gerovei ir t. t. švietimo ar mokymo išlaidų padidėjimas, privalomas studijų pratęsimas, negalėjimas baigti stažuočių, psichikos sveikatos problemų padidėjimas. Šie planai turi būti įgyvendinami taip, kad būtų kuo labiau sumažintas poveikis jaunimui ir jo perėjimui į darbo rinką. </w:t>
      </w:r>
    </w:p>
    <w:p>
      <w:pPr>
        <w:pStyle w:val="Normal"/>
        <w:rPr/>
      </w:pPr>
      <w:r>
        <w:rPr/>
        <w:t xml:space="preserve"> </w:t>
      </w:r>
    </w:p>
    <w:p>
      <w:pPr>
        <w:pStyle w:val="Normal"/>
        <w:rPr/>
      </w:pPr>
      <w:r>
        <w:rPr/>
        <w:t xml:space="preserve">Pateikiame šią rekomendaciją, nes krizės metu jaunimas yra labai pažeidžiamas. </w:t>
      </w:r>
    </w:p>
    <w:p>
      <w:pPr>
        <w:pStyle w:val="Normal"/>
        <w:rPr/>
      </w:pPr>
      <w:r>
        <w:rPr/>
        <w:t xml:space="preserve"> </w:t>
      </w:r>
    </w:p>
    <w:p>
      <w:pPr>
        <w:pStyle w:val="Titre4"/>
        <w:numPr>
          <w:ilvl w:val="3"/>
          <w:numId w:val="2"/>
        </w:numPr>
        <w:rPr/>
      </w:pPr>
      <w:bookmarkStart w:id="109" w:name="__RefHeading___Toc297153_1346298689"/>
      <w:bookmarkEnd w:id="109"/>
      <w:r>
        <w:rPr/>
        <w:t xml:space="preserve">1.3 Skaitmeninė transformacija darbe </w:t>
      </w:r>
    </w:p>
    <w:p>
      <w:pPr>
        <w:pStyle w:val="Normal"/>
        <w:rPr/>
      </w:pPr>
      <w:r>
        <w:rPr/>
        <w:t xml:space="preserve"> </w:t>
      </w:r>
    </w:p>
    <w:p>
      <w:pPr>
        <w:pStyle w:val="P68B1DB1Normal15"/>
        <w:rPr>
          <w:b/>
          <w:b/>
        </w:rPr>
      </w:pPr>
      <w:r>
        <w:rPr/>
        <w:t xml:space="preserve">7. Rekomenduojame, kad ES priimtų arba sugriežtintų galiojančius teisės aktus dėl pažangaus darbo, t. y. dėl internetinio ir nuotolinio darbo, pvz., namuose ar kitoje prijungtoje interneto vietoje. Taip pat rekomenduojame ES teisės aktais skatinti įmones būti socialiai atsakingomis ir išlaikyti kokybiškas mobilias darbo vietas ES. Paskatos gali būti finansinio pobūdžio ir (arba) turėti įtakos įmonės įvaizdžiui ir jomis turėtų būti atsižvelgiama į tarptautiniu mastu pripažintus aplinkosaugos, socialinius ir valdymo (ASV) kriterijus. Šiuo tikslu ES turėtų sudaryti iš visų suinteresuotųjų šalių ekspertų sudarytą darbo grupę, kuri peržiūrėtų ir sustiprintų šiuos teisės aktus. </w:t>
      </w:r>
    </w:p>
    <w:p>
      <w:pPr>
        <w:pStyle w:val="Normal"/>
        <w:rPr/>
      </w:pPr>
      <w:r>
        <w:rPr/>
        <w:t xml:space="preserve"> </w:t>
      </w:r>
    </w:p>
    <w:p>
      <w:pPr>
        <w:pStyle w:val="Normal"/>
        <w:rPr/>
      </w:pPr>
      <w:r>
        <w:rPr/>
        <w:t xml:space="preserve">Pateikiame šią rekomendaciją, nes turime skatinti kokybiškas mobilias darbo vietas ir išvengti jų perkėlimo į mažesnes išlaidas patiriančias trečiąsias šalis. COVID-19 pandemija ir pasaulinės ekonominės tendencijos pabrėžia, kad būtina skubiai apsaugoti darbo vietas ES ir reguliuoti judų darbą. </w:t>
      </w:r>
    </w:p>
    <w:p>
      <w:pPr>
        <w:pStyle w:val="Normal"/>
        <w:rPr/>
      </w:pPr>
      <w:r>
        <w:rPr/>
        <w:t xml:space="preserve"> </w:t>
      </w:r>
    </w:p>
    <w:p>
      <w:pPr>
        <w:pStyle w:val="P68B1DB1Normal15"/>
        <w:rPr>
          <w:b/>
          <w:b/>
        </w:rPr>
      </w:pPr>
      <w:r>
        <w:rPr/>
        <w:t xml:space="preserve">8. Rekomenduojame, kad ES visiems ES piliečiams užtikrintų teisę į skaitmeninį mokymą. Visų pirma būtų galima pagerinti jaunimo skaitmeninius įgūdžius mokyklose įvedus ES pažymėjimą, kuris padėtų jiems pasirengti būsimai darbo rinkai. Taip pat rekomenduojame ES lygmeniu rengti specialius mokymus darbuotojų perkvalifikavimui ir kvalifikacijos kėlimui, kad jie išliktų konkurencingi darbo rinkoje. Galiausiai rekomenduojame ES didinti informuotumą apie esamas skaitmenines platformas, kurios sujungia piliečius su darbdaviais ir padeda jiems rasti darbą ES, pvz., EURES. </w:t>
      </w:r>
    </w:p>
    <w:p>
      <w:pPr>
        <w:pStyle w:val="Normal"/>
        <w:rPr/>
      </w:pPr>
      <w:r>
        <w:rPr/>
        <w:t xml:space="preserve"> </w:t>
      </w:r>
    </w:p>
    <w:p>
      <w:pPr>
        <w:pStyle w:val="Normal"/>
        <w:rPr/>
      </w:pPr>
      <w:r>
        <w:rPr/>
        <w:t xml:space="preserve">Pateikiame šią rekomendaciją, nes sertifikuoti skaitmeniniai įgūdžiai yra būtini norint patekti į darbo rinką, o darbuotojams – persikvalifikuoti ir išlikti konkurencingiems. </w:t>
      </w:r>
    </w:p>
    <w:p>
      <w:pPr>
        <w:pStyle w:val="Normal"/>
        <w:rPr/>
      </w:pPr>
      <w:r>
        <w:rPr/>
        <w:t xml:space="preserve"> </w:t>
      </w:r>
    </w:p>
    <w:p>
      <w:pPr>
        <w:pStyle w:val="Titre3"/>
        <w:numPr>
          <w:ilvl w:val="2"/>
          <w:numId w:val="2"/>
        </w:numPr>
        <w:rPr/>
      </w:pPr>
      <w:bookmarkStart w:id="110" w:name="__RefHeading___Toc297155_1346298689"/>
      <w:bookmarkEnd w:id="110"/>
      <w:r>
        <w:rPr/>
        <w:t xml:space="preserve">2 kryptis. Į ateitį orientuota ekonomika </w:t>
      </w:r>
    </w:p>
    <w:p>
      <w:pPr>
        <w:pStyle w:val="Normal"/>
        <w:rPr/>
      </w:pPr>
      <w:r>
        <w:rPr/>
        <w:t xml:space="preserve"> </w:t>
      </w:r>
    </w:p>
    <w:p>
      <w:pPr>
        <w:pStyle w:val="Titre4"/>
        <w:numPr>
          <w:ilvl w:val="3"/>
          <w:numId w:val="2"/>
        </w:numPr>
        <w:rPr/>
      </w:pPr>
      <w:bookmarkStart w:id="111" w:name="__RefHeading___Toc297157_1346298689"/>
      <w:bookmarkEnd w:id="111"/>
      <w:r>
        <w:rPr/>
        <w:t xml:space="preserve">2.1 poašis Inovacijos ir Europos konkurencingumas </w:t>
      </w:r>
    </w:p>
    <w:p>
      <w:pPr>
        <w:pStyle w:val="Normal"/>
        <w:rPr/>
      </w:pPr>
      <w:r>
        <w:rPr/>
        <w:t xml:space="preserve"> </w:t>
      </w:r>
    </w:p>
    <w:p>
      <w:pPr>
        <w:pStyle w:val="P68B1DB1Normal15"/>
        <w:rPr>
          <w:b/>
          <w:b/>
        </w:rPr>
      </w:pPr>
      <w:r>
        <w:rPr/>
        <w:t xml:space="preserve">9. Rekomenduojame, kad ES suteiktų galimybių investuoti į mokslinius tyrimus ir inovacijas įvairiems subjektams (universitetams, įmonėms, mokslinių tyrimų institutams ir kt.), siekiant plėtoti: </w:t>
      </w:r>
    </w:p>
    <w:p>
      <w:pPr>
        <w:pStyle w:val="P68B1DB1Normal15"/>
        <w:rPr>
          <w:b/>
          <w:b/>
        </w:rPr>
      </w:pPr>
      <w:r>
        <w:rPr/>
        <w:t xml:space="preserve">● </w:t>
      </w:r>
      <w:r>
        <w:rPr/>
        <w:t xml:space="preserve">naujos, tvaresnės ir biologiškai diversifikuotos medžiagos, pakeičiančios šiuo metu naudojamas medžiagas, </w:t>
      </w:r>
    </w:p>
    <w:p>
      <w:pPr>
        <w:pStyle w:val="P68B1DB1Normal15"/>
        <w:rPr>
          <w:b/>
          <w:b/>
        </w:rPr>
      </w:pPr>
      <w:r>
        <w:rPr/>
        <w:t xml:space="preserve">● </w:t>
      </w:r>
      <w:r>
        <w:rPr/>
        <w:t xml:space="preserve">novatoriškas esamų medžiagų naudojimas (grindžiamas, inter alia, perdirbimu ir pažangiausiais metodais, kurių aplinkosauginis pėdsakas yra mažiausias). </w:t>
      </w:r>
    </w:p>
    <w:p>
      <w:pPr>
        <w:pStyle w:val="Normal"/>
        <w:rPr/>
      </w:pPr>
      <w:r>
        <w:rPr>
          <w:b/>
        </w:rPr>
        <w:t>Rekomenduojame, kad tai būtų nuolatinis ir ilgalaikis ES įsipareigojimas (bent iki 2050 m.).</w:t>
      </w:r>
      <w:r>
        <w:rPr/>
        <w:t xml:space="preserve"> </w:t>
      </w:r>
    </w:p>
    <w:p>
      <w:pPr>
        <w:pStyle w:val="Normal"/>
        <w:rPr/>
      </w:pPr>
      <w:r>
        <w:rPr/>
        <w:t xml:space="preserve"> </w:t>
      </w:r>
    </w:p>
    <w:p>
      <w:pPr>
        <w:pStyle w:val="Normal"/>
        <w:rPr/>
      </w:pPr>
      <w:r>
        <w:rPr/>
        <w:t xml:space="preserve">Mes pateikiame šią rekomendaciją, nes gyvename planetoje, turinčioje ribotus išteklius. Jei norime turėti ateitį, turime saugoti klimatą ir ieškoti alternatyvų, kurios gerbtų planetą. Taip pat norime, kad ES taptų pirmaujančia šios srities veikėja, turinti stiprų konkurencinį pranašumą tarptautinėje arenoje. Rekomendacija siekiama novatoriškų rezultatų, kuriuos būtų galima taikyti plačiu mastu ir kuriuos būtų galima įgyvendinti įvairiose srityse ir šalyse. Tai taip pat turėtų teigiamą poveikį ekonomikai ir darbo rinkai, nes būtų kuriamos naujos užimtumo galimybės tvarių inovacijų srityje. Ji galėtų prisidėti prie kovos su socialine neteisybe tiek, kiek dabartinės gamybos priemonės, grindžiamos išnaudojimu, būtų pakeistos kitomis, etiškesnėmis. </w:t>
      </w:r>
    </w:p>
    <w:p>
      <w:pPr>
        <w:pStyle w:val="Normal"/>
        <w:rPr/>
      </w:pPr>
      <w:r>
        <w:rPr/>
        <w:t xml:space="preserve"> </w:t>
      </w:r>
    </w:p>
    <w:p>
      <w:pPr>
        <w:pStyle w:val="P68B1DB1Normal15"/>
        <w:rPr>
          <w:b/>
          <w:b/>
        </w:rPr>
      </w:pPr>
      <w:r>
        <w:rPr/>
        <w:t xml:space="preserve">10. Rekomenduojame, kad ES nuolat įsipareigotų ilguoju laikotarpiu gerokai padidinti savo tvariai pagamintos energijos dalį naudojant įvairius atsinaujinančiuosius išteklius, kurių aplinkosauginis pėdsakas yra mažiausias (remiantis išsamia gyvavimo ciklo analize). Be to, ES turėtų investuoti į elektros energijos infrastruktūros ir tinklo kokybės gerinimą ir išlaikymą. Taip pat rekomenduojame energijos prieinamumą ir įperkamumą pripažinti pagrindine piliečių teise. </w:t>
      </w:r>
    </w:p>
    <w:p>
      <w:pPr>
        <w:pStyle w:val="P68B1DB1Normal15"/>
        <w:rPr>
          <w:b/>
          <w:b/>
        </w:rPr>
      </w:pPr>
      <w:r>
        <w:rPr/>
        <w:t xml:space="preserve"> </w:t>
      </w:r>
    </w:p>
    <w:p>
      <w:pPr>
        <w:pStyle w:val="Normal"/>
        <w:rPr/>
      </w:pPr>
      <w:r>
        <w:rPr/>
        <w:t xml:space="preserve">Mes teikiame šią rekomendaciją dėl šių priežasčių: </w:t>
      </w:r>
    </w:p>
    <w:p>
      <w:pPr>
        <w:pStyle w:val="Normal"/>
        <w:rPr/>
      </w:pPr>
      <w:r>
        <w:rPr/>
        <w:t xml:space="preserve">● </w:t>
      </w:r>
      <w:r>
        <w:rPr/>
        <w:t xml:space="preserve">įvairinant energijos šaltinius (įskaitant saulės, vėjo, vandenilio, jūros vandens ar bet kokį kitą būsimą tvarų metodą) ES taptų labiau nepriklausoma energetikos srityje; </w:t>
      </w:r>
    </w:p>
    <w:p>
      <w:pPr>
        <w:pStyle w:val="Normal"/>
        <w:rPr/>
      </w:pPr>
      <w:r>
        <w:rPr/>
        <w:t xml:space="preserve">● </w:t>
      </w:r>
      <w:r>
        <w:rPr/>
        <w:t xml:space="preserve">tai sumažintų ES piliečių išlaidas elektros energijai; </w:t>
      </w:r>
    </w:p>
    <w:p>
      <w:pPr>
        <w:pStyle w:val="Normal"/>
        <w:rPr/>
      </w:pPr>
      <w:r>
        <w:rPr/>
        <w:t xml:space="preserve">● </w:t>
      </w:r>
      <w:r>
        <w:rPr/>
        <w:t xml:space="preserve">taip būtų kuriamos darbo vietos ir pertvarkyta energijos rinka (ypač regionuose, kurie iki šiol buvo priklausomi nuo iškastinio kuro); </w:t>
      </w:r>
    </w:p>
    <w:p>
      <w:pPr>
        <w:pStyle w:val="Normal"/>
        <w:rPr/>
      </w:pPr>
      <w:r>
        <w:rPr/>
        <w:t xml:space="preserve">● </w:t>
      </w:r>
      <w:r>
        <w:rPr/>
        <w:t xml:space="preserve">ji galėtų paskatinti mokslinę novatoriškų energijos tiekimo technologijų plėtrą; </w:t>
      </w:r>
    </w:p>
    <w:p>
      <w:pPr>
        <w:pStyle w:val="Normal"/>
        <w:rPr/>
      </w:pPr>
      <w:r>
        <w:rPr/>
        <w:t xml:space="preserve">● </w:t>
      </w:r>
      <w:r>
        <w:rPr/>
        <w:t xml:space="preserve">elektros infrastruktūros ir tinklo kokybė yra tokia pat svarbi kaip energijos šaltiniai, nes ji sudaro sąlygas sklandžiam, efektyviam ir įperkamam energijos paskirstymui ir perdavimui. </w:t>
      </w:r>
    </w:p>
    <w:p>
      <w:pPr>
        <w:pStyle w:val="Normal"/>
        <w:rPr/>
      </w:pPr>
      <w:r>
        <w:rPr/>
        <w:t xml:space="preserve"> </w:t>
      </w:r>
    </w:p>
    <w:p>
      <w:pPr>
        <w:pStyle w:val="P68B1DB1Normal15"/>
        <w:rPr>
          <w:b/>
          <w:b/>
        </w:rPr>
      </w:pPr>
      <w:r>
        <w:rPr/>
        <w:t xml:space="preserve">11. Rekomenduojame, kad ES aktyviai skatintų ekologiškesnius gamybos procesus subsidijuodama arba kitaip atlygindama įmonėms, kurios investuoja į savo gamybos aplinkosauginių sąnaudų mažinimą. Taip pat raginame stengtis auginti postindustrines vietoves ir aplink esamas vietoves sukurti saugomas žaliąsias zonas. Turėtų būti reikalaujama, kad įmonės šias pastangas bent iš dalies finansuotų savo lėšomis. </w:t>
      </w:r>
    </w:p>
    <w:p>
      <w:pPr>
        <w:pStyle w:val="Normal"/>
        <w:rPr/>
      </w:pPr>
      <w:r>
        <w:rPr/>
        <w:t xml:space="preserve"> </w:t>
      </w:r>
    </w:p>
    <w:p>
      <w:pPr>
        <w:pStyle w:val="Normal"/>
        <w:rPr/>
      </w:pPr>
      <w:r>
        <w:rPr/>
        <w:t xml:space="preserve">Pateikiame šią rekomendaciją, nes gamybos procesai yra svarbi tiekimo grandinės dalis. Padarius jas ekologiškesnes, būtų galima gerokai sumažinti mūsų poveikį klimatui. Manome, kad įmonės ir pramonės šakos turėtų būti laikomos atsakingomis už tai, kaip jos gamina savo produktus (įskaitant aplinkos atkūrimo ir apsaugos priemones). Žalinimo gamybos procesai taip pat rengia įmones ateičiai ir stiprina jų atsparumą (taip apsaugomos darbo vietos). </w:t>
      </w:r>
    </w:p>
    <w:p>
      <w:pPr>
        <w:pStyle w:val="Normal"/>
        <w:rPr/>
      </w:pPr>
      <w:r>
        <w:rPr/>
      </w:r>
    </w:p>
    <w:p>
      <w:pPr>
        <w:pStyle w:val="Titre4"/>
        <w:numPr>
          <w:ilvl w:val="3"/>
          <w:numId w:val="2"/>
        </w:numPr>
        <w:rPr/>
      </w:pPr>
      <w:bookmarkStart w:id="112" w:name="__RefHeading___Toc297159_1346298689"/>
      <w:bookmarkEnd w:id="112"/>
      <w:r>
        <w:rPr/>
        <w:t xml:space="preserve">Poašis. Tvari ekonomika/poašis 2.3 Apmokestinimas </w:t>
      </w:r>
    </w:p>
    <w:p>
      <w:pPr>
        <w:pStyle w:val="Normal"/>
        <w:rPr/>
      </w:pPr>
      <w:r>
        <w:rPr/>
        <w:t xml:space="preserve"> </w:t>
      </w:r>
    </w:p>
    <w:p>
      <w:pPr>
        <w:pStyle w:val="P68B1DB1Normal15"/>
        <w:rPr>
          <w:b/>
          <w:b/>
        </w:rPr>
      </w:pPr>
      <w:r>
        <w:rPr/>
        <w:t xml:space="preserve">12. Rekomenduojame atsisakyti plastikinių pakuočių ir apibendrinti daugkartinio naudojimo pakuotes. Reikėtų skatinti vartotojus ir įmones, kad vartotojams nebūtų brangiau pirkti birius produktus („nefasuotus“ anglų kalba arba „sfuso“ italų kalba) nei supakuotus produktus. Prie šio perėjimo prisidedančios įmonės turėtų pasinaudoti mokesčių lengvatomis, o kitos įmonės turėtų mokėti daugiau mokesčių. Produktai, kurių negalima pakartotinai naudoti, turėtų būti perdirbami ir (arba) biologiškai skaidūs. Būtina įsteigti viešąją arba priežiūros instituciją, atsakingą už stebėseną, taisyklių nustatymą ir platinimą visiems. Rekomenduojama šviesti ir bendrauti – taip pat ir per socialinę žiniasklaidą – apie šiuos veiksmus, kad įmonės ir vartotojai galėtų pakeisti savo ilgalaikį elgesį. Įmonės (pvz., statybos bendrovės) turėtų būti skatinamos ir joms turėtų būti padedama rasti geriausius sprendimus dėl atliekų. </w:t>
      </w:r>
    </w:p>
    <w:p>
      <w:pPr>
        <w:pStyle w:val="Normal"/>
        <w:rPr/>
      </w:pPr>
      <w:r>
        <w:rPr/>
        <w:t xml:space="preserve"> </w:t>
      </w:r>
    </w:p>
    <w:p>
      <w:pPr>
        <w:pStyle w:val="Normal"/>
        <w:rPr/>
      </w:pPr>
      <w:r>
        <w:rPr/>
        <w:t xml:space="preserve">Mes teikiame šią rekomendaciją, nes mes visi turime būti atsakingi už savo veiksmus. Todėl turime permąstyti visus gamybos procesus. Perdirbimas reikalauja daug išteklių (vandens, energijos), todėl negali būti vienintelis sprendimas, todėl mes siūlome parduoti produktus dideliais kiekiais. Perdirbimas turėtų būti naudojamas tik lengvai perdirbamoms medžiagoms, ir iš Suomijos pavyzdžio sužinojome, kad galima perdirbti dideliu mastu. </w:t>
      </w:r>
    </w:p>
    <w:p>
      <w:pPr>
        <w:pStyle w:val="Normal"/>
        <w:rPr/>
      </w:pPr>
      <w:r>
        <w:rPr/>
      </w:r>
    </w:p>
    <w:p>
      <w:pPr>
        <w:pStyle w:val="P68B1DB1Normal15"/>
        <w:rPr>
          <w:b/>
          <w:b/>
        </w:rPr>
      </w:pPr>
      <w:r>
        <w:rPr/>
        <w:t xml:space="preserve">13. Rekomenduojame visoje Europoje nustatyti vienodas mokesčių taisykles ir suderinti mokesčių politiką visoje ES. Suderinimas šioje srityje turėtų palikti galimybę atskiroms valstybėms narėms nustatyti savo taisykles, kartu vengiant mokesčių slėpimo. Taip bus nutraukta žalinga mokesčių praktika ir mokesčių konkurencija. Mokesčiai turėtų būti taikomi komerciniams sandoriams, kai jie sudaromi: kai įmonė parduoda šalyje, ji turėtų mokėti mokesčius toje šalyje. Šiomis naujomis taisyklėmis būtų siekiama užkirsti kelią perkėlimui ir užtikrinti, kad gamyba ir sandoriai vyktų tarp Europos šalių. </w:t>
      </w:r>
    </w:p>
    <w:p>
      <w:pPr>
        <w:pStyle w:val="Normal"/>
        <w:rPr/>
      </w:pPr>
      <w:r>
        <w:rPr/>
        <w:t xml:space="preserve"> </w:t>
      </w:r>
    </w:p>
    <w:p>
      <w:pPr>
        <w:pStyle w:val="Normal"/>
        <w:rPr/>
      </w:pPr>
      <w:r>
        <w:rPr/>
        <w:t xml:space="preserve">Mes teikiame šią rekomendaciją apsaugoti ir plėtoti užimtumą ir ekonominę veiklą Europoje tokiu būdu, kuris būtų sąžiningas visų valstybių narių atžvilgiu. Tokiu būdu Europa turės bendrą supratimą apie mokesčių sistemą ir bus nutraukta absurdiška labai didelių įmonių, kurios nemoka pakankamai mokesčių, palyginti su mažesnėmis įmonėmis, monopolinė padėtis. Be to, finansiniai ištekliai bus nukreipti ten, kur vykdoma komercinė veikla. </w:t>
      </w:r>
    </w:p>
    <w:p>
      <w:pPr>
        <w:pStyle w:val="Normal"/>
        <w:rPr/>
      </w:pPr>
      <w:r>
        <w:rPr/>
        <w:t xml:space="preserve"> </w:t>
      </w:r>
    </w:p>
    <w:p>
      <w:pPr>
        <w:pStyle w:val="P68B1DB1Normal15"/>
        <w:rPr>
          <w:b/>
          <w:b/>
        </w:rPr>
      </w:pPr>
      <w:r>
        <w:rPr/>
        <w:t xml:space="preserve">14. Rekomenduojame pašalinti užprogramuotą nusidėvėjimo sistemą iš visų elektroninių prietaisų. Pakeitimas turėtų vykti tiek individualiai, tiek komerciniais tikslais, siekiant užtikrinti, kad prietaisus būtų galima remontuoti ir atnaujinti ilgą laiką ir juos būtų galima laikyti ilgą laiką. Rekomenduojame reklamuoti atnaujintus įrenginius. Reglamentuose turėtų būti reikalaujama, kad įmonės garantuotų teisę į taisymą, įskaitant programinės įrangos atnaujinimus ir atnaujinimus, taip pat ilgam laikui perdirbti visus prietaisus. Taip pat rekomenduojama, kad kiekviena įmonė naudotų standartines jungtis. </w:t>
      </w:r>
    </w:p>
    <w:p>
      <w:pPr>
        <w:pStyle w:val="P68B1DB1Normal15"/>
        <w:rPr>
          <w:b/>
          <w:b/>
        </w:rPr>
      </w:pPr>
      <w:r>
        <w:rPr/>
        <w:t xml:space="preserve"> </w:t>
      </w:r>
    </w:p>
    <w:p>
      <w:pPr>
        <w:pStyle w:val="Normal"/>
        <w:rPr/>
      </w:pPr>
      <w:r>
        <w:rPr/>
        <w:t xml:space="preserve">Mes pateikiame šią rekomendaciją, nes šiuolaikiniame pasaulyje produktai paprastai trunka dvejus metus, o mūsų noras yra tai, kad jų naudojimo trukmė yra daug ilgesnė – apie 10 metų. Šis pasiūlymas turės teigiamą poveikį klimato kaitai ir ekologijai. Tai taip pat sumažins vartotojų išlaidas ir vartotojiškumą. </w:t>
      </w:r>
    </w:p>
    <w:p>
      <w:pPr>
        <w:pStyle w:val="Normal"/>
        <w:rPr/>
      </w:pPr>
      <w:r>
        <w:rPr/>
      </w:r>
    </w:p>
    <w:p>
      <w:pPr>
        <w:pStyle w:val="P68B1DB1Normal15"/>
        <w:rPr>
          <w:b/>
          <w:b/>
        </w:rPr>
      </w:pPr>
      <w:r>
        <w:rPr/>
        <w:t xml:space="preserve">15. Mes rekomenduojame padėti visiems daugiau sužinoti apie mūsų aplinką ir jos sąsajas su individualia sveikata per švietimą. Švietimo Pathways padės kiekvienam nustatyti savo asmenines strategijas integruoti šias temas į savo kasdienį gyvenimą. Šis ugdymas turėtų prasidėti mokykloje su konkrečiais dalykais, susijusiais su visais ekologiniais klausimais, ir mes turėtume toliau šviesti save visą savo gyvenimą (pvz., darbe). Tai padės sumažinti atliekų kiekį ir apsaugoti aplinką bei žmonių sveikatą, taip pat skatins vietoje vartoti sveikus ir neperdirbtus vietos gamintojų produktus. Tie, kurie nieko nedaro, kad sumažintų savo atliekas, turės gauti nemokamą mokymą šioje srityje. Siekiant pritaikyti gyvenimo būdą, kainos turi būti teisingos tiek gamintojui, tiek vartotojui. Todėl siūlome, kad smulkūs, aplinką tausojantys vietos gamintojai galėtų pasinaudoti mokesčių lengvatomis. </w:t>
      </w:r>
    </w:p>
    <w:p>
      <w:pPr>
        <w:pStyle w:val="Normal"/>
        <w:rPr/>
      </w:pPr>
      <w:r>
        <w:rPr/>
        <w:t xml:space="preserve"> </w:t>
      </w:r>
    </w:p>
    <w:p>
      <w:pPr>
        <w:pStyle w:val="Normal"/>
        <w:rPr/>
      </w:pPr>
      <w:r>
        <w:rPr/>
        <w:t xml:space="preserve">Mes teikiame šią rekomendaciją, nes manome, kad daugelis žmonių dar nesijaučia susirūpinę šiais klausimais. Todėl visų švietimas turi būti įgyvendintas. Be to, vietiniai ir sveiki produktai paprastai yra neįperkami daugeliui žmonių. Turime užtikrinti, kad vietiniai produktai būtų plačiau prieinami visiems. </w:t>
      </w:r>
    </w:p>
    <w:p>
      <w:pPr>
        <w:pStyle w:val="Normal"/>
        <w:rPr/>
      </w:pPr>
      <w:r>
        <w:rPr/>
      </w:r>
    </w:p>
    <w:p>
      <w:pPr>
        <w:pStyle w:val="Titre4"/>
        <w:numPr>
          <w:ilvl w:val="3"/>
          <w:numId w:val="2"/>
        </w:numPr>
        <w:rPr/>
      </w:pPr>
      <w:bookmarkStart w:id="113" w:name="__RefHeading___Toc297161_1346298689"/>
      <w:bookmarkEnd w:id="113"/>
      <w:r>
        <w:rPr/>
        <w:t xml:space="preserve">Subašis. Žemės ūkis/paašis 2.5 Skaitmeninė infrastruktūra </w:t>
      </w:r>
    </w:p>
    <w:p>
      <w:pPr>
        <w:pStyle w:val="Normal"/>
        <w:rPr/>
      </w:pPr>
      <w:r>
        <w:rPr/>
        <w:t xml:space="preserve"> </w:t>
      </w:r>
    </w:p>
    <w:p>
      <w:pPr>
        <w:pStyle w:val="P68B1DB1Normal15"/>
        <w:rPr>
          <w:b/>
          <w:b/>
        </w:rPr>
      </w:pPr>
      <w:r>
        <w:rPr/>
        <w:t xml:space="preserve">16. Rekomenduojame įdiegti bendrą Europos vartotojų ir maistingumo ženklinimo sistemą, kuri būtų lengvai suprantama (pvz., alergenai, kilmės šalis ir t. t.); mes rekomenduojame šiuo metu vykstančių autorizacijos procesų skaidrumą ir produktų informacijos skaitmeninimą naudojant standartizuotą Europos taikomąją programą, kuri suteiktų vartotojams patogesnę prieigą prie informacijos ir teiktų papildomą informaciją apie produktus ir gamybos grandinę. Taip pat manome, kad reikia tikrai nepriklausomos institucijos, kuri reglamentuotų maisto standartus visoje ES ir turėtų teisėkūros galias sankcijų vykdymui užtikrinti. </w:t>
      </w:r>
    </w:p>
    <w:p>
      <w:pPr>
        <w:pStyle w:val="Normal"/>
        <w:rPr/>
      </w:pPr>
      <w:r>
        <w:rPr/>
        <w:t xml:space="preserve"> </w:t>
      </w:r>
    </w:p>
    <w:p>
      <w:pPr>
        <w:pStyle w:val="Normal"/>
        <w:rPr/>
      </w:pPr>
      <w:r>
        <w:rPr/>
        <w:t xml:space="preserve">Pateikiame šias rekomendacijas, nes visi ES piliečiai turėtų turėti galimybę pasikliauti ta pačia maisto kokybe. Siekiant užtikrinti piliečių saugumą, būtina užtikrinti maisto produktų vientisumą. Šios rekomendacijos buvo suformuluotos siekiant darniai pagerinti leidimų išdavimo procesų stebėseną ir maisto gamybos skaidrumą. </w:t>
      </w:r>
    </w:p>
    <w:p>
      <w:pPr>
        <w:pStyle w:val="Normal"/>
        <w:rPr/>
      </w:pPr>
      <w:r>
        <w:rPr/>
      </w:r>
    </w:p>
    <w:p>
      <w:pPr>
        <w:pStyle w:val="P68B1DB1Normal15"/>
        <w:rPr>
          <w:b/>
          <w:b/>
        </w:rPr>
      </w:pPr>
      <w:r>
        <w:rPr/>
        <w:t xml:space="preserve">17. Mes rekomenduojame, kad infrastruktūra priklausytų valstybei, siekiant užkirsti kelią monopolijų atsiradimui telekomunikacijų ir interneto paslaugų sektoriuje. Interneto prieiga turėtų būti teisė; interneto ryšio įtraukimas į „baltąsias zonas/negyvąsias zonas“ (vietas, kuriose nėra interneto prieigos) turėtų būti prioritetas. Kalbant apie prieigą prie interneto ir kompiuterinės įrangos, vaikai ir šeimos yra prioritetas, ypač švietimo srityje ir ypač pandemijos metu. Reikia iniciatyvos, kuri padėtų remti nuotolinį darbą, pavyzdžiui, sukuriant biurų patalpas, kuriose būtų galima naudotis sparčiu ir patikimu interneto ryšiu, arba organizuojant skaitmeninius mokymus. </w:t>
      </w:r>
    </w:p>
    <w:p>
      <w:pPr>
        <w:pStyle w:val="Normal"/>
        <w:rPr/>
      </w:pPr>
      <w:r>
        <w:rPr/>
        <w:t xml:space="preserve"> </w:t>
      </w:r>
    </w:p>
    <w:p>
      <w:pPr>
        <w:pStyle w:val="Normal"/>
        <w:rPr/>
      </w:pPr>
      <w:r>
        <w:rPr/>
        <w:t xml:space="preserve">Pateikiame šią rekomendaciją, nes turime užtikrinti, kad skaitmeninė transformacija būtų vykdoma sąžiningai. Prieiga prie interneto yra labai svarbi demokratijai ir visų Europos piliečių teisė. </w:t>
      </w:r>
    </w:p>
    <w:p>
      <w:pPr>
        <w:pStyle w:val="Normal"/>
        <w:rPr/>
      </w:pPr>
      <w:r>
        <w:rPr/>
      </w:r>
    </w:p>
    <w:p>
      <w:pPr>
        <w:pStyle w:val="Normal"/>
        <w:rPr/>
      </w:pPr>
      <w:r>
        <w:rPr>
          <w:b/>
        </w:rPr>
        <w:t>18. Rekomenduojame gerbti vietinius vabzdžius ir apsaugoti juos nuo invazinių rūšių. Taip pat siūlome skatinti ir ginti įsipareigojimą kurti žaliąsias erdves naujuose urbanizacijos projektuose. Mes raginame, kad biologinė įvairovė taptų privalomu dalyku mokyklose ir būtų mokyklos veiklos objektas, pavyzdžiui, praktinė veikla. Svarbu didinti visuomenės informuotumą apie biologinę įvairovę visoje ES propaguojamomis žiniasklaidos kampanijomis ir „konkurencijomis“ (konkursai vietos bendruomenės lygmeniu). Rekomenduojame visose ES valstybėse narėse nustatyti privalomus nacionalinius tikslus, susijusius su miškų atželdinimu vietiniais medžiais ir vietos floros atkūrimu</w:t>
      </w:r>
      <w:r>
        <w:rPr/>
        <w:t xml:space="preserve">. </w:t>
      </w:r>
    </w:p>
    <w:p>
      <w:pPr>
        <w:pStyle w:val="Normal"/>
        <w:rPr/>
      </w:pPr>
      <w:r>
        <w:rPr/>
        <w:t xml:space="preserve"> </w:t>
      </w:r>
    </w:p>
    <w:p>
      <w:pPr>
        <w:pStyle w:val="Normal"/>
        <w:rPr/>
      </w:pPr>
      <w:r>
        <w:rPr/>
        <w:t xml:space="preserve">Pateikiame šią rekomendaciją, nes biologinė įvairovė yra labai svarbi aplinkai, gyvenimo kokybei ir kovai su klimato kaita.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3 kryptis Teisinga visuomenė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3.1. Socialinė apsauga </w:t>
      </w:r>
    </w:p>
    <w:p>
      <w:pPr>
        <w:pStyle w:val="Normal"/>
        <w:rPr/>
      </w:pPr>
      <w:r>
        <w:rPr/>
        <w:t xml:space="preserve"> </w:t>
      </w:r>
    </w:p>
    <w:p>
      <w:pPr>
        <w:pStyle w:val="P68B1DB1Normal15"/>
        <w:rPr>
          <w:b/>
          <w:b/>
        </w:rPr>
      </w:pPr>
      <w:r>
        <w:rPr/>
        <w:t xml:space="preserve">19. Rekomenduojame skatinti lygias teises ir socialinę politiką, įskaitant sveikatos politiką, suderintą visoje ES, atsižvelgiant į visoje šalyje priimtus reglamentus ir minimalius reikalavimus. </w:t>
      </w:r>
    </w:p>
    <w:p>
      <w:pPr>
        <w:pStyle w:val="Normal"/>
        <w:rPr/>
      </w:pPr>
      <w:r>
        <w:rPr/>
        <w:t xml:space="preserve"> </w:t>
      </w:r>
    </w:p>
    <w:p>
      <w:pPr>
        <w:pStyle w:val="Normal"/>
        <w:rPr/>
      </w:pPr>
      <w:r>
        <w:rPr/>
        <w:t xml:space="preserve">Pateikiame šią rekomendaciją, nes tarp valstybių narių esama didelių socialinės politikos skirtumų, kuriuos reikia sumažinti, kad visiems piliečiams būtų užtikrintas deramas gyvenimas ir kad dėl įvairių priežasčių (sveikatos, amžiaus, seksualinės orientacijos ir t. t.) būtų teikiama būtina priežiūra ir parama pažeidžiamiems žmonėms. </w:t>
      </w:r>
    </w:p>
    <w:p>
      <w:pPr>
        <w:pStyle w:val="Normal"/>
        <w:rPr/>
      </w:pPr>
      <w:r>
        <w:rPr/>
      </w:r>
    </w:p>
    <w:p>
      <w:pPr>
        <w:pStyle w:val="P68B1DB1Normal15"/>
        <w:rPr>
          <w:b/>
          <w:b/>
        </w:rPr>
      </w:pPr>
      <w:r>
        <w:rPr/>
        <w:t xml:space="preserve">20. Rekomenduojame skatinti socialinius ir sveikatos mokslinius tyrimus ES, vadovaujantis prioritetinėmis kryptimis, kurios laikomos viešojo intereso ir kurias patvirtino valstybės narės, ir numatant tinkamą finansavimą. Turime stiprinti bendradarbiavimą tarp kompetencijos sričių, šalių, studijų centrų (universitetų ir kt.). </w:t>
      </w:r>
    </w:p>
    <w:p>
      <w:pPr>
        <w:pStyle w:val="Normal"/>
        <w:rPr/>
      </w:pPr>
      <w:r>
        <w:rPr/>
        <w:t xml:space="preserve"> </w:t>
      </w:r>
    </w:p>
    <w:p>
      <w:pPr>
        <w:pStyle w:val="Normal"/>
        <w:rPr/>
      </w:pPr>
      <w:r>
        <w:rPr/>
        <w:t xml:space="preserve">Pateikiame šią rekomendaciją, nes yra daug sričių, kuriose turime tobulinti ir gilinti savo žinias. Pandemijos metu įgyta patirtis yra pavyzdys, kaip moksliniai tyrimai yra labai svarbūs gyvenimo gerinimui, kad būtinas visuomenės ir privačiųjų bei vyriausybių bendradarbiavimas ir kad reikalinga finansinė parama. </w:t>
      </w:r>
    </w:p>
    <w:p>
      <w:pPr>
        <w:pStyle w:val="Normal"/>
        <w:rPr/>
      </w:pPr>
      <w:r>
        <w:rPr/>
      </w:r>
    </w:p>
    <w:p>
      <w:pPr>
        <w:pStyle w:val="P68B1DB1Normal15"/>
        <w:rPr>
          <w:b/>
          <w:b/>
        </w:rPr>
      </w:pPr>
      <w:r>
        <w:rPr/>
        <w:t xml:space="preserve">21. Rekomenduojame, kad ES turėtų didesnę kompetenciją socialinės politikos srityje siekiant suderinti minimalias taisykles ir pensijų išmokas visoje ES ir nustatyti naujas, remiantis išsamia diagnoze. Minimali pensija turi būti didesnė už šalies skurdo ribą. Pensinis amžius turėtų skirtis priklausomai nuo profesinių kategorijų ir turėtų būti trumpesnis protiškai ir fiziškai reikalaujančių profesijų atveju. Be to, vyresnio amžiaus žmonėms, norintiems toliau dirbti savanoriškai, turėtų būti užtikrinta teisė dirbti. </w:t>
      </w:r>
    </w:p>
    <w:p>
      <w:pPr>
        <w:pStyle w:val="Normal"/>
        <w:rPr/>
      </w:pPr>
      <w:r>
        <w:rPr/>
        <w:t xml:space="preserve"> </w:t>
      </w:r>
    </w:p>
    <w:p>
      <w:pPr>
        <w:pStyle w:val="Normal"/>
        <w:rPr/>
      </w:pPr>
      <w:r>
        <w:rPr/>
        <w:t xml:space="preserve">Mes pateikiame šią rekomendaciją, nes gyvenimo trukmė pailgėja, o gimstamumas mažėja. Europos gyventojai senėja, todėl turime imtis tolesnių veiksmų, kad išvengtume pagyvenusių žmonių atskirties rizikos ir užtikrintume jiems deramą gyvenimą. </w:t>
      </w:r>
    </w:p>
    <w:p>
      <w:pPr>
        <w:pStyle w:val="Normal"/>
        <w:rPr/>
      </w:pPr>
      <w:r>
        <w:rPr/>
        <w:t xml:space="preserve"> </w:t>
      </w:r>
    </w:p>
    <w:p>
      <w:pPr>
        <w:pStyle w:val="Normal"/>
        <w:rPr/>
      </w:pPr>
      <w:r>
        <w:rPr>
          <w:b/>
        </w:rPr>
        <w:t>22. Rekomenduojame priimti priemonių rinkinį, kuris skatintų gimstamumo didėjimą ir užtikrintų tinkamus vaikų priežiūros sprendimus. Šios priemonės turėtų apimti, inter alia, įperkamas ir prieinamas vaikų priežiūros paslaugas (dirbant, naktį, sumažintą PVM vaikų patalpoms), būstą, darbo stabilumą, motinystės paramą, specialią paramą ir darbo apsaugą jaunimui ir tėvams, taip pat paramą motinoms ir tėvams, suteikiant galimybę gauti žinių grįžus į darbą.</w:t>
      </w:r>
      <w:r>
        <w:rPr/>
        <w:t xml:space="preserve"> </w:t>
      </w:r>
    </w:p>
    <w:p>
      <w:pPr>
        <w:pStyle w:val="Normal"/>
        <w:rPr/>
      </w:pPr>
      <w:r>
        <w:rPr/>
        <w:t xml:space="preserve"> </w:t>
      </w:r>
    </w:p>
    <w:p>
      <w:pPr>
        <w:pStyle w:val="Normal"/>
        <w:rPr/>
      </w:pPr>
      <w:r>
        <w:rPr/>
        <w:t xml:space="preserve">Pateikiame šią rekomendaciją, nes ES išsiskiria mažu gimstamumu, kuris taip pat prisideda prie Europos gyventojų senėjimo ir dėl kurio reikia nedelsiant imtis veiksmų. Siūlomu dokumentų rinkiniu siekiama užtikrinti, kad jaunos šeimos turėtų būtiną stabilumą, kad galėtų rūpintis vaikais. </w:t>
      </w:r>
    </w:p>
    <w:p>
      <w:pPr>
        <w:pStyle w:val="Normal"/>
        <w:rPr/>
      </w:pPr>
      <w:r>
        <w:rPr/>
      </w:r>
    </w:p>
    <w:p>
      <w:pPr>
        <w:pStyle w:val="P68B1DB1Normal15"/>
        <w:rPr>
          <w:b/>
          <w:b/>
        </w:rPr>
      </w:pPr>
      <w:r>
        <w:rPr/>
        <w:t xml:space="preserve">23. Rekomenduojame užtikrinti socialinę pagalbą ir sveikatos priežiūrą pagyvenusiems žmonėms namuose ir globos namuose. Taip pat reikia gerinti paramą tiems, kurie rūpinasi pagyvenusiais žmonėmis (netoli). </w:t>
      </w:r>
    </w:p>
    <w:p>
      <w:pPr>
        <w:pStyle w:val="Normal"/>
        <w:rPr/>
      </w:pPr>
      <w:r>
        <w:rPr/>
        <w:t xml:space="preserve"> </w:t>
      </w:r>
    </w:p>
    <w:p>
      <w:pPr>
        <w:pStyle w:val="Normal"/>
        <w:rPr/>
      </w:pPr>
      <w:r>
        <w:rPr/>
        <w:t xml:space="preserve">Pateikiame šią rekomendaciją, nes gyvenimo trukmė pailgėja ir gimstamumas mažėja; Europos gyventojai senėja, todėl turime imtis tolesnių veiksmų, kad išvengtume pagyvenusių žmonių atskirties rizikos ir užtikrintume jiems deramą gyvenimą. </w:t>
      </w:r>
    </w:p>
    <w:p>
      <w:pPr>
        <w:pStyle w:val="Normal"/>
        <w:rPr/>
      </w:pPr>
      <w:r>
        <w:rPr/>
        <w:t xml:space="preserve"> </w:t>
      </w:r>
    </w:p>
    <w:p>
      <w:pPr>
        <w:pStyle w:val="P68B1DB1Normal15"/>
        <w:rPr>
          <w:b/>
          <w:b/>
        </w:rPr>
      </w:pPr>
      <w:r>
        <w:rPr/>
        <w:t xml:space="preserve">24. Rekomenduojame, kad ES remtų paliatyviąją priežiūrą ir padedamą mirtį [eutanaziją] pagal konkrečias taisykles ir reglamentus. </w:t>
      </w:r>
    </w:p>
    <w:p>
      <w:pPr>
        <w:pStyle w:val="Normal"/>
        <w:rPr/>
      </w:pPr>
      <w:r>
        <w:rPr/>
        <w:t xml:space="preserve"> </w:t>
      </w:r>
    </w:p>
    <w:p>
      <w:pPr>
        <w:pStyle w:val="Normal"/>
        <w:rPr/>
      </w:pPr>
      <w:r>
        <w:rPr/>
        <w:t xml:space="preserve">Pateikiame šią rekomendaciją, nes tai sumažintų pacientų ir šeimų skausmą ir užtikrintų deramą gyvenimo pabaigą. </w:t>
      </w:r>
    </w:p>
    <w:p>
      <w:pPr>
        <w:pStyle w:val="Normal"/>
        <w:rPr/>
      </w:pPr>
      <w:r>
        <w:rPr/>
        <w:t xml:space="preserve"> </w:t>
      </w:r>
    </w:p>
    <w:p>
      <w:pPr>
        <w:pStyle w:val="Titre4"/>
        <w:numPr>
          <w:ilvl w:val="3"/>
          <w:numId w:val="2"/>
        </w:numPr>
        <w:rPr/>
      </w:pPr>
      <w:bookmarkStart w:id="117" w:name="__RefHeading___Toc297169_1346298689"/>
      <w:bookmarkEnd w:id="117"/>
      <w:r>
        <w:rPr/>
        <w:t xml:space="preserve">Poašis 3.2 Teisių lygybė </w:t>
      </w:r>
    </w:p>
    <w:p>
      <w:pPr>
        <w:pStyle w:val="Normal"/>
        <w:rPr/>
      </w:pPr>
      <w:r>
        <w:rPr/>
        <w:t xml:space="preserve"> </w:t>
      </w:r>
    </w:p>
    <w:p>
      <w:pPr>
        <w:pStyle w:val="P68B1DB1Normal15"/>
        <w:rPr>
          <w:b/>
          <w:b/>
        </w:rPr>
      </w:pPr>
      <w:r>
        <w:rPr/>
        <w:t xml:space="preserve">25. Rekomenduojame, kad ES remtų tikslinę piliečių prieigą prie deramo socialinio būsto, atsižvelgiant į jų konkrečius poreikius. Finansinės pastangos turėtų būti paskirstytos privatiems paramos teikėjams, namų savininkams, būsto gavėjams, valstybių narių vyriausybėms centriniu ir vietos lygmenimis ir Europos Sąjungai. Turėtų būti siekiama sudaryti palankesnes sąlygas esamo socialinio būsto statybai ir (arba) remontui, be kita ko, pasitelkiant kooperatyvų asociacijas, nuomą ir pirkimą. Pagalba turėtų būti teikiama remiantis aiškiais kriterijais (pvz., didžiausias subsidijuojamas plotas/asmuo, pagalbos gavėjų pajamos ir t. t.). </w:t>
      </w:r>
    </w:p>
    <w:p>
      <w:pPr>
        <w:pStyle w:val="Normal"/>
        <w:rPr/>
      </w:pPr>
      <w:r>
        <w:rPr/>
        <w:t xml:space="preserve"> </w:t>
      </w:r>
    </w:p>
    <w:p>
      <w:pPr>
        <w:pStyle w:val="Normal"/>
        <w:rPr/>
      </w:pPr>
      <w:r>
        <w:rPr/>
        <w:t xml:space="preserve">Pateikiame šią rekomendaciją, nes geresnės galimybės gauti būstą užtikrintų, kad ES piliečiai turėtų apčiuopiamą lygias teises, ir padėtų sumažinti socialinę įtampą. ES iš esmės raginama prižiūrėti paramos mechanizmą; nacionalinės ir vietos valdžios institucijos turėtų dėti daugiau pastangų būsto problemoms spręsti. </w:t>
      </w:r>
    </w:p>
    <w:p>
      <w:pPr>
        <w:pStyle w:val="Normal"/>
        <w:rPr/>
      </w:pPr>
      <w:r>
        <w:rPr/>
      </w:r>
    </w:p>
    <w:p>
      <w:pPr>
        <w:pStyle w:val="P68B1DB1Normal15"/>
        <w:rPr>
          <w:b/>
          <w:b/>
        </w:rPr>
      </w:pPr>
      <w:r>
        <w:rPr/>
        <w:t xml:space="preserve">26. Rekomenduojame ES pagerinti paramos priemonių, skirtų vaikų turinčioms šeimoms visose valstybėse narėse, reglamentavimą ir vienodą įgyvendinimą. Šios priemonės visų pirma apima: vaiko priežiūros atostogų trukmės, vaiko gimimo pašalpos ir vaiko priežiūros pašalpos pailgėjimą. </w:t>
      </w:r>
    </w:p>
    <w:p>
      <w:pPr>
        <w:pStyle w:val="Normal"/>
        <w:rPr/>
      </w:pPr>
      <w:r>
        <w:rPr/>
        <w:t xml:space="preserve"> </w:t>
      </w:r>
    </w:p>
    <w:p>
      <w:pPr>
        <w:pStyle w:val="Normal"/>
        <w:rPr/>
      </w:pPr>
      <w:r>
        <w:rPr/>
        <w:t xml:space="preserve">Pateikiame šią rekomendaciją, nes manome, kad šios priemonės padėtų sušvelninti demografinę problemą, su kuria susiduria ES. Jie taip pat padidintų lyčių lygybę tarp tėvų. </w:t>
      </w:r>
    </w:p>
    <w:p>
      <w:pPr>
        <w:pStyle w:val="Normal"/>
        <w:rPr/>
      </w:pPr>
      <w:r>
        <w:rPr/>
      </w:r>
    </w:p>
    <w:p>
      <w:pPr>
        <w:pStyle w:val="P68B1DB1Normal15"/>
        <w:rPr>
          <w:b/>
          <w:b/>
        </w:rPr>
      </w:pPr>
      <w:r>
        <w:rPr/>
        <w:t xml:space="preserve">27. Rekomenduojame ES imtis veiksmų siekiant užtikrinti, kad visos šeimos turėtų vienodas šeimos teises visose valstybėse narėse. Šios teisės apima teisę į santuoką ir įvaikinimą. </w:t>
      </w:r>
    </w:p>
    <w:p>
      <w:pPr>
        <w:pStyle w:val="Normal"/>
        <w:rPr/>
      </w:pPr>
      <w:r>
        <w:rPr/>
        <w:t xml:space="preserve"> </w:t>
      </w:r>
    </w:p>
    <w:p>
      <w:pPr>
        <w:pStyle w:val="Normal"/>
        <w:rPr/>
      </w:pPr>
      <w:r>
        <w:rPr/>
        <w:t xml:space="preserve">Pateikiame šią rekomendaciją, nes manome, kad visi ES piliečiai turėtų naudotis lygiomis teisėmis, įskaitant šeimos teises. Šeima yra pagrindinė socialinės organizacijos forma. Laiminga šeima prisideda prie sveikos visuomenės. Rekomendacija siekiama užtikrinti, kad visi piliečiai turėtų šeimos teises, neatsižvelgiant į lytį, pilnametystę, etninę kilmę ar fizinę sveikatą.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Subašis 3.3 Akcinis kapitalas/paašis 3.4 Galimybė sportuoti </w:t>
      </w:r>
      <w:commentRangeEnd w:id="1"/>
      <w:r>
        <w:commentReference w:id="1"/>
      </w:r>
      <w:r>
        <w:rPr/>
      </w:r>
    </w:p>
    <w:p>
      <w:pPr>
        <w:pStyle w:val="Normal"/>
        <w:rPr/>
      </w:pPr>
      <w:r>
        <w:rPr/>
        <w:t xml:space="preserve"> </w:t>
      </w:r>
    </w:p>
    <w:p>
      <w:pPr>
        <w:pStyle w:val="P68B1DB1Normal15"/>
        <w:rPr>
          <w:b/>
          <w:b/>
        </w:rPr>
      </w:pPr>
      <w:r>
        <w:rPr/>
        <w:t xml:space="preserve">28. Rekomenduojame aktyviai propaguoti 2020–2025 m. ES lyčių lygybės strategiją ir teikti jai didelį prioritetą, nes tai yra neatidėliotinas klausimas, kurį veiksmingai sprendžia valstybės narės. ES turėtų: a) apibrėžti rodiklius (požiūrį, darbo užmokesčio skirtumą, užimtumą, lyderystę ir t. t.), kasmet stebėti strategiją ir skaidriai vertinti pasiektus rezultatus; ir b) įsteigti ombudsmeną, kuris tiesiogiai iš piliečių gautų grįžtamąją informaciją. </w:t>
      </w:r>
    </w:p>
    <w:p>
      <w:pPr>
        <w:pStyle w:val="Normal"/>
        <w:rPr/>
      </w:pPr>
      <w:r>
        <w:rPr/>
        <w:t xml:space="preserve"> </w:t>
      </w:r>
    </w:p>
    <w:p>
      <w:pPr>
        <w:pStyle w:val="Normal"/>
        <w:rPr/>
      </w:pPr>
      <w:r>
        <w:rPr/>
        <w:t xml:space="preserve">Pateikiame šią rekomendaciją, nes manome, kad lyčių padėtis ES toli gražu nėra patenkinama. Siekiant lyčių lygybės ir pilietinių teisių tikslų visose šalyse, o ne tik tose šalyse, kuriose kompromisas yra stipresnis, turėtų būti suderinta lyčių lygybė ir pilietinės teisės Europos lygmeniu. Kad Europos Sąjunga būtų įvairi ir ją patenkintų, esame įsipareigoję užtikrinti moterų buvimą ir indėlį į valdžios ir visų rūšių profesijas. Moterys yra nepalankioje padėtyje daugeliu atvejų (net jei jos turi gerą išsilavinimą/sertifikuotą aukštąjį išsilavinimą ar kitas privilegijas), todėl tokia strategija yra absoliučiai būtina. </w:t>
      </w:r>
    </w:p>
    <w:p>
      <w:pPr>
        <w:pStyle w:val="Normal"/>
        <w:rPr/>
      </w:pPr>
      <w:r>
        <w:rPr/>
      </w:r>
    </w:p>
    <w:p>
      <w:pPr>
        <w:pStyle w:val="P68B1DB1Normal15"/>
        <w:rPr>
          <w:b/>
          <w:b/>
        </w:rPr>
      </w:pPr>
      <w:r>
        <w:rPr/>
        <w:t xml:space="preserve">29. Rekomenduojame ES skatinti ir didinti visuomenės informuotumą apie sportą ir fizinį aktyvumą visose valstybėse narėse, atsižvelgiant į jų naudą sveikatai. Sportas ir fizinis aktyvumas turėtų būti įtraukti į socialinę politiką, psichikos ir fizinės sveikatos politiką, švietimo ir darbo politiką (t. y. skatinti gydytojus skirti sportą ir (arba) fizinį aktyvumą ir, jei tai daroma, užtikrinti galimybę naudotis sporto infrastruktūra; 1 darbo valanda per savaitę fiziniam aktyvumui ir t. t.). </w:t>
      </w:r>
    </w:p>
    <w:p>
      <w:pPr>
        <w:pStyle w:val="Normal"/>
        <w:rPr/>
      </w:pPr>
      <w:r>
        <w:rPr/>
        <w:t xml:space="preserve"> </w:t>
      </w:r>
    </w:p>
    <w:p>
      <w:pPr>
        <w:pStyle w:val="Normal"/>
        <w:rPr/>
      </w:pPr>
      <w:r>
        <w:rPr/>
        <w:t xml:space="preserve">Mes pateikiame šią rekomendaciją, nes tai yra ilgalaikė investicija. Investavimas į sportą ir fizinį aktyvumą mažina sveikatos priežiūros paslaugų išlaidas ir naštą. Pavyzdžiui, sportas ir fizinis aktyvumas, kaip sveikatos intervencija, sutrumpintų gydymo trukmę ir padarytų jį veiksmingesnį. Ši strategija jau sėkmingai įgyvendinama kai kuriose šalyse, pavyzdžiui, Vokietijoje. Sportas yra būdas kurti tokias vertybes kaip įsipareigojimas, pastangos, savigarba, pagarba ar bendraamžiai. Sėdimas gyvenimo būdas yra labiau paplitęs nei ankstesnės kartos dėl, be kita ko, daugiau biuro darbo vietų ir (arba) laisvalaikio įpročių pokyčių. </w:t>
      </w:r>
    </w:p>
    <w:p>
      <w:pPr>
        <w:pStyle w:val="Normal"/>
        <w:rPr/>
      </w:pPr>
      <w:r>
        <w:rPr/>
      </w:r>
    </w:p>
    <w:p>
      <w:pPr>
        <w:pStyle w:val="P68B1DB1Normal15"/>
        <w:rPr>
          <w:b/>
          <w:b/>
        </w:rPr>
      </w:pPr>
      <w:r>
        <w:rPr/>
        <w:t xml:space="preserve">30. Rekomenduojame, kad ES įpareigotų kiekvieną valstybę narę nustatyti minimalų darbo užmokestį, kuris būtų nustatomas pagal pragyvenimo išlaidas jos teritorijoje ir kuris būtų laikomas teisingu darbo užmokesčiu, leidžiančiu užtikrinti minimalias gyvenimo sąlygas, viršijančias skurdo ribą. Kiekviena valstybė narė turi ją stebėti. </w:t>
      </w:r>
    </w:p>
    <w:p>
      <w:pPr>
        <w:pStyle w:val="Normal"/>
        <w:rPr/>
      </w:pPr>
      <w:r>
        <w:rPr/>
        <w:t xml:space="preserve"> </w:t>
      </w:r>
    </w:p>
    <w:p>
      <w:pPr>
        <w:pStyle w:val="Normal"/>
        <w:rPr/>
      </w:pPr>
      <w:r>
        <w:rPr/>
        <w:t xml:space="preserve">Mes pateikiame šią rekomendaciją, nes nesąžininga negalėti pasiekti mėnesio pabaigos, kai dirbame. Teisingas darbo užmokestis turėtų padėti gerinti gyvenimo kokybę socialiniu lygmeniu. Dėl nesąžiningo darbo užmokesčio valstybės patiria didelių išlaidų (saugumas, mokesčių vengimas, didesnės socialinės išlaidos ir kt.). </w:t>
      </w:r>
    </w:p>
    <w:p>
      <w:pPr>
        <w:pStyle w:val="Normal"/>
        <w:rPr/>
      </w:pPr>
      <w:r>
        <w:rPr/>
      </w:r>
    </w:p>
    <w:p>
      <w:pPr>
        <w:pStyle w:val="P68B1DB1Normal15"/>
        <w:rPr>
          <w:b/>
          <w:b/>
        </w:rPr>
      </w:pPr>
      <w:r>
        <w:rPr/>
        <w:t xml:space="preserve">31. Mes rekomenduojame suderinti mokesčius valstybėse narėse ES lygmeniu (siekiant išvengti mokesčių rojų ES ir kovoti su perkėlimu Europos viduje), taip pat mokesčių paskatą, kuri atgrasytų nuo darbo vietų perkėlimo už Europos ribų. </w:t>
      </w:r>
    </w:p>
    <w:p>
      <w:pPr>
        <w:pStyle w:val="Normal"/>
        <w:rPr/>
      </w:pPr>
      <w:r>
        <w:rPr/>
        <w:t xml:space="preserve"> </w:t>
      </w:r>
    </w:p>
    <w:p>
      <w:pPr>
        <w:pStyle w:val="Normal"/>
        <w:rPr/>
      </w:pPr>
      <w:r>
        <w:rPr/>
        <w:t xml:space="preserve">Pateikiame šią rekomendaciją, nes esame susirūpinę dėl darbo vietų perkėlimo už Europos ribų poveikio ir manome, kad tai užkirs kelią mokesčių konkurencijai tarp ES valstybių narių. </w:t>
      </w:r>
    </w:p>
    <w:p>
      <w:pPr>
        <w:pStyle w:val="Normal"/>
        <w:rPr/>
      </w:pPr>
      <w:r>
        <w:rPr/>
      </w:r>
    </w:p>
    <w:p>
      <w:pPr>
        <w:pStyle w:val="Titre3"/>
        <w:numPr>
          <w:ilvl w:val="2"/>
          <w:numId w:val="2"/>
        </w:numPr>
        <w:rPr/>
      </w:pPr>
      <w:bookmarkStart w:id="119" w:name="__RefHeading___Toc297173_1346298689"/>
      <w:bookmarkEnd w:id="119"/>
      <w:r>
        <w:rPr/>
        <w:t xml:space="preserve">4 kryptis „Mokymasis Europoje“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4.1 poašis „European identity/Sub-axis“ 4.2 Skaitmeninis švietimas </w:t>
      </w:r>
      <w:commentRangeEnd w:id="2"/>
      <w:r>
        <w:commentReference w:id="2"/>
      </w:r>
      <w:r>
        <w:rPr/>
      </w:r>
    </w:p>
    <w:p>
      <w:pPr>
        <w:pStyle w:val="Normal"/>
        <w:rPr/>
      </w:pPr>
      <w:r>
        <w:rPr/>
        <w:t xml:space="preserve"> </w:t>
      </w:r>
    </w:p>
    <w:p>
      <w:pPr>
        <w:pStyle w:val="P68B1DB1Normal15"/>
        <w:rPr>
          <w:b/>
          <w:b/>
        </w:rPr>
      </w:pPr>
      <w:r>
        <w:rPr/>
        <w:t xml:space="preserve">32. Mes rekomenduojame skatinti daugiakalbystę nuo ankstyvo amžiaus, pavyzdžiui, vaikų darželyje. Pradedant nuo pradinės mokyklos, vaikams turėtų būti privaloma pasiekti C1 lygį kita aktyvia ES kalba nei jų gimtoji kalba. </w:t>
      </w:r>
    </w:p>
    <w:p>
      <w:pPr>
        <w:pStyle w:val="Normal"/>
        <w:rPr/>
      </w:pPr>
      <w:r>
        <w:rPr/>
        <w:t xml:space="preserve"> </w:t>
      </w:r>
    </w:p>
    <w:p>
      <w:pPr>
        <w:pStyle w:val="Normal"/>
        <w:rPr/>
      </w:pPr>
      <w:r>
        <w:rPr/>
        <w:t xml:space="preserve">Pateikiame šią rekomendaciją, nes daugiakalbystė yra priemonė, jungianti piliečius ir tiltą su kitomis kultūromis, todėl kitos šalys ir jų kultūra tampa prieinamesnės. Ji stiprina Europos tapatybę ir tarpkultūrinius mainus. Svarbu pažinti kitas kultūras Europos Sąjungos kontekste. Todėl gebėjimas gerai bendrauti dviem kalbomis padėtų sukurti bendrą Europos tapatybę ir suprasti kitas Europos kultūras. ES turi glaudžiai bendradarbiauti su švietimo įstaigomis, kad pasiektų gerų rezultatų švietimo srityje. Taip pat būtina sukurti specialią programą (pvz., skaitmenines platformas, išplėstines „Erasmus+“ programas ir kt.), skirtą išimtinai daugiakalbystei skatinti. Šiuo požiūriu dabartinės Europos mokyklos gali būti pavyzdžiu. ES turėtų kurti ir aktyviai skatinti tokias mokyklas. </w:t>
      </w:r>
    </w:p>
    <w:p>
      <w:pPr>
        <w:pStyle w:val="Normal"/>
        <w:rPr/>
      </w:pPr>
      <w:r>
        <w:rPr/>
      </w:r>
    </w:p>
    <w:p>
      <w:pPr>
        <w:pStyle w:val="P68B1DB1Normal15"/>
        <w:rPr>
          <w:b/>
          <w:b/>
        </w:rPr>
      </w:pPr>
      <w:r>
        <w:rPr/>
        <w:t xml:space="preserve">33. Rekomenduojame ES didinti jaunimo informuotumą apie interneto ir skaitmeninimo keliamus pavojus sukuriant privalomą dalyką pradiniame ugdyme. ES turėtų parengti priemones ir sukurti bendras mokymo erdves jaunimui mokytis kartu. </w:t>
      </w:r>
    </w:p>
    <w:p>
      <w:pPr>
        <w:pStyle w:val="Normal"/>
        <w:rPr/>
      </w:pPr>
      <w:r>
        <w:rPr/>
        <w:t xml:space="preserve"> </w:t>
      </w:r>
    </w:p>
    <w:p>
      <w:pPr>
        <w:pStyle w:val="Normal"/>
        <w:rPr/>
      </w:pPr>
      <w:r>
        <w:rPr/>
        <w:t xml:space="preserve">Pateikiame šią rekomendaciją, nes dabartinių iniciatyvų ar programų šioje srityje nepakanka. Be to, daugelis ES piliečių nežino apie esamas ES iniciatyvas šiose srityse. Vaikai nepakankamai žino apie interneto keliamus pavojus, todėl turėtume dėti daug daugiau pastangų, kad informuotume jaunąją kartą. </w:t>
      </w:r>
    </w:p>
    <w:p>
      <w:pPr>
        <w:pStyle w:val="Normal"/>
        <w:rPr/>
      </w:pPr>
      <w:r>
        <w:rPr/>
        <w:t xml:space="preserve"> </w:t>
      </w:r>
    </w:p>
    <w:p>
      <w:pPr>
        <w:pStyle w:val="P68B1DB1Normal15"/>
        <w:rPr>
          <w:b/>
          <w:b/>
        </w:rPr>
      </w:pPr>
      <w:r>
        <w:rPr/>
        <w:t xml:space="preserve">34. Rekomenduojame ES siekti, kad technologijos būtų prieinamesnės vyresnio amžiaus žmonėms, skatinant programas ir iniciatyvas, pavyzdžiui, rengiant jų poreikiams pritaikytus kursus. ES turėtų užtikrinti teisę naudotis skaitmeninėmis technologijomis tiems, kurie jos nori, ir siūlyti alternatyvas tiems, kurie jų nenori. </w:t>
      </w:r>
    </w:p>
    <w:p>
      <w:pPr>
        <w:pStyle w:val="Normal"/>
        <w:rPr/>
      </w:pPr>
      <w:r>
        <w:rPr/>
        <w:t xml:space="preserve"> </w:t>
      </w:r>
    </w:p>
    <w:p>
      <w:pPr>
        <w:pStyle w:val="Normal"/>
        <w:rPr/>
      </w:pPr>
      <w:r>
        <w:rPr/>
        <w:t xml:space="preserve">Pateikiame šią rekomendaciją, nes ES turėtų užtikrinti, kad vyresnio amžiaus žmonės galėtų dalyvauti skaitmeniniame pasaulyje ir kad niekas nebūtų diskriminuojamas. Siekiant integruoti šias technologijas į šiandienos pasaulį, reikėtų taikyti supaprastintas priemones, skirtas mažiau patyrusioms kartoms naudoti tam tikras technologijas. Rekomenduojame geriau skatinti esamas iniciatyvas, kad piliečiai apie jas žinotų. Vyresnio amžiaus žmonės neturėtų būti diskriminuojami ES, kai kalbama apie IT priemonių naudojimą. (Tai reiškia, kad piliečiai turėtų galėti gyventi savo gyvenimą nesinaudodami interneto tinklu). ES turėtų organizuoti ir suteikti vyresnio amžiaus žmonėms nuolatinę nemokamą pagalbą, kad būtų sudarytos palankesnės sąlygos naudotis skaitmeninėmis priemonėmis. </w:t>
      </w:r>
    </w:p>
    <w:p>
      <w:pPr>
        <w:pStyle w:val="Normal"/>
        <w:rPr/>
      </w:pPr>
      <w:r>
        <w:rPr/>
      </w:r>
    </w:p>
    <w:p>
      <w:pPr>
        <w:pStyle w:val="Titre4"/>
        <w:numPr>
          <w:ilvl w:val="3"/>
          <w:numId w:val="2"/>
        </w:numPr>
        <w:rPr/>
      </w:pPr>
      <w:bookmarkStart w:id="121" w:name="__RefHeading___Toc297177_1346298689"/>
      <w:bookmarkEnd w:id="121"/>
      <w:r>
        <w:rPr/>
        <w:t xml:space="preserve">Subašis 4.3 Kultūriniai mainai/Sub-axis 4.4 Aplinkosauginis švietimas </w:t>
      </w:r>
    </w:p>
    <w:p>
      <w:pPr>
        <w:pStyle w:val="Normal"/>
        <w:rPr/>
      </w:pPr>
      <w:r>
        <w:rPr/>
        <w:t xml:space="preserve"> </w:t>
      </w:r>
    </w:p>
    <w:p>
      <w:pPr>
        <w:pStyle w:val="P68B1DB1Normal15"/>
        <w:rPr>
          <w:b/>
          <w:b/>
        </w:rPr>
      </w:pPr>
      <w:r>
        <w:rPr/>
        <w:t xml:space="preserve">35. Rekomenduojame, kad ES sukurtų platformą, kurioje švietimo tikslais būtų galima naudotis mokomąja medžiaga klimato kaitos, tvarumo ir aplinkos klausimais. Tokia informacija turėtų būti grindžiama ekspertų patikrintais faktais ir pritaikyta kiekvienai valstybei narei. Platforma: </w:t>
      </w:r>
    </w:p>
    <w:p>
      <w:pPr>
        <w:pStyle w:val="P68B1DB1Normal15"/>
        <w:rPr>
          <w:b/>
          <w:b/>
        </w:rPr>
      </w:pPr>
      <w:r>
        <w:rPr/>
        <w:t xml:space="preserve">● </w:t>
      </w:r>
      <w:r>
        <w:rPr/>
        <w:t xml:space="preserve">turėtų apimti pamokas įvairioms tikslinėms grupėms, pvz., miesto ar kaimo vietovėse gyvenantiems žmonėms, visoms amžiaus grupėms ir ankstesnių žinių lygiui; </w:t>
      </w:r>
    </w:p>
    <w:p>
      <w:pPr>
        <w:pStyle w:val="P68B1DB1Normal15"/>
        <w:rPr>
          <w:b/>
          <w:b/>
        </w:rPr>
      </w:pPr>
      <w:r>
        <w:rPr/>
        <w:t xml:space="preserve">● </w:t>
      </w:r>
      <w:r>
        <w:rPr/>
        <w:t xml:space="preserve">turi būti prieinama visoms valstybėms narėms ir lengvai prieinama; </w:t>
      </w:r>
    </w:p>
    <w:p>
      <w:pPr>
        <w:pStyle w:val="P68B1DB1Normal15"/>
        <w:rPr>
          <w:b/>
          <w:b/>
        </w:rPr>
      </w:pPr>
      <w:r>
        <w:rPr/>
        <w:t xml:space="preserve">● </w:t>
      </w:r>
      <w:r>
        <w:rPr/>
        <w:t xml:space="preserve">jį įgyvendinant turėtų būti numatytas skatinimo planas, kuriame turėtų dalyvauti atitinkamos įmonės; </w:t>
      </w:r>
    </w:p>
    <w:p>
      <w:pPr>
        <w:pStyle w:val="P68B1DB1Normal15"/>
        <w:rPr>
          <w:b/>
          <w:b/>
        </w:rPr>
      </w:pPr>
      <w:r>
        <w:rPr/>
        <w:t xml:space="preserve">● </w:t>
      </w:r>
      <w:r>
        <w:rPr/>
        <w:t xml:space="preserve">galėtų būti teikiama kartu su finansavimo programa, kuria būtų remiamas platformoje esančios informacijos naudojimas ir įgyvendinimas. Šiuo finansavimu taip pat turėtų būti remiami apsilankymai vietoje siekiant pateikti konkrečių pavyzdžių. </w:t>
      </w:r>
    </w:p>
    <w:p>
      <w:pPr>
        <w:pStyle w:val="Normal"/>
        <w:rPr/>
      </w:pPr>
      <w:r>
        <w:rPr/>
        <w:t xml:space="preserve"> </w:t>
      </w:r>
    </w:p>
    <w:p>
      <w:pPr>
        <w:pStyle w:val="Normal"/>
        <w:rPr/>
      </w:pPr>
      <w:r>
        <w:rPr/>
        <w:t xml:space="preserve">Mes teikiame šią rekomendaciją, nes visų amžiaus grupių žmonėms reikia prieigos prie faktinės informacijos apie tai, kaip spręsti klimato kaitos, tvarumo ir aplinkos klausimus. Svarbias sąvokas, tokias kaip ekologinis pėdsakas, turi suprasti visi, ypač jaunimas, nes tai, ką mes mokomės, lydi mus visą gyvenimą. Šios temos yra sudėtingos ir plačiai paplitusi dezinformacija. Mums reikia patikimo šaltinio, o ES turi patikimumo ir išteklių, kad galėtų atlikti šį vaidmenį. Tai taip pat svarbu dėl to, kad įvairiose valstybėse narėse skiriasi žinių ir prieigos prie patikimos informacijos lygis. </w:t>
      </w:r>
    </w:p>
    <w:p>
      <w:pPr>
        <w:pStyle w:val="Normal"/>
        <w:rPr/>
      </w:pPr>
      <w:r>
        <w:rPr/>
      </w:r>
    </w:p>
    <w:p>
      <w:pPr>
        <w:pStyle w:val="P68B1DB1Normal15"/>
        <w:rPr>
          <w:b/>
          <w:b/>
        </w:rPr>
      </w:pPr>
      <w:r>
        <w:rPr/>
        <w:t xml:space="preserve">36. Rekomenduojame, kad ES pirmenybę teiktų tam, kad mainų programos būtų prieinamos visiems (amžiaus grupėms, valstybėms narėms, švietimo lygmenims ir finansiniams pajėgumams) ir sudaryti sąlygas stažuotėms ar mainams tarp sektorių, šalių, švietimo įstaigų, miestų ir įmonių. ES turėtų būti atsakinga už kultūrinių ir socialinių – tiek fizinių, tiek skaitmeninių – mainų pradžią, tarpininkavimą ir finansavimą visoje ES. ES turi aktyviai skatinti šias iniciatyvas ir remti žmones, kurie dar nežino apie kultūrinių ir socialinių mainų programas. Konferencija dėl Europos ateities, kuriai atsitiktinai atrinkti piliečiai, yra puikus Europos mainų pavyzdys. Norime daugiau tokio pobūdžio iniciatyvų, tačiau norime ir mažesnių iniciatyvų, taip pat mainų sporto, muzikos, (socialinių) stažuočių ir kt. srityse. </w:t>
      </w:r>
    </w:p>
    <w:p>
      <w:pPr>
        <w:pStyle w:val="P68B1DB1Normal15"/>
        <w:rPr>
          <w:b/>
          <w:b/>
        </w:rPr>
      </w:pPr>
      <w:r>
        <w:rPr/>
        <w:t xml:space="preserve"> </w:t>
      </w:r>
    </w:p>
    <w:p>
      <w:pPr>
        <w:pStyle w:val="Normal"/>
        <w:rPr/>
      </w:pPr>
      <w:r>
        <w:rPr/>
        <w:t xml:space="preserve">Mes teikiame šią rekomendaciją, nes svarbu sukurti priklausymo ir sanglaudos jausmą ir skatinti toleranciją mūsų didingai įvairovei ir perspektyvoms, taip pat individualių įgūdžių ugdymui. Šis procesas plėtos draugystę, tarpusavio supratimą ir kritinį mąstymą. Norėtume skatinti visų mūsų bendruomenių narių, net ir tų, kurie iki šiol nedalyvavo tokiose iniciatyvose, dalyvavimą. </w:t>
      </w:r>
    </w:p>
    <w:p>
      <w:pPr>
        <w:pStyle w:val="Normal"/>
        <w:rPr/>
      </w:pPr>
      <w:r>
        <w:rPr/>
      </w:r>
    </w:p>
    <w:p>
      <w:pPr>
        <w:pStyle w:val="Titre4"/>
        <w:numPr>
          <w:ilvl w:val="3"/>
          <w:numId w:val="2"/>
        </w:numPr>
        <w:rPr/>
      </w:pPr>
      <w:bookmarkStart w:id="122" w:name="__RefHeading___Toc297179_1346298689"/>
      <w:bookmarkEnd w:id="122"/>
      <w:r>
        <w:rPr/>
        <w:t xml:space="preserve">Poašis. Kokybė, finansavimas ir galimybės gauti išsilavinimą/Švietimo pošakis 4.6 Švietimo suderinimas </w:t>
      </w:r>
    </w:p>
    <w:p>
      <w:pPr>
        <w:pStyle w:val="Normal"/>
        <w:rPr/>
      </w:pPr>
      <w:r>
        <w:rPr/>
        <w:t xml:space="preserve"> </w:t>
      </w:r>
    </w:p>
    <w:p>
      <w:pPr>
        <w:pStyle w:val="P68B1DB1Normal15"/>
        <w:rPr>
          <w:b/>
          <w:b/>
        </w:rPr>
      </w:pPr>
      <w:r>
        <w:rPr/>
        <w:t xml:space="preserve">37. Rekomenduojame, kad visos valstybės narės nustatytų ir priimtų minimalų sertifikuoto pagrindinių dalykų švietimo nuo pradinės mokyklos standartą. Siekiama užtikrinti, kad visi piliečiai turėtų vienodas galimybes gauti kokybišką išsilavinimą, kuriuo būtų užtikrintas teisingumas ir lygybė. </w:t>
      </w:r>
    </w:p>
    <w:p>
      <w:pPr>
        <w:pStyle w:val="Normal"/>
        <w:rPr/>
      </w:pPr>
      <w:r>
        <w:rPr/>
      </w:r>
    </w:p>
    <w:p>
      <w:pPr>
        <w:pStyle w:val="Normal"/>
        <w:rPr/>
      </w:pPr>
      <w:r>
        <w:rPr/>
        <w:t xml:space="preserve">Mes teikiame šią rekomendaciją dėl šių priežasčių: </w:t>
      </w:r>
    </w:p>
    <w:p>
      <w:pPr>
        <w:pStyle w:val="Normal"/>
        <w:rPr/>
      </w:pPr>
      <w:r>
        <w:rPr/>
        <w:t xml:space="preserve">● </w:t>
      </w:r>
      <w:r>
        <w:rPr/>
        <w:t xml:space="preserve">nustačius minimalų standartą padidėtų tėvų, mokytojų ir studentų pasitikėjimas jų švietimo sistemomis, kartu paliekant erdvės iniciatyvai ir įvairovei. </w:t>
      </w:r>
    </w:p>
    <w:p>
      <w:pPr>
        <w:pStyle w:val="Normal"/>
        <w:rPr/>
      </w:pPr>
      <w:r>
        <w:rPr/>
        <w:t xml:space="preserve">Jei rekomendacija bus įgyvendinta, ji sustiprins ir sustiprins bendrą Europos tapatybę, skatins sanglaudą, vienybę ir bendrumo jausmą. </w:t>
      </w:r>
    </w:p>
    <w:p>
      <w:pPr>
        <w:pStyle w:val="Normal"/>
        <w:rPr/>
      </w:pPr>
      <w:r>
        <w:rPr/>
        <w:t xml:space="preserve">● </w:t>
      </w:r>
      <w:r>
        <w:rPr/>
        <w:t xml:space="preserve">Įgyvendinus šią rekomendaciją būtų sustiprintas mokyklų bendradarbiavimas ir mainai visoje ES, o tai pagerintų dėstytojų ir mokinių santykius ir labai palengvintų mainų programas. </w:t>
      </w:r>
    </w:p>
    <w:p>
      <w:pPr>
        <w:pStyle w:val="Normal"/>
        <w:rPr/>
      </w:pPr>
      <w:r>
        <w:rPr/>
      </w:r>
    </w:p>
    <w:p>
      <w:pPr>
        <w:pStyle w:val="P68B1DB1Normal15"/>
        <w:rPr>
          <w:b/>
          <w:b/>
        </w:rPr>
      </w:pPr>
      <w:r>
        <w:rPr/>
        <w:t xml:space="preserve">38. Mes rekomenduojame, kad anglų kalba būtų mokoma pagal sertifikuojamą standartą kaip pagrindinis dalykas pradinėse mokyklose visose ES valstybėse narėse, siekiant palengvinti ir sustiprinti Europos piliečių gebėjimą veiksmingai bendrauti. </w:t>
      </w:r>
    </w:p>
    <w:p>
      <w:pPr>
        <w:pStyle w:val="Normal"/>
        <w:rPr/>
      </w:pPr>
      <w:r>
        <w:rPr/>
        <w:t xml:space="preserve"> </w:t>
      </w:r>
    </w:p>
    <w:p>
      <w:pPr>
        <w:pStyle w:val="Normal"/>
        <w:rPr/>
      </w:pPr>
      <w:r>
        <w:rPr/>
        <w:t xml:space="preserve">Mes teikiame šią rekomendaciją dėl šių priežasčių: </w:t>
      </w:r>
    </w:p>
    <w:p>
      <w:pPr>
        <w:pStyle w:val="Normal"/>
        <w:rPr/>
      </w:pPr>
      <w:r>
        <w:rPr/>
        <w:t xml:space="preserve">● </w:t>
      </w:r>
      <w:r>
        <w:rPr/>
        <w:t xml:space="preserve">tai sudarytų sąlygas didesnei vienybei ir lygybei stiprinant piliečių gebėjimą bendrauti tarpusavyje ir remiant tvirtesnę bendrą Europos tapatybę; </w:t>
      </w:r>
    </w:p>
    <w:p>
      <w:pPr>
        <w:pStyle w:val="Normal"/>
        <w:rPr/>
      </w:pPr>
      <w:r>
        <w:rPr/>
        <w:t xml:space="preserve">● </w:t>
      </w:r>
      <w:r>
        <w:rPr/>
        <w:t xml:space="preserve">tai išplėstų darbo rinką ir padarytų ją lankstesnę ir prieinamesnę, suteikdama piliečiams pasitikėjimo dirbti ir bendrauti visose kitose valstybėse narėse, kurios siūlo daugiau asmeninių ir profesinių perspektyvų. </w:t>
      </w:r>
    </w:p>
    <w:p>
      <w:pPr>
        <w:pStyle w:val="Normal"/>
        <w:rPr/>
      </w:pPr>
      <w:r>
        <w:rPr/>
        <w:t xml:space="preserve">● </w:t>
      </w:r>
      <w:r>
        <w:rPr/>
        <w:t xml:space="preserve">toks požiūris leistų per labai trumpą laiką skleisti bendrą Europos kalbą; </w:t>
      </w:r>
    </w:p>
    <w:p>
      <w:pPr>
        <w:pStyle w:val="Normal"/>
        <w:rPr/>
      </w:pPr>
      <w:r>
        <w:rPr/>
        <w:t xml:space="preserve">● </w:t>
      </w:r>
      <w:r>
        <w:rPr/>
        <w:t xml:space="preserve">vartojant bendrą kalbą sparčiau keičiamasi informacija, o tai būtų naudinga Europos ir europiečių bendradarbiavimui, bendram reagavimui į krizes, humanitarinei pagalbai ir suartėjimui. </w:t>
      </w:r>
    </w:p>
    <w:p>
      <w:pPr>
        <w:pStyle w:val="Normal"/>
        <w:rPr/>
      </w:pPr>
      <w:r>
        <w:rPr/>
      </w:r>
    </w:p>
    <w:p>
      <w:pPr>
        <w:pStyle w:val="Titre3"/>
        <w:numPr>
          <w:ilvl w:val="2"/>
          <w:numId w:val="2"/>
        </w:numPr>
        <w:rPr/>
      </w:pPr>
      <w:bookmarkStart w:id="123" w:name="__RefHeading___Toc297181_1346298689"/>
      <w:bookmarkEnd w:id="123"/>
      <w:r>
        <w:rPr/>
        <w:t xml:space="preserve">5 kryptis Etika ir saugi skaitmeninė transformacija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Poašis 5.1 Skaitmeninės transformacijos demokratizavimas/paašis 5.2 Kibernetinis saugumas </w:t>
      </w:r>
      <w:commentRangeEnd w:id="3"/>
      <w:r>
        <w:commentReference w:id="3"/>
      </w:r>
      <w:r>
        <w:rPr/>
      </w:r>
    </w:p>
    <w:p>
      <w:pPr>
        <w:pStyle w:val="Normal"/>
        <w:rPr/>
      </w:pPr>
      <w:r>
        <w:rPr/>
        <w:t xml:space="preserve"> </w:t>
      </w:r>
    </w:p>
    <w:p>
      <w:pPr>
        <w:pStyle w:val="P68B1DB1Normal15"/>
        <w:rPr>
          <w:b/>
          <w:b/>
        </w:rPr>
      </w:pPr>
      <w:r>
        <w:rPr/>
        <w:t xml:space="preserve">39. Rekomenduojame, kad ES turėtų daugiau galių kovoti su neteisėtu turiniu ir elektroniniais nusikaltimais. Rekomenduojame stiprinti Europolo/Europos kovos su elektroniniu nusikalstamumu centro gebėjimus, įskaitant: </w:t>
      </w:r>
    </w:p>
    <w:p>
      <w:pPr>
        <w:pStyle w:val="P68B1DB1Normal15"/>
        <w:rPr>
          <w:b/>
          <w:b/>
        </w:rPr>
      </w:pPr>
      <w:r>
        <w:rPr/>
        <w:t xml:space="preserve">● </w:t>
      </w:r>
      <w:r>
        <w:rPr/>
        <w:t xml:space="preserve">finansinių išteklių ir personalo didinimas </w:t>
      </w:r>
    </w:p>
    <w:p>
      <w:pPr>
        <w:pStyle w:val="P68B1DB1Normal15"/>
        <w:rPr>
          <w:b/>
          <w:b/>
        </w:rPr>
      </w:pPr>
      <w:r>
        <w:rPr/>
        <w:t xml:space="preserve">● </w:t>
      </w:r>
      <w:r>
        <w:rPr/>
        <w:t xml:space="preserve">užtikrinti panašias sankcijas kiekvienoje šalyje ● užtikrinti greitą ir veiksmingą teisėtumo kontrolę </w:t>
      </w:r>
    </w:p>
    <w:p>
      <w:pPr>
        <w:pStyle w:val="Normal"/>
        <w:rPr/>
      </w:pPr>
      <w:r>
        <w:rPr/>
        <w:t xml:space="preserve"> </w:t>
      </w:r>
    </w:p>
    <w:p>
      <w:pPr>
        <w:pStyle w:val="Normal"/>
        <w:rPr/>
      </w:pPr>
      <w:r>
        <w:rPr/>
        <w:t xml:space="preserve">Teikiame šią rekomendaciją, kad užtikrintume laisvę internete, kartu užtikrindami, kad būtų baudžiama už diskriminaciją, piktnaudžiavimą ir priekabiavimą. Pritariame Europos viešosios įstaigos idėjai, nes nenorime, kad interneto platformų reguliavimas būtų taikomas tik privačioms įmonėms. Interneto platformos turi prisiimti atsakomybę už platinamą turinį, tačiau norime užtikrinti, kad pirmenybė nebūtų teikiama jų interesams. Turinio reguliavimas ir nusikaltėlių baudžiamasis persekiojimas turi būti atliekami laiku ir veiksmingai, kad jie taip pat turėtų atgrasomąjį poveikį piktavališkiems asmenims. </w:t>
      </w:r>
    </w:p>
    <w:p>
      <w:pPr>
        <w:pStyle w:val="Normal"/>
        <w:rPr/>
      </w:pPr>
      <w:r>
        <w:rPr/>
      </w:r>
    </w:p>
    <w:p>
      <w:pPr>
        <w:pStyle w:val="P68B1DB1Normal15"/>
        <w:rPr>
          <w:b/>
          <w:b/>
        </w:rPr>
      </w:pPr>
      <w:r>
        <w:rPr/>
        <w:t xml:space="preserve">40. Mes rekomenduojame ES investuoti į novatorišką ir aukštos kokybės skaitmeninę infrastruktūrą (pvz., Europoje kuriamas 5G ryšys), kad būtų užtikrintas Europos savarankiškumas ir užkirstas kelias priklausomybei nuo trečiųjų šalių ar privačių įmonių. ES taip pat turėtų skirti ypatingą dėmesį investicijoms į mažiau išsivysčiusius regionus. </w:t>
      </w:r>
    </w:p>
    <w:p>
      <w:pPr>
        <w:pStyle w:val="Normal"/>
        <w:rPr/>
      </w:pPr>
      <w:r>
        <w:rPr/>
        <w:t xml:space="preserve"> </w:t>
      </w:r>
    </w:p>
    <w:p>
      <w:pPr>
        <w:pStyle w:val="Normal"/>
        <w:rPr/>
      </w:pPr>
      <w:r>
        <w:rPr/>
        <w:t xml:space="preserve">Pateikiame šią rekomendaciją, nes skaitmeninė infrastruktūra atlieka svarbų vaidmenį Europos ekonomikoje, taip pat kasdieniame europiečių gyvenime, kurį jie palengvina. Todėl Europai reikia aukštos kokybės skaitmeninės infrastruktūros. Jei tai priklauso nuo trečiųjų šalių, Europa gali būti pažeidžiama privačių įmonių ar užsienio šalių neigiamos įtakos. Todėl Europa turėtų investuoti į skaitmeninę infrastruktūrą, kad padidintų savo savarankiškumą. Taip pat svarbu užtikrinti skaitmeninę įtrauktį užtikrinant, kad mažiau išsivystę regionai gautų naudos iš investicijų. </w:t>
      </w:r>
    </w:p>
    <w:p>
      <w:pPr>
        <w:pStyle w:val="Normal"/>
        <w:rPr/>
      </w:pPr>
      <w:r>
        <w:rPr/>
      </w:r>
    </w:p>
    <w:p>
      <w:pPr>
        <w:pStyle w:val="P68B1DB1Normal15"/>
        <w:rPr>
          <w:b/>
          <w:b/>
        </w:rPr>
      </w:pPr>
      <w:r>
        <w:rPr/>
        <w:t xml:space="preserve">41. Rekomenduojame ES skatinti švietimą melagingų naujienų, dezinformacijos ir saugumo internete klausimais Europos mokyklose. Ji turėtų remtis gerosios patirties pavyzdžiais iš visos ES. ES turėtų įsteigti organizaciją, konkrečiai atsakingą už šio darbo skatinimą ir rekomendacijų teikimą švietimo sistemoms. Ji taip pat turėtų skatinti neformalųjį švietimą ir novatoriškus bei kūrybinius mokymo metodus (pvz., dalyvaujamuosius žaidimus). </w:t>
      </w:r>
    </w:p>
    <w:p>
      <w:pPr>
        <w:pStyle w:val="Normal"/>
        <w:rPr/>
      </w:pPr>
      <w:r>
        <w:rPr/>
      </w:r>
    </w:p>
    <w:p>
      <w:pPr>
        <w:pStyle w:val="Normal"/>
        <w:rPr/>
      </w:pPr>
      <w:r>
        <w:rPr/>
        <w:t xml:space="preserve">Mes teikiame šią rekomendaciją, nes svarbu įvesti internetinio saugumo ir skaitmeninio saugumo kultūros kursus (kova su sukčiavimu internete, melagingomis naujienomis ir t. t.) mokykloje, kad visiems būtų suteiktos priemonės apsisaugoti nuo grėsmių internete. Svarbu orientuotis į jaunimą, kuris susiduria su tokiomis grėsmėmis. Mokyklos taip pat gali bendrauti su tėvais, kad skatintų gerąją patirtį. Šie kursai gali būti grindžiami gerosios patirties pavyzdžiais Europoje (pvz., Suomijoje), prisitaikant prie kiekvienos šalies poreikių. </w:t>
      </w:r>
    </w:p>
    <w:p>
      <w:pPr>
        <w:pStyle w:val="Normal"/>
        <w:rPr/>
      </w:pPr>
      <w:r>
        <w:rPr/>
        <w:t xml:space="preserve"> </w:t>
      </w:r>
    </w:p>
    <w:p>
      <w:pPr>
        <w:pStyle w:val="Titre4"/>
        <w:numPr>
          <w:ilvl w:val="3"/>
          <w:numId w:val="2"/>
        </w:numPr>
        <w:rPr/>
      </w:pPr>
      <w:bookmarkStart w:id="125" w:name="__RefHeading___Toc297185_1346298689"/>
      <w:bookmarkEnd w:id="125"/>
      <w:r>
        <w:rPr/>
        <w:t xml:space="preserve">Subašis 5.3 Duomenų apsauga </w:t>
      </w:r>
    </w:p>
    <w:p>
      <w:pPr>
        <w:pStyle w:val="Normal"/>
        <w:rPr/>
      </w:pPr>
      <w:r>
        <w:rPr/>
        <w:t xml:space="preserve"> </w:t>
      </w:r>
    </w:p>
    <w:p>
      <w:pPr>
        <w:pStyle w:val="P68B1DB1Normal15"/>
        <w:rPr>
          <w:b/>
          <w:b/>
        </w:rPr>
      </w:pPr>
      <w:r>
        <w:rPr/>
        <w:t xml:space="preserve">42. Rekomenduojame toliau riboti „duomenų gigantų“ piktnaudžiavimą duomenimis, didinant atitiktį Bendrajam duomenų apsaugos reglamentui (Bendrasis duomenų apsaugos reglamentas), sukuriant labiau standartizuotus mechanizmus visoje ES ir užtikrinant, kad net ir ne Europos bendrovės, veikiančios ES, laikytųsi šio reglamento. Šiuo patobulinimu turėtų būti aiškiai ir glaustai paaiškintos duomenų naudojimo sąlygos, siekiant išvengti dviprasmiškumo ir papildomos informacijos apie tai, kaip duomenys bus naudojami ir kas juos naudos, teikimo, taip pat siekiant išvengti sutikimo pakartotinai naudoti ir perparduoti duomenis kaip numatytąją galimybę. Ji turėtų užtikrinti, kad piliečio prašymu duomenys būtų visam laikui ištrinami. Ji taip pat turėtų padidinti taisyklių, susijusių su asmenų profiliavimu pagal jų veiklą internete, laikymosi stebėsenos nuoseklumą. Siūlome dviejų rūšių sankcijas: bauda, proporcinga bendrovės apyvartai ir įmonės veiklos apribojimams. </w:t>
      </w:r>
    </w:p>
    <w:p>
      <w:pPr>
        <w:pStyle w:val="Normal"/>
        <w:rPr/>
      </w:pPr>
      <w:r>
        <w:rPr/>
        <w:t xml:space="preserve"> </w:t>
      </w:r>
    </w:p>
    <w:p>
      <w:pPr>
        <w:pStyle w:val="Normal"/>
        <w:rPr/>
      </w:pPr>
      <w:r>
        <w:rPr/>
        <w:t xml:space="preserve">Mes teikiame šią rekomendaciją, nes šiuo metu skaidrumas yra labai ribotas, kiek tai susiję su renkamų duomenų rūšimi, kaip jie tvarkomi ir kam jie parduodami. Turime dar labiau apriboti duomenų gigantų piktnaudžiavimą valdžia ir užtikrinti, kad piliečiai duotų sutikimą, kad jų duomenys būtų tvarkomi sąmoningai. </w:t>
      </w:r>
    </w:p>
    <w:p>
      <w:pPr>
        <w:pStyle w:val="Normal"/>
        <w:rPr/>
      </w:pPr>
      <w:r>
        <w:rPr/>
        <w:t xml:space="preserve"> </w:t>
      </w:r>
    </w:p>
    <w:p>
      <w:pPr>
        <w:pStyle w:val="P68B1DB1Normal15"/>
        <w:rPr>
          <w:b/>
          <w:b/>
        </w:rPr>
      </w:pPr>
      <w:r>
        <w:rPr/>
        <w:t xml:space="preserve">43. Rekomenduojame įsteigti nepriklausomą visos Europos agentūrą, kuri turėtų aiškiai apibrėžti invazinį elgesį (pvz., brukalą) ir parengti gaires, kaip piliečiai gali prieštarauti jų duomenų tvarkymui ir juos ištrinti, visų pirma iš trečiųjų šalių. Ši agentūra turi turėti įgaliojimus nustatyti ir nubausti sukčiautojus ir organizacijas, kurios nesilaiko taisyklių. Daugiausia dėmesio turėtų būti skiriama tam, kad būtų užtikrinta, kad už ES ribų įsisteigę, bet joje veikiantys subjektai laikytųsi ES taisyklių. Ją finansuotų ES institucijos ir ją sudarytų jungtinė nepriklausomų įstaigų taryba (t. y. akademinės bendruomenės ekspertai ir specialistams atstovaujantys subjektai). Jis turėtų turėti besisukantį prezidiumą. Siūlome dviejų rūšių sankcijas: bauda, proporcinga įmonių apyvartai ir įmonių veiklos apribojimams. </w:t>
      </w:r>
    </w:p>
    <w:p>
      <w:pPr>
        <w:pStyle w:val="Normal"/>
        <w:rPr/>
      </w:pPr>
      <w:r>
        <w:rPr/>
      </w:r>
    </w:p>
    <w:p>
      <w:pPr>
        <w:pStyle w:val="Normal"/>
        <w:rPr/>
      </w:pPr>
      <w:r>
        <w:rPr/>
        <w:t xml:space="preserve">Pateikiame šią rekomendaciją, nes nėra centrinės agentūros, turinčios tvirtus įgaliojimus, kurie galėtų padėti piliečiams, ypač tais atvejais, kai jiems kyla problemų ir jiems reikia pagalbos, patarimų ar paramos. Nėra aiškių ir privalomų taisyklių, kurių įmonės turėtų laikytis. Kiek tai susiję su sankcijomis, jos netaikomos arba daro nedidelį poveikį įmonėms. </w:t>
      </w:r>
    </w:p>
    <w:p>
      <w:pPr>
        <w:pStyle w:val="Normal"/>
        <w:rPr/>
      </w:pPr>
      <w:r>
        <w:rPr/>
        <w:t xml:space="preserve"> </w:t>
      </w:r>
    </w:p>
    <w:p>
      <w:pPr>
        <w:pStyle w:val="P68B1DB1Normal15"/>
        <w:rPr>
          <w:b/>
          <w:b/>
        </w:rPr>
      </w:pPr>
      <w:r>
        <w:rPr/>
        <w:t xml:space="preserve">44. Rekomenduojame sukurti ES sertifikavimo sistemą, kuri skaidriai įrodytų atitiktį BDAR (Bendrasis duomenų apsaugos reglamentas) ir užtikrintų, kad duomenų apsaugos informacija būtų pateikiama prieinamu, aiškiu ir paprastu būdu. Šis sertifikatas būtų privalomas ir matomas interneto svetainėse ir platformose. Ją turėtų išduoti šiuo tikslu veikiantis arba šiuo tikslu sukurtas nepriklausomas Europos lygmens sertifikuotojas, kuris nebūtų susijęs su nacionalinėmis vyriausybėmis ar privačiuoju sektoriumi. </w:t>
      </w:r>
    </w:p>
    <w:p>
      <w:pPr>
        <w:pStyle w:val="Normal"/>
        <w:rPr/>
      </w:pPr>
      <w:r>
        <w:rPr/>
        <w:t xml:space="preserve"> </w:t>
      </w:r>
    </w:p>
    <w:p>
      <w:pPr>
        <w:pStyle w:val="Normal"/>
        <w:rPr/>
      </w:pPr>
      <w:r>
        <w:rPr/>
        <w:t xml:space="preserve">Mes teikiame šią rekomendaciją, nes šiuo metu yra mažai arba visai nėra skaidrumo apie tai, kaip kiekviena įmonė saugo duomenis, o vartotojai/klientai negali priimti informacija pagrįstų sprendimų. </w:t>
      </w:r>
    </w:p>
    <w:p>
      <w:pPr>
        <w:pStyle w:val="Normal"/>
        <w:rPr/>
      </w:pPr>
      <w:r>
        <w:rPr/>
      </w:r>
    </w:p>
    <w:p>
      <w:pPr>
        <w:pStyle w:val="P68B1DB1Normal15"/>
        <w:rPr>
          <w:b/>
          <w:b/>
        </w:rPr>
      </w:pPr>
      <w:r>
        <w:rPr/>
        <w:t xml:space="preserve">45. Rekomenduojame geriau paaiškinti Bendrąjį duomenų apsaugos reglamentą (Bendrasis duomenų apsaugos reglamentas) ir pagerinti informavimą apie jį sukuriant standartinį atitikties tekstą, kuriame vartojama paprasta ir visiems suprantama kalba. Šiame tekste turėtų būti pateikta pagrindinė mintis ir (arba) pagrindiniai principai. Sutikimo procedūra turėtų būti vaizdingesnė (pvz., prašymas suteikti aiškų leidimą naudotis telefonu naudojantis paraiška). Kartu su ja turėtų būti rengiama informavimo kampanija (įskaitant televiziją) ir sistemingai rengiami privalomi kursai (bent tiems, kurie dirba su duomenimis) ir patarimai dėl asmenų, kuriems reikia pagalbos, ketinimų. </w:t>
      </w:r>
    </w:p>
    <w:p>
      <w:pPr>
        <w:pStyle w:val="Normal"/>
        <w:rPr/>
      </w:pPr>
      <w:r>
        <w:rPr/>
        <w:t xml:space="preserve"> </w:t>
      </w:r>
    </w:p>
    <w:p>
      <w:pPr>
        <w:pStyle w:val="Normal"/>
        <w:rPr/>
      </w:pPr>
      <w:r>
        <w:rPr/>
        <w:t xml:space="preserve">Pateikiame šią rekomendaciją, nes šiuo metu BDAR formuluotė yra pernelyg neaiški ir pernelyg techninė, o informacijos kiekis yra didžiulis ir neprieinamas visiems. Komunikacija įvairiose šalyse taip pat nėra panaši ir į ją dažnai neįtraukiamos skirtingos grupės, daugiausia vyresnio amžiaus žmonės ir asmenys, gimę prieš skaitmeninį formatą. </w:t>
      </w:r>
    </w:p>
    <w:p>
      <w:pPr>
        <w:pStyle w:val="Normal"/>
        <w:rPr/>
      </w:pPr>
      <w:r>
        <w:rPr/>
      </w:r>
    </w:p>
    <w:p>
      <w:pPr>
        <w:pStyle w:val="Titre4"/>
        <w:numPr>
          <w:ilvl w:val="3"/>
          <w:numId w:val="2"/>
        </w:numPr>
        <w:rPr/>
      </w:pPr>
      <w:bookmarkStart w:id="126" w:name="__RefHeading___Toc297187_1346298689"/>
      <w:bookmarkEnd w:id="126"/>
      <w:r>
        <w:rPr/>
        <w:t xml:space="preserve">5.4 Skaitmeninė transformacija ir sveikata </w:t>
      </w:r>
    </w:p>
    <w:p>
      <w:pPr>
        <w:pStyle w:val="Normal"/>
        <w:rPr/>
      </w:pPr>
      <w:r>
        <w:rPr/>
        <w:t xml:space="preserve"> </w:t>
      </w:r>
    </w:p>
    <w:p>
      <w:pPr>
        <w:pStyle w:val="P68B1DB1Normal15"/>
        <w:rPr>
          <w:b/>
          <w:b/>
        </w:rPr>
      </w:pPr>
      <w:r>
        <w:rPr/>
        <w:t xml:space="preserve">46. Rekomenduojame, kad ES spręstų klaidingos informacijos problemą dviem būdais: </w:t>
      </w:r>
    </w:p>
    <w:p>
      <w:pPr>
        <w:pStyle w:val="P68B1DB1Normal15"/>
        <w:rPr>
          <w:b/>
          <w:b/>
        </w:rPr>
      </w:pPr>
      <w:r>
        <w:rPr/>
        <w:t xml:space="preserve">● </w:t>
      </w:r>
      <w:r>
        <w:rPr/>
        <w:t xml:space="preserve">teisės aktai, kuriais socialinės žiniasklaidos įmonėms sudaromos sąlygos įdiegti mašininio mokymosi algoritmus, kuriais galima pabrėžti informacijos patikimumą socialinėje žiniasklaidoje ir naujose žiniasklaidos priemonėse, suteikiant vartotojui patikrintus informacijos šaltinius. Rekomenduojame, kad algoritmai būtų kontroliuojami ekspertų, siekiant užtikrinti tinkamą jų veikimą; </w:t>
      </w:r>
    </w:p>
    <w:p>
      <w:pPr>
        <w:pStyle w:val="P68B1DB1Normal15"/>
        <w:rPr>
          <w:b/>
          <w:b/>
        </w:rPr>
      </w:pPr>
      <w:r>
        <w:rPr/>
        <w:t xml:space="preserve">● </w:t>
      </w:r>
      <w:r>
        <w:rPr/>
        <w:t xml:space="preserve">sukurti skaitmeninę platformą, pagal kurią balas būtų skiriamas tradicinių žiniasklaidos priemonių (pvz., televizijos, spausdinimo, radijo) informacijai, neatsižvelgiant į politinius ir ekonominius interesus, ir kurioje piliečiai būtų informuojami apie informacijos kokybę netaikant jokios cenzūros. Šiai platformai turėtų būti taikoma visuomenės kontrolė ir laikomasi aukščiausių skaidrumo standartų, o ES turėtų užtikrinti, kad jai skirtos lėšos būtų naudojamos numatytam tikslui. </w:t>
      </w:r>
    </w:p>
    <w:p>
      <w:pPr>
        <w:pStyle w:val="Normal"/>
        <w:rPr/>
      </w:pPr>
      <w:r>
        <w:rPr/>
        <w:t xml:space="preserve"> </w:t>
      </w:r>
    </w:p>
    <w:p>
      <w:pPr>
        <w:pStyle w:val="Normal"/>
        <w:rPr/>
      </w:pPr>
      <w:r>
        <w:rPr/>
        <w:t xml:space="preserve">Pateikiame šią rekomendaciją, nes tai susiję su įvairių rūšių žiniasklaida, ir manome, kad sankcijos arba turinio pašalinimas gali lemti cenzūrą ir pakenkti saviraiškos laisvei bei spaudos laisvei. Rekomenduojame, kad ekspertai patikrintų ir kontroliuotų tinkamą algoritmo veikimą, kad įsitikintų, jog algoritmas veikia tinkamai. Galiausiai rekomenduojame, kad platforma būtų apolitiška ir nepriklausoma, kad būtų užtikrintas skaidrumas ir saviraiškos laisvė. Be to, kadangi neįmanoma visiškai atsikratyti klaidingos informacijos, šių priemonių suteikimas piliečiams padės sumažinti jų poveikį Europoje. </w:t>
      </w:r>
    </w:p>
    <w:p>
      <w:pPr>
        <w:pStyle w:val="Normal"/>
        <w:rPr/>
      </w:pPr>
      <w:r>
        <w:rPr/>
        <w:t xml:space="preserve"> </w:t>
      </w:r>
    </w:p>
    <w:p>
      <w:pPr>
        <w:pStyle w:val="P68B1DB1Normal15"/>
        <w:rPr>
          <w:b/>
          <w:b/>
        </w:rPr>
      </w:pPr>
      <w:r>
        <w:rPr/>
        <w:t xml:space="preserve">47. Rekomenduojame ES imtis įvairių veiksmų, kad būtų užtikrintas sveikas naudojimasis internetu: </w:t>
      </w:r>
    </w:p>
    <w:p>
      <w:pPr>
        <w:pStyle w:val="P68B1DB1Normal15"/>
        <w:rPr>
          <w:b/>
          <w:b/>
        </w:rPr>
      </w:pPr>
      <w:r>
        <w:rPr/>
        <w:t xml:space="preserve">● </w:t>
      </w:r>
      <w:r>
        <w:rPr/>
        <w:t xml:space="preserve">Visų pirma ES turi spręsti infrastruktūros ir įrangos trūkumo problemą, dėl kurios piliečiai negali naudotis internetu; </w:t>
      </w:r>
    </w:p>
    <w:p>
      <w:pPr>
        <w:pStyle w:val="P68B1DB1Normal15"/>
        <w:rPr>
          <w:b/>
          <w:b/>
        </w:rPr>
      </w:pPr>
      <w:r>
        <w:rPr/>
        <w:t xml:space="preserve">● </w:t>
      </w:r>
      <w:r>
        <w:rPr/>
        <w:t xml:space="preserve">Taip pat rekomenduojame, kad ES ragintų valstybes nares rengti mokymus internete ir kelti su juo susijusią riziką visoms amžiaus grupėms. Tai būtų galima padaryti įvedant kursus vaikams ir jaunimui skirtose mokyklose ir sukuriant skirtingas mokymo programas ir mokymo programas, skirtas suaugusiems ir vyresnio amžiaus piliečiams. Šių kursų turinį Europos lygmeniu turėtų nustatyti nepriklausomų ekspertų grupė. </w:t>
      </w:r>
    </w:p>
    <w:p>
      <w:pPr>
        <w:pStyle w:val="P68B1DB1Normal15"/>
        <w:rPr>
          <w:b/>
          <w:b/>
        </w:rPr>
      </w:pPr>
      <w:r>
        <w:rPr/>
        <w:t xml:space="preserve">● </w:t>
      </w:r>
      <w:r>
        <w:rPr/>
        <w:t xml:space="preserve">Galiausiai raginame ES imtis visų būtinų priemonių siekiant užtikrinti, kad visuomenės skaitmeninimas neužkirstų kelio vyresnio amžiaus žmonėms, ir užtikrinti, kad pagrindinės paslaugos taip pat būtų prieinamos asmeniškai. </w:t>
      </w:r>
    </w:p>
    <w:p>
      <w:pPr>
        <w:pStyle w:val="Normal"/>
        <w:rPr/>
      </w:pPr>
      <w:r>
        <w:rPr/>
      </w:r>
    </w:p>
    <w:p>
      <w:pPr>
        <w:pStyle w:val="P68B1DB1Normal15"/>
        <w:rPr>
          <w:b/>
          <w:b/>
        </w:rPr>
      </w:pPr>
      <w:r>
        <w:rPr/>
        <w:t xml:space="preserve">● </w:t>
      </w:r>
      <w:r>
        <w:rPr/>
        <w:t xml:space="preserve">ES turėtų užtikrinti, kad šiai veiklai specialiai skirtos lėšos būtų naudojamos pagal numatytą paskirtį. </w:t>
      </w:r>
    </w:p>
    <w:p>
      <w:pPr>
        <w:pStyle w:val="Normal"/>
        <w:rPr/>
      </w:pPr>
      <w:r>
        <w:rPr/>
        <w:t xml:space="preserve"> </w:t>
      </w:r>
    </w:p>
    <w:p>
      <w:pPr>
        <w:pStyle w:val="Normal"/>
        <w:rPr/>
      </w:pPr>
      <w:r>
        <w:rPr/>
        <w:t xml:space="preserve">Pateikiame šią rekomendaciją, nes kai kuriose Europos vietose trūksta infrastruktūros ir įrangos (pvz., prietaisų) ir reikia užtikrinti ryšį prieš šviečiant piliečius, nes žinome, kad kai kuriuose regionuose ir tam tikruose profiliuose interneto prieiga yra ribota. Mes rekomenduojame organizuoti kursus, kurie padėtų vaikams įgyti skaitmeninių įgūdžių, teikti papildomas programas, kurios padėtų vyresnio amžiaus žmonėms skaitmenizuoti, ir imtis reikiamų veiksmų siekiant užtikrinti, kad skaitmeninė transformacija nepakenktų vyresnio amžiaus žmonių teisėms. </w:t>
      </w:r>
    </w:p>
    <w:p>
      <w:pPr>
        <w:pStyle w:val="Normal"/>
        <w:rPr/>
      </w:pPr>
      <w:r>
        <w:rPr/>
      </w:r>
    </w:p>
    <w:p>
      <w:pPr>
        <w:pStyle w:val="P68B1DB1Normal15"/>
        <w:rPr>
          <w:b/>
          <w:b/>
        </w:rPr>
      </w:pPr>
      <w:r>
        <w:rPr/>
        <w:t xml:space="preserve">48. Rekomenduojame ES skatinti piliečių švietimą kiekvienoje valstybėje narėje, siekiant stiprinti kritinį mąstymą, skepticizmą ir faktų tikrinimą bei išmokyti juos nepriklausomai įvertinti, ar informacija yra patikima, ar ne. Šis švietimas turėtų apimti specialių pagrindinio ugdymo kursų organizavimą ir kitose viešosiose erdvėse turėtų būti siūlomas visų amžiaus grupių piliečiams, norintiems juo pasinaudoti. ES turėtų užtikrinti, kad konkrečiai šiai veiklai skirtos lėšos būtų naudojamos pagal numatytą paskirtį. </w:t>
      </w:r>
    </w:p>
    <w:p>
      <w:pPr>
        <w:pStyle w:val="Normal"/>
        <w:rPr/>
      </w:pPr>
      <w:r>
        <w:rPr/>
        <w:t xml:space="preserve"> </w:t>
      </w:r>
    </w:p>
    <w:p>
      <w:pPr>
        <w:pStyle w:val="Normal"/>
        <w:rPr/>
      </w:pPr>
      <w:r>
        <w:rPr/>
        <w:t xml:space="preserve">Mes pateikiame šią rekomendaciją, nes manome, kad neįmanoma visiškai atsikratyti klaidingos informacijos. Šie mokymai padės piliečiams juos atpažinti patys. Dėl to bus sumažintas melagingos informacijos poveikis visuomenei ir patiems piliečiams. Tai taip pat suteiktų piliečiams daugiau galimybių imtis veiksmų, o ne pasikliauti institucijomis, kad gautų patikimą informaciją. </w:t>
      </w:r>
    </w:p>
    <w:p>
      <w:pPr>
        <w:pStyle w:val="Normal"/>
        <w:rPr/>
      </w:pPr>
      <w:r>
        <w:rPr/>
        <w:t xml:space="preserve"> </w:t>
      </w:r>
    </w:p>
    <w:p>
      <w:pPr>
        <w:pStyle w:val="Titre3"/>
        <w:numPr>
          <w:ilvl w:val="2"/>
          <w:numId w:val="2"/>
        </w:numPr>
        <w:rPr/>
      </w:pPr>
      <w:bookmarkStart w:id="127" w:name="__RefHeading___Toc297189_1346298689"/>
      <w:bookmarkEnd w:id="127"/>
      <w:r>
        <w:rPr/>
        <w:t xml:space="preserve">Priedas: KITOS EKSPERTŲ GRUPĖS APSVARSTYTOS REKOMENDACIJOS, KURIOS NEBUVO PRIIMTOS </w:t>
      </w:r>
    </w:p>
    <w:p>
      <w:pPr>
        <w:pStyle w:val="Normal"/>
        <w:rPr/>
      </w:pPr>
      <w:r>
        <w:rPr/>
        <w:t xml:space="preserve"> </w:t>
      </w:r>
    </w:p>
    <w:p>
      <w:pPr>
        <w:pStyle w:val="Titre4"/>
        <w:numPr>
          <w:ilvl w:val="3"/>
          <w:numId w:val="2"/>
        </w:numPr>
        <w:rPr/>
      </w:pPr>
      <w:bookmarkStart w:id="128" w:name="__RefHeading___Toc297191_1346298689"/>
      <w:bookmarkEnd w:id="128"/>
      <w:r>
        <w:rPr/>
        <w:t xml:space="preserve">3 kryptis Teisinga visuomenė </w:t>
      </w:r>
    </w:p>
    <w:p>
      <w:pPr>
        <w:pStyle w:val="Normal"/>
        <w:rPr/>
      </w:pPr>
      <w:r>
        <w:rPr/>
        <w:t xml:space="preserve"> </w:t>
      </w:r>
    </w:p>
    <w:p>
      <w:pPr>
        <w:pStyle w:val="Normal"/>
        <w:rPr/>
      </w:pPr>
      <w:r>
        <w:rPr/>
        <w:t xml:space="preserve">Poašis 3.2 Teisių lygybė </w:t>
      </w:r>
    </w:p>
    <w:p>
      <w:pPr>
        <w:pStyle w:val="Normal"/>
        <w:rPr/>
      </w:pPr>
      <w:r>
        <w:rPr/>
        <w:t xml:space="preserve"> </w:t>
      </w:r>
    </w:p>
    <w:p>
      <w:pPr>
        <w:pStyle w:val="P68B1DB1Normal15"/>
        <w:rPr>
          <w:b/>
          <w:b/>
        </w:rPr>
      </w:pPr>
      <w:r>
        <w:rPr/>
        <w:t xml:space="preserve">Rekomenduojame ES sukurti mažumų teisių stebėsenos ir pagarbos joms mechanizmą (pvz., portalą ar biurą, kuriame žmonės galėtų teikti skundus). </w:t>
      </w:r>
    </w:p>
    <w:p>
      <w:pPr>
        <w:pStyle w:val="Normal"/>
        <w:rPr/>
      </w:pPr>
      <w:r>
        <w:rPr/>
        <w:t xml:space="preserve"> </w:t>
      </w:r>
    </w:p>
    <w:p>
      <w:pPr>
        <w:pStyle w:val="Normal"/>
        <w:rPr/>
      </w:pPr>
      <w:r>
        <w:rPr/>
        <w:t xml:space="preserve">Mes teikiame šią rekomendaciją, nes tikime, kad kiekvienas asmuo gali išreikšti savo nuomonę ir turi teisę ieškoti pagalbos ir ją gauti. Toks biuras yra būtinas siekiant sumažinti įtampą tarp mažumų ir daugumos. </w:t>
      </w:r>
    </w:p>
    <w:p>
      <w:pPr>
        <w:pStyle w:val="Normal"/>
        <w:rPr/>
      </w:pPr>
      <w:r>
        <w:rPr/>
      </w:r>
    </w:p>
    <w:p>
      <w:pPr>
        <w:pStyle w:val="Normal"/>
        <w:rPr/>
      </w:pPr>
      <w:r>
        <w:rPr/>
        <w:t xml:space="preserve">Subašis 3.3 Akcinis kapitalas/paašis 3.4 Galimybė sportuoti </w:t>
      </w:r>
    </w:p>
    <w:p>
      <w:pPr>
        <w:pStyle w:val="Normal"/>
        <w:rPr/>
      </w:pPr>
      <w:r>
        <w:rPr/>
        <w:t xml:space="preserve"> </w:t>
      </w:r>
    </w:p>
    <w:p>
      <w:pPr>
        <w:pStyle w:val="P68B1DB1Normal15"/>
        <w:rPr>
          <w:b/>
          <w:b/>
        </w:rPr>
      </w:pPr>
      <w:r>
        <w:rPr/>
        <w:t xml:space="preserve">Rekomenduojame ES didinti informuotumą apie fizinį aktyvumą taikant „vaidmenų modeliavimą“, įtraukiant visuomenės veikėjus (taigi Parlamento organizuojami renginiai turėtų apimti tam tikrą fizinį aktyvumą ar judėjimą, trunkantį kelias sekundes, pvz., tempimą, vaikščiojimą ar šokinėjimą). </w:t>
      </w:r>
    </w:p>
    <w:p>
      <w:pPr>
        <w:pStyle w:val="Normal"/>
        <w:rPr/>
      </w:pPr>
      <w:r>
        <w:rPr/>
        <w:t xml:space="preserve"> </w:t>
      </w:r>
    </w:p>
    <w:p>
      <w:pPr>
        <w:pStyle w:val="Normal"/>
        <w:rPr/>
      </w:pPr>
      <w:r>
        <w:rPr/>
        <w:t xml:space="preserve">Pateikiame šią rekomendaciją, nes visuomenės veikėjų mobilizavimas fizinio aktyvumo tikslais padidins visuomenės informuotumą. </w:t>
      </w:r>
    </w:p>
    <w:p>
      <w:pPr>
        <w:pStyle w:val="Normal"/>
        <w:rPr/>
      </w:pPr>
      <w:r>
        <w:rPr/>
      </w:r>
    </w:p>
    <w:p>
      <w:pPr>
        <w:pStyle w:val="Titre4"/>
        <w:numPr>
          <w:ilvl w:val="3"/>
          <w:numId w:val="2"/>
        </w:numPr>
        <w:rPr/>
      </w:pPr>
      <w:bookmarkStart w:id="129" w:name="__RefHeading___Toc297193_1346298689"/>
      <w:bookmarkEnd w:id="129"/>
      <w:r>
        <w:rPr/>
        <w:t xml:space="preserve">5 kryptis Etika ir saugi skaitmeninė transformacija </w:t>
      </w:r>
    </w:p>
    <w:p>
      <w:pPr>
        <w:pStyle w:val="Normal"/>
        <w:rPr/>
      </w:pPr>
      <w:r>
        <w:rPr/>
        <w:t xml:space="preserve"> </w:t>
      </w:r>
    </w:p>
    <w:p>
      <w:pPr>
        <w:pStyle w:val="Normal"/>
        <w:rPr/>
      </w:pPr>
      <w:r>
        <w:rPr/>
        <w:t xml:space="preserve">Subašis 5.3 Duomenų apsauga </w:t>
      </w:r>
    </w:p>
    <w:p>
      <w:pPr>
        <w:pStyle w:val="Normal"/>
        <w:rPr/>
      </w:pPr>
      <w:r>
        <w:rPr/>
        <w:t xml:space="preserve"> </w:t>
      </w:r>
    </w:p>
    <w:p>
      <w:pPr>
        <w:pStyle w:val="P68B1DB1Normal15"/>
        <w:rPr>
          <w:b/>
          <w:b/>
        </w:rPr>
      </w:pPr>
      <w:r>
        <w:rPr/>
        <w:t xml:space="preserve">Rekomenduojame sukurti interneto ID, kuriame būtų saugomi asmens ir neskelbtini duomenys, tačiau jie bus prieinami tik valdžios institucijoms ir policijai. Interneto platformos ir pardavėjai naudos internetinį kodą, susietą su tuo interneto identifikatoriumi, ir duomenis, reikalingus konkrečiai veiklai. Numatytasis dalijimosi duomenimis, naudojant šį identifikatorių, parametras turėtų būti be sutikimo. Duomenys turėtų būti perduodami tik tiesiogiai susijusioms šalims, o ne trečiajai šaliai. Jei duomenys perduodami trečiajai šaliai, pilietis turėtų turėti galimybę lengvai nesutikti su jais. Duomenys turėtų būti prieinami tik ribotam laikotarpiui arba konkrečiam sandoriui. Leidimas naudoti duomenis turėtų būti apribotas laiko atžvilgiu arba turėtų būti aiškiai apibrėžta, ką įmonės gali daryti su šiais duomenimis. </w:t>
      </w:r>
    </w:p>
    <w:p>
      <w:pPr>
        <w:pStyle w:val="Normal"/>
        <w:rPr/>
      </w:pPr>
      <w:r>
        <w:rPr/>
        <w:t xml:space="preserve"> </w:t>
      </w:r>
    </w:p>
    <w:p>
      <w:pPr>
        <w:pStyle w:val="Normal"/>
        <w:rPr/>
      </w:pPr>
      <w:r>
        <w:rPr/>
        <w:t xml:space="preserve">Mes teikiame šią rekomendaciją, nes šiuo metu įmonės gali rinkti visus duomenis, įskaitant asmens duomenis ir neskelbtinus duomenis, ir naudoti juos daugeliui tikslų neatskleidžiant tiksliai, kaip ir kodėl. Taigi operatoriai gauna daugiau informacijos, nei jiems iš tikrųjų reikia, kad suteiktų mums paslaugas, ir tada gali perparduoti arba pakartotinai naudoti kitus duomenis be mūsų sutikimo. Kartu taip bus užtikrinta interneto naudotojų atskaitomybė, kartu išsaugant jų santykinį anonimiškumą. </w:t>
      </w:r>
      <w:r>
        <w:br w:type="page"/>
      </w:r>
    </w:p>
    <w:p>
      <w:pPr>
        <w:pStyle w:val="Titre2"/>
        <w:numPr>
          <w:ilvl w:val="1"/>
          <w:numId w:val="2"/>
        </w:numPr>
        <w:rPr/>
      </w:pPr>
      <w:bookmarkStart w:id="130" w:name="__RefHeading___Toc297195_1346298689"/>
      <w:bookmarkEnd w:id="130"/>
      <w:r>
        <w:rPr/>
        <w:t xml:space="preserve">2 Europos piliečių forumas: „Europos demokratija; vertybės ir teisės, teisinė valstybė, saugumas </w:t>
      </w:r>
    </w:p>
    <w:p>
      <w:pPr>
        <w:pStyle w:val="Normal"/>
        <w:rPr/>
      </w:pPr>
      <w:r>
        <w:rPr/>
      </w:r>
    </w:p>
    <w:p>
      <w:pPr>
        <w:pStyle w:val="Normal"/>
        <w:rPr/>
      </w:pPr>
      <w:r>
        <w:rPr/>
        <w:t xml:space="preserve">GRUPĖS PRIIMTOS REKOMENDACIJOS (TURI BŪTI PATEIKTOS PLENARINIAME POSĖDYJE) </w:t>
      </w:r>
    </w:p>
    <w:p>
      <w:pPr>
        <w:pStyle w:val="Normal"/>
        <w:rPr/>
      </w:pPr>
      <w:r>
        <w:rPr/>
        <w:t xml:space="preserve"> </w:t>
      </w:r>
    </w:p>
    <w:p>
      <w:pPr>
        <w:pStyle w:val="Titre3"/>
        <w:numPr>
          <w:ilvl w:val="2"/>
          <w:numId w:val="2"/>
        </w:numPr>
        <w:rPr/>
      </w:pPr>
      <w:bookmarkStart w:id="131" w:name="__RefHeading___Toc297197_1346298689"/>
      <w:bookmarkEnd w:id="131"/>
      <w:r>
        <w:rPr/>
        <w:t xml:space="preserve">1 ašis: Teisių ir nediskriminavimo užtikrinimas </w:t>
      </w:r>
    </w:p>
    <w:p>
      <w:pPr>
        <w:pStyle w:val="Normal"/>
        <w:rPr/>
      </w:pPr>
      <w:r>
        <w:rPr/>
        <w:t xml:space="preserve"> </w:t>
      </w:r>
    </w:p>
    <w:p>
      <w:pPr>
        <w:pStyle w:val="Titre4"/>
        <w:numPr>
          <w:ilvl w:val="3"/>
          <w:numId w:val="2"/>
        </w:numPr>
        <w:rPr/>
      </w:pPr>
      <w:bookmarkStart w:id="132" w:name="__RefHeading___Toc297199_1346298689"/>
      <w:bookmarkEnd w:id="132"/>
      <w:r>
        <w:rPr/>
        <w:t xml:space="preserve">Poašis. Nediskriminavimas/poašis 1.2 Lyčių lygybė </w:t>
      </w:r>
    </w:p>
    <w:p>
      <w:pPr>
        <w:pStyle w:val="Normal"/>
        <w:rPr/>
      </w:pPr>
      <w:r>
        <w:rPr/>
        <w:t xml:space="preserve"> </w:t>
      </w:r>
    </w:p>
    <w:p>
      <w:pPr>
        <w:pStyle w:val="P68B1DB1Normal15"/>
        <w:rPr>
          <w:b/>
          <w:b/>
        </w:rPr>
      </w:pPr>
      <w:r>
        <w:rPr/>
        <w:t xml:space="preserve">1. „Rekomenduojame, kad ES įtrauktų kovos su diskriminacija darbo rinkoje kriterijus (kvotas jaunimui, vyresnio amžiaus žmonėms, moterims, mažumoms). Jei įmonės atitiks šiuos kriterijus, jos gaus subsidijas arba mokesčių lengvatas.“ </w:t>
      </w:r>
    </w:p>
    <w:p>
      <w:pPr>
        <w:pStyle w:val="P68B1DB1Normal15"/>
        <w:rPr>
          <w:b/>
          <w:b/>
        </w:rPr>
      </w:pPr>
      <w:r>
        <w:rPr/>
        <w:t xml:space="preserve">Rekomenduojame didinti darbuotojų informuotumą šiais klausimais: </w:t>
      </w:r>
    </w:p>
    <w:p>
      <w:pPr>
        <w:pStyle w:val="P68B1DB1Normal15"/>
        <w:rPr>
          <w:b/>
          <w:b/>
        </w:rPr>
      </w:pPr>
      <w:r>
        <w:rPr/>
        <w:t xml:space="preserve">● </w:t>
      </w:r>
      <w:r>
        <w:rPr/>
        <w:t xml:space="preserve">viršvalstybinės ir nacionalinės institucijos (pvz., profesinės sąjungos); </w:t>
      </w:r>
    </w:p>
    <w:p>
      <w:pPr>
        <w:pStyle w:val="P68B1DB1Normal15"/>
        <w:rPr>
          <w:b/>
          <w:b/>
        </w:rPr>
      </w:pPr>
      <w:r>
        <w:rPr/>
        <w:t xml:space="preserve">● </w:t>
      </w:r>
      <w:r>
        <w:rPr/>
        <w:t xml:space="preserve">mechanizmai, kuriais užtikrinama, kad įmonės laikytųsi galiojančių nediskriminavimo darbo vietoje taisyklių; </w:t>
      </w:r>
    </w:p>
    <w:p>
      <w:pPr>
        <w:pStyle w:val="P68B1DB1Normal15"/>
        <w:rPr>
          <w:b/>
          <w:b/>
        </w:rPr>
      </w:pPr>
      <w:r>
        <w:rPr/>
        <w:t xml:space="preserve">● </w:t>
      </w:r>
      <w:r>
        <w:rPr/>
        <w:t xml:space="preserve">kvalifikacijos kėlimo programos socialinėms grupėms, patiriančioms diskriminaciją darbo rinkoje (jaunimo, pagyvenusių žmonių, moterų, mažumų). </w:t>
      </w:r>
    </w:p>
    <w:p>
      <w:pPr>
        <w:pStyle w:val="Normal"/>
        <w:rPr/>
      </w:pPr>
      <w:r>
        <w:rPr/>
        <w:t xml:space="preserve"> </w:t>
      </w:r>
    </w:p>
    <w:p>
      <w:pPr>
        <w:pStyle w:val="P68B1DB1Normal15"/>
        <w:rPr>
          <w:b/>
          <w:b/>
        </w:rPr>
      </w:pPr>
      <w:r>
        <w:rPr/>
        <w:t xml:space="preserve">Rekomenduojame ES teisės aktus priimti dviem etapais. Pirma, turėtų būti numatytos subsidijos tam tikrų kategorijų darbuotojams, kurie gali būti diskriminuojami, samdyti. Antra, teisės akte turėtų būti reikalaujama, kad darbdaviai įdarbintų šias grupes minimaliam laikotarpiui. </w:t>
      </w:r>
    </w:p>
    <w:p>
      <w:pPr>
        <w:pStyle w:val="Normal"/>
        <w:rPr/>
      </w:pPr>
      <w:r>
        <w:rPr/>
        <w:t xml:space="preserve"> </w:t>
      </w:r>
    </w:p>
    <w:p>
      <w:pPr>
        <w:pStyle w:val="Normal"/>
        <w:rPr/>
      </w:pPr>
      <w:r>
        <w:rPr/>
        <w:t xml:space="preserve">Iš tiesų ES yra atsakinga už laisvosios rinkos interesų ir pažeidžiamų grupių, kurias reikia teisiškai apsaugoti, apsaugos pusiausvyrą. Heterogeninės grupės yra pageidaujamos įmonėms, nes jos siūlo įvairias kvalifikacijas. Subsidijos yra papildoma paskata įmonėms. </w:t>
      </w:r>
    </w:p>
    <w:p>
      <w:pPr>
        <w:pStyle w:val="Normal"/>
        <w:rPr/>
      </w:pPr>
      <w:r>
        <w:rPr/>
        <w:t xml:space="preserve"> </w:t>
      </w:r>
    </w:p>
    <w:p>
      <w:pPr>
        <w:pStyle w:val="P68B1DB1Normal15"/>
        <w:rPr>
          <w:b/>
          <w:b/>
        </w:rPr>
      </w:pPr>
      <w:r>
        <w:rPr/>
        <w:t xml:space="preserve">2. „Rekomenduojame, kad ES sukurtų paskatų programą, kuri palengvintų įperkamų vaikų darželių ir žaidimų aikštelių kūrimą didelėse ir mažose įmonėse. Bendros priemonės taip pat yra perspektyvus sprendimas mažosioms įmonėms gauti subsidiją. </w:t>
      </w:r>
    </w:p>
    <w:p>
      <w:pPr>
        <w:pStyle w:val="P68B1DB1Normal15"/>
        <w:rPr>
          <w:b/>
          <w:b/>
        </w:rPr>
      </w:pPr>
      <w:r>
        <w:rPr/>
        <w:t xml:space="preserve">Rekomenduojame, kad ES įpareigotų įmones steigti vaikų darželius proporcingai darbuotojų skaičiui. </w:t>
      </w:r>
    </w:p>
    <w:p>
      <w:pPr>
        <w:pStyle w:val="Normal"/>
        <w:rPr/>
      </w:pPr>
      <w:r>
        <w:rPr/>
        <w:t xml:space="preserve"> </w:t>
      </w:r>
    </w:p>
    <w:p>
      <w:pPr>
        <w:pStyle w:val="Normal"/>
        <w:rPr/>
      </w:pPr>
      <w:r>
        <w:rPr/>
        <w:t xml:space="preserve">Rekomenduojame tai, nes šeimos ir profesinio gyvenimo derinimas pagerina darbo našumą, mažina nedarbą, o tėvai, ypač moterys, atsiduria tokioje padėtyje, kuri leidžia jiems siekti karjeros. Sutelkus dėmesį į socialinį aspektą, siūlomas sprendimas užtikrina vaikų saugumą ir sumažina tėvų nerimą. </w:t>
      </w:r>
    </w:p>
    <w:p>
      <w:pPr>
        <w:pStyle w:val="Normal"/>
        <w:rPr/>
      </w:pPr>
      <w:r>
        <w:rPr/>
      </w:r>
    </w:p>
    <w:p>
      <w:pPr>
        <w:pStyle w:val="Titre4"/>
        <w:numPr>
          <w:ilvl w:val="3"/>
          <w:numId w:val="2"/>
        </w:numPr>
        <w:rPr/>
      </w:pPr>
      <w:bookmarkStart w:id="133" w:name="__RefHeading___Toc297201_1346298689"/>
      <w:bookmarkEnd w:id="133"/>
      <w:r>
        <w:rPr/>
        <w:t xml:space="preserve">1.3 poašis: Žmogaus teisių, gamtos ir gyvūnų teisių apsauga </w:t>
      </w:r>
    </w:p>
    <w:p>
      <w:pPr>
        <w:pStyle w:val="Normal"/>
        <w:rPr/>
      </w:pPr>
      <w:r>
        <w:rPr/>
        <w:t xml:space="preserve"> </w:t>
      </w:r>
    </w:p>
    <w:p>
      <w:pPr>
        <w:pStyle w:val="P68B1DB1Normal15"/>
        <w:rPr>
          <w:b/>
          <w:b/>
        </w:rPr>
      </w:pPr>
      <w:r>
        <w:rPr/>
        <w:t xml:space="preserve">3. „Rekomenduojame išsaugoti gyvūnų gerovę ir tvarumą iš dalies keičiant Direktyvą 98/58/EB dėl gyvūnų apsaugos ūkiuose. Reikia nustatyti išsamesnius minimalius kriterijus. Jos turi būti tikslios, išmatuojamos ir ribotos trukmės. Minimalūs kriterijai turi būti nustatyti taip, kad būtų nustatyti aukštesni gyvūnų gerovės standartai ir kartu būtų galima pereiti prie tvaraus klimato ir aplinkos bei ekologinio žemės ūkio. </w:t>
      </w:r>
    </w:p>
    <w:p>
      <w:pPr>
        <w:pStyle w:val="Normal"/>
        <w:rPr/>
      </w:pPr>
      <w:r>
        <w:rPr/>
        <w:t xml:space="preserve"> </w:t>
      </w:r>
    </w:p>
    <w:p>
      <w:pPr>
        <w:pStyle w:val="Normal"/>
        <w:rPr/>
      </w:pPr>
      <w:r>
        <w:rPr/>
        <w:t xml:space="preserve">Mes, piliečiai, manome, kad svarbu nustatyti griežtesnius minimalius gyvulininkystės standartus, kurie ES būtų suderinti. Žinome, kad perėjimas gali kelti problemų kai kuriuose žemės ūkio sektoriuose, kuriems skiriamos subsidijos, ir tiems, kurie pereina prie ekologinio ir tvaraus žemės ūkio. Vis dėlto manome, kad labai svarbu užtikrinti, kad šis perėjimas vyktų. </w:t>
      </w:r>
    </w:p>
    <w:p>
      <w:pPr>
        <w:pStyle w:val="Normal"/>
        <w:rPr/>
      </w:pPr>
      <w:r>
        <w:rPr/>
        <w:t xml:space="preserve"> </w:t>
      </w:r>
    </w:p>
    <w:p>
      <w:pPr>
        <w:pStyle w:val="P68B1DB1Normal15"/>
        <w:rPr>
          <w:b/>
          <w:b/>
        </w:rPr>
      </w:pPr>
      <w:r>
        <w:rPr/>
        <w:t xml:space="preserve">4. Rekomenduojame skatinti ekologiškesnį ir klimatui palankesnį žemės ūkį Europoje ir visame pasaulyje, pavyzdžiui, apmokestinant visus neigiamus išmetamus teršalus, pesticidus ir ypač didelį vandens naudojimą, atsižvelgiant į jų poveikį aplinkai. Visiems į Sąjungą importuojamiems žemės ūkio produktams taikomi muitai turi panaikinti trečiųjų šalių, kurios neatitinka tų pačių standartų kaip Sąjunga, konkurencinius pranašumus. Siekdami skatinti gyvūnams nekenkiantį žemės ūkį, rekomenduojame apmokestinti teršalus, išmetamus vežant gyvūnus dideliais atstumais. </w:t>
      </w:r>
    </w:p>
    <w:p>
      <w:pPr>
        <w:pStyle w:val="Normal"/>
        <w:rPr/>
      </w:pPr>
      <w:r>
        <w:rPr/>
        <w:t xml:space="preserve"> </w:t>
      </w:r>
    </w:p>
    <w:p>
      <w:pPr>
        <w:pStyle w:val="Normal"/>
        <w:rPr/>
      </w:pPr>
      <w:r>
        <w:rPr/>
        <w:t xml:space="preserve">Įdiegę tokią sistemą, manome, kad galima remti perėjimą prie klimatui nekenkiančio ir aplinkai nekenksmingo žemės ūkio. </w:t>
      </w:r>
    </w:p>
    <w:p>
      <w:pPr>
        <w:pStyle w:val="Normal"/>
        <w:rPr/>
      </w:pPr>
      <w:r>
        <w:rPr/>
        <w:t xml:space="preserve"> </w:t>
      </w:r>
    </w:p>
    <w:p>
      <w:pPr>
        <w:pStyle w:val="P68B1DB1Normal15"/>
        <w:rPr>
          <w:b/>
          <w:b/>
        </w:rPr>
      </w:pPr>
      <w:r>
        <w:rPr/>
        <w:t xml:space="preserve">5. Nors pastaruoju metu platinama daug melagingų naujienų, rekomenduojame skatinti labiau nepriklausomą, objektyvesnį ir subalansuotą žiniasklaidos nušvietimą imantis šių veiksmų: 1. parengti ES direktyvą, kuria būtų nustatyti minimalūs žiniasklaidos nepriklausomumo standartai; 2. Sąjungos lygmeniu skatinti kiekvieno piliečio žiniasklaidos įgūdžių ugdymą.“ </w:t>
      </w:r>
    </w:p>
    <w:p>
      <w:pPr>
        <w:pStyle w:val="Normal"/>
        <w:rPr/>
      </w:pPr>
      <w:r>
        <w:rPr/>
        <w:t xml:space="preserve"> </w:t>
      </w:r>
    </w:p>
    <w:p>
      <w:pPr>
        <w:pStyle w:val="Normal"/>
        <w:rPr/>
      </w:pPr>
      <w:r>
        <w:rPr/>
        <w:t xml:space="preserve">ES turi parengti direktyvą, kuria būtų užtikrintas žiniasklaidos nepriklausomumas ir saviraiškos laisvė. </w:t>
      </w:r>
    </w:p>
    <w:p>
      <w:pPr>
        <w:pStyle w:val="Normal"/>
        <w:rPr/>
      </w:pPr>
      <w:r>
        <w:rPr/>
        <w:t xml:space="preserve"> </w:t>
      </w:r>
    </w:p>
    <w:p>
      <w:pPr>
        <w:pStyle w:val="Normal"/>
        <w:rPr/>
      </w:pPr>
      <w:r>
        <w:rPr>
          <w:b/>
        </w:rPr>
        <w:t>6. Rekomenduojame nustoti subsidijuoti masinę žemės ūkio gamybą, jei ji nesukels perėjimo prie klimato, ekologinio ir tvaraus žemės ūkio. Vietoj to rekomenduojame perskirstyti dotacijas tvariam perėjimui remti.</w:t>
      </w:r>
      <w:r>
        <w:rPr/>
        <w:t xml:space="preserve"> </w:t>
      </w:r>
    </w:p>
    <w:p>
      <w:pPr>
        <w:pStyle w:val="Normal"/>
        <w:rPr/>
      </w:pPr>
      <w:r>
        <w:rPr/>
        <w:t xml:space="preserve"> </w:t>
      </w:r>
    </w:p>
    <w:p>
      <w:pPr>
        <w:pStyle w:val="Normal"/>
        <w:rPr/>
      </w:pPr>
      <w:r>
        <w:rPr/>
        <w:t xml:space="preserve">Užuot subsidijuojus masinės gyvulininkystės žemės ūkio sektorių, subsidijos turėtų būti nukreiptos į pereinamuosius ūkius, kad jie atitiktų naujus minimalius gyvūnų gerovės standartus. </w:t>
      </w:r>
    </w:p>
    <w:p>
      <w:pPr>
        <w:pStyle w:val="Normal"/>
        <w:rPr/>
      </w:pPr>
      <w:r>
        <w:rPr/>
        <w:t xml:space="preserve"> </w:t>
      </w:r>
    </w:p>
    <w:p>
      <w:pPr>
        <w:pStyle w:val="Titre4"/>
        <w:numPr>
          <w:ilvl w:val="3"/>
          <w:numId w:val="2"/>
        </w:numPr>
        <w:rPr/>
      </w:pPr>
      <w:bookmarkStart w:id="134" w:name="__RefHeading___Toc297203_1346298689"/>
      <w:bookmarkEnd w:id="134"/>
      <w:r>
        <w:rPr/>
        <w:t xml:space="preserve">Poašis 1.4 Teisė į privatumą </w:t>
      </w:r>
    </w:p>
    <w:p>
      <w:pPr>
        <w:pStyle w:val="Normal"/>
        <w:rPr/>
      </w:pPr>
      <w:r>
        <w:rPr/>
        <w:t xml:space="preserve"> </w:t>
      </w:r>
    </w:p>
    <w:p>
      <w:pPr>
        <w:pStyle w:val="P68B1DB1Normal15"/>
        <w:rPr>
          <w:b/>
          <w:b/>
        </w:rPr>
      </w:pPr>
      <w:r>
        <w:rPr/>
        <w:t xml:space="preserve">7. „Rekomenduojame, kad subjektams, kurie tvarko asmens duomenis, būtų suteiktas leidimas ES lygmeniu. Šiems subjektams taip pat reikės atlikti nepriklausomą metinį išorės auditą duomenų apsaugos srityje. Šiems subjektams bus taikomos griežtesnės sankcijos už duomenų apsaugos pažeidimus proporcingai jų metinei apyvartai nei pagal dabartinį reglamentą. Patvirtinimas turėtų būti atšauktas po dviejų pažeidimų iš eilės ir iš karto po sunkaus pažeidimo. </w:t>
      </w:r>
    </w:p>
    <w:p>
      <w:pPr>
        <w:pStyle w:val="Normal"/>
        <w:rPr/>
      </w:pPr>
      <w:r>
        <w:rPr/>
        <w:t xml:space="preserve"> </w:t>
      </w:r>
    </w:p>
    <w:p>
      <w:pPr>
        <w:pStyle w:val="Normal"/>
        <w:rPr/>
      </w:pPr>
      <w:r>
        <w:rPr/>
        <w:t xml:space="preserve">Mes rekomenduojame tokias priemones, nes dabartinis reglamentas (BDAR) yra nepakankamas ir subjektai turi būti geriau kontroliuojami ir sankcionuojami, siekiant užtikrinti, kad jie nepažeistų duomenų apsaugos ir teisės į privatumą. </w:t>
      </w:r>
    </w:p>
    <w:p>
      <w:pPr>
        <w:pStyle w:val="Normal"/>
        <w:rPr/>
      </w:pPr>
      <w:r>
        <w:rPr/>
        <w:t xml:space="preserve"> </w:t>
      </w:r>
    </w:p>
    <w:p>
      <w:pPr>
        <w:pStyle w:val="P68B1DB1Normal15"/>
        <w:rPr>
          <w:b/>
          <w:b/>
        </w:rPr>
      </w:pPr>
      <w:r>
        <w:rPr/>
        <w:t xml:space="preserve">8. „Rekomenduojame stiprinti Sąjungos kompetenciją šiose srityse: 1) švietimas duomenų apsaugos srityje, 2) informuotumas apie duomenų apsaugą ir 3) nepilnamečių asmens duomenų apsauga. Rekomenduojame patikslinti ir sugriežtinti BDAR nustatytas nepilnamečių duomenų tvarkymo taisykles, įskaitant teisėtų globėjų sutikimo, amžiaus tikrinimo ir kontrolės taisykles. Taip pat rekomenduojame į BDAR įtraukti specialią neskelbtinų nepilnamečių duomenų kategoriją (pvz., nuosprendžių registras, informacija apie sveikatą, nuogumas), kad nepilnamečiai būtų apsaugoti nuo bet kokio piktnaudžiavimo ir diskriminacijos. </w:t>
      </w:r>
    </w:p>
    <w:p>
      <w:pPr>
        <w:pStyle w:val="Normal"/>
        <w:rPr/>
      </w:pPr>
      <w:r>
        <w:rPr/>
        <w:t xml:space="preserve"> </w:t>
      </w:r>
    </w:p>
    <w:p>
      <w:pPr>
        <w:pStyle w:val="Normal"/>
        <w:rPr/>
      </w:pPr>
      <w:r>
        <w:rPr/>
        <w:t xml:space="preserve">Ši rekomendacija yra būtina, nes nepilnamečiai yra ypač pažeidžiami dėl duomenų apsaugos ir privatumo pažeidimų ir dėl to, kad šiuo metu plačioji visuomenė (ypač nepilnamečiai, mokytojai ir teisėti globėjai) nepakankamai žino apie duomenų apsaugą. Jie visi turi išmokti naudotis internetinėmis ir neinternetinėmis duomenų paslaugomis ir apsaugoti vaikų privatumo teises. Be to, teisėti globėjai dažnai gali sutikti, kad būtų tvarkomi vaikų duomenys, visiškai nežinodami ar neinformuodami, o vaikai gali suklastoti tėvų sutikimą. Galiausiai ši rekomendacija yra būtina, nes nėra tikros ES masto informuotumo apie duomenų apsaugą kampanijos, skirtos visų pirma nepilnamečiams, teisėtiems globėjams ir mokytojams, nors tokia kampanija yra būtina. </w:t>
      </w:r>
    </w:p>
    <w:p>
      <w:pPr>
        <w:pStyle w:val="Normal"/>
        <w:rPr/>
      </w:pPr>
      <w:r>
        <w:rPr/>
      </w:r>
    </w:p>
    <w:p>
      <w:pPr>
        <w:pStyle w:val="P68B1DB1Normal15"/>
        <w:rPr>
          <w:b/>
          <w:b/>
        </w:rPr>
      </w:pPr>
      <w:r>
        <w:rPr/>
        <w:t xml:space="preserve">9. Rekomenduojame įdiegti standartizuotą privatumo politiką ir lengvai suprantamas, glaustas ir intuityvias sutikimo formas, kuriose būtų aiškiai nurodyta, koks duomenų tvarkymas yra griežtai būtinas ir kas yra neprivaloma. Mes rekomenduojame, kad sutikimo atšaukimas būtų lengvas, greitas ir nuolatinis. Mes rekomenduojame uždrausti subjektams apriboti savo paslaugas daugiau nei būtina, jei nebuvo duotas sutikimas dėl neprivalomo duomenų tvarkymo. </w:t>
      </w:r>
    </w:p>
    <w:p>
      <w:pPr>
        <w:pStyle w:val="Normal"/>
        <w:rPr/>
      </w:pPr>
      <w:r>
        <w:rPr/>
        <w:t xml:space="preserve"> </w:t>
      </w:r>
    </w:p>
    <w:p>
      <w:pPr>
        <w:pStyle w:val="Normal"/>
        <w:rPr/>
      </w:pPr>
      <w:r>
        <w:rPr/>
        <w:t xml:space="preserve">Mes rekomenduojame tai, nes dabartinės ES taisyklės nėra pakankamai tikslios, sutikimo atšaukimas yra ilgas, laikinas ir sudėtingas, o subjektai nėra suinteresuoti siūlyti savo paslaugas piliečiams, kurie naudojasi savo teise į duomenų apsaugą. </w:t>
      </w:r>
    </w:p>
    <w:p>
      <w:pPr>
        <w:pStyle w:val="Normal"/>
        <w:rPr/>
      </w:pPr>
      <w:r>
        <w:rPr/>
        <w:t xml:space="preserve"> </w:t>
      </w:r>
    </w:p>
    <w:p>
      <w:pPr>
        <w:pStyle w:val="Titre3"/>
        <w:numPr>
          <w:ilvl w:val="2"/>
          <w:numId w:val="2"/>
        </w:numPr>
        <w:rPr/>
      </w:pPr>
      <w:bookmarkStart w:id="135" w:name="__RefHeading___Toc297205_1346298689"/>
      <w:bookmarkEnd w:id="135"/>
      <w:r>
        <w:rPr/>
        <w:t xml:space="preserve">2 ašis: Demokratijos ir teisinės valstybės apsauga </w:t>
      </w:r>
    </w:p>
    <w:p>
      <w:pPr>
        <w:pStyle w:val="Normal"/>
        <w:rPr/>
      </w:pPr>
      <w:r>
        <w:rPr/>
        <w:t xml:space="preserve"> </w:t>
      </w:r>
    </w:p>
    <w:p>
      <w:pPr>
        <w:pStyle w:val="Titre4"/>
        <w:numPr>
          <w:ilvl w:val="3"/>
          <w:numId w:val="2"/>
        </w:numPr>
        <w:rPr/>
      </w:pPr>
      <w:bookmarkStart w:id="136" w:name="__RefHeading___Toc297207_1346298689"/>
      <w:bookmarkEnd w:id="136"/>
      <w:r>
        <w:rPr/>
        <w:t xml:space="preserve">2 poašis. Teisinės valstybės apsauga </w:t>
      </w:r>
    </w:p>
    <w:p>
      <w:pPr>
        <w:pStyle w:val="Normal"/>
        <w:rPr/>
      </w:pPr>
      <w:r>
        <w:rPr/>
        <w:t xml:space="preserve"> </w:t>
      </w:r>
    </w:p>
    <w:p>
      <w:pPr>
        <w:pStyle w:val="P68B1DB1Normal15"/>
        <w:rPr>
          <w:b/>
          <w:b/>
        </w:rPr>
      </w:pPr>
      <w:r>
        <w:rPr/>
        <w:t xml:space="preserve">10. „Rekomenduojame iš dalies pakeisti kompleksinio paramos susiejimo reglamentą (2020/2092, priimtą 2020 m. gruodžio 16 d.), kad jis būtų taikomas visiems teisinės valstybės principo pažeidimams, o ne pažeidimams, kurie daro poveikį ES biudžetui.“ </w:t>
      </w:r>
    </w:p>
    <w:p>
      <w:pPr>
        <w:pStyle w:val="Normal"/>
        <w:rPr/>
      </w:pPr>
      <w:r>
        <w:rPr/>
        <w:t xml:space="preserve"> </w:t>
      </w:r>
    </w:p>
    <w:p>
      <w:pPr>
        <w:pStyle w:val="Normal"/>
        <w:rPr/>
      </w:pPr>
      <w:r>
        <w:rPr/>
        <w:t xml:space="preserve">Kompleksinės paramos reglamentu leidžiama sustabdyti ES lėšų išmokėjimą teisinės valstybės principą pažeidžiančioms valstybėms narėms. Tačiau dabartinėje jo redakcijoje jis taikomas tik tiems pažeidimams, kurie daro arba gali daryti poveikį ES biudžetui. Be to, dabartinė kompleksinio paramos susiejimo reglamento formuluotė apsaugo ES biudžetą ir ES institucijas, o ne atitinkamų valstybių narių piliečius. Todėl rekomenduojame iš dalies pakeisti dabartinį reglamento tekstą, kad jis apimtų visus teisinės valstybės principo pažeidimus. </w:t>
      </w:r>
    </w:p>
    <w:p>
      <w:pPr>
        <w:pStyle w:val="Normal"/>
        <w:rPr/>
      </w:pPr>
      <w:r>
        <w:rPr/>
        <w:t xml:space="preserve"> </w:t>
      </w:r>
    </w:p>
    <w:p>
      <w:pPr>
        <w:pStyle w:val="P68B1DB1Normal15"/>
        <w:rPr>
          <w:b/>
          <w:b/>
        </w:rPr>
      </w:pPr>
      <w:r>
        <w:rPr/>
        <w:t xml:space="preserve">11. „Rekomenduojame, kad paskelbus metinę teisinės valstybės principo taikymo ataskaitą (Komisijos valstybių narių teisinės valstybės principo laikymosi stebėsenos mechanizmą) ES rengtų metines teisinės valstybės konferencijas. Valstybės narės turėtų būti įpareigotos į Konferenciją siųsti įvairias nacionalines socialinės srities delegacijas, įskaitant piliečius ir valstybės tarnautojus.“ </w:t>
      </w:r>
    </w:p>
    <w:p>
      <w:pPr>
        <w:pStyle w:val="Normal"/>
        <w:rPr/>
      </w:pPr>
      <w:r>
        <w:rPr/>
        <w:t xml:space="preserve"> </w:t>
      </w:r>
    </w:p>
    <w:p>
      <w:pPr>
        <w:pStyle w:val="Normal"/>
        <w:rPr/>
      </w:pPr>
      <w:r>
        <w:rPr/>
        <w:t xml:space="preserve">Šia konferencija bus skatinamas ES piliečių dialogas teisinės valstybės klausimais, taip pat piliečių ir ekspertų, kurie rengia metines teisinės valstybės ataskaitas, dialogas. Tikime, kad abipusio vertinimo ir dalijimosi sąlygomis dalyviai galės sugrąžinti geriausią praktiką ir idėjas į savo gimtąsias šalis. Be to, konferencija padidintų informuotumą ir supratimą apie teisinės valstybės principą ir išvadas bei procesą, kuriais grindžiama metinė teisinės valstybės principo taikymo ataskaita. Tai taip pat pritrauktų žiniasklaidos dėmesį ir leistų piliečiams pasidalyti savo patirtimi ir palyginti ją su ataskaitos išvadomis. </w:t>
      </w:r>
    </w:p>
    <w:p>
      <w:pPr>
        <w:pStyle w:val="Normal"/>
        <w:rPr/>
      </w:pPr>
      <w:r>
        <w:rPr/>
      </w:r>
    </w:p>
    <w:p>
      <w:pPr>
        <w:pStyle w:val="Titre4"/>
        <w:numPr>
          <w:ilvl w:val="3"/>
          <w:numId w:val="2"/>
        </w:numPr>
        <w:rPr/>
      </w:pPr>
      <w:bookmarkStart w:id="137" w:name="__RefHeading___Toc297209_1346298689"/>
      <w:bookmarkEnd w:id="137"/>
      <w:r>
        <w:rPr/>
        <w:t xml:space="preserve">Poašis. Demokratijos apsauga ir stiprinimas. 2.4 Žiniasklaida ir dezinformacija </w:t>
      </w:r>
    </w:p>
    <w:p>
      <w:pPr>
        <w:pStyle w:val="Normal"/>
        <w:rPr/>
      </w:pPr>
      <w:r>
        <w:rPr/>
        <w:t xml:space="preserve"> </w:t>
      </w:r>
    </w:p>
    <w:p>
      <w:pPr>
        <w:pStyle w:val="P68B1DB1Normal15"/>
        <w:rPr>
          <w:b/>
          <w:b/>
        </w:rPr>
      </w:pPr>
      <w:r>
        <w:rPr/>
        <w:t xml:space="preserve">12. „Rekomenduojame, kad ES griežčiau taikytų savo konkurencijos taisykles žiniasklaidos sektoriuje, kad būtų užtikrinta žiniasklaidos pliuralizmo apsauga visose valstybėse narėse. ES turėtų užkirsti kelią didelėms žiniasklaidos monopolijoms ir politiniams paskyrimams žiniasklaidos valdybose. Mes taip pat rekomenduojame, kad būsimuose ES teisės aktuose dėl žiniasklaidos laisvės būtų nustatytos taisyklės, kuriomis būtų užkertamas kelias politikams turėti ar daryti didelę įtaką jų turiniui. </w:t>
      </w:r>
    </w:p>
    <w:p>
      <w:pPr>
        <w:pStyle w:val="Normal"/>
        <w:rPr/>
      </w:pPr>
      <w:r>
        <w:rPr/>
        <w:t xml:space="preserve"> </w:t>
      </w:r>
    </w:p>
    <w:p>
      <w:pPr>
        <w:pStyle w:val="Normal"/>
        <w:rPr/>
      </w:pPr>
      <w:r>
        <w:rPr/>
        <w:t xml:space="preserve">Mes rekomenduojame tai, nes ES konkurencijos taisyklių taikymas skatina pliuralistinę žiniasklaidos aplinką, kurioje piliečiai gali rinktis. Kadangi Komisija šiuo metu rengia teisės aktą (dėl žiniasklaidos laisvės), skirtą ES žiniasklaidos rinkos vientisumui, taip pat turėtų būti numatyta, kad politikai neturėtų turėti žiniasklaidos ar daryti jai įtakos. </w:t>
      </w:r>
    </w:p>
    <w:p>
      <w:pPr>
        <w:pStyle w:val="Normal"/>
        <w:rPr/>
      </w:pPr>
      <w:r>
        <w:rPr/>
        <w:t xml:space="preserve"> </w:t>
      </w:r>
    </w:p>
    <w:p>
      <w:pPr>
        <w:pStyle w:val="Titre4"/>
        <w:numPr>
          <w:ilvl w:val="3"/>
          <w:numId w:val="2"/>
        </w:numPr>
        <w:rPr/>
      </w:pPr>
      <w:bookmarkStart w:id="138" w:name="__RefHeading___Toc297211_1346298689"/>
      <w:bookmarkEnd w:id="138"/>
      <w:r>
        <w:rPr/>
        <w:t xml:space="preserve">Poašis 2.3 Apsauga </w:t>
      </w:r>
    </w:p>
    <w:p>
      <w:pPr>
        <w:pStyle w:val="Normal"/>
        <w:rPr/>
      </w:pPr>
      <w:r>
        <w:rPr/>
        <w:t xml:space="preserve"> </w:t>
      </w:r>
    </w:p>
    <w:p>
      <w:pPr>
        <w:pStyle w:val="P68B1DB1Normal15"/>
        <w:rPr>
          <w:b/>
          <w:b/>
        </w:rPr>
      </w:pPr>
      <w:r>
        <w:rPr/>
        <w:t xml:space="preserve">13. „Rekomenduojame, kad ES institucijos atliktų svarbesnį vaidmenį visomis turimomis priemonėmis, įskaitant nacionalinius kibernetinio saugumo centrus ir Europos Sąjungos kibernetinio saugumo agentūrą (ENISA), siekiant apsaugoti piliečius, organizacijas ir institucijas nuo naujų grėsmių, kylančių dėl kibernetinio saugumo pažeidimų ir dirbtinio intelekto naudojimo nusikalstamais tikslais. Taip pat rekomenduojame, kad Europos ir jos agentūrų direktyvos būtų tinkamai įgyvendinamos ir platinamos visose valstybėse narėse.“ </w:t>
      </w:r>
    </w:p>
    <w:p>
      <w:pPr>
        <w:pStyle w:val="Normal"/>
        <w:rPr/>
      </w:pPr>
      <w:r>
        <w:rPr/>
        <w:t xml:space="preserve"> </w:t>
      </w:r>
    </w:p>
    <w:p>
      <w:pPr>
        <w:pStyle w:val="Normal"/>
        <w:rPr/>
      </w:pPr>
      <w:r>
        <w:rPr/>
        <w:t xml:space="preserve">Mes rekomenduojame tai, nes piliečiai jaučiasi bejėgiai ir nežino, ką Europos Sąjunga daro kovodama su šiomis grėsmėmis. Mes rekomenduojame tai, nes šios grėsmės yra rimta nacionalinio ir Europos saugumo problema. Mes rekomenduojame tai, nes Europa turėtų būti tikra inovacijų varomoji jėga šioje srityje. </w:t>
      </w:r>
    </w:p>
    <w:p>
      <w:pPr>
        <w:pStyle w:val="Normal"/>
        <w:rPr/>
      </w:pPr>
      <w:r>
        <w:rPr/>
        <w:t xml:space="preserve"> </w:t>
      </w:r>
    </w:p>
    <w:p>
      <w:pPr>
        <w:pStyle w:val="P68B1DB1Normal15"/>
        <w:rPr>
          <w:b/>
          <w:b/>
        </w:rPr>
      </w:pPr>
      <w:r>
        <w:rPr/>
        <w:t xml:space="preserve">14. „Rekomenduojame, kad palaikydama santykius su išorės šalimis Sąjunga pirmiausia stiprintų bendras demokratines vertybes prie savo sienų. Tik pasiekę šį tikslą rekomenduojame, kad Sąjunga taptų mūsų demokratinio modelio ambasadore šalyse, kurios nori taikyti šį modelį ir nori tai daryti pasitelkdamos diplomatiją ir dialogą. </w:t>
      </w:r>
    </w:p>
    <w:p>
      <w:pPr>
        <w:pStyle w:val="Normal"/>
        <w:rPr/>
      </w:pPr>
      <w:r>
        <w:rPr/>
        <w:t xml:space="preserve"> </w:t>
      </w:r>
    </w:p>
    <w:p>
      <w:pPr>
        <w:pStyle w:val="Normal"/>
        <w:rPr/>
      </w:pPr>
      <w:r>
        <w:rPr/>
        <w:t xml:space="preserve">Mes rekomenduojame šią priemonę, nes mes turime pažvelgti į vidų prieš žiūrėdami į išorę. Kadangi Europa gali ir turi padėti valstybėms narėms stiprinti savo demokratiją. Nes taip pat rodome pavyzdį ir remiame išorės šalių pastangas demokratijos srityje, kurias saugome. </w:t>
      </w:r>
    </w:p>
    <w:p>
      <w:pPr>
        <w:pStyle w:val="Normal"/>
        <w:rPr/>
      </w:pPr>
      <w:r>
        <w:rPr/>
        <w:t xml:space="preserve"> </w:t>
      </w:r>
    </w:p>
    <w:p>
      <w:pPr>
        <w:pStyle w:val="Titre3"/>
        <w:numPr>
          <w:ilvl w:val="2"/>
          <w:numId w:val="2"/>
        </w:numPr>
        <w:rPr/>
      </w:pPr>
      <w:bookmarkStart w:id="139" w:name="__RefHeading___Toc297213_1346298689"/>
      <w:bookmarkEnd w:id="139"/>
      <w:r>
        <w:rPr/>
        <w:t xml:space="preserve">3 ašis: Europos Sąjungos reforma </w:t>
      </w:r>
    </w:p>
    <w:p>
      <w:pPr>
        <w:pStyle w:val="Normal"/>
        <w:rPr/>
      </w:pPr>
      <w:r>
        <w:rPr/>
        <w:t xml:space="preserve"> </w:t>
      </w:r>
    </w:p>
    <w:p>
      <w:pPr>
        <w:pStyle w:val="Titre4"/>
        <w:numPr>
          <w:ilvl w:val="3"/>
          <w:numId w:val="2"/>
        </w:numPr>
        <w:rPr/>
      </w:pPr>
      <w:bookmarkStart w:id="140" w:name="__RefHeading___Toc297215_1346298689"/>
      <w:bookmarkEnd w:id="140"/>
      <w:r>
        <w:rPr/>
        <w:t>3.1 poašis Institucinė reforma</w:t>
      </w:r>
    </w:p>
    <w:p>
      <w:pPr>
        <w:pStyle w:val="Normal"/>
        <w:rPr/>
      </w:pPr>
      <w:r>
        <w:rPr/>
        <w:t xml:space="preserve"> </w:t>
      </w:r>
    </w:p>
    <w:p>
      <w:pPr>
        <w:pStyle w:val="Normal"/>
        <w:rPr/>
      </w:pPr>
      <w:r>
        <w:rPr>
          <w:b/>
        </w:rPr>
        <w:t>15. „Rekomenduojame pakeisti ES institucijų pavadinimus, kad būtų paaiškintos jų funkcijos. Pavyzdžiui, Europos Sąjungos Taryba galėtų būti vadinama Europos Sąjungos senatu. Europos Komisija galėtų būti vadinama Europos Sąjungos Vykdomąja komisija</w:t>
      </w:r>
      <w:r>
        <w:rPr/>
        <w:t xml:space="preserve">. </w:t>
      </w:r>
    </w:p>
    <w:p>
      <w:pPr>
        <w:pStyle w:val="Normal"/>
        <w:rPr/>
      </w:pPr>
      <w:r>
        <w:rPr/>
        <w:t xml:space="preserve"> </w:t>
      </w:r>
    </w:p>
    <w:p>
      <w:pPr>
        <w:pStyle w:val="Normal"/>
        <w:rPr/>
      </w:pPr>
      <w:r>
        <w:rPr/>
        <w:t xml:space="preserve">Mes rekomenduojame tai, nes šiuo metu piliečiams sunku suprasti kiekvienos ES institucijos vaidmenį ir funkcijas. Jų vardai neatspindi jų funkcijų. Negalima tikėtis, kad piliečiai skirs Europos Sąjungos Tarybą, Europos Vadovų Tarybą ir Europos Tarybą. Svarbu išvengti dubliavimosi. </w:t>
      </w:r>
    </w:p>
    <w:p>
      <w:pPr>
        <w:pStyle w:val="Normal"/>
        <w:rPr/>
      </w:pPr>
      <w:r>
        <w:rPr/>
        <w:t xml:space="preserve"> </w:t>
      </w:r>
    </w:p>
    <w:p>
      <w:pPr>
        <w:pStyle w:val="P68B1DB1Normal15"/>
        <w:rPr>
          <w:b/>
          <w:b/>
        </w:rPr>
      </w:pPr>
      <w:r>
        <w:rPr/>
        <w:t xml:space="preserve">16. Rekomenduojame priimti Europos Parlamento rinkimų įstatymą, kuriuo būtų suderintos rinkimų sąlygos (balsavimo teisės amžius, rinkimų data, reikalavimai, susiję su rinkimų apygardomis, kandidatais, politinėmis partijomis ir jų finansavimu). Europos piliečiai turėtų turėti teisę balsuoti įvairioms ES lygmens partijoms, kurių kiekvieną sudaro kandidatai iš kelių valstybių narių. Per pakankamą pereinamąjį laikotarpį piliečiai vis dar galėtų balsuoti už nacionalines ir tarptautines partijas. </w:t>
      </w:r>
    </w:p>
    <w:p>
      <w:pPr>
        <w:pStyle w:val="Normal"/>
        <w:rPr/>
      </w:pPr>
      <w:r>
        <w:rPr/>
        <w:t xml:space="preserve"> </w:t>
      </w:r>
    </w:p>
    <w:p>
      <w:pPr>
        <w:pStyle w:val="Normal"/>
        <w:rPr/>
      </w:pPr>
      <w:r>
        <w:rPr/>
        <w:t xml:space="preserve">Mes rekomenduojame tai, nes Sąjungai reikia ugdyti vienybės jausmą, kuris galėtų atsirasti per tikrai vieningus Europos Parlamento rinkimus. Šie bendri rinkimai leis suteikti galių Europos Parlamento nariams ir sutelkti rinkimų kampaniją į bendras Europos temas. </w:t>
      </w:r>
    </w:p>
    <w:p>
      <w:pPr>
        <w:pStyle w:val="Normal"/>
        <w:rPr/>
      </w:pPr>
      <w:r>
        <w:rPr/>
        <w:t xml:space="preserve"> </w:t>
      </w:r>
    </w:p>
    <w:p>
      <w:pPr>
        <w:pStyle w:val="Titre4"/>
        <w:numPr>
          <w:ilvl w:val="3"/>
          <w:numId w:val="2"/>
        </w:numPr>
        <w:rPr/>
      </w:pPr>
      <w:bookmarkStart w:id="141" w:name="__RefHeading___Toc297217_1346298689"/>
      <w:bookmarkEnd w:id="141"/>
      <w:r>
        <w:rPr/>
        <w:t xml:space="preserve">Poašis. Sprendimų priėmimas </w:t>
      </w:r>
    </w:p>
    <w:p>
      <w:pPr>
        <w:pStyle w:val="Normal"/>
        <w:rPr/>
      </w:pPr>
      <w:r>
        <w:rPr/>
        <w:t xml:space="preserve"> </w:t>
      </w:r>
    </w:p>
    <w:p>
      <w:pPr>
        <w:pStyle w:val="P68B1DB1Normal15"/>
        <w:rPr>
          <w:b/>
          <w:b/>
        </w:rPr>
      </w:pPr>
      <w:r>
        <w:rPr/>
        <w:t xml:space="preserve">17. Rekomenduojame sukurti internetinę platformą, kurioje piliečiai galėtų rasti ir prašyti faktiškai patikrintos informacijos. Platforma turėtų būti aiškiai susieta su ES institucijomis, turėtų būti struktūrizuota pagal temas ir lengvai prieinama (pvz., teikiant karštąją liniją). Piliečiai turėtų turėti galimybę užduoti kritinius klausimus ekspertams (pvz., mokslininkams, žurnalistams) ir gauti faktinius atsakymus iš šaltinių. </w:t>
      </w:r>
    </w:p>
    <w:p>
      <w:pPr>
        <w:pStyle w:val="Normal"/>
        <w:rPr/>
      </w:pPr>
      <w:r>
        <w:rPr/>
        <w:t xml:space="preserve"> </w:t>
      </w:r>
    </w:p>
    <w:p>
      <w:pPr>
        <w:pStyle w:val="Normal"/>
        <w:rPr/>
      </w:pPr>
      <w:r>
        <w:rPr/>
        <w:t xml:space="preserve">Laisva prieiga prie faktinės informacijos yra labai svarbi mūsų visuomenei, kad piliečiai būtų gerai informuoti ir apsaugoti nuo melagingų naujienų ir dezinformacijos. Mums reikia patikimo ir nepriklausomo informacijos šaltinio, kuriam įtakos nedaro politiniai, ekonominiai ir nacionaliniai interesai. Be to, platforma gali sukurti tiltą (t. y. tiesioginį ryšį) tarp piliečių ir ES. </w:t>
      </w:r>
    </w:p>
    <w:p>
      <w:pPr>
        <w:pStyle w:val="Normal"/>
        <w:rPr/>
      </w:pPr>
      <w:r>
        <w:rPr/>
      </w:r>
    </w:p>
    <w:p>
      <w:pPr>
        <w:pStyle w:val="P68B1DB1Normal15"/>
        <w:rPr>
          <w:b/>
          <w:b/>
        </w:rPr>
      </w:pPr>
      <w:r>
        <w:rPr/>
        <w:t xml:space="preserve">18. Rekomenduojame išskirtiniais atvejais surengti ES masto referendumą visiems Europos piliečiams itin svarbiais klausimais. Referendumą turėtų pradėti Europos Parlamentas ir jis turėtų būti teisiškai privalomas. </w:t>
      </w:r>
    </w:p>
    <w:p>
      <w:pPr>
        <w:pStyle w:val="Normal"/>
        <w:rPr/>
      </w:pPr>
      <w:r>
        <w:rPr/>
        <w:t xml:space="preserve"> </w:t>
      </w:r>
    </w:p>
    <w:p>
      <w:pPr>
        <w:pStyle w:val="Normal"/>
        <w:rPr/>
      </w:pPr>
      <w:r>
        <w:rPr/>
        <w:t xml:space="preserve">ES piliečiai turėtų turėti daugiau tiesioginės įtakos svarbiems sprendimams Europos klausimais. Vis dėlto referendumai turėtų būti rengiami tik išimtinėmis aplinkybėmis, nes, atsižvelgiant į dideles jų sąnaudas, nebūtų įmanoma reguliariai juos rengti. Žinome, kad dėl šios rekomendacijos gali prireikti iš dalies pakeisti Sutartį ir pritaikyti nacionalines konstitucijas. </w:t>
      </w:r>
    </w:p>
    <w:p>
      <w:pPr>
        <w:pStyle w:val="Normal"/>
        <w:rPr/>
      </w:pPr>
      <w:r>
        <w:rPr/>
        <w:t xml:space="preserve"> </w:t>
      </w:r>
    </w:p>
    <w:p>
      <w:pPr>
        <w:pStyle w:val="P68B1DB1Normal15"/>
        <w:rPr>
          <w:b/>
          <w:b/>
        </w:rPr>
      </w:pPr>
      <w:r>
        <w:rPr/>
        <w:t xml:space="preserve">19. Rekomenduojame sukurti daugiafunkcę skaitmeninę platformą, per kurią piliečiai galėtų balsuoti internetiniuose rinkimuose ir apklausose. Piliečiams turėtų būti suteikta galimybė motyvuoti savo balsavimą svarbiais klausimais ir Europos institucijų pasiūlymais dėl teisėkūros procedūra priimamų aktų. Ši platforma turėtų būti saugi, plačiai prieinama ir gerai matoma kiekvienam piliečiui. </w:t>
      </w:r>
    </w:p>
    <w:p>
      <w:pPr>
        <w:pStyle w:val="Normal"/>
        <w:rPr/>
      </w:pPr>
      <w:r>
        <w:rPr/>
        <w:t xml:space="preserve"> </w:t>
      </w:r>
    </w:p>
    <w:p>
      <w:pPr>
        <w:pStyle w:val="Normal"/>
        <w:rPr/>
      </w:pPr>
      <w:r>
        <w:rPr/>
        <w:t xml:space="preserve">Šios platformos tikslas – padidinti dalyvavimą Europos politikoje ir sudaryti piliečiams palankesnes sąlygas konsultuotis ir balsuoti. Esamos priemonės ir procesai nėra pakankamai matomi, todėl mums reikia naujos integruotos priemonės šioms skirtingoms funkcijoms atlikti. Aktyvesnis dalyvavimas lemia geresnius sprendimus, didesnį Europos piliečių pasitikėjimą ir geresnį Sąjungos veikimą apskritai. </w:t>
      </w:r>
    </w:p>
    <w:p>
      <w:pPr>
        <w:pStyle w:val="Normal"/>
        <w:rPr/>
      </w:pPr>
      <w:r>
        <w:rPr/>
        <w:t xml:space="preserve"> </w:t>
      </w:r>
    </w:p>
    <w:p>
      <w:pPr>
        <w:pStyle w:val="P68B1DB1Normal15"/>
        <w:rPr>
          <w:b/>
          <w:b/>
        </w:rPr>
      </w:pPr>
      <w:r>
        <w:rPr/>
        <w:t xml:space="preserve">20. „Rekomenduojame iš naujo įvertinti balsavimo ES institucijose sistemas daugiausia dėmesio skiriant vieningo balsavimo klausimui. Siekiant apsaugoti mažų šalių interesus, balsų „svoris“ turėtų būti apskaičiuojamas teisingai. </w:t>
      </w:r>
    </w:p>
    <w:p>
      <w:pPr>
        <w:pStyle w:val="Normal"/>
        <w:rPr/>
      </w:pPr>
      <w:r>
        <w:rPr/>
        <w:t xml:space="preserve"> </w:t>
      </w:r>
    </w:p>
    <w:p>
      <w:pPr>
        <w:pStyle w:val="Normal"/>
        <w:rPr/>
      </w:pPr>
      <w:r>
        <w:rPr/>
        <w:t xml:space="preserve">Vienbalsiškumas yra svarbus iššūkis priimant sprendimus ES. Atsižvelgiant į didelį valstybių narių skaičių, labai sunku pasiekti susitarimą. Prireikus Europos sutartys turėtų būti iš dalies pakeistos, kad būtų išspręstas vieningo balsavimo klausimas. </w:t>
      </w:r>
    </w:p>
    <w:p>
      <w:pPr>
        <w:pStyle w:val="Normal"/>
        <w:rPr/>
      </w:pPr>
      <w:r>
        <w:rPr/>
        <w:t xml:space="preserve"> </w:t>
      </w:r>
    </w:p>
    <w:p>
      <w:pPr>
        <w:pStyle w:val="Titre4"/>
        <w:numPr>
          <w:ilvl w:val="3"/>
          <w:numId w:val="2"/>
        </w:numPr>
        <w:rPr/>
      </w:pPr>
      <w:bookmarkStart w:id="142" w:name="__RefHeading___Toc297219_1346298689"/>
      <w:bookmarkEnd w:id="142"/>
      <w:r>
        <w:rPr/>
        <w:t xml:space="preserve">Subašis 3.3 Didesnė integracija </w:t>
      </w:r>
    </w:p>
    <w:p>
      <w:pPr>
        <w:pStyle w:val="Normal"/>
        <w:rPr/>
      </w:pPr>
      <w:r>
        <w:rPr/>
        <w:t xml:space="preserve"> </w:t>
      </w:r>
    </w:p>
    <w:p>
      <w:pPr>
        <w:pStyle w:val="P68B1DB1Normal15"/>
        <w:rPr>
          <w:b/>
          <w:b/>
        </w:rPr>
      </w:pPr>
      <w:r>
        <w:rPr/>
        <w:t xml:space="preserve">21. „Rekomenduojame, kad Sąjunga vykdytų viešąsias investicijas, kuriomis būtų kuriamos tinkamos darbo vietos ir gerinama bei suderinta gyvenimo kokybė visoje Sąjungoje, tarp valstybių narių ir valstybėse narėse (t. y. regioniniu lygmeniu). Reikia užtikrinti veiksmingą priežiūrą, skaidrumą ir piliečių informavimą apie viešųjų investicijų įgyvendinimą ir sudaryti sąlygas piliečiams stebėti visą investavimo procesą. Siekiant geresnės gyvenimo kokybės, turėtų būti investuojama į tokias sritis kaip švietimas, sveikata, būstas, fizinė infrastruktūra, pagyvenusių žmonių ir neįgaliųjų priežiūra, atsižvelgiant į kiekvienos valstybės narės poreikius. Papildomomis investicijomis turėtų būti siekiama užtikrinti tinkamą profesinio ir asmeninio gyvenimo pusiausvyrą, kad būtų sudarytos sąlygos sveikam gyvenimo būdui. </w:t>
      </w:r>
    </w:p>
    <w:p>
      <w:pPr>
        <w:pStyle w:val="Normal"/>
        <w:rPr/>
      </w:pPr>
      <w:r>
        <w:rPr/>
        <w:t xml:space="preserve"> </w:t>
      </w:r>
    </w:p>
    <w:p>
      <w:pPr>
        <w:pStyle w:val="Normal"/>
        <w:rPr/>
      </w:pPr>
      <w:r>
        <w:rPr/>
        <w:t xml:space="preserve">Rekomenduojame šią priemonę, nes suderinus gyvenimo lygį Sąjungoje pagerės ekonominė pažanga visoje Sąjungoje ir bus sukurta vieninga Europos Sąjunga. Tai yra pagrindinis tolesnės Sąjungos integracijos rodiklis. Nors kai kurie iš šių mechanizmų jau veikia, manome, kad juos vis dar galima patobulinti. </w:t>
      </w:r>
    </w:p>
    <w:p>
      <w:pPr>
        <w:pStyle w:val="Normal"/>
        <w:rPr/>
      </w:pPr>
      <w:r>
        <w:rPr/>
        <w:t xml:space="preserve"> </w:t>
      </w:r>
    </w:p>
    <w:p>
      <w:pPr>
        <w:pStyle w:val="P68B1DB1Normal15"/>
        <w:rPr>
          <w:b/>
          <w:b/>
        </w:rPr>
      </w:pPr>
      <w:r>
        <w:rPr/>
        <w:t xml:space="preserve">22. „Rekomenduojame visoms valstybėms narėms sukurti bendrą pagrindą, pagrįstą ekonominiais ir gyvenimo kokybės rodikliais, kad būtų užtikrintos lygios galimybės ir visiems sudarytos vienodos sąlygos siekiant bendros ekonominės struktūros. Svarbu, kad šis bendras pagrindas būtų nustatytas pagal aiškų ir realistišką tvarkaraštį, kurį, remdamosi ekspertų rekomendacija, nustato institucijos. Dėl tokios bendros ekonominės struktūros formos taip pat turėtų būti konsultuojamasi su ekspertais. Taip pat svarbu, kad rodikliai, kuriais grindžiamas šis bendras pagrindas, būtų tiksliau apibrėžti padedant ekspertams. </w:t>
      </w:r>
    </w:p>
    <w:p>
      <w:pPr>
        <w:pStyle w:val="Normal"/>
        <w:rPr/>
      </w:pPr>
      <w:r>
        <w:rPr/>
        <w:t xml:space="preserve"> </w:t>
      </w:r>
    </w:p>
    <w:p>
      <w:pPr>
        <w:pStyle w:val="Normal"/>
        <w:rPr/>
      </w:pPr>
      <w:r>
        <w:rPr/>
        <w:t xml:space="preserve">Mes rekomenduojame tai, nes jei turėsime sąžiningą Sąjungą, turėsime vieningesnę Europą. Kad būtume sąžiningi, turime pasiūlyti lygias galimybes ir bendrą pagrindą visai Sąjungai. Bendrą ekonominę struktūrą bus galima sukurti tik nustačius bendrą pagrindą. </w:t>
      </w:r>
    </w:p>
    <w:p>
      <w:pPr>
        <w:pStyle w:val="Normal"/>
        <w:rPr/>
      </w:pPr>
      <w:r>
        <w:rPr/>
        <w:t xml:space="preserve"> </w:t>
      </w:r>
    </w:p>
    <w:p>
      <w:pPr>
        <w:pStyle w:val="P68B1DB1Normal15"/>
        <w:rPr>
          <w:b/>
          <w:b/>
        </w:rPr>
      </w:pPr>
      <w:r>
        <w:rPr/>
        <w:t xml:space="preserve">23. Mes rekomenduojame apmokestinti dideles įmones ir įmonių pajamas, siekiant prisidėti prie viešųjų investicijų, ir naudoti mokesčius investicijoms į švietimą ir plėtrą kiekvienoje šalyje (MTTP, stipendijos – Erasmus ir kt.). Taip pat svarbu užtikrinti, kad ES būtų panaikinti mokesčių rojai.“ </w:t>
      </w:r>
    </w:p>
    <w:p>
      <w:pPr>
        <w:pStyle w:val="Normal"/>
        <w:rPr/>
      </w:pPr>
      <w:r>
        <w:rPr/>
        <w:t xml:space="preserve"> </w:t>
      </w:r>
    </w:p>
    <w:p>
      <w:pPr>
        <w:pStyle w:val="Normal"/>
        <w:rPr/>
      </w:pPr>
      <w:r>
        <w:rPr/>
        <w:t xml:space="preserve">Rekomenduojame šią priemonę, nes ji padės užkirsti kelią mokesčių slėpimui ir mokesčių rojų kūrimui bei skatins laikytis reikalavimų. </w:t>
      </w:r>
    </w:p>
    <w:p>
      <w:pPr>
        <w:pStyle w:val="Normal"/>
        <w:rPr/>
      </w:pPr>
      <w:r>
        <w:rPr/>
      </w:r>
    </w:p>
    <w:p>
      <w:pPr>
        <w:pStyle w:val="Titre3"/>
        <w:numPr>
          <w:ilvl w:val="2"/>
          <w:numId w:val="2"/>
        </w:numPr>
        <w:rPr/>
      </w:pPr>
      <w:bookmarkStart w:id="143" w:name="__RefHeading___Toc297221_1346298689"/>
      <w:bookmarkEnd w:id="143"/>
      <w:r>
        <w:rPr/>
        <w:t xml:space="preserve">4 ašis: Europos identiteto kūrimas </w:t>
      </w:r>
    </w:p>
    <w:p>
      <w:pPr>
        <w:pStyle w:val="Normal"/>
        <w:rPr/>
      </w:pPr>
      <w:r>
        <w:rPr/>
        <w:t xml:space="preserve"> </w:t>
      </w:r>
    </w:p>
    <w:p>
      <w:pPr>
        <w:pStyle w:val="Titre4"/>
        <w:numPr>
          <w:ilvl w:val="3"/>
          <w:numId w:val="2"/>
        </w:numPr>
        <w:rPr/>
      </w:pPr>
      <w:bookmarkStart w:id="144" w:name="__RefHeading___Toc297223_1346298689"/>
      <w:bookmarkEnd w:id="144"/>
      <w:r>
        <w:rPr/>
        <w:t xml:space="preserve">4.1 poašis „Švietimas demokratijai“ </w:t>
      </w:r>
    </w:p>
    <w:p>
      <w:pPr>
        <w:pStyle w:val="Normal"/>
        <w:rPr/>
      </w:pPr>
      <w:r>
        <w:rPr/>
        <w:t xml:space="preserve"> </w:t>
      </w:r>
    </w:p>
    <w:p>
      <w:pPr>
        <w:pStyle w:val="P68B1DB1Normal15"/>
        <w:rPr>
          <w:b/>
          <w:b/>
        </w:rPr>
      </w:pPr>
      <w:r>
        <w:rPr/>
        <w:t xml:space="preserve">24. Mes rekomenduojame, kad demokratijos švietimas ES pagerėtų ir pasiektų minimalų žinių lygį visose valstybėse narėse. Šis švietimas turėtų apimti, bet neapsiribojant, demokratinius procesus ir bendrą informaciją apie Sąjungą, kurios turėtų būti mokoma visose ES valstybėse narėse. Ji turėtų būti praturtinta įvairiomis koncepcijomis, kuriomis siekiama mokyti demokratinio proceso, kuris turėtų būti patrauklus ir tinkamas pagal amžių. </w:t>
      </w:r>
    </w:p>
    <w:p>
      <w:pPr>
        <w:pStyle w:val="Normal"/>
        <w:rPr/>
      </w:pPr>
      <w:r>
        <w:rPr/>
        <w:t xml:space="preserve"> </w:t>
      </w:r>
    </w:p>
    <w:p>
      <w:pPr>
        <w:pStyle w:val="Normal"/>
        <w:rPr/>
      </w:pPr>
      <w:r>
        <w:rPr/>
        <w:t xml:space="preserve">Ši rekomendacija ir jos priežastys yra svarbios, nes ją įgyvendinus bus užtikrintas darnesnis ir demokratiškesnis Sąjungos gyvenimas. Pagrindimas yra toks: jaunimas būtų mokomas demokratiniuose procesuose; šis švietimas galėtų apriboti populizmą ir dezinformaciją viešose diskusijose; tai galėtų sumažinti diskriminaciją; ir galiausiai, tai leistų šviesti ir sutelkti piliečius demokratijai, viršijant jų paprastą pareigą balsuoti. </w:t>
      </w:r>
    </w:p>
    <w:p>
      <w:pPr>
        <w:pStyle w:val="Normal"/>
        <w:rPr/>
      </w:pPr>
      <w:r>
        <w:rPr/>
        <w:t xml:space="preserve"> </w:t>
      </w:r>
    </w:p>
    <w:p>
      <w:pPr>
        <w:pStyle w:val="P68B1DB1Normal15"/>
        <w:rPr>
          <w:b/>
          <w:b/>
        </w:rPr>
      </w:pPr>
      <w:r>
        <w:rPr/>
        <w:t xml:space="preserve">25. „Rekomenduojame, kad esamos ir besiformuojančios vertimo technologijos, pavyzdžiui, dirbtinis intelektas, būtų toliau plėtojamos, tobulinamos ir prieinamesnės, kad būtų sumažintos kalbos kliūtys ir sustiprinta bendra tapatybė ir demokratija ES.“ </w:t>
      </w:r>
    </w:p>
    <w:p>
      <w:pPr>
        <w:pStyle w:val="Normal"/>
        <w:rPr/>
      </w:pPr>
      <w:r>
        <w:rPr/>
        <w:t xml:space="preserve"> </w:t>
      </w:r>
    </w:p>
    <w:p>
      <w:pPr>
        <w:pStyle w:val="Normal"/>
        <w:rPr/>
      </w:pPr>
      <w:r>
        <w:rPr/>
        <w:t xml:space="preserve">Ši rekomendacija ir jos priežastys yra svarbios, nes ją įgyvendinus bus prisidedama prie bendros Europos tapatybės kūrimo gerinant visų valstybių narių piliečių bendravimą. </w:t>
      </w:r>
    </w:p>
    <w:p>
      <w:pPr>
        <w:pStyle w:val="Normal"/>
        <w:rPr/>
      </w:pPr>
      <w:r>
        <w:rPr/>
        <w:t xml:space="preserve"> </w:t>
      </w:r>
    </w:p>
    <w:p>
      <w:pPr>
        <w:pStyle w:val="P68B1DB1Normal15"/>
        <w:rPr>
          <w:b/>
          <w:b/>
        </w:rPr>
      </w:pPr>
      <w:r>
        <w:rPr/>
        <w:t xml:space="preserve">26. Rekomenduojame, kad patikrinama informacija piliečiams būtų lengvai ir suprantamai prieinama naudojantis mobiliąja programėle, siekiant padidinti skaidrumą, viešas diskusijas ir demokratiją. Ši programa galėtų būti naudojama informacijai apie, pavyzdžiui, teisės aktus, diskusijas ES, Sutarčių pakeitimus ir kt. skleisti. </w:t>
      </w:r>
    </w:p>
    <w:p>
      <w:pPr>
        <w:pStyle w:val="Normal"/>
        <w:rPr/>
      </w:pPr>
      <w:r>
        <w:rPr/>
        <w:t xml:space="preserve"> </w:t>
      </w:r>
    </w:p>
    <w:p>
      <w:pPr>
        <w:pStyle w:val="Normal"/>
        <w:rPr/>
      </w:pPr>
      <w:r>
        <w:rPr/>
        <w:t xml:space="preserve">Ši rekomendacija ir jos priežastys yra svarbios, nes, jei ji bus įgyvendinta, ji palengvins komunikaciją tiek, kiek ji sudarys sąlygas geriau informuoti įvairių valstybių narių piliečius, naudojant taikomąją programą, kuri galėtų turėti daug skirtingų funkcijų. Ši programa turėtų būti sukurta taip, kad ji galėtų būti naudinga visiems ir galėtų dar labiau pritraukti smalsumą ir padaryti techninę informaciją prieinamesnę ir patrauklesnę. Paraiška turėtų būti laikoma papildomu šaltiniu, kuriuo skleidžiama informacija, kurią tiesiogiai tikrina Sąjunga, siekiant padidinti pasitikėjimą viešomis diskusijomis ir skaidrumą bei prisidėti prie bendros Europos tapatybės kūrimo. </w:t>
      </w:r>
    </w:p>
    <w:p>
      <w:pPr>
        <w:pStyle w:val="Normal"/>
        <w:rPr/>
      </w:pPr>
      <w:r>
        <w:rPr/>
      </w:r>
    </w:p>
    <w:p>
      <w:pPr>
        <w:pStyle w:val="Titre4"/>
        <w:numPr>
          <w:ilvl w:val="3"/>
          <w:numId w:val="2"/>
        </w:numPr>
        <w:rPr/>
      </w:pPr>
      <w:bookmarkStart w:id="145" w:name="__RefHeading___Toc297225_1346298689"/>
      <w:bookmarkEnd w:id="145"/>
      <w:r>
        <w:rPr/>
        <w:t xml:space="preserve">4.2 poašis Europos vertybės ir tapatybė </w:t>
      </w:r>
    </w:p>
    <w:p>
      <w:pPr>
        <w:pStyle w:val="Normal"/>
        <w:rPr/>
      </w:pPr>
      <w:r>
        <w:rPr/>
        <w:t xml:space="preserve"> </w:t>
      </w:r>
    </w:p>
    <w:p>
      <w:pPr>
        <w:pStyle w:val="P68B1DB1Normal15"/>
        <w:rPr>
          <w:b/>
          <w:b/>
        </w:rPr>
      </w:pPr>
      <w:r>
        <w:rPr/>
        <w:t xml:space="preserve">27. „Rekomenduojame, kad ES įsteigtų specialų fondą, skirtą trumpalaikei ir ilgalaikei ES piliečių sąveikai internete ir realiame gyvenime (t. y. mainų programoms, grupėms, posėdžiams), kad būtų sustiprinta Europos tapatybė. Dalyviai turėtų atstovauti visuomenei Sąjungoje, įskaitant grupes, specialiai atrinktas remiantis įvairiais kriterijais, t. y. demografiniais, socialiniais, ekonominiais ir profesiniais kriterijais. Šio fondo tikslai turi būti aiškiai nurodyti, siekiant skatinti europinę tapatybę, ir šis fondas turėtų būti reguliariai vertinamas. </w:t>
      </w:r>
    </w:p>
    <w:p>
      <w:pPr>
        <w:pStyle w:val="Normal"/>
        <w:rPr/>
      </w:pPr>
      <w:r>
        <w:rPr/>
        <w:t xml:space="preserve"> </w:t>
      </w:r>
    </w:p>
    <w:p>
      <w:pPr>
        <w:pStyle w:val="Normal"/>
        <w:rPr/>
      </w:pPr>
      <w:r>
        <w:rPr/>
        <w:t xml:space="preserve">Mes rekomenduojame tai, nes tokio pobūdžio sąveika leidžia piliečiams dalytis idėjomis, o ilgesni mainai leidžia jiems suprasti skirtingas kultūras ir dalytis patirtimi, įskaitant profesinę praktiką. Reikalingas ES fondas, nes svarbu, kad jame galėtų dalyvauti visi, įskaitant tuos, kurie paprastai nedalyvauja. </w:t>
      </w:r>
    </w:p>
    <w:p>
      <w:pPr>
        <w:pStyle w:val="Normal"/>
        <w:rPr/>
      </w:pPr>
      <w:r>
        <w:rPr/>
        <w:t xml:space="preserve"> </w:t>
      </w:r>
    </w:p>
    <w:p>
      <w:pPr>
        <w:pStyle w:val="P68B1DB1Normal15"/>
        <w:rPr>
          <w:b/>
          <w:b/>
        </w:rPr>
      </w:pPr>
      <w:r>
        <w:rPr/>
        <w:t xml:space="preserve">28. „Rekomenduojame, kad ES skubiai investuotų į kovą su dezinformacija, remdama esamas organizacijas ir iniciatyvas, pavyzdžiui, Kovos su dezinformacija praktikos kodeksą ir Europos skaitmeninės žiniasklaidos observatoriją, taip pat panašias iniciatyvas valstybėse narėse. Būtų galima imtis įvairių atsakomųjų priemonių: faktų tikrinimas, informuotumas apie dezinformaciją, lengvai prieinamos statistikos rengimas, atitinkamų sankcijų taikymas dezinformacijos platintojams pagal teisinę sistemą ir kova su dezinformacijos šaltiniais. </w:t>
      </w:r>
    </w:p>
    <w:p>
      <w:pPr>
        <w:pStyle w:val="Normal"/>
        <w:rPr/>
      </w:pPr>
      <w:r>
        <w:rPr/>
        <w:t xml:space="preserve"> </w:t>
      </w:r>
    </w:p>
    <w:p>
      <w:pPr>
        <w:pStyle w:val="Normal"/>
        <w:rPr/>
      </w:pPr>
      <w:r>
        <w:rPr/>
        <w:t xml:space="preserve">Ši rekomendacija yra svarbi, nes dezinformacija ir dezinformacija ES viduje ir už jos ribų sukelia ES piliečių konfliktus, poliarizuoja visuomenę, kelia grėsmę demokratijai ir kenkia ekonomikai. Atsižvelgiant į temos sudėtingumą, reikalingi dideli žmogiškieji ir finansiniai ištekliai. </w:t>
      </w:r>
    </w:p>
    <w:p>
      <w:pPr>
        <w:pStyle w:val="Normal"/>
        <w:rPr/>
      </w:pPr>
      <w:r>
        <w:rPr/>
        <w:t xml:space="preserve"> </w:t>
      </w:r>
    </w:p>
    <w:p>
      <w:pPr>
        <w:pStyle w:val="P68B1DB1Normal15"/>
        <w:rPr>
          <w:b/>
          <w:b/>
        </w:rPr>
      </w:pPr>
      <w:r>
        <w:rPr/>
        <w:t xml:space="preserve">29. „Rekomenduojame 1) dažniau palaikyti internetinę ir neinternetinę Sąjungos ir jos piliečių sąveiką (t. y. tiesiogiai apklausti piliečius Europos klausimais ir sukurti lengvai naudojamą platformą, siekiant užtikrinti, kad kiekvienas pilietis galėtų bendrauti su ES institucijomis ir pareigūnais); ir 2) užtikrinti, kad piliečiai galėtų dalyvauti ES politikos formavimo procese, pareikšti savo nuomonę ir gauti grįžtamąją informaciją, ir rekomenduojame parengti chartiją, elgesio kodeksą arba gaires ES pareigūnams. Turėtų būti sukurtos skirtingos sąveikos priemonės, kad kiekvienas pilietis galėtų dalyvauti. </w:t>
      </w:r>
    </w:p>
    <w:p>
      <w:pPr>
        <w:pStyle w:val="Normal"/>
        <w:rPr/>
      </w:pPr>
      <w:r>
        <w:rPr/>
        <w:t xml:space="preserve"> </w:t>
      </w:r>
    </w:p>
    <w:p>
      <w:pPr>
        <w:pStyle w:val="Normal"/>
        <w:rPr/>
      </w:pPr>
      <w:r>
        <w:rPr/>
        <w:t xml:space="preserve">Mes rekomenduojame šią priemonę, nes yra keletas būdų susisiekti su Europos institucijomis (interneto platformos, atstovaujamosios įstaigos), tačiau jos nėra žinomos, neveiksmingos ir neskaidrios. Prieinamumas įvairiose šalyse labai skiriasi. Dažnesnė ir geresnė sąveika paskatins atsakomybės už Europos pilietybę jausmą. </w:t>
      </w:r>
    </w:p>
    <w:p>
      <w:pPr>
        <w:pStyle w:val="Normal"/>
        <w:rPr/>
      </w:pPr>
      <w:r>
        <w:rPr/>
        <w:t xml:space="preserve"> </w:t>
      </w:r>
    </w:p>
    <w:p>
      <w:pPr>
        <w:pStyle w:val="P68B1DB1Normal15"/>
        <w:rPr>
          <w:b/>
          <w:b/>
        </w:rPr>
      </w:pPr>
      <w:r>
        <w:rPr/>
        <w:t xml:space="preserve">30. Rekomenduojame Europos tapatybei ir vertybėms (t. y. teisinei valstybei, demokratijai ir solidarumui) atlikti ypatingą vaidmenį migrantų integracijos procese. Gali būti numatytos įvairios priemonės, pavyzdžiui, programų kūrimas arba jau esamų (vietos) programų rėmimas, siekiant skatinti migrantų ir ES piliečių socialinę sąveiką, arba įmonių dalyvavimas programose, kuriomis remiama migrantų integracija. Tuo pat metu turėtų būti pradėtos panašios programos, kuriomis siekiama didinti ES piliečių informuotumą su migracija susijusiais klausimais. </w:t>
      </w:r>
    </w:p>
    <w:p>
      <w:pPr>
        <w:pStyle w:val="Normal"/>
        <w:rPr/>
      </w:pPr>
      <w:r>
        <w:rPr/>
        <w:t xml:space="preserve"> </w:t>
      </w:r>
    </w:p>
    <w:p>
      <w:pPr>
        <w:pStyle w:val="Normal"/>
        <w:rPr/>
      </w:pPr>
      <w:r>
        <w:rPr/>
        <w:t xml:space="preserve">Ši rekomendacija yra svarbi, nes socialinės sąveikos programos gali padėti migrantams jų naujajame gyvenime ir padėti ne migrantams geriau suprasti kasdienį migrantų gyvenimą. Jei migrantai gyvena getuose, nėra galimybės integruotis į visuomenę nacionaliniu ar ES lygmeniu. Būtina bendra politika, nes migrantai, patekę į Sąjungos teritoriją, gali vykti į visas ES šalis. Turėtų būti remiamos vietos iniciatyvos, nes vietos valdžios institucijos lėšas naudos veiksmingiau nei nacionaliniu lygmeniu. </w:t>
      </w:r>
    </w:p>
    <w:p>
      <w:pPr>
        <w:pStyle w:val="Normal"/>
        <w:rPr/>
      </w:pPr>
      <w:r>
        <w:rPr/>
        <w:t xml:space="preserve"> </w:t>
      </w:r>
    </w:p>
    <w:p>
      <w:pPr>
        <w:pStyle w:val="Titre4"/>
        <w:numPr>
          <w:ilvl w:val="3"/>
          <w:numId w:val="2"/>
        </w:numPr>
        <w:rPr/>
      </w:pPr>
      <w:bookmarkStart w:id="146" w:name="__RefHeading___Toc297227_1346298689"/>
      <w:bookmarkEnd w:id="146"/>
      <w:r>
        <w:rPr/>
        <w:t xml:space="preserve">Poašis. ES informacija </w:t>
      </w:r>
    </w:p>
    <w:p>
      <w:pPr>
        <w:pStyle w:val="Normal"/>
        <w:rPr/>
      </w:pPr>
      <w:r>
        <w:rPr/>
        <w:t xml:space="preserve"> </w:t>
      </w:r>
    </w:p>
    <w:p>
      <w:pPr>
        <w:pStyle w:val="P68B1DB1Normal15"/>
        <w:rPr>
          <w:b/>
          <w:b/>
        </w:rPr>
      </w:pPr>
      <w:r>
        <w:rPr/>
        <w:t xml:space="preserve">31. „Rekomenduojame, kad ES geriau informuotų Europos piliečius. Tam Sąjunga turėtų naudoti visas būtinas priemones, kartu gerbdama žiniasklaidos laisvę ir nepriklausomumą. Ji turėtų suteikti žiniasklaidai bendrų ir patikimų išteklių ir informacijos apie Sąjungos veiklą ir politiką. Sąjunga turėtų užtikrinti, kad informacija būtų vienodai skleidžiama visose valstybėse narėse per nacionalinę ir Europos žiniasklaidą, ir užtikrinti, kad valstybės narės skatintų visuomeninius transliuotojus ir visuomenines naujienų agentūras spręsti Europos problemas.“ </w:t>
      </w:r>
    </w:p>
    <w:p>
      <w:pPr>
        <w:pStyle w:val="Normal"/>
        <w:rPr/>
      </w:pPr>
      <w:r>
        <w:rPr/>
      </w:r>
    </w:p>
    <w:p>
      <w:pPr>
        <w:pStyle w:val="Normal"/>
        <w:rPr/>
      </w:pPr>
      <w:r>
        <w:rPr/>
        <w:t xml:space="preserve">Mes rekomenduojame tai, nes, remiantis mūsų asmenine patirtimi ir Eurobarometro duomenimis, dauguma Europos piliečių yra informuojami pagrindinės žiniasklaidos (spaudos, radijo ir televizijos) ir šiuo metu šiuose kanaluose pateikiama labai mažai informacijos apie ES. Žiniasklaida, įskaitant visuomeninę žiniasklaidą, atlieka viešųjų paslaugų funkciją. Todėl labai svarbu spręsti Europos gyventojų problemas, kad būtų galima atlikti šią funkciją. Siekiant skatinti integraciją, rekomenduojame, kad skirtingose valstybėse narėse skleidžiama ES informacija būtų vienoda, ir rekomenduojame vengti skirtingos informacijos skirtingais klausimais kiekvienoje šalyje. Patogiau ir pigiau naudoti esamus žiniasklaidos kanalus, nei sukurti naują kanalą tam pačiam rezultatui. Esami kanalai taip pat turi pranašumą, nes jie jau žinomi piliečiams. Joks pilietis neturėtų pasirinkti iš skirtingų kanalų, kad galėtų pasiekti skirtingą turinį (nacionalinį ar europinį). </w:t>
      </w:r>
    </w:p>
    <w:p>
      <w:pPr>
        <w:pStyle w:val="Normal"/>
        <w:rPr/>
      </w:pPr>
      <w:r>
        <w:rPr/>
        <w:t xml:space="preserve"> </w:t>
      </w:r>
    </w:p>
    <w:p>
      <w:pPr>
        <w:pStyle w:val="P68B1DB1Normal15"/>
        <w:rPr>
          <w:b/>
          <w:b/>
        </w:rPr>
      </w:pPr>
      <w:r>
        <w:rPr/>
        <w:t xml:space="preserve">32. „Rekomenduojame, kad ES sukurtų ir skatintų daugiakalbius internetinius forumus ir neinternetinius susitikimus, kuriuose piliečiai galėtų dalyvauti diskusijose su ES atstovais, neatsižvelgiant į iškelto klausimo temą ir geografinę aprėptį. Atsakymai į šiuose internetiniuose forumuose ir neinternetiniuose posėdžiuose iškeltus klausimus turėtų būti pateikti per aiškiai apibrėžtą trumpą laikotarpį. Visa su šiomis erdvėmis susijusi informacija turėtų būti centralizuota integruotoje oficialioje interneto svetainėje su įvairiomis funkcijomis, pvz., dažnai užduodamų klausimų erdvėje, galimybe dalytis idėjomis, pasiūlymais ar susirūpinimą keliančiais klausimais su kitais piliečiais ir mechanizmu, pagal kurį nurodoma, kurie iš jų sulaukia daugiausiai paramos. Bet kuriuo atveju prieiga prie šios svetainės turėtų būti paprasta ir turėtų būti vartojama nebiurokratinė kalba. </w:t>
      </w:r>
    </w:p>
    <w:p>
      <w:pPr>
        <w:pStyle w:val="Normal"/>
        <w:rPr/>
      </w:pPr>
      <w:r>
        <w:rPr/>
        <w:t xml:space="preserve"> </w:t>
      </w:r>
    </w:p>
    <w:p>
      <w:pPr>
        <w:pStyle w:val="Normal"/>
        <w:rPr/>
      </w:pPr>
      <w:r>
        <w:rPr/>
        <w:t xml:space="preserve">Mes rekomenduojame tai, nes tai būdas sukurti tiesioginį tiltą tarp Europos piliečių ir Europos atstovų, kad jie galėtų kalbėti ir bendradarbiauti, suteikti piliečiams lengvą prieigą prie informacijos apie Sąjungą ir geriau juos informuoti apie jau turimą informaciją. Taip bus sukurta skaidresnė ir atviresnė Sąjunga, padedama piliečiams dalytis savo problemomis ir svarstymais, gauti politinį atsaką ir sprendimus, taip pat bus sudarytos sąlygos piliečiams dalyvauti ir dalytis perspektyvomis bei patirtimi su kitais piliečiais. </w:t>
      </w:r>
    </w:p>
    <w:p>
      <w:pPr>
        <w:pStyle w:val="Normal"/>
        <w:rPr/>
      </w:pPr>
      <w:r>
        <w:rPr/>
        <w:t xml:space="preserve"> </w:t>
      </w:r>
    </w:p>
    <w:p>
      <w:pPr>
        <w:pStyle w:val="Normal"/>
        <w:rPr>
          <w:b/>
          <w:b/>
        </w:rPr>
      </w:pPr>
      <w:r>
        <w:rPr>
          <w:b/>
        </w:rPr>
        <w:t xml:space="preserve">33. </w:t>
      </w:r>
      <w:commentRangeStart w:id="4"/>
      <w:r>
        <w:rPr>
          <w:b/>
        </w:rPr>
        <w:t>„</w:t>
      </w:r>
      <w:r>
        <w:rPr>
          <w:b/>
          <w:i/>
        </w:rPr>
        <w:t>Rekomenduojame, kad ES institucijos ir atstovai vartotų prieinamesnę kalbą ir savo pranešimuose nevartotų biurokratinių terminų, kartu išlaikant teikiamos informacijos kokybę ir techninį lygį.</w:t>
      </w:r>
      <w:r>
        <w:rPr>
          <w:b/>
        </w:rPr>
        <w:t xml:space="preserve"> </w:t>
      </w:r>
      <w:r>
        <w:rPr>
          <w:b/>
        </w:rPr>
      </w:r>
      <w:commentRangeEnd w:id="4"/>
      <w:r>
        <w:commentReference w:id="4"/>
      </w:r>
      <w:r>
        <w:rPr>
          <w:b/>
        </w:rPr>
        <w:t xml:space="preserve">Sąjunga taip pat turėtų pritaikyti informaciją, kurią ji teikia piliečiams, naudojantiems skirtingus komunikacijos kanalus ir skirtingą auditoriją (pvz., laikraščius, televiziją, socialinę žiniasklaidą). ES turėtų dėti ypatingas pastangas, kad komunikacija būtų pritaikyta skaitmeninei žiniasklaidai, kad būtų padidinti jos pajėgumai užmegzti ryšius su jaunimu.“ </w:t>
      </w:r>
    </w:p>
    <w:p>
      <w:pPr>
        <w:pStyle w:val="Normal"/>
        <w:rPr/>
      </w:pPr>
      <w:r>
        <w:rPr/>
        <w:t xml:space="preserve"> </w:t>
      </w:r>
    </w:p>
    <w:p>
      <w:pPr>
        <w:pStyle w:val="Normal"/>
        <w:rPr/>
      </w:pPr>
      <w:r>
        <w:rPr/>
        <w:t xml:space="preserve">Mes rekomenduojame šią priemonę, nes turėdami suprantamą informaciją Sąjunga galės pasiekti daugiau Europos piliečių, o ne tik tuos, kurie dalyvauja. Naudodamiesi naujomis šiuolaikinėmis priemonėmis, skirtomis konkrečiai auditorijai, piliečiai geriau supras ES veiklą ir politiką, visų pirma jaunimą, kuris nesijaučia artimas ES ar prie jos neprisirišęs. </w:t>
      </w:r>
    </w:p>
    <w:p>
      <w:pPr>
        <w:pStyle w:val="Normal"/>
        <w:rPr/>
      </w:pPr>
      <w:r>
        <w:rPr/>
      </w:r>
    </w:p>
    <w:p>
      <w:pPr>
        <w:pStyle w:val="Titre3"/>
        <w:numPr>
          <w:ilvl w:val="2"/>
          <w:numId w:val="2"/>
        </w:numPr>
        <w:rPr/>
      </w:pPr>
      <w:bookmarkStart w:id="147" w:name="__RefHeading___Toc297229_1346298689"/>
      <w:bookmarkEnd w:id="147"/>
      <w:r>
        <w:rPr/>
        <w:t xml:space="preserve">5 ašis: Piliečių dalyvavimo stiprinimas </w:t>
      </w:r>
    </w:p>
    <w:p>
      <w:pPr>
        <w:pStyle w:val="Normal"/>
        <w:rPr/>
      </w:pPr>
      <w:r>
        <w:rPr/>
        <w:t xml:space="preserve"> </w:t>
      </w:r>
    </w:p>
    <w:p>
      <w:pPr>
        <w:pStyle w:val="Titre4"/>
        <w:numPr>
          <w:ilvl w:val="3"/>
          <w:numId w:val="2"/>
        </w:numPr>
        <w:rPr/>
      </w:pPr>
      <w:bookmarkStart w:id="148" w:name="__RefHeading___Toc297231_1346298689"/>
      <w:bookmarkEnd w:id="148"/>
      <w:r>
        <w:rPr/>
        <w:t xml:space="preserve">Paašė. Piliečių dalyvavimas </w:t>
      </w:r>
    </w:p>
    <w:p>
      <w:pPr>
        <w:pStyle w:val="Normal"/>
        <w:rPr/>
      </w:pPr>
      <w:r>
        <w:rPr/>
        <w:t xml:space="preserve"> </w:t>
      </w:r>
    </w:p>
    <w:p>
      <w:pPr>
        <w:pStyle w:val="P68B1DB1Normal15"/>
        <w:rPr>
          <w:b/>
          <w:b/>
        </w:rPr>
      </w:pPr>
      <w:r>
        <w:rPr/>
        <w:t xml:space="preserve">34. „Rekomenduojame, kad visuose ES sprendimų priėmimo procesuose dalyvautų nepriklausomi piliečių stebėtojai. Turėtų būti nuolatinis piliečių atstovų forumas arba organas, kuris būtų atsakingas už aktualios ir svarbios informacijos skleidimą visiems Sąjungos piliečiams, apibrėžtiems kaip tokie. Šie piliečiai bendradarbiautų su visais kitais Europos piliečiais laikydamiesi principo „iš viršaus į apačią“ ir „iš apačios į viršų“, kuriuo būtų toliau plėtojamas piliečių ir ES institucijų dialogas.“ </w:t>
      </w:r>
    </w:p>
    <w:p>
      <w:pPr>
        <w:pStyle w:val="Normal"/>
        <w:rPr/>
      </w:pPr>
      <w:r>
        <w:rPr/>
        <w:t xml:space="preserve"> </w:t>
      </w:r>
    </w:p>
    <w:p>
      <w:pPr>
        <w:pStyle w:val="Normal"/>
        <w:rPr/>
      </w:pPr>
      <w:r>
        <w:rPr/>
        <w:t xml:space="preserve">Žinoma, piliečiai nusipelno būti informuojami visais klausimais, todėl svarbu užtikrinti, kad politikai negalėtų pamiršti kai kurių klausimų, kuriuos jie norėtų ignoruoti. Tokia priemonė panaikintų atotrūkį tarp piliečių ir išrinktų atstovų, nes būtų sukurtos naujos pasitikėjimo galimybės. </w:t>
      </w:r>
    </w:p>
    <w:p>
      <w:pPr>
        <w:pStyle w:val="Normal"/>
        <w:rPr/>
      </w:pPr>
      <w:r>
        <w:rPr/>
        <w:t xml:space="preserve"> </w:t>
      </w:r>
    </w:p>
    <w:p>
      <w:pPr>
        <w:pStyle w:val="P68B1DB1Normal15"/>
        <w:rPr>
          <w:b/>
          <w:b/>
        </w:rPr>
      </w:pPr>
      <w:r>
        <w:rPr/>
        <w:t xml:space="preserve"> </w:t>
      </w:r>
      <w:r>
        <w:rPr/>
        <w:t xml:space="preserve">35. „Rekomenduojame Sąjungai atnaujinti diskusiją dėl Europos Konstitucijos siekiant parengti Sąjungos piliečių įkvėptą konstituciją. Piliečiai turėtų turėti galimybę balsuoti už tokią konstituciją. Siekiant išvengti bet kokio konflikto su valstybėmis narėmis, į šią konstituciją pirmiausia turėtų būti įtrauktos žmogaus teisių ir demokratijos vertybės. Rengiant tokią konstituciją, reikia atsižvelgti į ankstesnes pastangas, kurios niekada nesukūrė konstitucijos. </w:t>
      </w:r>
    </w:p>
    <w:p>
      <w:pPr>
        <w:pStyle w:val="Normal"/>
        <w:rPr/>
      </w:pPr>
      <w:r>
        <w:rPr/>
        <w:t xml:space="preserve"> </w:t>
      </w:r>
    </w:p>
    <w:p>
      <w:pPr>
        <w:pStyle w:val="Normal"/>
        <w:rPr/>
      </w:pPr>
      <w:r>
        <w:rPr/>
        <w:t xml:space="preserve">Kadangi ši konstitucija įtrauktų jaunimą į politiką ES lygmeniu ir sužlugdytų stiprėjančias nacionalizmo jėgas. Joje būtų pateikta bendra demokratijos Europoje apibrėžtis ir ji būtų vienodai įgyvendinama visose valstybėse narėse. Kadangi ES laikosi bendrų demokratijos ir žmogaus teisių vertybių. Kadangi piliečiai turėtų galimybę dalyvauti sprendimų priėmimo procese ir labiau susitapatinti su Sąjunga, dalyvaudami tame procese. </w:t>
      </w:r>
    </w:p>
    <w:p>
      <w:pPr>
        <w:pStyle w:val="Normal"/>
        <w:rPr/>
      </w:pPr>
      <w:r>
        <w:rPr/>
        <w:t xml:space="preserve"> </w:t>
      </w:r>
    </w:p>
    <w:p>
      <w:pPr>
        <w:pStyle w:val="P68B1DB1Normal15"/>
        <w:rPr>
          <w:b/>
          <w:b/>
        </w:rPr>
      </w:pPr>
      <w:r>
        <w:rPr/>
        <w:t xml:space="preserve">36. Mes rekomenduojame, kad politikai būtų atskaitingesni už tai, kaip jie atstovauja juos išrinkusiems piliečiams. Ypač jauni žmonės yra ypač atsieti nuo politikos ir į juos nėra rimtai žiūrima, kai jie dalyvauja. Bet nesuinteresuotumas yra visuotinė problema ir visų amžiaus grupių žmonės turėtų būti labiau įsitraukę nei dabar. </w:t>
      </w:r>
    </w:p>
    <w:p>
      <w:pPr>
        <w:pStyle w:val="Normal"/>
        <w:rPr/>
      </w:pPr>
      <w:r>
        <w:rPr/>
        <w:t xml:space="preserve"> </w:t>
      </w:r>
    </w:p>
    <w:p>
      <w:pPr>
        <w:pStyle w:val="Normal"/>
        <w:rPr/>
      </w:pPr>
      <w:r>
        <w:rPr/>
        <w:t xml:space="preserve">Todėl, kad demokratijos apibrėžimas turėtų būti atnaujintas. Reikia prisiminti, kas iš tiesų yra demokratija. Kadangi jauni žmonės turėjo pakankamai ir yra nusivylę politikais, kuriuos jie laiko elitais, kurie nepritaria savo nuomonei. Todėl piliečiai turi aktyviau dalyvauti originaliai ir patraukliai. Švietimo sistema, socialinė žiniasklaida ir visos kitos žiniasklaidos priemonės galėtų atlikti šį vaidmenį per visą gyvenimo ciklą ir visomis kalbomis. </w:t>
      </w:r>
    </w:p>
    <w:p>
      <w:pPr>
        <w:pStyle w:val="Normal"/>
        <w:rPr/>
      </w:pPr>
      <w:r>
        <w:rPr/>
        <w:t xml:space="preserve"> </w:t>
      </w:r>
    </w:p>
    <w:p>
      <w:pPr>
        <w:pStyle w:val="Titre4"/>
        <w:numPr>
          <w:ilvl w:val="3"/>
          <w:numId w:val="2"/>
        </w:numPr>
        <w:rPr/>
      </w:pPr>
      <w:bookmarkStart w:id="149" w:name="__RefHeading___Toc297233_1346298689"/>
      <w:bookmarkEnd w:id="149"/>
      <w:r>
        <w:rPr/>
        <w:t xml:space="preserve">Poašis „Piliečių dalyvavimas“ </w:t>
      </w:r>
    </w:p>
    <w:p>
      <w:pPr>
        <w:pStyle w:val="Normal"/>
        <w:rPr/>
      </w:pPr>
      <w:r>
        <w:rPr/>
        <w:t xml:space="preserve"> </w:t>
      </w:r>
    </w:p>
    <w:p>
      <w:pPr>
        <w:pStyle w:val="P68B1DB1Normal15"/>
        <w:rPr>
          <w:b/>
          <w:b/>
        </w:rPr>
      </w:pPr>
      <w:r>
        <w:rPr/>
        <w:t xml:space="preserve">37. „Rekomenduojame, kad ES ryžtingiau priartėtų prie piliečių. Kad tai būtų pasiekta, valstybės narės turėtų dalyvauti skatinant piliečių dalyvavimą Sąjungoje. Sąjunga turėtų skatinti naudotis piliečių dalyvavimo mechanizmais rengdama komercines ir reklamines kampanijas. Nacionalinės ir vietos valdžios institucijos turėtų būti įpareigotos dalyvauti šiame procese. Sąjunga turėtų užtikrinti dalyvaujamosios demokratijos platformų veiksmingumą.“ </w:t>
      </w:r>
    </w:p>
    <w:p>
      <w:pPr>
        <w:pStyle w:val="Normal"/>
        <w:rPr/>
      </w:pPr>
      <w:r>
        <w:rPr/>
        <w:t xml:space="preserve"> </w:t>
      </w:r>
    </w:p>
    <w:p>
      <w:pPr>
        <w:pStyle w:val="Normal"/>
        <w:rPr/>
      </w:pPr>
      <w:r>
        <w:rPr/>
        <w:t xml:space="preserve">Rekomenduojame tai, nes jau veikiančią platformą reikia stiprinti ir padaryti veiksmingesnę: reikia daugiau grįžtamosios informacijos iš piliečių į ES ir atvirkščiai. Tiek tarp piliečių, tiek tarp vyriausybių nėra pakankamai diskusijų ES viduje. Piliečiai neteikia peticijų, nes nežino, kad mechanizmas egzistuoja, arba todėl, kad nemano, kad tokios peticijos gali būti sėkmingos. </w:t>
      </w:r>
    </w:p>
    <w:p>
      <w:pPr>
        <w:pStyle w:val="Normal"/>
        <w:rPr/>
      </w:pPr>
      <w:r>
        <w:rPr/>
        <w:t xml:space="preserve"> </w:t>
      </w:r>
    </w:p>
    <w:p>
      <w:pPr>
        <w:pStyle w:val="P68B1DB1Normal15"/>
        <w:rPr>
          <w:b/>
          <w:b/>
        </w:rPr>
      </w:pPr>
      <w:r>
        <w:rPr/>
        <w:t xml:space="preserve">38. „Rekomenduojame, kad Sąjunga parengtų ir įgyvendintų mokykloms skirtas mokymo programas apie tai, kas daroma ES, kiek tai susiję su dalyvavimo mechanizmais. Tokios programos turėtų būti įtrauktos į mokyklų mokymo programas apie Europos pilietiškumą ir etiką, o turinys turėtų būti pritaikytas mokinių amžiui. Taip pat turėtų būti numatytos programos suaugusiems. Piliečiai turėtų turėti galimybę naudotis mokymosi visą gyvenimą programomis, kad jie galėtų gilinti žinias apie piliečių dalyvavimo Sąjungoje galimybes.“ </w:t>
      </w:r>
    </w:p>
    <w:p>
      <w:pPr>
        <w:pStyle w:val="Normal"/>
        <w:rPr/>
      </w:pPr>
      <w:r>
        <w:rPr/>
        <w:t xml:space="preserve"> </w:t>
      </w:r>
    </w:p>
    <w:p>
      <w:pPr>
        <w:pStyle w:val="Normal"/>
        <w:rPr/>
      </w:pPr>
      <w:r>
        <w:rPr/>
        <w:t xml:space="preserve">Mes rekomenduojame šią priemonę, nes ji yra svarbi mūsų vaikų ateičiai. Piliečiai nori žinoti, kaip išreikšti savo nuomonę. Svarbu, kad jie žinotų tikslius mechanizmus ir kaip jais būtų galima naudotis, kad Sąjunga išgirstų jų nuomonę. Tai svarbu, kad visiems Europos piliečiams būtų sudarytos vienodos sąlygos. Kaip Europos piliečiai turime žinoti, kaip naudotis savo teisėmis. Kaip Europos piliečiai, mes turime teisę žinoti šią informaciją. </w:t>
      </w:r>
    </w:p>
    <w:p>
      <w:pPr>
        <w:pStyle w:val="Normal"/>
        <w:rPr/>
      </w:pPr>
      <w:r>
        <w:rPr/>
        <w:t xml:space="preserve"> </w:t>
      </w:r>
    </w:p>
    <w:p>
      <w:pPr>
        <w:pStyle w:val="Titre4"/>
        <w:numPr>
          <w:ilvl w:val="3"/>
          <w:numId w:val="2"/>
        </w:numPr>
        <w:rPr/>
      </w:pPr>
      <w:bookmarkStart w:id="150" w:name="__RefHeading___Toc297235_1346298689"/>
      <w:bookmarkEnd w:id="150"/>
      <w:r>
        <w:rPr/>
        <w:t xml:space="preserve">Poašis „Piliečių dalyvavimas“ </w:t>
      </w:r>
    </w:p>
    <w:p>
      <w:pPr>
        <w:pStyle w:val="Normal"/>
        <w:rPr/>
      </w:pPr>
      <w:r>
        <w:rPr/>
        <w:t xml:space="preserve"> </w:t>
      </w:r>
    </w:p>
    <w:p>
      <w:pPr>
        <w:pStyle w:val="P68B1DB1Normal15"/>
        <w:rPr>
          <w:b/>
          <w:b/>
        </w:rPr>
      </w:pPr>
      <w:r>
        <w:rPr/>
        <w:t xml:space="preserve">39. Rekomenduojame, kad Sąjunga organizuotų piliečių asamblėjas. Mes primygtinai rekomenduojame, kad jie būtų įdiegti pagal teisiškai privalomą ir privalomą įstatymą ar reglamentą. Šios piliečių asamblėjos turėtų būti rengiamos kas 12–18 mėnesių. Piliečių dalyvavimas neturėtų būti privalomas, bet turėtų būti skatinamas, o organizuojamas remiantis ribotais įgaliojimais. Dalyviai turi būti atrenkami atsitiktine tvarka pagal reprezentatyvumo kriterijus. Jie neturi atstovauti jokioms organizacijoms ir neturėtų būti kviečiami dalyvauti dėl savo profesinės funkcijos, kai jie yra asamblėjos nariai. Prireikus ekspertai teiks paramą, siekdami užtikrinti, kad asamblėjos nariai turėtų pakankamai informacijos apsvarstyti. Sprendimų priėmimas bus piliečių rankose. Sąjunga turi užtikrinti politikų įsipareigojimą piliečių asamblėjoms priimtiems sprendimams. Jei piliečių pasiūlymai ignoruojami arba aiškiai atmetami, Europos institucijos privalo apie juos pranešti, nurodydamos priežastis, dėl kurių buvo priimtas šis sprendimas. </w:t>
      </w:r>
    </w:p>
    <w:p>
      <w:pPr>
        <w:pStyle w:val="Normal"/>
        <w:rPr/>
      </w:pPr>
      <w:r>
        <w:rPr/>
        <w:t xml:space="preserve"> </w:t>
      </w:r>
    </w:p>
    <w:p>
      <w:pPr>
        <w:pStyle w:val="Normal"/>
        <w:rPr/>
      </w:pPr>
      <w:r>
        <w:rPr/>
        <w:t xml:space="preserve">Rekomenduojame steigti piliečių asamblėjas, nes norime, kad piliečiai jaustųsi arčiau Europos institucijų ir tiesiogiai prisidėtų prie sprendimų priėmimo, bendradarbiaudami su politikais, kad sustiprintų priklausymo jausmą ir tiesioginį veiksmingumą. Be to, norime, kad politinės partijos būtų atskaitingos piliečiams, įskaitant jų rinkimų programas. </w:t>
      </w:r>
    </w:p>
    <w:p>
      <w:pPr>
        <w:pStyle w:val="Normal"/>
        <w:rPr/>
      </w:pPr>
      <w:r>
        <w:rPr/>
        <w:t xml:space="preserve"> </w:t>
      </w:r>
    </w:p>
    <w:p>
      <w:pPr>
        <w:pStyle w:val="Titre3"/>
        <w:numPr>
          <w:ilvl w:val="2"/>
          <w:numId w:val="2"/>
        </w:numPr>
        <w:rPr/>
      </w:pPr>
      <w:bookmarkStart w:id="151" w:name="__RefHeading___Toc297237_1346298689"/>
      <w:bookmarkEnd w:id="151"/>
      <w:r>
        <w:rPr/>
        <w:t xml:space="preserve">Priedas: KITOS GRUPĖS APSVARSTYTOS, BET NEPRIIMTOS REKOMENDACIJOS </w:t>
      </w:r>
    </w:p>
    <w:p>
      <w:pPr>
        <w:pStyle w:val="Normal"/>
        <w:rPr/>
      </w:pPr>
      <w:r>
        <w:rPr/>
        <w:t xml:space="preserve"> </w:t>
      </w:r>
    </w:p>
    <w:p>
      <w:pPr>
        <w:pStyle w:val="Titre4"/>
        <w:numPr>
          <w:ilvl w:val="3"/>
          <w:numId w:val="2"/>
        </w:numPr>
        <w:rPr/>
      </w:pPr>
      <w:bookmarkStart w:id="152" w:name="__RefHeading___Toc297239_1346298689"/>
      <w:bookmarkEnd w:id="152"/>
      <w:r>
        <w:rPr/>
        <w:t xml:space="preserve">1 ašis: Teisių ir nediskriminavimo užtikrinimas </w:t>
      </w:r>
    </w:p>
    <w:p>
      <w:pPr>
        <w:pStyle w:val="Normal"/>
        <w:rPr/>
      </w:pPr>
      <w:r>
        <w:rPr/>
        <w:t xml:space="preserve"> </w:t>
      </w:r>
    </w:p>
    <w:p>
      <w:pPr>
        <w:pStyle w:val="Normal"/>
        <w:rPr/>
      </w:pPr>
      <w:r>
        <w:rPr/>
        <w:t xml:space="preserve">Poašis. Nediskriminavimas/poašis 1.2 Lyčių lygybė </w:t>
      </w:r>
    </w:p>
    <w:p>
      <w:pPr>
        <w:pStyle w:val="Normal"/>
        <w:rPr/>
      </w:pPr>
      <w:r>
        <w:rPr/>
        <w:t xml:space="preserve"> </w:t>
      </w:r>
    </w:p>
    <w:p>
      <w:pPr>
        <w:pStyle w:val="P68B1DB1Normal15"/>
        <w:rPr>
          <w:b/>
          <w:b/>
        </w:rPr>
      </w:pPr>
      <w:r>
        <w:rPr/>
        <w:t>„</w:t>
      </w:r>
      <w:r>
        <w:rPr/>
        <w:t xml:space="preserve">Rekomenduojame, kad ES aktyviai įtrauktų mažumas į politikos formavimą svarbiausiais valstybės institucijų (pvz., policijos ir NVO) aspektais. Rekomenduojame Sąjungai įsteigti patariamąją tarybą, kurią tiesiogiai išrinktų mažumos. Ją daugiausia turėtų sudaryti mažumų atstovai, taip pat NVO atstovai. Ji turėtų atlikti mokymo vaidmenį didindama valstybės pareigūnų informuotumą apie mažumų poreikius. Šis organas turėtų turėti veto mažumų klausimais. </w:t>
      </w:r>
    </w:p>
    <w:p>
      <w:pPr>
        <w:pStyle w:val="Normal"/>
        <w:rPr/>
      </w:pPr>
      <w:r>
        <w:rPr/>
        <w:t xml:space="preserve">Mes rekomenduojame tai, nes mažumų balsai nėra pakankamai išgirsti. Jie turėtų išreikšti save savo vardu, savarankiškai ir profesionaliai; štai kodėl mes sujungėme atstovavimą per balsavimą ir patirtį. </w:t>
      </w:r>
    </w:p>
    <w:p>
      <w:pPr>
        <w:pStyle w:val="Normal"/>
        <w:rPr/>
      </w:pPr>
      <w:r>
        <w:rPr/>
        <w:t xml:space="preserve"> </w:t>
      </w:r>
    </w:p>
    <w:p>
      <w:pPr>
        <w:pStyle w:val="Titre4"/>
        <w:numPr>
          <w:ilvl w:val="3"/>
          <w:numId w:val="2"/>
        </w:numPr>
        <w:rPr/>
      </w:pPr>
      <w:bookmarkStart w:id="153" w:name="__RefHeading___Toc297241_1346298689"/>
      <w:bookmarkEnd w:id="153"/>
      <w:r>
        <w:rPr/>
        <w:t xml:space="preserve">2 ašis: Demokratijos ir teisinės valstybės apsauga </w:t>
      </w:r>
    </w:p>
    <w:p>
      <w:pPr>
        <w:pStyle w:val="Normal"/>
        <w:rPr/>
      </w:pPr>
      <w:r>
        <w:rPr/>
        <w:t xml:space="preserve"> </w:t>
      </w:r>
    </w:p>
    <w:p>
      <w:pPr>
        <w:pStyle w:val="Normal"/>
        <w:rPr/>
      </w:pPr>
      <w:r>
        <w:rPr/>
        <w:t xml:space="preserve">Poašis. Demokratijos apsauga ir stiprinimas. 2.4 Žiniasklaida ir dezinformacija </w:t>
      </w:r>
    </w:p>
    <w:p>
      <w:pPr>
        <w:pStyle w:val="Normal"/>
        <w:rPr/>
      </w:pPr>
      <w:r>
        <w:rPr/>
        <w:t xml:space="preserve"> </w:t>
      </w:r>
    </w:p>
    <w:p>
      <w:pPr>
        <w:pStyle w:val="P68B1DB1Normal15"/>
        <w:rPr>
          <w:b/>
          <w:b/>
        </w:rPr>
      </w:pPr>
      <w:r>
        <w:rPr/>
        <w:t>„</w:t>
      </w:r>
      <w:r>
        <w:rPr/>
        <w:t xml:space="preserve">Rekomenduojame Europos lygmeniu įsteigti audiovizualinės, spaudos ir skaitmeninės žiniasklaidos stebėsenos agentūrą. Ši agentūra turėtų patikrinti, ar nacionalinės žiniasklaidos priemonės, rengdamos savo turinį, laikosi nešališko ir objektyvaus proceso. Siekdama užkirsti kelią dezinformacijai, Agentūra turėtų numatyti nacionalinės žiniasklaidos patikimumo vertinimo sistemą. Šią vertinimo sistemą piliečiams turėtų būti lengva suprasti. </w:t>
      </w:r>
    </w:p>
    <w:p>
      <w:pPr>
        <w:pStyle w:val="Normal"/>
        <w:rPr/>
      </w:pPr>
      <w:r>
        <w:rPr/>
        <w:t xml:space="preserve"> </w:t>
      </w:r>
    </w:p>
    <w:p>
      <w:pPr>
        <w:pStyle w:val="Normal"/>
        <w:rPr/>
      </w:pPr>
      <w:r>
        <w:rPr/>
        <w:t xml:space="preserve">Mes rekomenduojame tai, nes mums reikia įvertinti žiniasklaidą ir jos patikimumą, taip pat žiniasklaidos įvairovę ES šalyse. Europos agentūra būtų objektyviausia įstaiga, užtikrinanti tokią misiją. Be to, tokia reitingų sistema suteikia piliečiams galimybę priimti informacija pagrįstus sprendimus ir skatina žiniasklaidą teikti patikimą informaciją. Jei paaiškėja, kad reitingų sistemos nepakanka žiniasklaidos patikimumui užtikrinti, agentūra taip pat turėtų būti įgaliota taikyti sankcijas. </w:t>
      </w:r>
    </w:p>
    <w:p>
      <w:pPr>
        <w:pStyle w:val="Normal"/>
        <w:rPr/>
      </w:pPr>
      <w:r>
        <w:rPr/>
        <w:t xml:space="preserve"> </w:t>
      </w:r>
    </w:p>
    <w:p>
      <w:pPr>
        <w:pStyle w:val="Titre3"/>
        <w:numPr>
          <w:ilvl w:val="2"/>
          <w:numId w:val="2"/>
        </w:numPr>
        <w:rPr/>
      </w:pPr>
      <w:bookmarkStart w:id="154" w:name="__RefHeading___Toc297243_1346298689"/>
      <w:bookmarkEnd w:id="154"/>
      <w:r>
        <w:rPr/>
        <w:t xml:space="preserve">5 ašis: Piliečių dalyvavimo stiprinimas </w:t>
      </w:r>
    </w:p>
    <w:p>
      <w:pPr>
        <w:pStyle w:val="Normal"/>
        <w:rPr/>
      </w:pPr>
      <w:r>
        <w:rPr/>
        <w:t xml:space="preserve"> </w:t>
      </w:r>
    </w:p>
    <w:p>
      <w:pPr>
        <w:pStyle w:val="Titre4"/>
        <w:numPr>
          <w:ilvl w:val="3"/>
          <w:numId w:val="2"/>
        </w:numPr>
        <w:rPr/>
      </w:pPr>
      <w:r>
        <w:rPr/>
        <w:t xml:space="preserve">Paašė. Piliečių dalyvavimas </w:t>
      </w:r>
    </w:p>
    <w:p>
      <w:pPr>
        <w:pStyle w:val="Normal"/>
        <w:rPr/>
      </w:pPr>
      <w:r>
        <w:rPr/>
        <w:t xml:space="preserve"> </w:t>
      </w:r>
    </w:p>
    <w:p>
      <w:pPr>
        <w:pStyle w:val="P68B1DB1Normal15"/>
        <w:rPr>
          <w:b/>
          <w:b/>
        </w:rPr>
      </w:pPr>
      <w:r>
        <w:rPr/>
        <w:t>„</w:t>
      </w:r>
      <w:r>
        <w:rPr/>
        <w:t xml:space="preserve">Rekomenduojame įsteigti piliečiams atstovaujantį organą, kuris aptartų ir svariai prisidėtų prie sprendimų priėmimo proceso, kai ES lygmeniu priimamas sprendimas dėl svarbaus klausimo Europos piliečiams (pagal piliečių sprendimą, galbūt atliekant tyrimą). Tai turėtų būti nevienalytė grupė, kurią sudarytų apie 100 piliečių iš visų ES šalių, kurioje būtų vienodai atstovaujama kiekvienai šaliai. Tai turėtų būti rotacinė grupė, kurios nariai reguliariai pakeičiami. </w:t>
      </w:r>
    </w:p>
    <w:p>
      <w:pPr>
        <w:pStyle w:val="Normal"/>
        <w:rPr/>
      </w:pPr>
      <w:r>
        <w:rPr/>
        <w:t xml:space="preserve"> </w:t>
      </w:r>
    </w:p>
    <w:p>
      <w:pPr>
        <w:pStyle w:val="Normal"/>
        <w:rPr/>
      </w:pPr>
      <w:r>
        <w:rPr/>
        <w:t xml:space="preserve">Kadangi svarbu vengti tokių problemų kaip korupcija, kurios gali kilti dėl nuolatinio atstovaujamojo organo, ir labai svarbu, kad tokia institucija turėtų vienodą atstovavimą visoms šalims, kad būtų išvengta nesąžiningos sprendimų priėmimo galios. Kadangi šis veikimo būdas padėtų išvengti problemų, susijusių su nuotolinių technologijų įdiegimu ar nuolatiniu naudojimu.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Europos piliečių forumas Nr. 3: Klimato kaita ir aplinka/Sveikata </w:t>
      </w:r>
    </w:p>
    <w:p>
      <w:pPr>
        <w:pStyle w:val="Normal"/>
        <w:rPr/>
      </w:pPr>
      <w:r>
        <w:rPr/>
        <w:t xml:space="preserve"> </w:t>
      </w:r>
    </w:p>
    <w:p>
      <w:pPr>
        <w:pStyle w:val="Normal"/>
        <w:rPr/>
      </w:pPr>
      <w:r>
        <w:rPr/>
        <w:t xml:space="preserve">GRUPĖS PRIIMTOS REKOMENDACIJOS (TURI BŪTI PATEIKTOS PLENARINIAME POSĖDYJE) </w:t>
      </w:r>
    </w:p>
    <w:p>
      <w:pPr>
        <w:pStyle w:val="Normal"/>
        <w:rPr/>
      </w:pPr>
      <w:r>
        <w:rPr/>
        <w:t xml:space="preserve"> </w:t>
      </w:r>
    </w:p>
    <w:p>
      <w:pPr>
        <w:pStyle w:val="Titre3"/>
        <w:numPr>
          <w:ilvl w:val="2"/>
          <w:numId w:val="2"/>
        </w:numPr>
        <w:rPr/>
      </w:pPr>
      <w:bookmarkStart w:id="156" w:name="__RefHeading___Toc297247_1346298689"/>
      <w:bookmarkEnd w:id="156"/>
      <w:r>
        <w:rPr/>
        <w:t xml:space="preserve">1 ašis: Geresni gyvenimo būdai </w:t>
      </w:r>
    </w:p>
    <w:p>
      <w:pPr>
        <w:pStyle w:val="Normal"/>
        <w:rPr/>
      </w:pPr>
      <w:r>
        <w:rPr/>
        <w:t xml:space="preserve"> </w:t>
      </w:r>
    </w:p>
    <w:p>
      <w:pPr>
        <w:pStyle w:val="Titre4"/>
        <w:numPr>
          <w:ilvl w:val="3"/>
          <w:numId w:val="2"/>
        </w:numPr>
        <w:rPr/>
      </w:pPr>
      <w:bookmarkStart w:id="157" w:name="__RefHeading___Toc297249_1346298689"/>
      <w:bookmarkEnd w:id="157"/>
      <w:r>
        <w:rPr/>
        <w:t xml:space="preserve">Subašis 1.1 Sveikas gyvenimo būdas </w:t>
      </w:r>
    </w:p>
    <w:p>
      <w:pPr>
        <w:pStyle w:val="P68B1DB1Normal15"/>
        <w:rPr>
          <w:b/>
          <w:b/>
        </w:rPr>
      </w:pPr>
      <w:r>
        <w:rPr/>
        <w:t xml:space="preserve">1. Rekomenduojame, kad ES teiktų subsidijas ekologiniam ūkininkavimui, įskaitant paskatas ekologiškiems pesticidams, kad ekologiški produktai taptų prieinamesni. Be to, ES turi remti ūkininkų švietimą ekologinio ir tvaraus ūkininkavimo ir monokultūros klausimais. Smulkiesiems ekologiniams ūkiams, neintensyviems ūkiams ir ūkiams, turintiems trumpas tiekimo grandines, turėtų būti teikiama parama, kad jie galėtų būti konkurencingesni. </w:t>
      </w:r>
    </w:p>
    <w:p>
      <w:pPr>
        <w:pStyle w:val="Normal"/>
        <w:rPr/>
      </w:pPr>
      <w:r>
        <w:rPr/>
        <w:t xml:space="preserve"> </w:t>
      </w:r>
    </w:p>
    <w:p>
      <w:pPr>
        <w:pStyle w:val="Normal"/>
        <w:rPr/>
      </w:pPr>
      <w:r>
        <w:rPr/>
        <w:t xml:space="preserve">Subsidijuojant ekologiškus produktus jie taptų prieinamesni. Turėtume padėti prekybos centrams, naudojantiems trumpesnes tiekimo grandines, ir smulkiems ūkininkams, siūlydami jiems galimybę parduoti savo produktus. Tai leidžia išplėsti prieigą prie šviežių produktų. Be to, žemos neekologiškų produktų kainos neatspindi jų daromos žalos. </w:t>
      </w:r>
    </w:p>
    <w:p>
      <w:pPr>
        <w:pStyle w:val="Normal"/>
        <w:rPr/>
      </w:pPr>
      <w:r>
        <w:rPr/>
        <w:t xml:space="preserve"> </w:t>
      </w:r>
    </w:p>
    <w:p>
      <w:pPr>
        <w:pStyle w:val="P68B1DB1Normal15"/>
        <w:rPr>
          <w:b/>
          <w:b/>
        </w:rPr>
      </w:pPr>
      <w:r>
        <w:rPr/>
        <w:t xml:space="preserve">2. Rekomenduojame, kad inovacijos vertikaliojo žemės ūkio srityje būtų finansuojamos iš ES investicijų. </w:t>
      </w:r>
    </w:p>
    <w:p>
      <w:pPr>
        <w:pStyle w:val="Normal"/>
        <w:rPr/>
      </w:pPr>
      <w:r>
        <w:rPr/>
        <w:t xml:space="preserve">Vertikalus žemės ūkis leidžia mums išsaugoti žemės plotą, kuris galėtų būti naudojamas miškininkystei. Tai taip pat nereikalauja pesticidų, leidžiančių mums gaminti daugiau ekologiško maisto. Be to, jam įtakos nedaro blogos oro sąlygos, kurios dėl klimato kaitos tampa vis dažnesnės, ir gali sutrumpinti tiekimo grandines. </w:t>
      </w:r>
    </w:p>
    <w:p>
      <w:pPr>
        <w:pStyle w:val="Normal"/>
        <w:rPr/>
      </w:pPr>
      <w:r>
        <w:rPr/>
        <w:t xml:space="preserve"> </w:t>
      </w:r>
    </w:p>
    <w:p>
      <w:pPr>
        <w:pStyle w:val="P68B1DB1Normal15"/>
        <w:rPr>
          <w:b/>
          <w:b/>
        </w:rPr>
      </w:pPr>
      <w:r>
        <w:rPr/>
        <w:t xml:space="preserve">3. ES turėtų nustatyti minimalius maisto kokybės, maisto atsekamumo ir sezoninių produktų vartojimo mokyklų valgyklose standartus. Todėl mokyklų valgykloms skirtos sveikos sudedamosios dalys turėtų būti subsidijuojamos, kad moksleiviams būtų tiekiamas kokybiškas maistas už prieinamą kainą. </w:t>
      </w:r>
    </w:p>
    <w:p>
      <w:pPr>
        <w:pStyle w:val="Normal"/>
        <w:rPr/>
      </w:pPr>
      <w:r>
        <w:rPr/>
        <w:t xml:space="preserve"> </w:t>
      </w:r>
    </w:p>
    <w:p>
      <w:pPr>
        <w:pStyle w:val="Normal"/>
        <w:rPr/>
      </w:pPr>
      <w:r>
        <w:rPr/>
        <w:t xml:space="preserve">Nuo ankstyvo amžiaus įgyjame įpročių, kurie formuoja mūsų požiūrį į sveikatą; mokykloje turėtų būti skatinami geri įpročiai, o mokiniai galėtų juos atkartoti namuose. Tai taip pat socialinio teisingumo klausimas: kiekvienas ES studentas turėtų turėti teisę į kokybišką maistą mokykloje. </w:t>
      </w:r>
    </w:p>
    <w:p>
      <w:pPr>
        <w:pStyle w:val="Normal"/>
        <w:rPr/>
      </w:pPr>
      <w:r>
        <w:rPr/>
        <w:t xml:space="preserve"> </w:t>
      </w:r>
    </w:p>
    <w:p>
      <w:pPr>
        <w:pStyle w:val="P68B1DB1Normal15"/>
        <w:rPr>
          <w:b/>
          <w:b/>
        </w:rPr>
      </w:pPr>
      <w:r>
        <w:rPr/>
        <w:t xml:space="preserve">4. Rekomenduojame investuoti į naujus dviračių takus ir tobulinti esamus takus, kad važiavimas dviračiu būtų saugus ir patrauklus, taip pat kad visos amžiaus grupės galėtų pasinaudoti mokymu apie kelių eismo taisykles Europoje, ypač e. dviračių naudotojams ir asmenims, neturintiems vairuotojo pažymėjimo. Turėtų būti reikalaujama, kad elektrinių dviračių gamintojai pateiktų informaciją apie elektrinio dviračio naudojimą ir susijusią riziką. Dviratininkams turėtų būti suteikta teisinė apsauga eismo įvykio, susijusio su transporto priemone, atveju (žr. Nyderlandų taisykles). Mes pasisakome už teritorijas be automobilių miestuose (nekenkiant komercinėms vietovėms). Apskritai rekomenduojame dviratininkams ir pėstiesiems teikti pirmenybę ir papildomas teises, o ne motorinėms transporto priemonėms, kartu užtikrinant kelių eismo saugumą ir eismo taisyklių laikymąsi. </w:t>
      </w:r>
    </w:p>
    <w:p>
      <w:pPr>
        <w:pStyle w:val="Normal"/>
        <w:rPr/>
      </w:pPr>
      <w:r>
        <w:rPr/>
        <w:t xml:space="preserve"> </w:t>
      </w:r>
    </w:p>
    <w:p>
      <w:pPr>
        <w:pStyle w:val="Normal"/>
        <w:rPr/>
      </w:pPr>
      <w:r>
        <w:rPr/>
        <w:t xml:space="preserve">Šios rekomendacijos yra svarbios, nes važinėjimas dviračiu yra naudingas asmenų ir visuomenės sveikatai, oro kokybei, triukšmo lygiui, klimatui ir eismui miestų centruose. Dviratininkai ir pėstieji turi jaustis saugūs, atsižvelgiant į riziką, susijusią su didesniu elektrinio dviračio naudojimu. Kartais trūksta dviračių takų arba jie yra prastos būklės. </w:t>
      </w:r>
    </w:p>
    <w:p>
      <w:pPr>
        <w:pStyle w:val="Normal"/>
        <w:rPr/>
      </w:pPr>
      <w:r>
        <w:rPr/>
        <w:t xml:space="preserve"> </w:t>
      </w:r>
    </w:p>
    <w:p>
      <w:pPr>
        <w:pStyle w:val="P68B1DB1Normal15"/>
        <w:rPr>
          <w:b/>
          <w:b/>
        </w:rPr>
      </w:pPr>
      <w:r>
        <w:rPr/>
        <w:t xml:space="preserve">5. Mes rekomenduojame integruoti maisto gamybą į valstybinį švietimą. Rekomenduojame subsidijuoti ir remti sodų kūrimą mokyklose, jei įmanoma, ir miesto sodininkystės projektus viešosiose ir privačiose erdvėse. Į miestų planavimo sistemas turi būti įtrauktas kosmoso, vandens ir pagalbinės infrastruktūros poreikis. Pavyzdžiui, buvusios automobilių stovėjimo aikštelės galėtų būti naudojamos žalinimo projektams, vertikalieji sodininkystės projektai galėtų būti vykdomi pastatuose arba statybos leidimų gavimas galėtų priklausyti nuo žaliųjų erdvių integravimo. Rekomenduojame keistis novatoriška ir gerąja patirtimi visose valstybėse narėse. </w:t>
      </w:r>
    </w:p>
    <w:p>
      <w:pPr>
        <w:pStyle w:val="Normal"/>
        <w:rPr/>
      </w:pPr>
      <w:r>
        <w:rPr/>
        <w:t xml:space="preserve"> </w:t>
      </w:r>
    </w:p>
    <w:p>
      <w:pPr>
        <w:pStyle w:val="Normal"/>
        <w:rPr/>
      </w:pPr>
      <w:r>
        <w:rPr/>
        <w:t xml:space="preserve">Sodininkystės projektai skatina miestų ir jų gyventojų atsparumą, suburiant įvairaus amžiaus ir socialinių grupių žmones. Daugėjant žaliųjų erdvių, gerėja gyvenimo kokybė, oro kokybė, psichinė ir fizinė sveikata bei aplinka. </w:t>
      </w:r>
    </w:p>
    <w:p>
      <w:pPr>
        <w:pStyle w:val="Normal"/>
        <w:rPr/>
      </w:pPr>
      <w:r>
        <w:rPr/>
        <w:t xml:space="preserve"> </w:t>
      </w:r>
    </w:p>
    <w:p>
      <w:pPr>
        <w:pStyle w:val="Titre4"/>
        <w:numPr>
          <w:ilvl w:val="3"/>
          <w:numId w:val="2"/>
        </w:numPr>
        <w:rPr/>
      </w:pPr>
      <w:bookmarkStart w:id="158" w:name="__RefHeading___Toc297251_1346298689"/>
      <w:bookmarkEnd w:id="158"/>
      <w:r>
        <w:rPr/>
        <w:t xml:space="preserve">Subašis 1.2 Aplinkosauginis švietimas </w:t>
      </w:r>
    </w:p>
    <w:p>
      <w:pPr>
        <w:pStyle w:val="P68B1DB1Normal15"/>
        <w:rPr>
          <w:b/>
          <w:b/>
        </w:rPr>
      </w:pPr>
      <w:r>
        <w:rPr/>
        <w:t>6. Rekomenduojame ES priimti direktyvą, kuria būtų reikalaujama, kad miestų planavimo programos atitiktų konkrečius aplinkosaugos reikalavimus, kad miestai taptų ekologiškesni. Ši direktyva turėtų būti taikoma privačioms ir viešosioms gėrybėms ir erdvėms, visų pirma naujiems statomiems pastatams. Joje turi būti nustatyti minimalūs standartai, siekiant užtikrinti, kad pastatai ir erdvės būtų kuo ekologiškesni. Būdvardis „žaliasis“ čia reiškia atsinaujinančių energijos šaltinių naudojimą, mažesnį energijos suvartojimą, mažą CO2 emisiją</w:t>
      </w:r>
      <w:r>
        <w:rPr>
          <w:vertAlign w:val="subscript"/>
        </w:rPr>
        <w:t>ir</w:t>
      </w:r>
      <w:r>
        <w:rPr/>
        <w:t xml:space="preserve"> įrenginių įtraukimą į architektūrinius projektus. </w:t>
      </w:r>
    </w:p>
    <w:p>
      <w:pPr>
        <w:pStyle w:val="Normal"/>
        <w:rPr/>
      </w:pPr>
      <w:r>
        <w:rPr/>
        <w:t xml:space="preserve"> </w:t>
      </w:r>
    </w:p>
    <w:p>
      <w:pPr>
        <w:pStyle w:val="Normal"/>
        <w:rPr/>
      </w:pPr>
      <w:r>
        <w:rPr/>
        <w:t>Žalesni miestai aktyviai prisideda prie klimato kaitos, visų pirma išmetamo CO2 ir</w:t>
      </w:r>
      <w:r>
        <w:rPr>
          <w:vertAlign w:val="subscript"/>
        </w:rPr>
        <w:t>ozono</w:t>
      </w:r>
      <w:r>
        <w:rPr/>
        <w:t xml:space="preserve"> kiekio, kurie daro neigiamą poveikį piliečių sveikatai, poveikio mažinimo. Investavimas į ekologiškesnius miestus prisideda prie tvarios bendruomenės plėtros, kuri teikia ilgalaikę ekonominę ir socialinę naudą. </w:t>
      </w:r>
    </w:p>
    <w:p>
      <w:pPr>
        <w:pStyle w:val="Normal"/>
        <w:rPr/>
      </w:pPr>
      <w:r>
        <w:rPr/>
        <w:t xml:space="preserve"> </w:t>
      </w:r>
    </w:p>
    <w:p>
      <w:pPr>
        <w:pStyle w:val="P68B1DB1Normal15"/>
        <w:rPr>
          <w:b/>
          <w:b/>
        </w:rPr>
      </w:pPr>
      <w:r>
        <w:rPr/>
        <w:t xml:space="preserve">7. Mes rekomenduojame, kad ES, padedant valstybėms narėms, parengtų, priimtų ir įgyvendintų bendrą Europos chartiją, skirtą aplinkos klausimams, atsižvelgiant į jų sudėtingumą. Chartija padės valstybėms narėms rengti reguliarias informavimo ir mokymo kampanijas, platinamas visais prieinamais žiniasklaidos kanalais ir šiam tikslui sukurtame naujame informacijos portale. Šios kampanijos turėtų būti organizuojamos visoje ES ir visais lygmenimis, siekiant didinti visų piliečių informuotumą apie aplinką. </w:t>
      </w:r>
    </w:p>
    <w:p>
      <w:pPr>
        <w:pStyle w:val="Normal"/>
        <w:rPr/>
      </w:pPr>
      <w:r>
        <w:rPr/>
        <w:t xml:space="preserve"> </w:t>
      </w:r>
    </w:p>
    <w:p>
      <w:pPr>
        <w:pStyle w:val="Normal"/>
        <w:rPr/>
      </w:pPr>
      <w:r>
        <w:rPr/>
        <w:t xml:space="preserve">Nepakankamas valstybių narių veiksmų koordinavimas trukdo veiksmingai vykdyti esamas kampanijas ir lėtina pastangas spręsti pasaulines klimato kaitos problemas. Bendra chartija skatins valstybių narių veiksmų planų sinergiją, užtikrindama didesnį pastangų veiksmingumą. Be to, ji užtikrins, kad piliečiams būtų teikiama nuosekli ir nuosekli informacija apie jų kasdienių veiksmų poveikį, pavyzdžiui, apie transporto rūšies pasirinkimą ir jų atliekų tvarkymą. </w:t>
      </w:r>
    </w:p>
    <w:p>
      <w:pPr>
        <w:pStyle w:val="Normal"/>
        <w:rPr/>
      </w:pPr>
      <w:r>
        <w:rPr/>
        <w:t xml:space="preserve"> </w:t>
      </w:r>
    </w:p>
    <w:p>
      <w:pPr>
        <w:pStyle w:val="Titre3"/>
        <w:numPr>
          <w:ilvl w:val="2"/>
          <w:numId w:val="2"/>
        </w:numPr>
        <w:rPr/>
      </w:pPr>
      <w:bookmarkStart w:id="159" w:name="__RefHeading___Toc297253_1346298689"/>
      <w:bookmarkEnd w:id="159"/>
      <w:r>
        <w:rPr/>
        <w:t xml:space="preserve">2 ašis: Mūsų aplinkos ir sveikatos apsauga </w:t>
      </w:r>
    </w:p>
    <w:p>
      <w:pPr>
        <w:pStyle w:val="Titre4"/>
        <w:numPr>
          <w:ilvl w:val="3"/>
          <w:numId w:val="2"/>
        </w:numPr>
        <w:rPr/>
      </w:pPr>
      <w:bookmarkStart w:id="160" w:name="__RefHeading___Toc297255_1346298689"/>
      <w:bookmarkEnd w:id="160"/>
      <w:r>
        <w:rPr/>
        <w:t xml:space="preserve">Subašis 2.1 Sveika natūrali aplinka </w:t>
      </w:r>
    </w:p>
    <w:p>
      <w:pPr>
        <w:pStyle w:val="P68B1DB1Normal15"/>
        <w:rPr>
          <w:b/>
          <w:b/>
        </w:rPr>
      </w:pPr>
      <w:r>
        <w:rPr/>
        <w:t xml:space="preserve">8. Mes rekomenduojame vienodą ekologinio vertinimo sistemą, kuri parodytų bendrą kiekvieno ES įsigyto produkto aplinkosauginį pėdsaką. Produktai iš trečiųjų šalių turi skaidriai laikytis šios ekologinių rezultatų sistemos. Ši sistema turėtų būti grindžiama aiškiais klasifikavimo kriterijais, taikomais patiems gaminiams, ir naudoti, pavyzdžiui, QR kodą, kuriame pateikiama išsamesnė informacija apie gaminį. </w:t>
      </w:r>
    </w:p>
    <w:p>
      <w:pPr>
        <w:pStyle w:val="Normal"/>
        <w:rPr/>
      </w:pPr>
      <w:r>
        <w:rPr/>
        <w:t xml:space="preserve"> </w:t>
      </w:r>
    </w:p>
    <w:p>
      <w:pPr>
        <w:pStyle w:val="Normal"/>
        <w:rPr/>
      </w:pPr>
      <w:r>
        <w:rPr/>
        <w:t xml:space="preserve">Ši informacija apie gaminio gyvavimo ciklą yra labai svarbi visiems ES piliečiams, siekiant suteikti vartotojams daugiau galimybių apsipirkti. Tai leis ES piliečiams priimti atsakingus sprendimus, kurie prisidės prie jų aplinkos apsaugos. </w:t>
      </w:r>
    </w:p>
    <w:p>
      <w:pPr>
        <w:pStyle w:val="Normal"/>
        <w:rPr/>
      </w:pPr>
      <w:r>
        <w:rPr/>
        <w:t xml:space="preserve"> </w:t>
      </w:r>
    </w:p>
    <w:p>
      <w:pPr>
        <w:pStyle w:val="P68B1DB1Normal15"/>
        <w:rPr>
          <w:b/>
          <w:b/>
        </w:rPr>
      </w:pPr>
      <w:r>
        <w:rPr/>
        <w:t xml:space="preserve">9. Rekomenduojame daugiau investuoti į naujų aplinką tausojančių energijos šaltinių tyrinėjimą ir iki šių naujų šaltinių diegimo skirti papildomų investicijų esamiems optimaliems energijos gamybos sprendimams. Taip pat rekomenduojame skaidriai informuoti ir šviesti Europos piliečius apie konkrečius energijos šaltinius. Primygtinai rekomenduojame atsižvelgti į bendrą ekologinį ir socialinį energijos gamybos proceso poveikį dabartinėms ir būsimoms kartoms. </w:t>
      </w:r>
    </w:p>
    <w:p>
      <w:pPr>
        <w:pStyle w:val="Normal"/>
        <w:rPr/>
      </w:pPr>
      <w:r>
        <w:rPr/>
        <w:t xml:space="preserve"> </w:t>
      </w:r>
    </w:p>
    <w:p>
      <w:pPr>
        <w:pStyle w:val="Normal"/>
        <w:rPr/>
      </w:pPr>
      <w:r>
        <w:rPr/>
        <w:t xml:space="preserve">Mes susiduriame su labai dideliu anglies dioksido ir kitų toksiškų medžiagų kiekiu energijos gamyboje, dėl kurio blogėja klimatas ir oro kokybė. Siekdami laikytis ES gairių, IPCC ataskaitų rekomendacijų ir COP 26 tikslų, turime stiprinti mokslinius tyrimus ir investicijas, kad būtų pasiekta neutralaus poveikio klimatui energijos gamyba. </w:t>
      </w:r>
    </w:p>
    <w:p>
      <w:pPr>
        <w:pStyle w:val="Normal"/>
        <w:rPr/>
      </w:pPr>
      <w:r>
        <w:rPr/>
        <w:t xml:space="preserve"> </w:t>
      </w:r>
    </w:p>
    <w:p>
      <w:pPr>
        <w:pStyle w:val="Titre4"/>
        <w:numPr>
          <w:ilvl w:val="3"/>
          <w:numId w:val="2"/>
        </w:numPr>
        <w:rPr/>
      </w:pPr>
      <w:bookmarkStart w:id="161" w:name="__RefHeading___Toc297257_1346298689"/>
      <w:bookmarkEnd w:id="161"/>
      <w:r>
        <w:rPr/>
        <w:t xml:space="preserve">2.2 poašis. Biologinės įvairovės apsauga </w:t>
      </w:r>
    </w:p>
    <w:p>
      <w:pPr>
        <w:pStyle w:val="P68B1DB1Normal15"/>
        <w:rPr>
          <w:b/>
          <w:b/>
        </w:rPr>
      </w:pPr>
      <w:r>
        <w:rPr/>
        <w:t xml:space="preserve">10. Mes rekomenduojame drastiškai sumažinti cheminių pesticidų ir trąšų naudojimą visų rūšių žemės ūkyje užtikrinant griežtesnių bendrų standartų taikymą, spartinant natūralių alternatyvų mokslinius tyrimus ir remiant naujų sprendimų priėmimą, įskaitant ūkininkų mokymą. </w:t>
      </w:r>
    </w:p>
    <w:p>
      <w:pPr>
        <w:pStyle w:val="Normal"/>
        <w:rPr/>
      </w:pPr>
      <w:r>
        <w:rPr/>
        <w:t xml:space="preserve"> </w:t>
      </w:r>
    </w:p>
    <w:p>
      <w:pPr>
        <w:pStyle w:val="Normal"/>
        <w:rPr/>
      </w:pPr>
      <w:r>
        <w:rPr/>
        <w:t xml:space="preserve">Nors su trąšomis ir alternatyviais pesticidais susijusi pažanga padaryta, daugumos jų dar negali naudoti dideli ūkiai. Todėl reikia dėti daugiau pastangų naujiems sprendimams rasti. Moksliniai tyrimai turėtų būti skatinami viešosiomis išlaidomis ir aukštesniais pesticidų ir trąšų naudojimo standartais. Mokslinių tyrimų rezultatai turi būti greitai skleidžiami ES lygmeniu. </w:t>
      </w:r>
    </w:p>
    <w:p>
      <w:pPr>
        <w:pStyle w:val="Normal"/>
        <w:rPr/>
      </w:pPr>
      <w:r>
        <w:rPr/>
        <w:t xml:space="preserve"> </w:t>
      </w:r>
    </w:p>
    <w:p>
      <w:pPr>
        <w:pStyle w:val="P68B1DB1Normal15"/>
        <w:rPr>
          <w:b/>
          <w:b/>
        </w:rPr>
      </w:pPr>
      <w:r>
        <w:rPr/>
        <w:t xml:space="preserve">11. Rekomenduojame išplėsti saugomas teritorijas siekiant išsaugoti biologinę įvairovę (žmonės, paukščiai, vabzdžiai ir augalai) ir stiprinti teisinę valstybę, susijusią su žmogaus kišimusi į šias teritorijas. Saugomos teritorijos bus laikomos ne tik salomis, bet ir ekologiškesnėmis miestų teritorijomis, atitinkančiomis suderintus ES standartus. </w:t>
      </w:r>
    </w:p>
    <w:p>
      <w:pPr>
        <w:pStyle w:val="Normal"/>
        <w:rPr/>
      </w:pPr>
      <w:r>
        <w:rPr/>
        <w:t xml:space="preserve"> </w:t>
      </w:r>
    </w:p>
    <w:p>
      <w:pPr>
        <w:pStyle w:val="Normal"/>
        <w:rPr/>
      </w:pPr>
      <w:r>
        <w:rPr/>
        <w:t xml:space="preserve">Biologinė įvairovė labai kenčia nuo miškų naikinimo. Saugomų teritorijų kūrimas yra viena iš pagrindinių sausumos biologinės įvairovės apsaugos priemonių. Tačiau yra sunku išsaugoti saugomas teritorijas netoli užterštų miestų arba išvengti žmogaus kišimosi, kai aplinkinės teritorijos palieka mažai vietos gamtai. Turime žalinti gyvenamąsias vietoves ir integruoti jas į supančią gamtą. </w:t>
      </w:r>
    </w:p>
    <w:p>
      <w:pPr>
        <w:pStyle w:val="Normal"/>
        <w:rPr/>
      </w:pPr>
      <w:r>
        <w:rPr/>
        <w:t xml:space="preserve"> </w:t>
      </w:r>
    </w:p>
    <w:p>
      <w:pPr>
        <w:pStyle w:val="Normal"/>
        <w:rPr/>
      </w:pPr>
      <w:r>
        <w:rPr>
          <w:b/>
        </w:rPr>
        <w:t>12. Mes rekomenduojame nukreipti bendrąsias subsidijas žemės ūkiui daugiausia projektams, susijusiems su tvaraus žemės ūkio plėtra, įskaitant pagarbą gamtai ir darbuotojams. Paramos gavėjai turėtų laikytis aiškių aplinkos apsaugos standartų ir būti atidžiai stebimi.</w:t>
      </w:r>
      <w:r>
        <w:rPr/>
        <w:t xml:space="preserve"> </w:t>
      </w:r>
    </w:p>
    <w:p>
      <w:pPr>
        <w:pStyle w:val="Normal"/>
        <w:rPr/>
      </w:pPr>
      <w:r>
        <w:rPr/>
        <w:t xml:space="preserve"> </w:t>
      </w:r>
    </w:p>
    <w:p>
      <w:pPr>
        <w:pStyle w:val="Normal"/>
        <w:rPr/>
      </w:pPr>
      <w:r>
        <w:rPr/>
        <w:t xml:space="preserve">Manome, kad turėtų būti skatinamas tik tvarus žemės ūkis, o tai reiškia, kad reikia perskirstyti šiuo metu bendroms subsidijoms naudojamas lėšas. Be to, galima padidinti naudojamų lėšų veiksmingumą sutelkiant dėmesį į transformacinius projektus ir novatoriškus sprendimus, o ne į metinius mokėjimus. Turėtų būti užtikrinta geresnė žemės ūkio veiklos ir projektų ekologinio poveikio stebėsena. Darbuotojų žmogaus teisės taip pat turi būti laikomos neatsiejama tvarumo dalimi. </w:t>
      </w:r>
    </w:p>
    <w:p>
      <w:pPr>
        <w:pStyle w:val="Normal"/>
        <w:rPr/>
      </w:pPr>
      <w:r>
        <w:rPr/>
        <w:t xml:space="preserve"> </w:t>
      </w:r>
    </w:p>
    <w:p>
      <w:pPr>
        <w:pStyle w:val="Normal"/>
        <w:rPr/>
      </w:pPr>
      <w:r>
        <w:rPr>
          <w:b/>
        </w:rPr>
        <w:t>13. Rekomenduojame ES užtikrinti sąžiningą konkurenciją ekologiškiems žemės ūkio produktams nustatant aukštesnius standartus tiek ES, tiek importuojamiems produktams, užtikrinant atsekamumą, ženklinimą ir kokybės kontrolę.</w:t>
      </w:r>
      <w:r>
        <w:rPr/>
        <w:t xml:space="preserve"> </w:t>
      </w:r>
    </w:p>
    <w:p>
      <w:pPr>
        <w:pStyle w:val="Normal"/>
        <w:rPr/>
      </w:pPr>
      <w:r>
        <w:rPr/>
        <w:t xml:space="preserve"> </w:t>
      </w:r>
    </w:p>
    <w:p>
      <w:pPr>
        <w:pStyle w:val="Normal"/>
        <w:rPr/>
      </w:pPr>
      <w:r>
        <w:rPr/>
        <w:t xml:space="preserve">Mažesnis tvarių žemės ūkio produktų našumas kenkia jų konkurencingumui sąnaudų požiūriu. Importuojami produktai turėtų atitikti tuos pačius griežtus gamybos poveikio aplinkai standartus. Mūsų valdžios institucijos turėtų galėti užtikrinti importuojamų žemės ūkio produktų atsekamumą. </w:t>
      </w:r>
    </w:p>
    <w:p>
      <w:pPr>
        <w:pStyle w:val="Normal"/>
        <w:rPr/>
      </w:pPr>
      <w:r>
        <w:rPr/>
        <w:t xml:space="preserve"> </w:t>
      </w:r>
    </w:p>
    <w:p>
      <w:pPr>
        <w:pStyle w:val="P68B1DB1Normal15"/>
        <w:rPr>
          <w:b/>
          <w:b/>
        </w:rPr>
      </w:pPr>
      <w:r>
        <w:rPr/>
        <w:t xml:space="preserve">14. Dėl optimalaus žemės naudojimo rekomenduojame ES greitai ir masiškai atkurti miškus ir įveisti miškus. Ypatingas dėmesys turėtų būti skiriamas naudojamų arba sunaikintų miškų atkūrimui ir nualinto dirvožemio plotų apželdinimui mišku. Reikėtų skatinti naujus, atsakingesnius sprendimus siekiant geriau naudoti medieną, pavyzdžiui, pakeisti plastiką ir kitas chemines medžiagas, padidinti biomasės energijos vartojimo efektyvumą ir perdirbti medienos produktus. </w:t>
      </w:r>
    </w:p>
    <w:p>
      <w:pPr>
        <w:pStyle w:val="Normal"/>
        <w:rPr/>
      </w:pPr>
      <w:r>
        <w:rPr/>
        <w:t xml:space="preserve"> </w:t>
      </w:r>
    </w:p>
    <w:p>
      <w:pPr>
        <w:pStyle w:val="Normal"/>
        <w:rPr/>
      </w:pPr>
      <w:r>
        <w:rPr/>
        <w:t xml:space="preserve">Miškų atkūrimas turi akivaizdų teigiamą poveikį aplinkai ir apskritai biologinei įvairovei. Tuo pačiu metu mes turime naudoti mažiau medienos, kad šildytume save, bet daugiau, kad jie taptų didelės pridėtinės vertės gaminiais; pavyzdžiui, norint pakeisti plastiką, labai svarbu naudoti medieną. </w:t>
      </w:r>
    </w:p>
    <w:p>
      <w:pPr>
        <w:pStyle w:val="Normal"/>
        <w:rPr/>
      </w:pPr>
      <w:r>
        <w:rPr/>
        <w:t xml:space="preserve"> </w:t>
      </w:r>
    </w:p>
    <w:p>
      <w:pPr>
        <w:pStyle w:val="Titre4"/>
        <w:numPr>
          <w:ilvl w:val="3"/>
          <w:numId w:val="2"/>
        </w:numPr>
        <w:rPr/>
      </w:pPr>
      <w:bookmarkStart w:id="162" w:name="__RefHeading___Toc297259_1346298689"/>
      <w:bookmarkEnd w:id="162"/>
      <w:r>
        <w:rPr/>
        <w:t xml:space="preserve">Poašis 2.3 Saugūs ir sveiki maisto produktai </w:t>
      </w:r>
    </w:p>
    <w:p>
      <w:pPr>
        <w:pStyle w:val="P68B1DB1Normal15"/>
        <w:rPr>
          <w:b/>
          <w:b/>
        </w:rPr>
      </w:pPr>
      <w:r>
        <w:rPr/>
        <w:t xml:space="preserve">15. Mes rekomenduojame greitai ir palaipsniui pašalinti netvarias pakuotes, naudojamas maistui, įskaitant plastikines pakuotes ir kitas biologiškai neskaidomas pakuotes. Šiuo tikslu siūlome teikti finansines paskatas įmonėms, pereinančioms prie visiškai biologiškai skaidžių pakuočių, investuojant į alternatyvų paieškas ir nustatant sankcijas įmonėms, kurios nenaudoja biologiškai skaidžių pakuočių. </w:t>
      </w:r>
    </w:p>
    <w:p>
      <w:pPr>
        <w:pStyle w:val="Normal"/>
        <w:rPr/>
      </w:pPr>
      <w:r>
        <w:rPr/>
        <w:t xml:space="preserve"> </w:t>
      </w:r>
    </w:p>
    <w:p>
      <w:pPr>
        <w:pStyle w:val="Normal"/>
        <w:rPr/>
      </w:pPr>
      <w:r>
        <w:rPr/>
        <w:t xml:space="preserve">Plastiko atliekos, ypač mikroplastikas, tampa vis gausesnės ir lėtai skaidomos. Plastiko vartojimas kenkia maisto kokybei ir saugai ir kartu kelia pavojų žmonių ir gyvūnų sveikatai. Be to, nepakanka galiojančių ES teisės aktų, kuriais siekiama sumažinti biologiškai neskaidomų pakuočių kiekį. </w:t>
      </w:r>
    </w:p>
    <w:p>
      <w:pPr>
        <w:pStyle w:val="Normal"/>
        <w:rPr/>
      </w:pPr>
      <w:r>
        <w:rPr/>
        <w:t xml:space="preserve"> </w:t>
      </w:r>
    </w:p>
    <w:p>
      <w:pPr>
        <w:pStyle w:val="P68B1DB1Normal15"/>
        <w:rPr>
          <w:b/>
          <w:b/>
        </w:rPr>
      </w:pPr>
      <w:r>
        <w:rPr/>
        <w:t xml:space="preserve">16. Rekomenduojame palaipsniui atsisakyti intensyvaus ūkininkavimo, taip pat nutraukti blogėjančias gyvūnų gyvenimo sąlygas. Siūlome nustatyti bendrus gyvulininkystės standartus (pvz., didžiausią gyvūnų skaičių, pritaikytą lauko erdvę) ir daugiau investuoti į neintensyvius metodus (išplėstinį ir tvarų žemės ūkį), teikiant ūkininkams finansines paskatas ir mokymus, kad jie galėtų remti šią plėtrą. </w:t>
      </w:r>
    </w:p>
    <w:p>
      <w:pPr>
        <w:pStyle w:val="Normal"/>
        <w:rPr/>
      </w:pPr>
      <w:r>
        <w:rPr/>
        <w:t xml:space="preserve"> </w:t>
      </w:r>
    </w:p>
    <w:p>
      <w:pPr>
        <w:pStyle w:val="Normal"/>
        <w:rPr/>
      </w:pPr>
      <w:r>
        <w:rPr/>
        <w:t xml:space="preserve">Laipsniškas intensyvaus žemės ūkio atsisakymas sumažins aplinkos taršos lygį ir sustiprins gamtos apsaugą. Be to, palaipsniui atsisakius intensyvios gyvulininkystės, sumažės vaistų, reikalingų kovoti su gyvūnų ligomis ir pagerinti mūsų mitybos kokybę, kiekis. Intensyvus ūkininkavimas taip pat nepaiso gyvūnų gerovės, tačiau egzistuoja tvaresnės ūkininkavimo formos, pavyzdžiui, ekstensyvioji žemdirbystė; būtina teikti subsidijas ūkininkams, kad jie galėtų eiti šiuo keliu. </w:t>
      </w:r>
    </w:p>
    <w:p>
      <w:pPr>
        <w:pStyle w:val="Normal"/>
        <w:rPr/>
      </w:pPr>
      <w:r>
        <w:rPr/>
        <w:t xml:space="preserve"> </w:t>
      </w:r>
    </w:p>
    <w:p>
      <w:pPr>
        <w:pStyle w:val="P68B1DB1Normal15"/>
        <w:rPr>
          <w:b/>
          <w:b/>
        </w:rPr>
      </w:pPr>
      <w:r>
        <w:rPr/>
        <w:t xml:space="preserve">17. Rekomenduojame stiprinti nereikalingo antibiotikų ir kitų veterinarinių vaistų naudojimo pašarų prieduose draudimo kontrolę: padarykime, kad ši iniciatyva įvyktų! Siūlome leisti naudoti antibiotikus gyvulininkystėje tik tada, kai tai absoliučiai būtina siekiant apsaugoti gyvūnų sveikatą ir gerovę, o ne prevenciniu būdu. Be to, reikia daugiau investuoti į veiksmingesnių antibiotikų paiešką, kuriant alternatyvas, kartu remiantis šioje srityje vykdomais moksliniais tyrimais. </w:t>
      </w:r>
    </w:p>
    <w:p>
      <w:pPr>
        <w:pStyle w:val="Normal"/>
        <w:rPr/>
      </w:pPr>
      <w:r>
        <w:rPr/>
        <w:t xml:space="preserve"> </w:t>
      </w:r>
    </w:p>
    <w:p>
      <w:pPr>
        <w:pStyle w:val="Normal"/>
        <w:rPr/>
      </w:pPr>
      <w:r>
        <w:rPr/>
        <w:t xml:space="preserve">Žmogaus atsparumas antibiotikams sumažėja dėl maisto, gauto iš gyvūnų, kuriems buvo skirti antibiotikai, vartojimo. Be to, reikia laiko rasti tinkamus sprendimus, kaip pakeisti esamus antibiotikus, ir užtikrinti, kad ūkininkai būtų informuoti ir pasirengę juos naudoti. Pripažįstame, kad yra ES antibiotikų direktyvų; tačiau jos nebuvo vienodai įgyvendintos visose valstybėse narėse. Galiausiai, veterinariniais vaistais piktnaudžiaujama dopingo vartojimo tikslais; todėl griežtesni šios srities teisės aktai padidins gyvūnų gerovę ir pagerins jų gyvenimo kokybę. </w:t>
      </w:r>
    </w:p>
    <w:p>
      <w:pPr>
        <w:pStyle w:val="Normal"/>
        <w:rPr/>
      </w:pPr>
      <w:r>
        <w:rPr/>
        <w:t xml:space="preserve"> </w:t>
      </w:r>
    </w:p>
    <w:p>
      <w:pPr>
        <w:pStyle w:val="P68B1DB1Normal15"/>
        <w:rPr>
          <w:b/>
          <w:b/>
        </w:rPr>
      </w:pPr>
      <w:r>
        <w:rPr/>
        <w:t xml:space="preserve">18. Rekomenduojame, kad ES teisės aktuose būtų reikalaujama pranešti apie hormoninių medžiagų ir endokrininę sistemą ardančių medžiagų naudojimą maisto gamyboje, kad būtų nurodyta galutinio naudojamo produkto rūšis, kiekis ir poveikis. Etiketės, kuriose aiškiai nurodomos esančios medžiagos ir jų naudojimo priežastys, turi būti pateikiamos ant visų atitinkamų maisto produktų pakuočių. Be to, reikėtų paspartinti hormoninių medžiagų ir endokrininę sistemą ardančių medžiagų poveikio žmonių sveikatai mokslinius tyrimus. </w:t>
      </w:r>
    </w:p>
    <w:p>
      <w:pPr>
        <w:pStyle w:val="Normal"/>
        <w:rPr/>
      </w:pPr>
      <w:r>
        <w:rPr/>
        <w:t xml:space="preserve"> </w:t>
      </w:r>
    </w:p>
    <w:p>
      <w:pPr>
        <w:pStyle w:val="Normal"/>
        <w:rPr/>
      </w:pPr>
      <w:r>
        <w:rPr/>
        <w:t xml:space="preserve">Šiuo metu maisto produktų, visų pirma hormoninių medžiagų ir endokrininę sistemą ardančių medžiagų, atsekamumas yra nepakankamas. Mes tikime, kad skaidrumas maisto gamybos srityje yra būtinas, kad būtų užtikrinta atskaitomybė. Be to, vartotojai turėtų turėti galimybę sužinoti visą jų vartojamų maisto produktų sudėtį ir laisvai pasirinkti, ką valgo. Be to, nėra pakankamai mokslinių tyrimų dėl poveikio žmonėms (ir galimos rizikos), susijusio su maisto produktų, kurių sudėtyje yra hormoninių medžiagų ir endokrininę sistemą ardančių medžiagų, vartojimu. </w:t>
      </w:r>
    </w:p>
    <w:p>
      <w:pPr>
        <w:pStyle w:val="Normal"/>
        <w:rPr/>
      </w:pPr>
      <w:r>
        <w:rPr/>
        <w:t xml:space="preserve"> </w:t>
      </w:r>
    </w:p>
    <w:p>
      <w:pPr>
        <w:pStyle w:val="P68B1DB1Normal15"/>
        <w:rPr>
          <w:b/>
          <w:b/>
        </w:rPr>
      </w:pPr>
      <w:r>
        <w:rPr/>
        <w:t xml:space="preserve">19. Mes rekomenduojame atgrasyti nuo perdirbtų maisto produktų vartojimo, taikant mokesčius sveikatai kenksmingiems maisto produktams ir investuojant lėšas į sveiką maistą. Siūlome sukurti Europos masto sveikų maisto produktų vertinimo sistemą, pagrįstą geriausia valstybių narių patirtimi, ir ženklinti maisto produktų etiketes, kad vartotojai būtų informuojami apie jų poveikį sveikatai. </w:t>
      </w:r>
    </w:p>
    <w:p>
      <w:pPr>
        <w:pStyle w:val="Normal"/>
        <w:rPr/>
      </w:pPr>
      <w:r>
        <w:rPr/>
        <w:t xml:space="preserve"> </w:t>
      </w:r>
    </w:p>
    <w:p>
      <w:pPr>
        <w:pStyle w:val="Normal"/>
        <w:rPr/>
      </w:pPr>
      <w:r>
        <w:rPr/>
        <w:t xml:space="preserve">Tokiu būdu surinktos lėšos gali būti naudojamos informuotumo didinimo ir reklaminėms kampanijoms rengti, pirmenybę teikti sveikai mitybai švietimo sektoriuje ir padaryti nesveikus maisto produktus mažiau matomus prekybos centruose. Investicijos į sveiką maistą taip pat padeda gerinti bendrą gyventojų sveikatą ir atitinkamai sumažinti viešąsias išlaidas, kurių reikia sveikatos problemoms, kylančioms dėl prastos mitybos, spręsti. Be to, manome, kad mokesčiai ir subsidijos paskatins įmones gaminti sveikesnį maistą. </w:t>
      </w:r>
    </w:p>
    <w:p>
      <w:pPr>
        <w:pStyle w:val="Normal"/>
        <w:rPr/>
      </w:pPr>
      <w:r>
        <w:rPr/>
        <w:t xml:space="preserve"> </w:t>
      </w:r>
    </w:p>
    <w:p>
      <w:pPr>
        <w:pStyle w:val="Titre3"/>
        <w:numPr>
          <w:ilvl w:val="2"/>
          <w:numId w:val="2"/>
        </w:numPr>
        <w:rPr/>
      </w:pPr>
      <w:bookmarkStart w:id="163" w:name="__RefHeading___Toc297261_1346298689"/>
      <w:bookmarkEnd w:id="163"/>
      <w:r>
        <w:rPr/>
        <w:t xml:space="preserve">3 ašis: mūsų ekonomikos ir vartojimo perorientavimas </w:t>
      </w:r>
    </w:p>
    <w:p>
      <w:pPr>
        <w:pStyle w:val="Titre4"/>
        <w:numPr>
          <w:ilvl w:val="3"/>
          <w:numId w:val="2"/>
        </w:numPr>
        <w:rPr/>
      </w:pPr>
      <w:bookmarkStart w:id="164" w:name="__RefHeading___Toc297263_1346298689"/>
      <w:bookmarkEnd w:id="164"/>
      <w:r>
        <w:rPr/>
        <w:t xml:space="preserve">Poašis 3.1 Perprodukcijos ir pernelyg didelio vartojimo reguliavimas </w:t>
      </w:r>
    </w:p>
    <w:p>
      <w:pPr>
        <w:pStyle w:val="P68B1DB1Normal15"/>
        <w:rPr>
          <w:b/>
          <w:b/>
        </w:rPr>
      </w:pPr>
      <w:r>
        <w:rPr/>
        <w:t xml:space="preserve">20. Mes rekomenduojame ES imtis daugiau priemonių, kad vartotojai galėtų ilgiau naudoti produktus, ir skatinti juos tai daryti. ES turėtų kovoti su suplanuotu nusidėvėjimu pratęsdama produkto garantiją ir nustatydama maksimalią atsarginių dalių kainą pasibaigus garantiniam laikotarpiui. Visos valstybės narės turėtų sumažinti remonto paslaugų mokestį, kaip yra Švedijoje. Turėtų būti reikalaujama, kad gamintojai nurodytų numatomą savo gaminių gyvavimo trukmę. ES interneto svetainėje ir per švietimą turėtų teikti informaciją apie tai, kaip pakartotinai naudoti ir taisyti produktus. </w:t>
      </w:r>
    </w:p>
    <w:p>
      <w:pPr>
        <w:pStyle w:val="Normal"/>
        <w:rPr/>
      </w:pPr>
      <w:r>
        <w:rPr/>
        <w:t xml:space="preserve"> </w:t>
      </w:r>
    </w:p>
    <w:p>
      <w:pPr>
        <w:pStyle w:val="Normal"/>
        <w:rPr/>
      </w:pPr>
      <w:r>
        <w:rPr/>
        <w:t xml:space="preserve">Mūsų atliekų visuomenė nėra perspektyvi, nes dėl jos susidaro per daug atliekų. Taikydami siūlomas priemones, mes tapsime visuomene, kurioje produktai bus pakartotinai naudojami ir taisomi, kurių skaičius mažės, taip sumažinant perteklinį vartojimą. </w:t>
      </w:r>
    </w:p>
    <w:p>
      <w:pPr>
        <w:pStyle w:val="Normal"/>
        <w:rPr/>
      </w:pPr>
      <w:r>
        <w:rPr/>
        <w:t xml:space="preserve"> </w:t>
      </w:r>
    </w:p>
    <w:p>
      <w:pPr>
        <w:pStyle w:val="P68B1DB1Normal15"/>
        <w:rPr>
          <w:b/>
          <w:b/>
        </w:rPr>
      </w:pPr>
      <w:r>
        <w:rPr/>
        <w:t xml:space="preserve">21. Rekomenduojame ES taikyti griežtesnius aplinkos apsaugos standartus ir užtikrinti sąžiningas darbo sąlygas visoje gamybos grandinėje. ES gamybos standartai turėtų būti tvaresni, labiau suderinti tarp valstybių narių ir taikomi importuojamoms prekėms. Šie standartai taip pat turi būti socialinio pobūdžio, įskaitant deramas darbuotojų pajamas ir patenkinamas darbo sąlygas gamyklose. Šių standartų neatitinkančioms prekėms turėtų kilti pasekmių. </w:t>
      </w:r>
    </w:p>
    <w:p>
      <w:pPr>
        <w:pStyle w:val="Normal"/>
        <w:rPr/>
      </w:pPr>
      <w:r>
        <w:rPr/>
        <w:t xml:space="preserve"> </w:t>
      </w:r>
    </w:p>
    <w:p>
      <w:pPr>
        <w:pStyle w:val="Normal"/>
        <w:rPr/>
      </w:pPr>
      <w:r>
        <w:rPr/>
        <w:t xml:space="preserve">Svarbu Europoje nustatyti aplinkos ir socialiniu požiūriu vienodus gamybos standartus, siekiant užtikrinti, kad visi siūlomi produktai būtų gaminami tvariai. Šios priemonės yra būtinos siekiant perorientuoti mūsų ekonomiką ir keisti verslo gamybos modelius. </w:t>
      </w:r>
    </w:p>
    <w:p>
      <w:pPr>
        <w:pStyle w:val="Normal"/>
        <w:rPr/>
      </w:pPr>
      <w:r>
        <w:rPr/>
        <w:t xml:space="preserve"> </w:t>
      </w:r>
    </w:p>
    <w:p>
      <w:pPr>
        <w:pStyle w:val="P68B1DB1Normal15"/>
        <w:rPr>
          <w:b/>
          <w:b/>
        </w:rPr>
      </w:pPr>
      <w:r>
        <w:rPr/>
        <w:t xml:space="preserve">22. Rekomenduojame, kad ES ir valstybės narės nustatytų priemones, kuriomis būtų ribojama aplinkai kenkiančių produktų reklama. Mažo patvarumo gaminiams turėtų būti taikoma privaloma nuostata dėl atsakomybės netaikymo visų formų reklamoje, įrodančioje, kad jie yra kenksmingi aplinkai. ES turėtų uždrausti produktų, kurie apskritai nėra tvarūs, reklamą. </w:t>
      </w:r>
    </w:p>
    <w:p>
      <w:pPr>
        <w:pStyle w:val="Normal"/>
        <w:rPr/>
      </w:pPr>
      <w:r>
        <w:rPr/>
        <w:t xml:space="preserve"> </w:t>
      </w:r>
    </w:p>
    <w:p>
      <w:pPr>
        <w:pStyle w:val="Normal"/>
        <w:rPr/>
      </w:pPr>
      <w:r>
        <w:rPr/>
        <w:t xml:space="preserve">Reklama skatina vartojimą; produktai, kurie kenkia aplinkai, neturėtų būti pabrėžiami. Tokiu būdu vartotojai mažiau linkę pirkti aplinkai kenksmingus produktus. </w:t>
      </w:r>
    </w:p>
    <w:p>
      <w:pPr>
        <w:pStyle w:val="Normal"/>
        <w:rPr/>
      </w:pPr>
      <w:r>
        <w:rPr/>
        <w:t xml:space="preserve"> </w:t>
      </w:r>
    </w:p>
    <w:p>
      <w:pPr>
        <w:pStyle w:val="P68B1DB1Normal15"/>
        <w:rPr>
          <w:b/>
          <w:b/>
        </w:rPr>
      </w:pPr>
      <w:r>
        <w:rPr/>
        <w:t xml:space="preserve">23. Rekomenduojame ES vienodai visoje ES sukurti ir plėtoti visų pirminių stiklo, plastiko, aliuminio ir kt. pakuočių užstato sistemų infrastruktūrą. Gamintojai turėtų, kiek įmanoma, pakartotinai naudoti grąžinamąją pakuotę juos sterilizuodami, o ne paprasčiausiai perdirbdami medžiagas. Be maisto ir gėrimų pakuočių, prietaisas taip pat turėtų apimti kitų tipų butelius ir talpyklas, pvz., šampūno butelius. </w:t>
      </w:r>
    </w:p>
    <w:p>
      <w:pPr>
        <w:pStyle w:val="Normal"/>
        <w:rPr/>
      </w:pPr>
      <w:r>
        <w:rPr/>
        <w:t xml:space="preserve"> </w:t>
      </w:r>
    </w:p>
    <w:p>
      <w:pPr>
        <w:pStyle w:val="Normal"/>
        <w:rPr/>
      </w:pPr>
      <w:r>
        <w:rPr/>
        <w:t xml:space="preserve">Šiuo metu vartotojai išmeta per daug pakuočių, teršia ir naikina mūsų ekosistemas. Užstato sistemos padeda sumažinti atliekų kiekį skatindamos piliečius grąžinti pakuotes, o ne išmesti. Plėtodami šią sistemą, sunaudosime mažiau išteklių; bus sumažintas susidarančių atliekų kiekis. </w:t>
      </w:r>
    </w:p>
    <w:p>
      <w:pPr>
        <w:pStyle w:val="Normal"/>
        <w:rPr/>
      </w:pPr>
      <w:r>
        <w:rPr/>
        <w:t xml:space="preserve"> </w:t>
      </w:r>
    </w:p>
    <w:p>
      <w:pPr>
        <w:pStyle w:val="Titre4"/>
        <w:numPr>
          <w:ilvl w:val="3"/>
          <w:numId w:val="2"/>
        </w:numPr>
        <w:rPr/>
      </w:pPr>
      <w:bookmarkStart w:id="165" w:name="__RefHeading___Toc297265_1346298689"/>
      <w:bookmarkEnd w:id="165"/>
      <w:r>
        <w:rPr/>
        <w:t xml:space="preserve">Poašis 3.2 Atliekų mažinimas </w:t>
      </w:r>
    </w:p>
    <w:p>
      <w:pPr>
        <w:pStyle w:val="P68B1DB1Normal15"/>
        <w:rPr>
          <w:b/>
          <w:b/>
        </w:rPr>
      </w:pPr>
      <w:r>
        <w:rPr/>
        <w:t xml:space="preserve">24. Rekomenduojame skatinti tvirtesnį žiedinės ekonomikos politikos įgyvendinimą Europos lygmeniu, skirtą įmonėms ir piliečiams, teikiant finansines paskatas tos politikos besilaikantiems asmenims. </w:t>
      </w:r>
    </w:p>
    <w:p>
      <w:pPr>
        <w:pStyle w:val="Normal"/>
        <w:rPr/>
      </w:pPr>
      <w:r>
        <w:rPr/>
        <w:t xml:space="preserve"> </w:t>
      </w:r>
    </w:p>
    <w:p>
      <w:pPr>
        <w:pStyle w:val="Normal"/>
        <w:rPr/>
      </w:pPr>
      <w:r>
        <w:rPr/>
        <w:t xml:space="preserve">Daugelis žmonių galiausiai taps bedarbiais, jei gamybos įmonės sumažins savo darbo jėgą arba net nutrauks mokėjimą ir (arba) fermentą. Bedarbiams skirtomis perkvalifikavimo priemonėmis bus skatinama aplinkai nekenksminga praktika, kartu ribojant nedarbą ir skatinant diversifikuotos ekonomikos modernizavimą. </w:t>
      </w:r>
    </w:p>
    <w:p>
      <w:pPr>
        <w:pStyle w:val="Normal"/>
        <w:rPr/>
      </w:pPr>
      <w:r>
        <w:rPr/>
        <w:t xml:space="preserve"> </w:t>
      </w:r>
    </w:p>
    <w:p>
      <w:pPr>
        <w:pStyle w:val="P68B1DB1Normal15"/>
        <w:rPr>
          <w:b/>
          <w:b/>
        </w:rPr>
      </w:pPr>
      <w:r>
        <w:rPr/>
        <w:t xml:space="preserve">25. Rekomenduojame, kad ES reglamentuotų aplinką tausojančių pakuočių (t. y. pakuočių, pagamintų iš biologiškai skaidžių, perdirbamų arba tvaresnių medžiagų, jei įmanoma) naudojimą ir (arba) mažiau didelių gabaritų pakuočių naudojimą, taip pat QR kodą, kuriame būtų pateikiama informacija, susijusi su pakuočių perdirbimu ir (arba) šalinimo procesu po naudojimo. </w:t>
      </w:r>
    </w:p>
    <w:p>
      <w:pPr>
        <w:pStyle w:val="Normal"/>
        <w:rPr/>
      </w:pPr>
      <w:r>
        <w:rPr/>
        <w:t xml:space="preserve"> </w:t>
      </w:r>
    </w:p>
    <w:p>
      <w:pPr>
        <w:pStyle w:val="Normal"/>
        <w:rPr/>
      </w:pPr>
      <w:r>
        <w:rPr/>
        <w:t xml:space="preserve">Dėl šios rekomendacijos sumažės pakuočių kiekis, sumažės atliekų kiekis ir atitinkamai sumažės tarša; todėl aplinka bus švaresnė ir galiausiai anglies pėdsakas bus mažesnis. Gamintojams tenkanti mokesčių našta taip pat bus mažesnė. </w:t>
      </w:r>
    </w:p>
    <w:p>
      <w:pPr>
        <w:pStyle w:val="Normal"/>
        <w:rPr/>
      </w:pPr>
      <w:r>
        <w:rPr/>
        <w:t xml:space="preserve"> </w:t>
      </w:r>
    </w:p>
    <w:p>
      <w:pPr>
        <w:pStyle w:val="Titre4"/>
        <w:numPr>
          <w:ilvl w:val="3"/>
          <w:numId w:val="2"/>
        </w:numPr>
        <w:rPr/>
      </w:pPr>
      <w:bookmarkStart w:id="166" w:name="__RefHeading___Toc297267_1346298689"/>
      <w:bookmarkEnd w:id="166"/>
      <w:r>
        <w:rPr/>
        <w:t xml:space="preserve">Poašis. Sąžiningi produktai, vienodos galimybės ir sąžiningas vartojimas </w:t>
      </w:r>
    </w:p>
    <w:p>
      <w:pPr>
        <w:pStyle w:val="P68B1DB1Normal15"/>
        <w:rPr>
          <w:b/>
          <w:b/>
        </w:rPr>
      </w:pPr>
      <w:r>
        <w:rPr/>
        <w:t xml:space="preserve">26. Rekomenduojame Europos Sąjungai sukurti teisinę sistemą, kuria būtų užtikrinta, kad visi Europos vartotojai turėtų įperkamą ir geresnę prieigą prie kokybiškų ir vietinių maisto produktų. </w:t>
      </w:r>
    </w:p>
    <w:p>
      <w:pPr>
        <w:pStyle w:val="Normal"/>
        <w:rPr/>
      </w:pPr>
      <w:r>
        <w:rPr/>
        <w:t xml:space="preserve"> </w:t>
      </w:r>
    </w:p>
    <w:p>
      <w:pPr>
        <w:pStyle w:val="Normal"/>
        <w:rPr/>
      </w:pPr>
      <w:r>
        <w:rPr/>
        <w:t xml:space="preserve">Iš tiesų šiuo metu ES lygmeniu nėra bendro aiškinimo, kas turėtų būti laikoma vietos ir kokybišku maistu. Šią spragą reikia užpildyti. </w:t>
      </w:r>
    </w:p>
    <w:p>
      <w:pPr>
        <w:pStyle w:val="Normal"/>
        <w:rPr/>
      </w:pPr>
      <w:r>
        <w:rPr/>
        <w:t xml:space="preserve">Prastos kokybės produktų importas daro tiesioginį neigiamą poveikį aplinkai. Norėdami kovoti su klimato kaita, turime kovoti su visomis jos priežastimis, įskaitant žemos kokybės produktų importą: reikia sumažinti transporto atstumą ir skatinti sezoninius produktus. </w:t>
      </w:r>
    </w:p>
    <w:p>
      <w:pPr>
        <w:pStyle w:val="Normal"/>
        <w:rPr/>
      </w:pPr>
      <w:r>
        <w:rPr/>
        <w:t xml:space="preserve">Ši rekomendacija yra daug žadanti, nes ji galėtų būti taikoma ir ne maisto produktams. </w:t>
      </w:r>
    </w:p>
    <w:p>
      <w:pPr>
        <w:pStyle w:val="Normal"/>
        <w:rPr/>
      </w:pPr>
      <w:r>
        <w:rPr/>
        <w:t xml:space="preserve"> </w:t>
      </w:r>
    </w:p>
    <w:p>
      <w:pPr>
        <w:pStyle w:val="P68B1DB1Normal15"/>
        <w:rPr>
          <w:b/>
          <w:b/>
        </w:rPr>
      </w:pPr>
      <w:r>
        <w:rPr/>
        <w:t xml:space="preserve">27. Mes rekomenduojame Europos Sąjungai skatinti mokslinius tyrimus ir technologinę plėtrą pasitelkiant finansavimo programas, siekiant užtikrinti, kad Europos rinkoje būtų galima įsigyti tvaresnių ir įperkamesnių produktų. Europos Sąjunga taip pat turi konsultuotis su piliečiais visais sprendimų priėmimo lygmenimis, taip pat ir vietos lygmeniu, kad nustatytų jų tvarių produktų poreikius. </w:t>
      </w:r>
    </w:p>
    <w:p>
      <w:pPr>
        <w:pStyle w:val="Normal"/>
        <w:rPr/>
      </w:pPr>
      <w:r>
        <w:rPr/>
        <w:t xml:space="preserve"> </w:t>
      </w:r>
    </w:p>
    <w:p>
      <w:pPr>
        <w:pStyle w:val="Normal"/>
        <w:rPr/>
      </w:pPr>
      <w:r>
        <w:rPr/>
        <w:t xml:space="preserve">Manome, kad tvarių produktų moksliniai tyrimai yra nepakankami ir būtina skubiai skirti daugiau finansinių išteklių moksliniams tyrimams, kad europiečiai galėtų gauti įperkamesnių tvarių produktų. </w:t>
      </w:r>
    </w:p>
    <w:p>
      <w:pPr>
        <w:pStyle w:val="Normal"/>
        <w:rPr/>
      </w:pPr>
      <w:r>
        <w:rPr/>
        <w:t xml:space="preserve">Piliečiai turi dalyvauti sprendimų priėmimo procese. Mokslinių tyrimų ir inovacijų veiksmų programa turi būti rengiama kartu su piliečiais. Jie turėtų būti informuojami apie tolesnius veiksmus, o rezultatai turėtų būti jiems pranešami. </w:t>
      </w:r>
    </w:p>
    <w:p>
      <w:pPr>
        <w:pStyle w:val="Normal"/>
        <w:rPr/>
      </w:pPr>
      <w:r>
        <w:rPr/>
      </w:r>
    </w:p>
    <w:p>
      <w:pPr>
        <w:pStyle w:val="P68B1DB1Normal15"/>
        <w:rPr>
          <w:b/>
          <w:b/>
        </w:rPr>
      </w:pPr>
      <w:r>
        <w:rPr/>
        <w:t xml:space="preserve">28. Rekomenduojame, kad Europos Sąjunga nustatytų į bendrąją rinką patenkančių mados prekių reguliavimo mechanizmą. Šiuo mechanizmu būtų siekiama skatinti geresnį vartojimą taikant rodiklį, kuriuo užtikrinama, kad produktas atitiktų tvarumo kriterijus. </w:t>
      </w:r>
    </w:p>
    <w:p>
      <w:pPr>
        <w:pStyle w:val="Normal"/>
        <w:rPr/>
      </w:pPr>
      <w:r>
        <w:rPr/>
        <w:t xml:space="preserve"> </w:t>
      </w:r>
    </w:p>
    <w:p>
      <w:pPr>
        <w:pStyle w:val="Normal"/>
        <w:rPr/>
      </w:pPr>
      <w:r>
        <w:rPr/>
        <w:t xml:space="preserve">Mados sektorius, kuris gamina per daug prastos kokybės prekių už Europos ribų, netaiko etikos standartų ir nepriima tvaraus elgesio. </w:t>
      </w:r>
    </w:p>
    <w:p>
      <w:pPr>
        <w:pStyle w:val="Normal"/>
        <w:rPr/>
      </w:pPr>
      <w:r>
        <w:rPr/>
        <w:t xml:space="preserve">Turime rasti teisingą mechanizmą, kuris leistų vartotojams geriau vartoti. Tačiau svarbu nedidinti mokesčių, o tai turėtų neigiamų pasekmių vartotojams, nes sumažėtų jų perkamoji galia. </w:t>
      </w:r>
    </w:p>
    <w:p>
      <w:pPr>
        <w:pStyle w:val="Normal"/>
        <w:rPr/>
      </w:pPr>
      <w:r>
        <w:rPr/>
        <w:t xml:space="preserve">Vartotojai turėtų žinoti, kokiomis sąlygomis gaminami jų perkami produktai ir ar jie atitinka tvarius kokybės standartus. </w:t>
      </w:r>
    </w:p>
    <w:p>
      <w:pPr>
        <w:pStyle w:val="Normal"/>
        <w:rPr/>
      </w:pPr>
      <w:r>
        <w:rPr/>
        <w:t xml:space="preserve"> </w:t>
      </w:r>
    </w:p>
    <w:p>
      <w:pPr>
        <w:pStyle w:val="Titre3"/>
        <w:numPr>
          <w:ilvl w:val="2"/>
          <w:numId w:val="2"/>
        </w:numPr>
        <w:rPr/>
      </w:pPr>
      <w:bookmarkStart w:id="167" w:name="__RefHeading___Toc297269_1346298689"/>
      <w:bookmarkEnd w:id="167"/>
      <w:r>
        <w:rPr/>
        <w:t xml:space="preserve">4 ašis: tvarios visuomenės kūrimas </w:t>
      </w:r>
    </w:p>
    <w:p>
      <w:pPr>
        <w:pStyle w:val="Titre4"/>
        <w:numPr>
          <w:ilvl w:val="3"/>
          <w:numId w:val="2"/>
        </w:numPr>
        <w:rPr/>
      </w:pPr>
      <w:bookmarkStart w:id="168" w:name="__RefHeading___Toc297271_1346298689"/>
      <w:bookmarkEnd w:id="168"/>
      <w:r>
        <w:rPr/>
        <w:t xml:space="preserve">4.1 poašis Atsinaujinančios energijos šaltiniai, nuo šiol </w:t>
      </w:r>
    </w:p>
    <w:p>
      <w:pPr>
        <w:pStyle w:val="P68B1DB1Normal15"/>
        <w:rPr>
          <w:b/>
          <w:b/>
        </w:rPr>
      </w:pPr>
      <w:r>
        <w:rPr/>
        <w:t xml:space="preserve">29. Mes rekomenduojame ES imtis veiksmų, kad CO2 filtrai, ypač anglimis kūrenamose elektrinėse, taptų privalomi pereinamuoju laikotarpiu, kol mes ir toliau pasikliaujame įprastine energija. Be to, rekomenduojame, kad ES teiktų finansinę paramą valstybėms narėms, neturinčioms finansinių išteklių CO2 filtrams įgyvendinti. Pagalba teikiama su sąlyga, kad bus laikomasi ES klimato politikos, susijusios su Paryžiaus susitarimu, žaliuoju kursu ir visais naujais klimato teisės aktais. </w:t>
      </w:r>
    </w:p>
    <w:p>
      <w:pPr>
        <w:pStyle w:val="Normal"/>
        <w:rPr/>
      </w:pPr>
      <w:r>
        <w:rPr>
          <w:b/>
        </w:rPr>
        <w:t>Tai konkretus žingsnis, kurio reikia imtis kartu su tolesnėmis investicijomis į energijos gamybos saugos mokslinius tyrimus, kuriais siekiama padėti ES valstybėms narėms palaipsniui pasiekti bendrus išmetamo CO2 kiekio mažinimo tikslus.</w:t>
      </w:r>
      <w:r>
        <w:rPr/>
        <w:t xml:space="preserve"> </w:t>
      </w:r>
    </w:p>
    <w:p>
      <w:pPr>
        <w:pStyle w:val="Normal"/>
        <w:rPr/>
      </w:pPr>
      <w:r>
        <w:rPr/>
        <w:t xml:space="preserve"> </w:t>
      </w:r>
    </w:p>
    <w:p>
      <w:pPr>
        <w:pStyle w:val="Normal"/>
        <w:rPr/>
      </w:pPr>
      <w:r>
        <w:rPr/>
        <w:t xml:space="preserve">Žinome, kad naudojant tradicinį kurą išmetamas šiltnamio efektą sukeliančių dujų kiekis, o ES valstybės narės, siekdamos laikytis Paryžiaus susitarimo, turi sumažinti tradicinio kuro naudojimą. Kadangi neįmanoma nedelsiant nutraukti CO2 išmetimo ir mes vis dar esame priklausomi nuo anglių, turime imtis veiksmų trumpuoju ir vidutinės trukmės laikotarpiu. </w:t>
      </w:r>
    </w:p>
    <w:p>
      <w:pPr>
        <w:pStyle w:val="Normal"/>
        <w:rPr/>
      </w:pPr>
      <w:r>
        <w:rPr/>
        <w:t xml:space="preserve">Išmetamo CO2 kiekio mažinimas yra bendros svarbos visiems piliečiams tiek ES, tiek už jos ribų; ES, kaip institucija, turi savo atsakomybę, o institucija teikia rekomendacijas ir sprendimus, nes valstybės narės pačios negali pasiekti tikslų. </w:t>
      </w:r>
    </w:p>
    <w:p>
      <w:pPr>
        <w:pStyle w:val="Normal"/>
        <w:rPr/>
      </w:pPr>
      <w:r>
        <w:rPr/>
      </w:r>
    </w:p>
    <w:p>
      <w:pPr>
        <w:pStyle w:val="P68B1DB1Normal15"/>
        <w:rPr>
          <w:b/>
          <w:b/>
        </w:rPr>
      </w:pPr>
      <w:r>
        <w:rPr/>
        <w:t xml:space="preserve">30. Rekomenduojame mažinti intensyvią pramoninę žemdirbystę, siekiant sumažinti metano gamybą ir vandens taršą. Šiuo tikslu ES peržiūri savo bendrą žemės ūkio politiką, kad subsidijos būtų skiriamos tvariam ir vietos žemės ūkiui, be kita ko, taikant ženklinimo sistemą, pagal kurią vartotojai galėtų atpažinti tvarius mėsos produktus. Taip pat raginame ES investuoti į gyvulininkystės ir kitų pramonės šakų atliekų pakartotinio naudojimo metodus. </w:t>
      </w:r>
    </w:p>
    <w:p>
      <w:pPr>
        <w:pStyle w:val="Normal"/>
        <w:rPr/>
      </w:pPr>
      <w:r>
        <w:rPr/>
        <w:t xml:space="preserve"> </w:t>
      </w:r>
    </w:p>
    <w:p>
      <w:pPr>
        <w:pStyle w:val="Normal"/>
        <w:rPr/>
      </w:pPr>
      <w:r>
        <w:rPr/>
        <w:t xml:space="preserve">Gyventojų skaičius auga, todėl ateityje padidės mėsos paklausa. Todėl reikia mažinti mėsos vartojimą. </w:t>
      </w:r>
    </w:p>
    <w:p>
      <w:pPr>
        <w:pStyle w:val="Normal"/>
        <w:rPr/>
      </w:pPr>
      <w:r>
        <w:rPr/>
        <w:t xml:space="preserve">Kadangi metanas išskiria šiltnamio efektą sukeliančias dujas, manome, kad natūralu pradėti mažinti gyvulių emisijas. </w:t>
      </w:r>
    </w:p>
    <w:p>
      <w:pPr>
        <w:pStyle w:val="Normal"/>
        <w:rPr/>
      </w:pPr>
      <w:r>
        <w:rPr/>
        <w:t xml:space="preserve">Visi žinome, kad reikėtų vartoti mažiau mėsos, todėl galvijų skaičius turėtų būti atitinkamai sumažintas. </w:t>
      </w:r>
    </w:p>
    <w:p>
      <w:pPr>
        <w:pStyle w:val="Normal"/>
        <w:rPr/>
      </w:pPr>
      <w:r>
        <w:rPr/>
        <w:t xml:space="preserve"> </w:t>
      </w:r>
    </w:p>
    <w:p>
      <w:pPr>
        <w:pStyle w:val="P68B1DB1Normal15"/>
        <w:rPr>
          <w:b/>
          <w:b/>
        </w:rPr>
      </w:pPr>
      <w:r>
        <w:rPr/>
        <w:t xml:space="preserve">31. Nors ekologiško vandenilio gamyba yra brangus procesas, nes norint gauti 25 % vandenilio reikia 75 % energijos, šios rūšies energija turi daug teigiamų aspektų. Geriausias sprendimas gali būti energijos be CO2 gamyba kartu su ekologiško vandenilio kūrimu. Vėjo energija turėtų būti naudojama žaliajam vandeniliui gaminti, o ES turėtų daugiau investuoti, didinti vėjo energijos gamybą ir saugoti ją būsimiems poreikiams. </w:t>
      </w:r>
    </w:p>
    <w:p>
      <w:pPr>
        <w:pStyle w:val="Normal"/>
        <w:rPr/>
      </w:pPr>
      <w:r>
        <w:rPr/>
        <w:t xml:space="preserve"> </w:t>
      </w:r>
    </w:p>
    <w:p>
      <w:pPr>
        <w:pStyle w:val="Normal"/>
        <w:rPr/>
      </w:pPr>
      <w:r>
        <w:rPr/>
        <w:t xml:space="preserve">Žalias vandenilis yra lankstus ir prireikus gali būti laikomas naudojimui. Tai nesukelia CO2 taršos. </w:t>
      </w:r>
    </w:p>
    <w:p>
      <w:pPr>
        <w:pStyle w:val="Normal"/>
        <w:rPr/>
      </w:pPr>
      <w:r>
        <w:rPr/>
        <w:t xml:space="preserve"> </w:t>
      </w:r>
    </w:p>
    <w:p>
      <w:pPr>
        <w:pStyle w:val="Titre4"/>
        <w:numPr>
          <w:ilvl w:val="3"/>
          <w:numId w:val="2"/>
        </w:numPr>
        <w:rPr/>
      </w:pPr>
      <w:bookmarkStart w:id="169" w:name="__RefHeading___Toc297273_1346298689"/>
      <w:bookmarkEnd w:id="169"/>
      <w:r>
        <w:rPr/>
        <w:t xml:space="preserve">4.2 poašis Pokyčių palaikymas </w:t>
      </w:r>
    </w:p>
    <w:p>
      <w:pPr>
        <w:pStyle w:val="P68B1DB1Normal15"/>
        <w:rPr>
          <w:b/>
          <w:b/>
        </w:rPr>
      </w:pPr>
      <w:r>
        <w:rPr/>
        <w:t xml:space="preserve">32. Rekomenduojame, kad ES įdiegtų prievartos ir atlygio sistemą kovai su tarša, įskaitant vandenį, dirvožemį, orą ir radiaciją. Baudos turi būti skiriamos teršėjams kartu su privaloma specializuotos organizacijos parama, specialiai skirta padėti subjektams pašalinti taršą ir atkurti ekosistemą. Ši specializuota organizacija turėtų atlikti pagrindinį vaidmenį užkertant kelią taršai ir ją kontroliuojant. </w:t>
      </w:r>
    </w:p>
    <w:p>
      <w:pPr>
        <w:pStyle w:val="Normal"/>
        <w:rPr/>
      </w:pPr>
      <w:r>
        <w:rPr/>
        <w:t xml:space="preserve"> </w:t>
      </w:r>
    </w:p>
    <w:p>
      <w:pPr>
        <w:pStyle w:val="Normal"/>
        <w:rPr/>
      </w:pPr>
      <w:r>
        <w:rPr/>
        <w:t xml:space="preserve">Kadangi svarbu sutelkti dėmesį į teršėjų atsakomybę ir skatinti subjektus mažinti taršą siekiant nulinės taršos. Labai svarbu turėti sveiką planetą, nes ji yra tiesiogiai susijusi su mūsų gerove ir mūsų būsima egzistencija. </w:t>
      </w:r>
    </w:p>
    <w:p>
      <w:pPr>
        <w:pStyle w:val="Normal"/>
        <w:rPr/>
      </w:pPr>
      <w:r>
        <w:rPr/>
        <w:t xml:space="preserve"> </w:t>
      </w:r>
    </w:p>
    <w:p>
      <w:pPr>
        <w:pStyle w:val="P68B1DB1Normal15"/>
        <w:rPr>
          <w:b/>
          <w:b/>
        </w:rPr>
      </w:pPr>
      <w:r>
        <w:rPr/>
        <w:t xml:space="preserve">33. Rekomenduojame, kad ES sukurtų specialią interneto svetainę ir (arba) platformą, kurią tikrintų keli ekspertai – su įvairia ir reguliariai atnaujinama moksline informacija apie aplinką – kuri būtų lengvai prieinama ir skaidri visiems piliečiams. Ši svetainė/platforma bus susieta su forumu, kuriame piliečiai ir ekspertai galės bendrauti. Mes taip pat primygtinai rekomenduojame pradėti žiniasklaidos kampaniją, kad reklamuotume šią svetainę/platformą (pvz., per socialinę žiniasklaidą, pvz., „YouTube“, „TikTok“ ir „LinkedIn“). </w:t>
      </w:r>
    </w:p>
    <w:p>
      <w:pPr>
        <w:pStyle w:val="Normal"/>
        <w:rPr/>
      </w:pPr>
      <w:r>
        <w:rPr/>
        <w:t xml:space="preserve"> </w:t>
      </w:r>
    </w:p>
    <w:p>
      <w:pPr>
        <w:pStyle w:val="Normal"/>
        <w:rPr/>
      </w:pPr>
      <w:r>
        <w:rPr/>
        <w:t xml:space="preserve">Visi piliečiai turi turėti nepriklausomus informacijos šaltinius, pagrįstus moksliniais įrodymais, kad suprastų su klimato kaita susijusias problemas (jos pasekmes ir priemones, kurių reikia imtis jai panaikinti), taip pat klaidingą informaciją. Vykdant žiniasklaidos kampaniją bus didinamas informuotumas apie šios platformos ir (arba) interneto svetainės egzistavimą. Taip pat svarbu, kad interneto svetainėje/platformoje pateikta informacija būtų suprantama visiems piliečiams, o tiems, kurie nori gilinti šią temą, būtų suteikta prieiga prie pradinės medžiagos. </w:t>
      </w:r>
    </w:p>
    <w:p>
      <w:pPr>
        <w:pStyle w:val="Normal"/>
        <w:rPr/>
      </w:pPr>
      <w:r>
        <w:rPr/>
        <w:t xml:space="preserve"> </w:t>
      </w:r>
    </w:p>
    <w:p>
      <w:pPr>
        <w:pStyle w:val="P68B1DB1Normal15"/>
        <w:rPr>
          <w:b/>
          <w:b/>
        </w:rPr>
      </w:pPr>
      <w:r>
        <w:rPr/>
        <w:t xml:space="preserve">34. Rekomenduojame ES sumažinti importuojamų prekių, kurios neatitinka ES aplinkosauginio pėdsako standartų, kiekį. </w:t>
      </w:r>
    </w:p>
    <w:p>
      <w:pPr>
        <w:pStyle w:val="Normal"/>
        <w:rPr/>
      </w:pPr>
      <w:r>
        <w:rPr/>
        <w:t xml:space="preserve"> </w:t>
      </w:r>
    </w:p>
    <w:p>
      <w:pPr>
        <w:pStyle w:val="Normal"/>
        <w:rPr/>
      </w:pPr>
      <w:r>
        <w:rPr/>
        <w:t xml:space="preserve">Tai darydami užtikriname, kad į ES importuojamos prekės turėtų ekologiškesnį pėdsaką. Tikslas – sumažinti taršą visame pasaulyje. Taip pat svarbu pateikti standartus šalims, jei jos nori eksportuoti prekes į ES. </w:t>
      </w:r>
    </w:p>
    <w:p>
      <w:pPr>
        <w:pStyle w:val="Normal"/>
        <w:rPr/>
      </w:pPr>
      <w:r>
        <w:rPr/>
        <w:t xml:space="preserve"> </w:t>
      </w:r>
    </w:p>
    <w:p>
      <w:pPr>
        <w:pStyle w:val="P68B1DB1Normal15"/>
        <w:rPr>
          <w:b/>
          <w:b/>
        </w:rPr>
      </w:pPr>
      <w:r>
        <w:rPr/>
        <w:t xml:space="preserve">35. Rekomenduojame, kad ES skatintų, skatintų ir palengvintų dialogą klimato kaitos klausimais visais sprendimų priėmimo lygmenimis – nuo vietos (piliečių) iki pasaulinio (nacionalinio, tarptautinio ir tarpžemyninio), kad būtų atsižvelgta į visų suinteresuotųjų subjektų susirūpinimą. </w:t>
      </w:r>
    </w:p>
    <w:p>
      <w:pPr>
        <w:pStyle w:val="Normal"/>
        <w:rPr/>
      </w:pPr>
      <w:r>
        <w:rPr/>
        <w:t xml:space="preserve"> </w:t>
      </w:r>
    </w:p>
    <w:p>
      <w:pPr>
        <w:pStyle w:val="Normal"/>
        <w:rPr/>
      </w:pPr>
      <w:r>
        <w:rPr/>
        <w:t xml:space="preserve">Kadangi dialogas ir konsensusas yra geriausias būdas spręsti klimato kaitos problemas: jei šalys supranta viena kitą, yra daugiau noro rasti bendrą pagrindą. </w:t>
      </w:r>
    </w:p>
    <w:p>
      <w:pPr>
        <w:pStyle w:val="Normal"/>
        <w:rPr/>
      </w:pPr>
      <w:r>
        <w:rPr/>
        <w:t xml:space="preserve"> </w:t>
      </w:r>
    </w:p>
    <w:p>
      <w:pPr>
        <w:pStyle w:val="Titre4"/>
        <w:numPr>
          <w:ilvl w:val="3"/>
          <w:numId w:val="2"/>
        </w:numPr>
        <w:rPr/>
      </w:pPr>
      <w:bookmarkStart w:id="170" w:name="__RefHeading___Toc297275_1346298689"/>
      <w:bookmarkEnd w:id="170"/>
      <w:r>
        <w:rPr/>
        <w:t xml:space="preserve">Subašis 4.3 Aplinkai nekenksmingas transportas </w:t>
      </w:r>
    </w:p>
    <w:p>
      <w:pPr>
        <w:pStyle w:val="Normal"/>
        <w:rPr/>
      </w:pPr>
      <w:r>
        <w:rPr>
          <w:b/>
        </w:rPr>
        <w:t>36. Rekomenduojame, kad ES finansiškai remtų Europos valstybes nares, kad pagerintų susisiekimą kaimo vietovėse. Tam reikia sukurti Europos viešojo transporto tinklą, pagrįstą prieinamomis kainomis (prioritetinėmis geležinkelių transporto priemonėmis) ir paskatas naudotis viešuoju transportu. Šiuo tikslu interneto ryšys kaimo vietovėse taip pat turėtų būti plėtojamas per trumpą ir realistišką laikotarpį.</w:t>
      </w:r>
      <w:r>
        <w:rPr/>
        <w:t xml:space="preserve"> </w:t>
      </w:r>
    </w:p>
    <w:p>
      <w:pPr>
        <w:pStyle w:val="Normal"/>
        <w:rPr/>
      </w:pPr>
      <w:r>
        <w:rPr/>
        <w:t xml:space="preserve"> </w:t>
      </w:r>
    </w:p>
    <w:p>
      <w:pPr>
        <w:pStyle w:val="Normal"/>
        <w:rPr/>
      </w:pPr>
      <w:r>
        <w:rPr/>
        <w:t xml:space="preserve">Pateikiame šią rekomendaciją, nes nėra vienodos prieigos prie viešojo transporto ir interneto ryšio tarp kaimo ir miesto vietovių. Būtų sustiprintas bendras Europos projektas, nes visi piliečiai manytų, kad jie turi tas pačias teises. Viešojo transporto tinklo ir interneto ryšio stiprinimas paskatintų žmones įsikurti kaimo vietovėse. Šis procesas sumažintų taršą, nes mažiau žmonių gyventų perpildytuose miestuose. </w:t>
      </w:r>
    </w:p>
    <w:p>
      <w:pPr>
        <w:pStyle w:val="Normal"/>
        <w:rPr/>
      </w:pPr>
      <w:r>
        <w:rPr/>
        <w:t xml:space="preserve"> </w:t>
      </w:r>
    </w:p>
    <w:p>
      <w:pPr>
        <w:pStyle w:val="P68B1DB1Normal15"/>
        <w:rPr>
          <w:b/>
          <w:b/>
        </w:rPr>
      </w:pPr>
      <w:r>
        <w:rPr/>
        <w:t xml:space="preserve">37. Rekomenduojame tobulinti esamą transporto infrastruktūrą, kuri tapo nebenaudojama arba gali būti toliau tobulinama ekologiniu požiūriu (elektros traukinių kūrimas). Šis procesas turi būti atliekamas nepažeidžiant aplinkos apsaugos teritorijų. </w:t>
      </w:r>
    </w:p>
    <w:p>
      <w:pPr>
        <w:pStyle w:val="Normal"/>
        <w:rPr/>
      </w:pPr>
      <w:r>
        <w:rPr/>
        <w:t xml:space="preserve"> </w:t>
      </w:r>
    </w:p>
    <w:p>
      <w:pPr>
        <w:pStyle w:val="Normal"/>
        <w:rPr/>
      </w:pPr>
      <w:r>
        <w:rPr/>
        <w:t>Tobulinant esamą infrastruktūrą būtų išvengta pernelyg didelių išteklių naudojimo ir pakenkta svarbioms saugomoms teritorijoms siekiant išsaugoti biologinę įvairovę. Padidinus geležinkelių infrastruktūrą būtų mažinamas išmetamo CO2 kiekis ir</w:t>
      </w:r>
      <w:r>
        <w:rPr>
          <w:vertAlign w:val="subscript"/>
        </w:rPr>
        <w:t>skatinamas</w:t>
      </w:r>
      <w:r>
        <w:rPr/>
        <w:t xml:space="preserve"> žmonių judumas iš miesto į kaimo vietoves. </w:t>
      </w:r>
    </w:p>
    <w:p>
      <w:pPr>
        <w:pStyle w:val="Normal"/>
        <w:rPr/>
      </w:pPr>
      <w:r>
        <w:rPr/>
        <w:t xml:space="preserve"> </w:t>
      </w:r>
    </w:p>
    <w:p>
      <w:pPr>
        <w:pStyle w:val="P68B1DB1Normal15"/>
        <w:rPr>
          <w:b/>
          <w:b/>
        </w:rPr>
      </w:pPr>
      <w:r>
        <w:rPr/>
        <w:t xml:space="preserve">38. Rekomenduojame ES skatinti pirkti elektra varomas transporto priemones, atitinkančias gerus baterijų naudojimo standartus. Šiuo tikslu ES galėtų imtis paskatų visoms valstybėms narėms ir pagerinti elektros energijos infrastruktūrą. Be to, ES turėtų investuoti į kitų švarių technologijų, pavyzdžiui, biodegalų ir vandenilio, skirtų transporto priemonėms, kurių elektrifikaciją sunku pasiekti, pavyzdžiui, valčių ir sunkvežimių, kūrimą. </w:t>
      </w:r>
    </w:p>
    <w:p>
      <w:pPr>
        <w:pStyle w:val="Normal"/>
        <w:rPr/>
      </w:pPr>
      <w:r>
        <w:rPr/>
        <w:t xml:space="preserve"> </w:t>
      </w:r>
    </w:p>
    <w:p>
      <w:pPr>
        <w:pStyle w:val="Normal"/>
        <w:rPr/>
      </w:pPr>
      <w:r>
        <w:rPr/>
        <w:t xml:space="preserve">Pateikiame šią rekomendaciją, nes elektra yra greičiausias būdas sumažinti transporto priemonių išmetamų teršalų kiekį kartu su kitais energijos šaltiniais, tokiais kaip vandenilis ir biodegalai. Iš tiesų greičiausias, ekonomiškas ir įmanomas sprendimas yra elektros energija, po kurios seka biokuras. Ilgainiui ekologiškas vandenilis turėtų atlikti papildomą vaidmenį įtraukiant transporto rūšis, kurių negalima elektrifikuoti. </w:t>
      </w:r>
    </w:p>
    <w:p>
      <w:pPr>
        <w:pStyle w:val="Normal"/>
        <w:rPr/>
      </w:pPr>
      <w:r>
        <w:rPr/>
        <w:t xml:space="preserve"> </w:t>
      </w:r>
    </w:p>
    <w:p>
      <w:pPr>
        <w:pStyle w:val="Titre3"/>
        <w:numPr>
          <w:ilvl w:val="2"/>
          <w:numId w:val="2"/>
        </w:numPr>
        <w:rPr/>
      </w:pPr>
      <w:bookmarkStart w:id="171" w:name="__RefHeading___Toc297277_1346298689"/>
      <w:bookmarkEnd w:id="171"/>
      <w:r>
        <w:rPr/>
        <w:t xml:space="preserve">Ašis 5 Priežiūra visiems </w:t>
      </w:r>
    </w:p>
    <w:p>
      <w:pPr>
        <w:pStyle w:val="Titre4"/>
        <w:numPr>
          <w:ilvl w:val="3"/>
          <w:numId w:val="2"/>
        </w:numPr>
        <w:rPr/>
      </w:pPr>
      <w:bookmarkStart w:id="172" w:name="__RefHeading___Toc297279_1346298689"/>
      <w:bookmarkEnd w:id="172"/>
      <w:r>
        <w:rPr/>
        <w:t xml:space="preserve">Poašis 5.1 Stiprinti sveikatos priežiūros sistemą </w:t>
      </w:r>
    </w:p>
    <w:p>
      <w:pPr>
        <w:pStyle w:val="P68B1DB1Normal15"/>
        <w:rPr>
          <w:b/>
          <w:b/>
        </w:rPr>
      </w:pPr>
      <w:r>
        <w:rPr/>
        <w:t xml:space="preserve">39. Rekomenduojame, kad Europos Sąjunga garantuotų bendrus sveikatos standartus, tačiau taip pat pasisako už deramą minimalų darbo užmokestį, maksimalų darbo valandų skaičių ir tuos pačius mokymo standartus sveikatos priežiūros specialistams visoje Europos Sąjungoje. </w:t>
      </w:r>
    </w:p>
    <w:p>
      <w:pPr>
        <w:pStyle w:val="Normal"/>
        <w:rPr/>
      </w:pPr>
      <w:r>
        <w:rPr/>
        <w:t xml:space="preserve"> </w:t>
      </w:r>
    </w:p>
    <w:p>
      <w:pPr>
        <w:pStyle w:val="Normal"/>
        <w:rPr/>
      </w:pPr>
      <w:r>
        <w:rPr/>
        <w:t xml:space="preserve">Jei neturėsime bendrų sveikatos priežiūros, darbo užmokesčio ir bendro sveikatos priežiūros specialistų mokymo standartų, skirtumai tarp valstybių narių gali lemti nesubalansuotą padėtį visoje Europos Sąjungoje. Sveikatos priežiūros standartizavimas galėtų padėti sukurti tvirtesnę, veiksmingesnę ir atsparesnę sistemą (pvz., COVID-19 krizę, susijusią su mūsų sistemų stabilumu). Tai taip pat palengvintų dalijimąsi žiniomis ir informacija sveikatos priežiūros specialistų sektoriuje. </w:t>
      </w:r>
    </w:p>
    <w:p>
      <w:pPr>
        <w:pStyle w:val="Normal"/>
        <w:rPr/>
      </w:pPr>
      <w:r>
        <w:rPr/>
        <w:t xml:space="preserve"> </w:t>
      </w:r>
    </w:p>
    <w:p>
      <w:pPr>
        <w:pStyle w:val="P68B1DB1Normal15"/>
        <w:rPr>
          <w:b/>
          <w:b/>
        </w:rPr>
      </w:pPr>
      <w:r>
        <w:rPr/>
        <w:t xml:space="preserve">40. Rekomenduojame Europos Sąjungai užtikrinti, kad gydymas visoje ES būtų vienodos kokybės ir už sąžiningą vietos kainą. Tai būtų galima užtikrinti, pavyzdžiui, išplečiant Europos vaistų agentūros (EMA) kompetenciją arba įsteigiant naują Europos viešųjų pirkimų agentūrą, kuri būtų kompetentinga derėtis ir gauti tinkamesnes vaistų kainas visoms valstybėms narėms. Būtina kuo labiau sumažinti monopolijų riziką farmacijos pramonėje. </w:t>
      </w:r>
    </w:p>
    <w:p>
      <w:pPr>
        <w:pStyle w:val="Normal"/>
        <w:rPr/>
      </w:pPr>
      <w:r>
        <w:rPr/>
        <w:t xml:space="preserve"> </w:t>
      </w:r>
    </w:p>
    <w:p>
      <w:pPr>
        <w:pStyle w:val="Normal"/>
        <w:rPr/>
      </w:pPr>
      <w:r>
        <w:rPr/>
        <w:t xml:space="preserve">Vienodos sveikatos priežiūros paslaugos ir gydymas ES užtikrina vienodas sveikatos teises visiems Europos piliečiams. Didesni perkamieji pajėgumai užtikrina geresnes pirkimo sąlygas. Tačiau tai neturėtų lemti monopolinių struktūrų ir farmacijos lobistinės veiklos. COVID-19 krizės valdymas buvo geras visos Europos Sąjungos bendradarbiavimu grindžiamo sveikatos valdymo pavyzdys. </w:t>
      </w:r>
    </w:p>
    <w:p>
      <w:pPr>
        <w:pStyle w:val="Normal"/>
        <w:rPr/>
      </w:pPr>
      <w:r>
        <w:rPr/>
        <w:t xml:space="preserve"> </w:t>
      </w:r>
    </w:p>
    <w:p>
      <w:pPr>
        <w:pStyle w:val="P68B1DB1Normal15"/>
        <w:rPr>
          <w:b/>
          <w:b/>
        </w:rPr>
      </w:pPr>
      <w:r>
        <w:rPr/>
        <w:t xml:space="preserve">41. Rekomenduojame sukurti Europos sveikatos priežiūros duomenų bazę, kurioje būtų prieinami medicininiai dokumentai ekstremaliosios situacijos ar ligos atveju. Dalyvavimas turėtų būti neprivalomas ir turėtų būti užtikrinta asmens duomenų apsauga. </w:t>
      </w:r>
    </w:p>
    <w:p>
      <w:pPr>
        <w:pStyle w:val="Normal"/>
        <w:rPr/>
      </w:pPr>
      <w:r>
        <w:rPr/>
        <w:t xml:space="preserve"> </w:t>
      </w:r>
    </w:p>
    <w:p>
      <w:pPr>
        <w:pStyle w:val="Normal"/>
        <w:rPr/>
      </w:pPr>
      <w:r>
        <w:rPr/>
        <w:t xml:space="preserve">Prieiga prie duomenų ir duomenų naudojimas leidžia greitai reaguoti tais atvejais, kai kyla pavojus gyvybei. Piratavimas arba netinkamas naudojimas yra didelė grėsmė tokiai Europos sveikatos priežiūros duomenų bazės sistemai, todėl reikia užtikrinti duomenų saugumą, o dalyvavimas išlieka neprivalomas, ir, žinoma, užkirsti kelią su saugumu susijusioms grėsmėms. </w:t>
      </w:r>
    </w:p>
    <w:p>
      <w:pPr>
        <w:pStyle w:val="Normal"/>
        <w:rPr/>
      </w:pPr>
      <w:r>
        <w:rPr/>
        <w:t xml:space="preserve"> </w:t>
      </w:r>
    </w:p>
    <w:p>
      <w:pPr>
        <w:pStyle w:val="P68B1DB1Normal15"/>
        <w:rPr>
          <w:b/>
          <w:b/>
        </w:rPr>
      </w:pPr>
      <w:r>
        <w:rPr/>
        <w:t xml:space="preserve">42. Rekomenduojame Europos Sąjungai toliau plėtoti ir sinchronizuoti esamas sveikatos mokslinių tyrimų ir inovacijų programas, kaip tai daroma pagal dabartinę programą „Europos horizontas“. Tyrimų rezultatai turėtų būti laisvai prieinami visose valstybėse narėse. </w:t>
      </w:r>
    </w:p>
    <w:p>
      <w:pPr>
        <w:pStyle w:val="Normal"/>
        <w:rPr/>
      </w:pPr>
      <w:r>
        <w:rPr/>
        <w:t xml:space="preserve"> </w:t>
      </w:r>
    </w:p>
    <w:p>
      <w:pPr>
        <w:pStyle w:val="Normal"/>
        <w:rPr/>
      </w:pPr>
      <w:r>
        <w:rPr/>
        <w:t xml:space="preserve">Mokslinis bendradarbiavimas ES lygmeniu galėtų praturtinti atskirų mokslininkų mokslinius gebėjimus ir žinias. Dalijimasis žiniomis galėtų, pavyzdžiui, paskatinti ankstyvą diagnozę ir geresnį gydymą siekiant sumažinti sunkių ir mirtinų ligų skaičių visoje Europoje. Tai taip pat skatintų Europos savarankiškumą vaistų ir įrangos srityje. </w:t>
      </w:r>
    </w:p>
    <w:p>
      <w:pPr>
        <w:pStyle w:val="Normal"/>
        <w:rPr/>
      </w:pPr>
      <w:r>
        <w:rPr/>
        <w:t xml:space="preserve"> </w:t>
      </w:r>
    </w:p>
    <w:p>
      <w:pPr>
        <w:pStyle w:val="P68B1DB1Normal15"/>
        <w:rPr>
          <w:b/>
          <w:b/>
        </w:rPr>
      </w:pPr>
      <w:r>
        <w:rPr/>
        <w:t xml:space="preserve">43. Rekomenduojame ES padidinti savo biudžetą bendriems sveikatos srities mokslinių tyrimų ir inovacijų projektams (nemažinant kitų su sveikata susijusių ES programų biudžeto). Tai taip pat sustiprintų visas Europos mokslo ir mokslinių tyrimų institucijas. </w:t>
      </w:r>
    </w:p>
    <w:p>
      <w:pPr>
        <w:pStyle w:val="Normal"/>
        <w:rPr/>
      </w:pPr>
      <w:r>
        <w:rPr/>
        <w:t xml:space="preserve"> </w:t>
      </w:r>
    </w:p>
    <w:p>
      <w:pPr>
        <w:pStyle w:val="Normal"/>
        <w:rPr/>
      </w:pPr>
      <w:r>
        <w:rPr/>
        <w:t xml:space="preserve">Moksliniai tyrimai ir investicijos sveikatos srityje ilgainiui sustiprins prevencinę mediciną ir sumažins su sveikata susijusias išlaidas. Didesnis finansavimas galėtų užkirsti kelią protų nutekėjimui iš Europos į kitas išsivysčiusias šalis, kurių moksliniams tyrimams ir technologinei plėtrai skirti sveikatos priežiūros biudžetai yra didesni. Šis finansavimas neturėtų būti skiriamas iš esamų sveikatos priežiūrai skirtų finansinių išteklių. </w:t>
      </w:r>
    </w:p>
    <w:p>
      <w:pPr>
        <w:pStyle w:val="Normal"/>
        <w:rPr/>
      </w:pPr>
      <w:r>
        <w:rPr/>
        <w:t xml:space="preserve"> </w:t>
      </w:r>
    </w:p>
    <w:p>
      <w:pPr>
        <w:pStyle w:val="Titre4"/>
        <w:numPr>
          <w:ilvl w:val="3"/>
          <w:numId w:val="2"/>
        </w:numPr>
        <w:rPr/>
      </w:pPr>
      <w:bookmarkStart w:id="173" w:name="__RefHeading___Toc297281_1346298689"/>
      <w:bookmarkEnd w:id="173"/>
      <w:r>
        <w:rPr/>
        <w:t xml:space="preserve">5.2. Platesnis požiūris į sveikatą </w:t>
      </w:r>
    </w:p>
    <w:p>
      <w:pPr>
        <w:pStyle w:val="P68B1DB1Normal15"/>
        <w:rPr>
          <w:b/>
          <w:b/>
        </w:rPr>
      </w:pPr>
      <w:r>
        <w:rPr/>
        <w:t xml:space="preserve">44. Mes rekomenduojame paskelbti Sveikatos savaitę kaip ES iniciatyvą visose valstybėse narėse tą pačią savaitę, skirtą visiems sveikatos klausimams, daugiausia dėmesio skiriant psichikos sveikatai. Šią savaitę visos pagrindinės psichikos sveikatos temos bus nagrinėjamos ir skatinamos kartu, taip pat kitos jau įgyvendinamos iniciatyvos, pvz., „Psichikos sveikata Europoje“. </w:t>
      </w:r>
    </w:p>
    <w:p>
      <w:pPr>
        <w:pStyle w:val="Normal"/>
        <w:rPr/>
      </w:pPr>
      <w:r>
        <w:rPr/>
        <w:t xml:space="preserve"> </w:t>
      </w:r>
    </w:p>
    <w:p>
      <w:pPr>
        <w:pStyle w:val="Normal"/>
        <w:rPr/>
      </w:pPr>
      <w:r>
        <w:rPr/>
        <w:t xml:space="preserve">Pateikiame šią rekomendaciją, nes visi Europos piliečiai turi jaustis priimtini ir įtraukti, ypač jei jie kenčia nuo psichikos sveikatos problemų. Be to, reikia standartizuoti ir didinti informuotumą apie psichikos sveikatos problemas, taip pat užkirsti kelią susijusioms socialinėms problemoms, pvz., diskriminacijai. Be to, kadangi dėl pandemijos padaugėjo psichikos sveikatos problemų ir tikėtina, kad jos tęsis, ši iniciatyva yra dar svarbesnė. </w:t>
      </w:r>
    </w:p>
    <w:p>
      <w:pPr>
        <w:pStyle w:val="Normal"/>
        <w:rPr/>
      </w:pPr>
      <w:r>
        <w:rPr/>
        <w:t xml:space="preserve"> </w:t>
      </w:r>
    </w:p>
    <w:p>
      <w:pPr>
        <w:pStyle w:val="P68B1DB1Normal15"/>
        <w:rPr>
          <w:b/>
          <w:b/>
        </w:rPr>
      </w:pPr>
      <w:r>
        <w:rPr/>
        <w:t xml:space="preserve">45. Mes rekomenduojame, kad moterų higienos produktai nebebūtų laikomi prabangos prekėmis mokesčių požiūriu, nes jie yra būtini produktai. Mes taip pat rekomenduojame, kad hormoniniai kontraceptikai, naudojami dėl medicininių priežasčių, tokių kaip fibromialgija ir endometriozė, būtų apmokestinami kaip reguliarus gydymas. Taip pat rekomenduojame, kad Europos Sąjunga ragintų visose valstybėse narėse suderinti mediciniškai padedamą reprodukcinį gydymą visoms moterims (vienišoms ar susituokusioms). </w:t>
      </w:r>
    </w:p>
    <w:p>
      <w:pPr>
        <w:pStyle w:val="Normal"/>
        <w:rPr/>
      </w:pPr>
      <w:r>
        <w:rPr/>
        <w:t xml:space="preserve"> </w:t>
      </w:r>
    </w:p>
    <w:p>
      <w:pPr>
        <w:pStyle w:val="Normal"/>
        <w:rPr/>
      </w:pPr>
      <w:r>
        <w:rPr/>
        <w:t xml:space="preserve">Kai kuriose Europos šalyse moterų higienos produktai apmokestinami kaip prabangos prekės, o tai yra nesąžininga. Kai kurie hormoniniai kontraceptikai naudojami medicininiais tikslais, todėl turėtų būti atitinkamai apmokestinami. Kadangi moterų reprodukciniam gydymui, pvz., apvaisinimui in vitro ir kiaušinių užšaldymo metodams, valstybėse narėse taikomos skirtingos tinkamumo sąlygos, ir Europos Sąjunga turi stengtis jas suderinti. </w:t>
      </w:r>
    </w:p>
    <w:p>
      <w:pPr>
        <w:pStyle w:val="Normal"/>
        <w:rPr/>
      </w:pPr>
      <w:r>
        <w:rPr/>
        <w:t xml:space="preserve"> </w:t>
      </w:r>
    </w:p>
    <w:p>
      <w:pPr>
        <w:pStyle w:val="P68B1DB1Normal15"/>
        <w:rPr>
          <w:b/>
          <w:b/>
        </w:rPr>
      </w:pPr>
      <w:r>
        <w:rPr/>
        <w:t xml:space="preserve">46. Rekomenduojame, kad Europos Sąjunga priimtų tvirtą poziciją ir ragintų visas valstybes nares prireikus į savo mokyklų mokymo programas įtraukti klausimus, susijusius su psichikos sveikata ir lytiniu švietimu. Siekdama padėti valstybėms narėms įtraukti šiuos klausimus į mokyklų mokymo programas, Europos Sąjunga turėtų parengti ir pateikti standartinę psichikos sveikatos ir seksualinių problemų programą. </w:t>
      </w:r>
    </w:p>
    <w:p>
      <w:pPr>
        <w:pStyle w:val="Normal"/>
        <w:rPr/>
      </w:pPr>
      <w:r>
        <w:rPr/>
        <w:t xml:space="preserve"> </w:t>
      </w:r>
    </w:p>
    <w:p>
      <w:pPr>
        <w:pStyle w:val="Normal"/>
        <w:rPr/>
      </w:pPr>
      <w:r>
        <w:rPr/>
        <w:t xml:space="preserve">Reikia mažinti diskriminaciją ir tabu psichikos sveikatos problemų atžvilgiu. Taip pat reikia vengti dezinformacijos ir nemokslinių metodų. Be to, lytinis švietimas yra labai svarbus sveikam gyvenimui ir bendruomenei ir užkerta kelią tokioms problemoms kaip paauglių nėštumas. </w:t>
      </w:r>
    </w:p>
    <w:p>
      <w:pPr>
        <w:pStyle w:val="Normal"/>
        <w:rPr/>
      </w:pPr>
      <w:r>
        <w:rPr/>
        <w:t xml:space="preserve"> </w:t>
      </w:r>
    </w:p>
    <w:p>
      <w:pPr>
        <w:pStyle w:val="P68B1DB1Normal15"/>
        <w:rPr>
          <w:b/>
          <w:b/>
        </w:rPr>
      </w:pPr>
      <w:r>
        <w:rPr/>
        <w:t xml:space="preserve">47. Rekomenduojame Europos Sąjungai sukurti geresnę visų psichikos sveikatos iniciatyvų komunikacijos sistemą, t. y. visuomenės sveikatos portalą apie geriausią praktiką valstybėse narėse ir visiems piliečiams. EP nariai galėtų pristatyti šią geriausią praktiką vieni kitiems, kad ji būtų geriau žinoma visose valstybėse narėse. </w:t>
      </w:r>
    </w:p>
    <w:p>
      <w:pPr>
        <w:pStyle w:val="Normal"/>
        <w:rPr/>
      </w:pPr>
      <w:r>
        <w:rPr/>
        <w:t xml:space="preserve"> </w:t>
      </w:r>
    </w:p>
    <w:p>
      <w:pPr>
        <w:pStyle w:val="Normal"/>
        <w:rPr/>
      </w:pPr>
      <w:r>
        <w:rPr/>
        <w:t xml:space="preserve">Piliečiai nėra gerai informuoti apie ES iniciatyvas, o dalijimasis geriausia patirtimi leidžia mums mokytis vieni iš kitų. </w:t>
      </w:r>
    </w:p>
    <w:p>
      <w:pPr>
        <w:pStyle w:val="Normal"/>
        <w:rPr/>
      </w:pPr>
      <w:r>
        <w:rPr/>
        <w:t xml:space="preserve"> </w:t>
      </w:r>
    </w:p>
    <w:p>
      <w:pPr>
        <w:pStyle w:val="Titre4"/>
        <w:numPr>
          <w:ilvl w:val="3"/>
          <w:numId w:val="2"/>
        </w:numPr>
        <w:rPr/>
      </w:pPr>
      <w:bookmarkStart w:id="174" w:name="__RefHeading___Toc297283_1346298689"/>
      <w:bookmarkEnd w:id="174"/>
      <w:r>
        <w:rPr/>
        <w:t xml:space="preserve">5.3. Vienodos galimybės naudotis sveikatos priežiūros paslaugomis visiems </w:t>
      </w:r>
    </w:p>
    <w:p>
      <w:pPr>
        <w:pStyle w:val="P68B1DB1Normal15"/>
        <w:rPr>
          <w:b/>
          <w:b/>
        </w:rPr>
      </w:pPr>
      <w:r>
        <w:rPr/>
        <w:t xml:space="preserve">48. Mes rekomenduojame ES nustatyti ir skatinti minimalius kokybiškos dantų priežiūros standartus, įskaitant profilaktiką, visoms ES valstybėms narėms. Vaikams, mažas pajamas gaunančioms grupėms ir kitoms pažeidžiamoms grupėms turėtų būti suteikta nemokama dantų priežiūra. Per 15–20 metų ES turėtų užtikrinti, kad įperkamos dantų priežiūros paslaugos būtų prieinamos visiems. </w:t>
      </w:r>
    </w:p>
    <w:p>
      <w:pPr>
        <w:pStyle w:val="Normal"/>
        <w:rPr/>
      </w:pPr>
      <w:r>
        <w:rPr/>
        <w:t xml:space="preserve"> </w:t>
      </w:r>
    </w:p>
    <w:p>
      <w:pPr>
        <w:pStyle w:val="Normal"/>
        <w:rPr/>
      </w:pPr>
      <w:r>
        <w:rPr/>
        <w:t xml:space="preserve">Pateikiame šią rekomendaciją, nes dantų priežiūra daugeliui ES gyvenančių žmonių šiuo metu nėra prieinama. Dantų priežiūros ir dantų profilaktikos nebuvimas kenkia jų sveikatai ir gyvenimo perspektyvoms. ES pirmiausia turėtų nustatyti minimalius dantų priežiūros standartus ir reikalauti nemokamos dantų priežiūros vaikams ir mažas pajamas gaunančioms grupėms. Galų gale kiekvienas turėtų turėti teisę į kokybišką dantų priežiūrą. </w:t>
      </w:r>
    </w:p>
    <w:p>
      <w:pPr>
        <w:pStyle w:val="Normal"/>
        <w:rPr/>
      </w:pPr>
      <w:r>
        <w:rPr/>
        <w:t xml:space="preserve"> </w:t>
      </w:r>
    </w:p>
    <w:p>
      <w:pPr>
        <w:pStyle w:val="P68B1DB1Normal15"/>
        <w:rPr>
          <w:b/>
          <w:b/>
        </w:rPr>
      </w:pPr>
      <w:r>
        <w:rPr/>
        <w:t xml:space="preserve">49. Rekomenduojame sveikatos priežiūrą ir sveikatos priežiūrą įtraukti į ES ir jos valstybių narių pasidalijamąją kompetenciją. Siekiant įtraukti šią naują pasidalijamąją kompetenciją, būtina iš dalies pakeisti Sutarties dėl Europos Sąjungos veikimo (SESV) 4 straipsnį. </w:t>
      </w:r>
    </w:p>
    <w:p>
      <w:pPr>
        <w:pStyle w:val="Normal"/>
        <w:rPr/>
      </w:pPr>
      <w:r>
        <w:rPr/>
        <w:t xml:space="preserve"> </w:t>
      </w:r>
    </w:p>
    <w:p>
      <w:pPr>
        <w:pStyle w:val="Normal"/>
        <w:rPr/>
      </w:pPr>
      <w:r>
        <w:rPr/>
        <w:t xml:space="preserve">Mes teikiame šią rekomendaciją, nes Europos Sąjunga šiuo metu neturi pakankamai galių priimti teisės aktus sveikatos priežiūros srityje. COVID-19 pandemija parodė, kad ES turi aktyviau dalyvauti sveikatos politikoje. Šiuo Sutarties pakeitimu ES galės dėti daugiau pastangų, kad užtikrintų sveikatos priežiūrą visiems ES piliečiams ir priimtų privalomus reglamentus ir sprendimus. </w:t>
      </w:r>
    </w:p>
    <w:p>
      <w:pPr>
        <w:pStyle w:val="Normal"/>
        <w:rPr/>
      </w:pPr>
      <w:r>
        <w:rPr/>
        <w:t xml:space="preserve"> </w:t>
      </w:r>
    </w:p>
    <w:p>
      <w:pPr>
        <w:pStyle w:val="P68B1DB1Normal15"/>
        <w:rPr>
          <w:b/>
          <w:b/>
        </w:rPr>
      </w:pPr>
      <w:r>
        <w:rPr/>
        <w:t xml:space="preserve">50. Rekomenduojame, kad ES visiems ES piliečiams pasiūlytų nemokamus pirmosios pagalbos kursus. ES galėtų apsvarstyti galimybę nustatyti, kad šie kursai būtų privalomi studentams ir darbo vietoje (tiek viešajame, tiek privačiajame sektoriuose). Šie kursai taip pat turi būti praktiški, pasikartojantys ir pritaikyti studentų amžiui. Visose ES valstybėse narėse viešosiose vietose taip pat turėtų būti įrengtas minimalus defibriliatorių skaičius. </w:t>
      </w:r>
    </w:p>
    <w:p>
      <w:pPr>
        <w:pStyle w:val="Normal"/>
        <w:rPr/>
      </w:pPr>
      <w:r>
        <w:rPr/>
        <w:t xml:space="preserve"> </w:t>
      </w:r>
    </w:p>
    <w:p>
      <w:pPr>
        <w:pStyle w:val="Normal"/>
        <w:rPr/>
      </w:pPr>
      <w:r>
        <w:rPr/>
        <w:t xml:space="preserve">Mes rekomenduojame tai, nes daugelis Europos Sąjungos žmonių nėra pasirengę veikti, kai žmogui reikia pagalbos ir dėl to, kad jie nežino pirmosios pagalbos metodų. Štai kodėl prarandama daug gyvybių. Kai kuriose viešose vietose nėra defibriliatoriaus. </w:t>
      </w:r>
    </w:p>
    <w:p>
      <w:pPr>
        <w:pStyle w:val="Normal"/>
        <w:rPr/>
      </w:pPr>
      <w:r>
        <w:rPr/>
        <w:t xml:space="preserve"> </w:t>
      </w:r>
    </w:p>
    <w:p>
      <w:pPr>
        <w:pStyle w:val="P68B1DB1Normal15"/>
        <w:rPr>
          <w:b/>
          <w:b/>
        </w:rPr>
      </w:pPr>
      <w:r>
        <w:rPr/>
        <w:t xml:space="preserve">51. Rekomenduojame Europos Sąjungai užtikrinti, kad privatūs sveikatos priežiūros paslaugų teikėjai nesąžiningai nepasinaudotų viešosiomis lėšomis ir nesinaudotų visuomenės sveikatos sistemų ištekliais. Europos Sąjunga turėtų teikti valstybėms narėms tvirtas rekomendacijas, kaip padidinti visuomenės sveikatos priežiūros finansavimą. </w:t>
      </w:r>
    </w:p>
    <w:p>
      <w:pPr>
        <w:pStyle w:val="Normal"/>
        <w:rPr/>
      </w:pPr>
      <w:r>
        <w:rPr/>
        <w:t xml:space="preserve"> </w:t>
      </w:r>
    </w:p>
    <w:p>
      <w:pPr>
        <w:pStyle w:val="Normal"/>
        <w:rPr/>
      </w:pPr>
      <w:r>
        <w:rPr/>
        <w:t xml:space="preserve">Pateikiame šią rekomendaciją, nes Europos Sąjunga ir jos valstybės narės yra įsipareigojusios visiems savo piliečiams užtikrinti galimybę naudotis sveikatos priežiūros paslaugomis. Be to, stipresnei visuomenės sveikatos sistemai taip pat reikia geriau pasirengti būsimoms pandemijoms. </w:t>
      </w:r>
    </w:p>
    <w:p>
      <w:pPr>
        <w:pStyle w:val="Normal"/>
        <w:rPr/>
      </w:pPr>
      <w:r>
        <w:rPr/>
        <w:t xml:space="preserve"> </w:t>
      </w:r>
    </w:p>
    <w:p>
      <w:pPr>
        <w:pStyle w:val="Titre3"/>
        <w:numPr>
          <w:ilvl w:val="2"/>
          <w:numId w:val="2"/>
        </w:numPr>
        <w:rPr/>
      </w:pPr>
      <w:bookmarkStart w:id="175" w:name="__RefHeading___Toc297285_1346298689"/>
      <w:bookmarkEnd w:id="175"/>
      <w:r>
        <w:rPr/>
        <w:t xml:space="preserve">Priedas: KITOS EKSPERTŲ GRUPĖS APSVARSTYTOS REKOMENDACIJOS, KURIOS NEBUVO PRIIMTOS </w:t>
      </w:r>
    </w:p>
    <w:p>
      <w:pPr>
        <w:pStyle w:val="Titre4"/>
        <w:numPr>
          <w:ilvl w:val="3"/>
          <w:numId w:val="2"/>
        </w:numPr>
        <w:rPr/>
      </w:pPr>
      <w:bookmarkStart w:id="176" w:name="__RefHeading___Toc297287_1346298689"/>
      <w:bookmarkEnd w:id="176"/>
      <w:r>
        <w:rPr/>
        <w:t xml:space="preserve">1 ašis: Geresni gyvenimo būdai </w:t>
      </w:r>
    </w:p>
    <w:p>
      <w:pPr>
        <w:pStyle w:val="Normal"/>
        <w:rPr/>
      </w:pPr>
      <w:r>
        <w:rPr/>
        <w:t xml:space="preserve">Subašis 1.1 Sveikas gyvenimo būdas </w:t>
      </w:r>
    </w:p>
    <w:p>
      <w:pPr>
        <w:pStyle w:val="P68B1DB1Normal15"/>
        <w:rPr>
          <w:b/>
          <w:b/>
        </w:rPr>
      </w:pPr>
      <w:r>
        <w:rPr/>
        <w:t xml:space="preserve">Rekomenduojame, kad ES visoms valstybėms narėms pateiktų rekomendaciją dėl geriausios praktikos, susijusios su alkoholio ir tabako reklamos uždraudimu arba ribojimu visų formų žiniasklaidoje ir visoms amžiaus grupėms, ypatingą dėmesį skiriant jaunai auditorijai. ES turėtų užtikrinti teisės aktų, kuriais ribojamas šių produktų pardavimas nepilnamečiams, vykdymą. Visos valstybės narės turėtų užtikrinti teisinių nuostatų dėl rūkymo viešosiose erdvėse, visų pirma mokyklose, įgyvendinimą taikant sankcijas ir sukurti rūkaliams skirtas erdves. </w:t>
      </w:r>
    </w:p>
    <w:p>
      <w:pPr>
        <w:pStyle w:val="Normal"/>
        <w:rPr/>
      </w:pPr>
      <w:r>
        <w:rPr/>
        <w:t xml:space="preserve"> </w:t>
      </w:r>
    </w:p>
    <w:p>
      <w:pPr>
        <w:pStyle w:val="Normal"/>
        <w:rPr/>
      </w:pPr>
      <w:r>
        <w:rPr/>
        <w:t xml:space="preserve">Sveikatai kenksmingas gyvenimo būdas negali būti rodomas reklamoje ir turėtų būti mažiau matomas viešajame gyvenime. Be to, kadangi alkoholis ir tabakas yra vienos iš dažniausiai naudojamų kenksmingų medžiagų, šia rekomendacija bus užkirstas kelias netinkamam jų naudojimui. </w:t>
      </w:r>
    </w:p>
    <w:p>
      <w:pPr>
        <w:pStyle w:val="Normal"/>
        <w:rPr/>
      </w:pPr>
      <w:r>
        <w:rPr/>
        <w:t xml:space="preserve"> </w:t>
      </w:r>
    </w:p>
    <w:p>
      <w:pPr>
        <w:pStyle w:val="P68B1DB1Normal15"/>
        <w:rPr>
          <w:b/>
          <w:b/>
        </w:rPr>
      </w:pPr>
      <w:r>
        <w:rPr/>
        <w:t xml:space="preserve">Rekomenduojame, kad ES ragintų valstybes nares įtraukti kursus į nacionalines mokyklų mokymo programas, kad būtų galima išmokti gaminti darniai, sveikai ir skaniai. Šiuo tikslu ES gali internete ir spausdintinius sveiko maisto ruošimo vadovus. Jaunimas turėtų būti pasiekiamas aktyviai reklamuojant tradicinėje ir socialinėje žiniasklaidoje. Mes taip pat turėtume šviesti tėvus, kad sužinotume, kaip geriausiai naudoti maistą sveikam gyvenimo būdui. Moksliniai tyrimai šioje srityje turėtų būti skatinami ir praturtinami. </w:t>
      </w:r>
    </w:p>
    <w:p>
      <w:pPr>
        <w:pStyle w:val="Normal"/>
        <w:rPr/>
      </w:pPr>
      <w:r>
        <w:rPr/>
        <w:t xml:space="preserve"> </w:t>
      </w:r>
    </w:p>
    <w:p>
      <w:pPr>
        <w:pStyle w:val="Normal"/>
        <w:rPr/>
      </w:pPr>
      <w:r>
        <w:rPr/>
        <w:t xml:space="preserve">Organizuojant maisto ruošimo ir mitybos pamokas mokykloje pagerėtų jaunimo sveikata ir būtų atgrasoma nuo greito maisto vartojimo. Auklėjant jaunus žmones, jie galėtų paaiškinti savo tėvams, ko jie išmoko. Be to, tėvų švietimas apie sveiką gyvenimo būdą leistų jiems rodyti pavyzdį savo vaikams. </w:t>
      </w:r>
    </w:p>
    <w:p>
      <w:pPr>
        <w:pStyle w:val="Normal"/>
        <w:rPr/>
      </w:pPr>
      <w:r>
        <w:rPr/>
      </w:r>
    </w:p>
    <w:p>
      <w:pPr>
        <w:pStyle w:val="P68B1DB1Normal15"/>
        <w:rPr>
          <w:b/>
          <w:b/>
        </w:rPr>
      </w:pPr>
      <w:r>
        <w:rPr/>
        <w:t xml:space="preserve">Rekomenduojame intensyvinti Europos Komisijos viešąją sveikos gyvensenos kampaniją „HealthyLifestyle4All“ ir teigiamą socialinės veiklos poveikį pateikiant konkrečius pavyzdžius ir išsamią strategiją. Reikėtų apibrėžti gerai struktūrizuotoms tikslinėms grupėms skirtas informavimo kampanijas ir kiekvienai iš šių grupių pasirinkti tinkamas komunikacijos priemones. Be to, siekiant skatinti teigiamą elgesį, svarbu įdiegti atlygio ir paskatų sistemas. Kampanijose turėtų dalyvauti įtakingi asmenys, įžymybės ar valdžios institucijos. Jie turi pabrėžti dvejopą naudą sveikatai, aplinkai ir klimatui. Be to, siekiant skatinti laisvą viešąją sporto infrastruktūrą, visose valstybėse narėse turėtų būti skiriamos dotacijos. </w:t>
      </w:r>
    </w:p>
    <w:p>
      <w:pPr>
        <w:pStyle w:val="Normal"/>
        <w:rPr/>
      </w:pPr>
      <w:r>
        <w:rPr/>
        <w:t xml:space="preserve"> </w:t>
      </w:r>
    </w:p>
    <w:p>
      <w:pPr>
        <w:pStyle w:val="Normal"/>
        <w:rPr/>
      </w:pPr>
      <w:r>
        <w:rPr/>
        <w:t xml:space="preserve">Sveikesnis gyvenimo būdas turi teigiamą poveikį sveikatos priežiūros sistemai, nes jis mažina sveikatos problemas. Fizinė sveikata veikia psichinę sveikatą ir laimę. Dabartinės kampanijos nėra pakankamai žinomos. Jie yra efektyvesni ir motyvuoja, kai asmenybės ir įtakingi asmenys yra susiję su juo. </w:t>
      </w:r>
    </w:p>
    <w:p>
      <w:pPr>
        <w:pStyle w:val="Normal"/>
        <w:rPr/>
      </w:pPr>
      <w:r>
        <w:rPr/>
        <w:t xml:space="preserve"> </w:t>
      </w:r>
    </w:p>
    <w:p>
      <w:pPr>
        <w:pStyle w:val="P68B1DB1Normal15"/>
        <w:rPr>
          <w:b/>
          <w:b/>
        </w:rPr>
      </w:pPr>
      <w:r>
        <w:rPr/>
        <w:t xml:space="preserve">Mes rekomenduojame informavimo kampaniją apie sveiką mitybą ir mitybą. ES turėtų skatinti didesnius mėsos ir cukraus mokesčius valstybėse narėse. Ji turėtų išnagrinėti galimybes atskirti sveikus ir kenksmingus maisto produktus ir jiems taikyti diferencijuotą PVM. Mes rekomenduojame pateikti labai aiškius įspėjamuosius signalus ant labai kenksmingų sveikatai produktų (pvz., tabako gaminių). Be to, mes rekomenduojame Europos masto maistingumo įvertinimo sistemą, kurioje būtų pateikiama atitinkama informacija ir QR kodas, kuris leistų vartotojams priimti geriau pagrįstus sprendimus. Ieškoti galimybių padaryti sveiką maistą pigiau nei greito maisto ir toliau skatinti ūkininkus gaminti sveikus produktus. </w:t>
      </w:r>
    </w:p>
    <w:p>
      <w:pPr>
        <w:pStyle w:val="Normal"/>
        <w:rPr/>
      </w:pPr>
      <w:r>
        <w:rPr/>
        <w:t xml:space="preserve"> </w:t>
      </w:r>
    </w:p>
    <w:p>
      <w:pPr>
        <w:pStyle w:val="Normal"/>
        <w:rPr/>
      </w:pPr>
      <w:r>
        <w:rPr/>
        <w:t xml:space="preserve">Sveika mityba yra sveiko gyvenimo pagrindas. Būtina įsikišti tiek gamintojo, tiek vartotojo pusėse. Sveikų produktų gamyba taip pat daro teigiamą poveikį aplinkai ir gali padėti remti vietos ūkininkus. Jei auga sveika maisto gamyba, mažėja kainos ir didėja paklausa. </w:t>
      </w:r>
    </w:p>
    <w:p>
      <w:pPr>
        <w:pStyle w:val="Normal"/>
        <w:rPr/>
      </w:pPr>
      <w:r>
        <w:rPr/>
        <w:t xml:space="preserve"> </w:t>
      </w:r>
    </w:p>
    <w:p>
      <w:pPr>
        <w:pStyle w:val="Normal"/>
        <w:rPr/>
      </w:pPr>
      <w:r>
        <w:rPr/>
        <w:t xml:space="preserve">Subašis 1.2 Aplinkosauginis švietimas </w:t>
      </w:r>
    </w:p>
    <w:p>
      <w:pPr>
        <w:pStyle w:val="P68B1DB1Normal15"/>
        <w:rPr>
          <w:b/>
          <w:b/>
        </w:rPr>
      </w:pPr>
      <w:r>
        <w:rPr/>
        <w:t xml:space="preserve">Rekomenduojame ES sukurti finansavimo mechanizmą, kuriuo būtų skatinama įtraukti ilgalaikę aplinkosauginio švietimo programą į nacionalines pradinių ir vidurinių mokyklų vaikų švietimo sistemas. Šis finansavimo mechanizmas turėtų apimti finansavimą tėvams, kuriems reikia finansinės paramos. </w:t>
      </w:r>
    </w:p>
    <w:p>
      <w:pPr>
        <w:pStyle w:val="Normal"/>
        <w:rPr/>
      </w:pPr>
      <w:r>
        <w:rPr/>
        <w:t xml:space="preserve"> </w:t>
      </w:r>
    </w:p>
    <w:p>
      <w:pPr>
        <w:pStyle w:val="Normal"/>
        <w:rPr/>
      </w:pPr>
      <w:r>
        <w:rPr/>
        <w:t xml:space="preserve">Dabartinėse švietimo sistemose nėra pakankamai praktinių elementų, kurie palengvintų tiesioginę ir gilią vaikų ir aplinkos sąveiką. Esamos trumpalaikės programos yra nevienalytės ir neskatina būtino požiūrio pasikeitimo. Tėvai turėtų būti remiami siekiant užtikrinti, kad visi vaikai galėtų vienodai pasinaudoti programa ir kad nė vienas iš jų nebūtų pašalintas dėl finansinių priežasčių. </w:t>
      </w:r>
    </w:p>
    <w:p>
      <w:pPr>
        <w:pStyle w:val="Normal"/>
        <w:rPr/>
      </w:pPr>
      <w:r>
        <w:rPr/>
        <w:t xml:space="preserve"> </w:t>
      </w:r>
    </w:p>
    <w:p>
      <w:pPr>
        <w:pStyle w:val="Titre4"/>
        <w:numPr>
          <w:ilvl w:val="3"/>
          <w:numId w:val="2"/>
        </w:numPr>
        <w:rPr/>
      </w:pPr>
      <w:bookmarkStart w:id="177" w:name="__RefHeading___Toc297289_1346298689"/>
      <w:bookmarkEnd w:id="177"/>
      <w:r>
        <w:rPr/>
        <w:t xml:space="preserve">2 ašis: Mūsų aplinkos ir sveikatos apsauga </w:t>
      </w:r>
    </w:p>
    <w:p>
      <w:pPr>
        <w:pStyle w:val="Normal"/>
        <w:rPr/>
      </w:pPr>
      <w:r>
        <w:rPr/>
        <w:t xml:space="preserve">Subašis 2.1 Sveika natūrali aplinka </w:t>
      </w:r>
    </w:p>
    <w:p>
      <w:pPr>
        <w:pStyle w:val="P68B1DB1Normal15"/>
        <w:rPr>
          <w:b/>
          <w:b/>
        </w:rPr>
      </w:pPr>
      <w:r>
        <w:rPr/>
        <w:t xml:space="preserve">Rekomenduojame nedelsiant įgyvendinti aukščiausius įmanomus vandens kokybės standartus visoje ES. Norėdami taupyti vandenį, siūlome atlygio sistemą, pagrįstą vandens kainodara, kad paskatintume ir paskatintume vartoti mažiau, pavyzdžiui: 1) sukuriant dinamišką sistemą, kuri atgrasytų vartotojus nuo vidutinio suvartojamo vandens kiekio viršijimo (pvz., 10 proc. padidėjus vandens suvartojimui kaina padidėtų 11 proc.), 2) sukuriant gamybos įmonių užteršto vandens kvotų rinkos sistemą, kuri būtų panaši į jau veikiančią anglies dioksido leidimų rinką. </w:t>
      </w:r>
    </w:p>
    <w:p>
      <w:pPr>
        <w:pStyle w:val="Normal"/>
        <w:rPr/>
      </w:pPr>
      <w:r>
        <w:rPr/>
        <w:t xml:space="preserve"> </w:t>
      </w:r>
    </w:p>
    <w:p>
      <w:pPr>
        <w:pStyle w:val="Normal"/>
        <w:rPr/>
      </w:pPr>
      <w:r>
        <w:rPr/>
        <w:t xml:space="preserve">Ši rekomendacija pagrįsta tuo, kad kainų didinimas skatina visus naudotojus priimti geriau pagrįstus sprendimus. Atsižvelgdami į skirtingas ES šalių realijas ir siekdami sukurti socialiai teisingą sistemą, galime remti neturtingesnius žmones vandentvarkos srityje, bendrai investuodami į vandens tiekimo infrastruktūrą ir mokslinius tyrimus. </w:t>
      </w:r>
    </w:p>
    <w:p>
      <w:pPr>
        <w:pStyle w:val="Normal"/>
        <w:rPr/>
      </w:pPr>
      <w:r>
        <w:rPr/>
        <w:t xml:space="preserve"> </w:t>
      </w:r>
    </w:p>
    <w:p>
      <w:pPr>
        <w:pStyle w:val="Titre4"/>
        <w:numPr>
          <w:ilvl w:val="3"/>
          <w:numId w:val="2"/>
        </w:numPr>
        <w:rPr/>
      </w:pPr>
      <w:bookmarkStart w:id="178" w:name="__RefHeading___Toc297291_1346298689"/>
      <w:bookmarkEnd w:id="178"/>
      <w:r>
        <w:rPr/>
        <w:t xml:space="preserve">3 ašis: mūsų ekonomikos ir vartojimo perorientavimas </w:t>
      </w:r>
    </w:p>
    <w:p>
      <w:pPr>
        <w:pStyle w:val="Normal"/>
        <w:rPr/>
      </w:pPr>
      <w:r>
        <w:rPr/>
        <w:t xml:space="preserve">Poašis 3.1 Perprodukcijos ir pernelyg didelio vartojimo reguliavimas </w:t>
      </w:r>
    </w:p>
    <w:p>
      <w:pPr>
        <w:pStyle w:val="P68B1DB1Normal15"/>
        <w:rPr>
          <w:b/>
          <w:b/>
        </w:rPr>
      </w:pPr>
      <w:r>
        <w:rPr/>
        <w:t xml:space="preserve">Mes rekomenduojame ES skirti baudas įmonėms, kurios pašalina neparduotus produktus, pagamintus dėl perprodukcijos. </w:t>
      </w:r>
    </w:p>
    <w:p>
      <w:pPr>
        <w:pStyle w:val="Normal"/>
        <w:rPr/>
      </w:pPr>
      <w:r>
        <w:rPr/>
        <w:t xml:space="preserve"> </w:t>
      </w:r>
    </w:p>
    <w:p>
      <w:pPr>
        <w:pStyle w:val="Normal"/>
        <w:rPr/>
      </w:pPr>
      <w:r>
        <w:rPr/>
        <w:t xml:space="preserve">Kai kuriais atvejais bendrovės mano, kad būtų ekonomiškiau išmesti neparduotas prekes, o ne jas perdirbti ar pakartotinai naudoti. Todėl svarbu atgrasyti nuo perteklinės gamybos skiriant baudas, kad ši praktika nebebūtų pelninga gamintojams. </w:t>
      </w:r>
    </w:p>
    <w:p>
      <w:pPr>
        <w:pStyle w:val="Normal"/>
        <w:rPr/>
      </w:pPr>
      <w:r>
        <w:rPr/>
        <w:t xml:space="preserve"> </w:t>
      </w:r>
    </w:p>
    <w:p>
      <w:pPr>
        <w:pStyle w:val="Normal"/>
        <w:rPr/>
      </w:pPr>
      <w:r>
        <w:rPr/>
        <w:t xml:space="preserve">Poašis 3.2 Atliekų mažinimas </w:t>
      </w:r>
    </w:p>
    <w:p>
      <w:pPr>
        <w:pStyle w:val="P68B1DB1Normal15"/>
        <w:rPr>
          <w:b/>
          <w:b/>
        </w:rPr>
      </w:pPr>
      <w:r>
        <w:rPr/>
        <w:t xml:space="preserve">Rekomenduojame, kad ES parengtų ir įgyvendintų namų ūkiams ir piliečiams skirtą atliekų tvarkymo politiką, atkreipdama dėmesį į faktinį jų susidarančių atliekų kiekį ir papildydama ją reikiamomis priemonėmis, kuriomis būtų didinamas piliečių informuotumas apie atliekų susidarymo mažinimo ir selektyvaus atliekų surinkimo naudą. Taip pat turėtų būti įgyvendinamos priemonės, skirtos socialiai remtinoms šeimoms (pvz., jaunoms šeimoms su vaikais, pagyvenusiems žmonėms ir t. t.), laikantis principo „nieko nepalikti nuošalyje“. </w:t>
      </w:r>
    </w:p>
    <w:p>
      <w:pPr>
        <w:pStyle w:val="Normal"/>
        <w:rPr/>
      </w:pPr>
      <w:r>
        <w:rPr/>
        <w:t xml:space="preserve"> </w:t>
      </w:r>
    </w:p>
    <w:p>
      <w:pPr>
        <w:pStyle w:val="Normal"/>
        <w:rPr/>
      </w:pPr>
      <w:r>
        <w:rPr/>
        <w:t xml:space="preserve">Tokios politikos tikslas – sukurti vienodą požiūrį į atliekų tvarkymą namų ūkiuose; juo taip pat sudaromos palankesnės sąlygos aplinkos apsaugai mažinant atliekų kiekį, toliau skatinama žiedinė ekonomika ir didinamas atliekų surinkimo veiksmingumas. Galiausiai, kuris nėra nereikšmingas, juo didinamas piliečių informuotumas ir stiprinamas atsakomybės už aplinkos apsaugą jausmas. </w:t>
      </w:r>
    </w:p>
    <w:p>
      <w:pPr>
        <w:pStyle w:val="Normal"/>
        <w:rPr/>
      </w:pPr>
      <w:r>
        <w:rPr/>
        <w:t xml:space="preserve"> </w:t>
      </w:r>
    </w:p>
    <w:p>
      <w:pPr>
        <w:pStyle w:val="P68B1DB1Normal15"/>
        <w:rPr>
          <w:b/>
          <w:b/>
        </w:rPr>
      </w:pPr>
      <w:r>
        <w:rPr/>
        <w:t xml:space="preserve">Rekomenduojame ES skatinti laisvą konkurenciją ir skatinti privatųjį sektorių aktyviau prisidėti prie atliekų, įskaitant nuotekas, tvarkymo ir atliekų perdirbimo bei naudojimo veiklos. </w:t>
      </w:r>
    </w:p>
    <w:p>
      <w:pPr>
        <w:pStyle w:val="Normal"/>
        <w:rPr/>
      </w:pPr>
      <w:r>
        <w:rPr/>
        <w:t xml:space="preserve"> </w:t>
      </w:r>
    </w:p>
    <w:p>
      <w:pPr>
        <w:pStyle w:val="Normal"/>
        <w:rPr/>
      </w:pPr>
      <w:r>
        <w:rPr/>
        <w:t xml:space="preserve">ES yra tinkamas lygis šiai rekomendacijai įgyvendinti, nes ji papildo Pagrindų direktyvą dėl atliekų ir Žiedinės ekonomikos veiksmų planą. Be to, įgyvendinus rekomendaciją bus stiprinami novatoriški atliekų tvarkymo sprendimai, pagerės atliekų tvarkymo kokybė ir padidės apdorotų atliekų kiekis, nes šioje veikloje dalyvaus daugiau įmonių. </w:t>
      </w:r>
    </w:p>
    <w:p>
      <w:pPr>
        <w:pStyle w:val="Normal"/>
        <w:rPr/>
      </w:pPr>
      <w:r>
        <w:rPr/>
        <w:t xml:space="preserve"> </w:t>
      </w:r>
    </w:p>
    <w:p>
      <w:pPr>
        <w:pStyle w:val="Normal"/>
        <w:rPr/>
      </w:pPr>
      <w:r>
        <w:rPr/>
        <w:t xml:space="preserve">Poašis. Sąžiningi produktai, vienodos galimybės ir sąžiningas vartojimas </w:t>
      </w:r>
    </w:p>
    <w:p>
      <w:pPr>
        <w:pStyle w:val="P68B1DB1Normal15"/>
        <w:rPr>
          <w:b/>
          <w:b/>
        </w:rPr>
      </w:pPr>
      <w:r>
        <w:rPr/>
        <w:t xml:space="preserve">Mes rekomenduojame perkelti pramonės šakas į Europos Sąjungą, siekiant užtikrinti aukštos kokybės sąžiningus produktus ir daryti įtaką klimato problemoms. </w:t>
      </w:r>
    </w:p>
    <w:p>
      <w:pPr>
        <w:pStyle w:val="Normal"/>
        <w:rPr/>
      </w:pPr>
      <w:r>
        <w:rPr/>
        <w:t xml:space="preserve"> </w:t>
      </w:r>
    </w:p>
    <w:p>
      <w:pPr>
        <w:pStyle w:val="Normal"/>
        <w:rPr/>
      </w:pPr>
      <w:r>
        <w:rPr/>
        <w:t xml:space="preserve">Europos Sąjunga turi praktinės patirties, kurią reikia skatinti savo rinkoje. </w:t>
      </w:r>
    </w:p>
    <w:p>
      <w:pPr>
        <w:pStyle w:val="Normal"/>
        <w:rPr/>
      </w:pPr>
      <w:r>
        <w:rPr/>
        <w:t xml:space="preserve">Dėl pramonės šakų perkėlimo už ES ribų, ypač Azijoje, kai kurie profesiniai įgūdžiai taip pat perkeliami. Ši rekomendacija susijusi su Europos darbuotojų profesiniu mokymu. Pabrėžiame, kad reikia vengti perkėlimo iš vienos valstybės narės į kitą, kad būtų išvengta nesąžiningos konkurencijos. </w:t>
      </w:r>
    </w:p>
    <w:p>
      <w:pPr>
        <w:pStyle w:val="Normal"/>
        <w:rPr/>
      </w:pPr>
      <w:r>
        <w:rPr/>
        <w:t xml:space="preserve">Pastebėjome, kad masinis pramonės perkėlimas visame pasaulyje daro poveikį Europos pramonei. Todėl vietinė gamyba pagerins piliečių sveikatą ir aplinką. </w:t>
      </w:r>
    </w:p>
    <w:p>
      <w:pPr>
        <w:pStyle w:val="Normal"/>
        <w:rPr/>
      </w:pPr>
      <w:r>
        <w:rPr/>
      </w:r>
    </w:p>
    <w:p>
      <w:pPr>
        <w:pStyle w:val="Titre4"/>
        <w:numPr>
          <w:ilvl w:val="3"/>
          <w:numId w:val="2"/>
        </w:numPr>
        <w:rPr/>
      </w:pPr>
      <w:bookmarkStart w:id="179" w:name="__RefHeading___Toc297293_1346298689"/>
      <w:bookmarkEnd w:id="179"/>
      <w:r>
        <w:rPr/>
        <w:t xml:space="preserve">4 ašis: tvarios visuomenės kūrimas </w:t>
      </w:r>
    </w:p>
    <w:p>
      <w:pPr>
        <w:pStyle w:val="Normal"/>
        <w:rPr/>
      </w:pPr>
      <w:r>
        <w:rPr/>
        <w:t xml:space="preserve">Subašis 4.3 Aplinkai nekenksmingas transportas </w:t>
      </w:r>
    </w:p>
    <w:p>
      <w:pPr>
        <w:pStyle w:val="P68B1DB1Normal15"/>
        <w:rPr>
          <w:b/>
          <w:b/>
        </w:rPr>
      </w:pPr>
      <w:r>
        <w:rPr/>
        <w:t xml:space="preserve">Mes rekomenduojame dideliems miestams skirti baudas ar subsidijas, atsižvelgiant į jų viešojo transporto aplinkosauginį ir taršos veiksmingumą (elektros transporto priemonės, ekologiškas viešasis transportas, pėsčiųjų zonų kūrimas, dviračių naudojimo skatinimas ir kt.). Visų pirma, baudos ar subsidijos, taikomos miesto vietos valdžios institucijoms, turėtų būti nustatomos remiantis ekologiško transporto pokyčiais, palyginti su pradine padėtimi tame mieste. Būtent Europos Sąjunga savo teisės aktais turėtų apibrėžti su tarša susijusių priemonių veiksmingumo rodiklius ir nustatyti proporcingą mažinimą. Šiuo atžvilgiu reikėtų atsižvelgti į kiekvieno miesto atspirties tašką. </w:t>
      </w:r>
    </w:p>
    <w:p>
      <w:pPr>
        <w:pStyle w:val="Normal"/>
        <w:rPr/>
      </w:pPr>
      <w:r>
        <w:rPr/>
        <w:t xml:space="preserve"> </w:t>
      </w:r>
    </w:p>
    <w:p>
      <w:pPr>
        <w:pStyle w:val="Normal"/>
        <w:rPr/>
      </w:pPr>
      <w:r>
        <w:rPr/>
        <w:t xml:space="preserve">Pateikiame šią rekomendaciją, nes miestai nukentėjo nuo oro taršos, dėl kurios kilo sveikatos problemų. Plėtojant ekologišką transportą pagerėtų žmonių gyvenimas ir sveikata bei sumažėtų šiltnamio efektas. Subsidijos ir sankcijos yra veiksmingos priemonės, skatinančios pokyčius ir palengvinančios prisitaikymą prie skirtingų situacijų skirtinguose miestuose. </w:t>
      </w:r>
    </w:p>
    <w:p>
      <w:pPr>
        <w:pStyle w:val="Normal"/>
        <w:rPr/>
      </w:pPr>
      <w:r>
        <w:rPr/>
        <w:t xml:space="preserve"> </w:t>
      </w:r>
    </w:p>
    <w:p>
      <w:pPr>
        <w:pStyle w:val="P68B1DB1Normal15"/>
        <w:rPr>
          <w:b/>
          <w:b/>
        </w:rPr>
      </w:pPr>
      <w:r>
        <w:rPr/>
        <w:t xml:space="preserve">Rekomenduojame, kad ES teisės aktais būtų ribojamas ir reglamentuojamas trumpųjų nuotolių skrydžių ir kruizinių laivų naudojimas. Žmonėms turėtų būti siūlomos ekologiškos transporto alternatyvos. Viena iš tokių alternatyvų turėtų būti geležinkelių standartizavimas siekiant sujungti Europos sostines. Taip pat rekomenduojame, kad ES teiktų subsidijas, kad prekių vežimas būtų ekologiškesnis, įskaitant geležinkelių ir laivų transportą (trumpoms kelionėms). </w:t>
      </w:r>
    </w:p>
    <w:p>
      <w:pPr>
        <w:pStyle w:val="Normal"/>
        <w:rPr/>
      </w:pPr>
      <w:r>
        <w:rPr/>
        <w:t xml:space="preserve"> </w:t>
      </w:r>
    </w:p>
    <w:p>
      <w:pPr>
        <w:pStyle w:val="Normal"/>
        <w:rPr/>
      </w:pPr>
      <w:r>
        <w:rPr/>
        <w:t xml:space="preserve">Pateikiame šią rekomendaciją, nes trumpos kelionės yra pernelyg dažnos, teršiančios ir lengvai pakeičiamos. Ribojant kruizinius laivus sumažėtų jūrų tarša (pagrindinė aplinkos problema) ir neigiamas poveikis pakrančių miestams. Štai kodėl mums reikia įdiegti įperkamesnes alternatyvas labiau aplinką teršiantiems sprendimams. Vienodas geležinkelio vėžės plotis pagerintų geležinkelių jungtis tarp Europos sostinių. </w:t>
      </w:r>
    </w:p>
    <w:p>
      <w:pPr>
        <w:pStyle w:val="Normal"/>
        <w:rPr/>
      </w:pPr>
      <w:r>
        <w:rPr/>
        <w:t xml:space="preserve"> </w:t>
      </w:r>
    </w:p>
    <w:p>
      <w:pPr>
        <w:pStyle w:val="Titre4"/>
        <w:numPr>
          <w:ilvl w:val="3"/>
          <w:numId w:val="2"/>
        </w:numPr>
        <w:rPr/>
      </w:pPr>
      <w:bookmarkStart w:id="180" w:name="__RefHeading___Toc297295_1346298689"/>
      <w:bookmarkEnd w:id="180"/>
      <w:r>
        <w:rPr/>
        <w:t xml:space="preserve">5 ašis: Rūpinimasis visais </w:t>
      </w:r>
    </w:p>
    <w:p>
      <w:pPr>
        <w:pStyle w:val="Normal"/>
        <w:rPr/>
      </w:pPr>
      <w:r>
        <w:rPr/>
        <w:t xml:space="preserve">5.2. Platesnis požiūris į sveikatą </w:t>
      </w:r>
    </w:p>
    <w:p>
      <w:pPr>
        <w:pStyle w:val="Normal"/>
        <w:rPr>
          <w:b/>
          <w:b/>
        </w:rPr>
      </w:pPr>
      <w:r>
        <w:rPr>
          <w:b/>
        </w:rPr>
        <w:t>Mes rekomenduojame, kad Europos Sąjunga, laikydamasi savo „HealthyLife4All</w:t>
      </w:r>
      <w:r>
        <w:rPr>
          <w:b/>
        </w:rPr>
        <w:commentReference w:id="5"/>
      </w:r>
      <w:r>
        <w:rPr>
          <w:b/>
        </w:rPr>
        <w:t xml:space="preserve"> “ kampanijos, taip pat skatintų tokias iniciatyvas kaip socialiniai sporto renginiai, mokyklų sporto veikla, kas dvejus metus vykstančios olimpinės žaidynės, atviros visoms amžiaus grupėms ir visoms sporto šakoms [ne specialistams]. Taip pat rekomenduojame sukurti nemokamą Europos sporto programą, kuri skatintų kolektyvinę sporto veiklą. Ši programa turėtų padėti žmonėms susitikti per sportą. Be to, šios iniciatyvos turėtų būti plačiai žinomos ir skleidžiamos. </w:t>
      </w:r>
    </w:p>
    <w:p>
      <w:pPr>
        <w:pStyle w:val="Normal"/>
        <w:rPr/>
      </w:pPr>
      <w:r>
        <w:rPr/>
        <w:t xml:space="preserve"> </w:t>
      </w:r>
    </w:p>
    <w:p>
      <w:pPr>
        <w:pStyle w:val="Normal"/>
        <w:rPr/>
      </w:pPr>
      <w:r>
        <w:rPr/>
        <w:t xml:space="preserve">Siekdama pagerinti Europos gyventojų sveikatą, Europos Sąjunga turi skatinti sportą ir sveiką gyvenseną. Be to, gyventojai labai dažnai nežino apie sporto ir sveiko gyvenimo būdo ryšį. Programa yra svarbi, nes žmonės yra labiau linkę sportuoti, jei jie tai daro kartu.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Europos piliečių forumas 4: „ES pasaulyje/migracija“ </w:t>
      </w:r>
    </w:p>
    <w:p>
      <w:pPr>
        <w:pStyle w:val="Normal"/>
        <w:rPr/>
      </w:pPr>
      <w:r>
        <w:rPr/>
        <w:t xml:space="preserve">GRUPĖS PRIIMTOS REKOMENDACIJOS (TURI BŪTI PATEIKTOS PLENARINIAME POSĖDYJE) </w:t>
      </w:r>
    </w:p>
    <w:p>
      <w:pPr>
        <w:pStyle w:val="Normal"/>
        <w:rPr/>
      </w:pPr>
      <w:r>
        <w:rPr/>
      </w:r>
    </w:p>
    <w:p>
      <w:pPr>
        <w:pStyle w:val="Titre3"/>
        <w:numPr>
          <w:ilvl w:val="2"/>
          <w:numId w:val="2"/>
        </w:numPr>
        <w:rPr/>
      </w:pPr>
      <w:bookmarkStart w:id="182" w:name="__RefHeading___Toc297299_1346298689"/>
      <w:bookmarkEnd w:id="182"/>
      <w:r>
        <w:rPr/>
        <w:t xml:space="preserve">1 ašis: Savarankiškumas ir stabilumas </w:t>
      </w:r>
    </w:p>
    <w:p>
      <w:pPr>
        <w:pStyle w:val="Titre4"/>
        <w:numPr>
          <w:ilvl w:val="3"/>
          <w:numId w:val="2"/>
        </w:numPr>
        <w:rPr/>
      </w:pPr>
      <w:bookmarkStart w:id="183" w:name="__RefHeading___Toc297301_1346298689"/>
      <w:bookmarkEnd w:id="183"/>
      <w:r>
        <w:rPr/>
        <w:t xml:space="preserve">1.1 poašis. ES autonomija </w:t>
      </w:r>
    </w:p>
    <w:p>
      <w:pPr>
        <w:pStyle w:val="Normal"/>
        <w:rPr>
          <w:b/>
          <w:b/>
        </w:rPr>
      </w:pPr>
      <w:r>
        <w:rPr>
          <w:b/>
        </w:rPr>
        <w:t>1. Rekomenduojame toliau skatinti ir finansiškai remti strateginius Europos gamybos produktus (pvz., žemės ūkio produktus, puslaidininkius, medicinos gaminius arba novatoriškas skaitmenines ir aplinkosaugos technologijas), kad jie būtų prieinami ir prieinami Europos vartotojams ir kiek įmanoma sumažintų priklausomybę nuo ne Europos tiekėjų. Tokia parama galėtų apimti struktūrines ir regionines priemones, paramą pramonės ir tiekimo grandinių išlaikymui Sąjungoje,</w:t>
      </w:r>
      <w:r>
        <w:rPr>
          <w:b/>
        </w:rPr>
        <w:commentReference w:id="6"/>
      </w:r>
      <w:r>
        <w:rPr>
          <w:b/>
        </w:rPr>
        <w:t xml:space="preserve"> mokesčiųlengvatas, subsidijas, aktyvią MVĮ politiką arba švietimo programas, kuriomis siekiama išsaugoti atitinkamus įgūdžius ir darbo vietas Europoje. Vis dėlto aktyvi pramonės politika turėtų būti atrankinė ir orientuota į novatoriškus produktus ar produktus, kurie yra būtini siekiant užtikrinti pagrindines prekes ir paslaugas. </w:t>
      </w:r>
    </w:p>
    <w:p>
      <w:pPr>
        <w:pStyle w:val="Normal"/>
        <w:rPr/>
      </w:pPr>
      <w:r>
        <w:rPr/>
        <w:t xml:space="preserve"> </w:t>
      </w:r>
    </w:p>
    <w:p>
      <w:pPr>
        <w:pStyle w:val="Normal"/>
        <w:rPr/>
      </w:pPr>
      <w:r>
        <w:rPr/>
        <w:t xml:space="preserve">Mes rekomenduojame šias priemones, nes Europa yra pernelyg priklausoma nuo </w:t>
      </w:r>
      <w:commentRangeStart w:id="7"/>
      <w:r>
        <w:rPr/>
        <w:t>ne Europos tiekėjų svarbiausiose</w:t>
      </w:r>
      <w:r>
        <w:rPr/>
      </w:r>
      <w:commentRangeEnd w:id="7"/>
      <w:r>
        <w:commentReference w:id="7"/>
      </w:r>
      <w:r>
        <w:rPr/>
        <w:t xml:space="preserve"> srityse, kurios gali sukelti diplomatinius konfliktus ir dėl kurių gali pritrūkti pagrindinių produktų ar paslaugų arba strateginės svarbos. Kadangi gamybos sąnaudos ES paprastai yra didesnės nei kitose pasaulio šalyse, aktyvi šių produktų skatinimo ir paramos politika leis europiečiams pirkti konkurencingus Europos produktus ir bus skatinami tai daryti. Ši politika taip pat sustiprins Europos konkurencingumą ir išsaugos būsimas pramonės šakas bei darbo vietas Europoje. Be to, didesnis gamybos regionalizavimas sumažins transporto išlaidas ir padės išvengti aplinkos būklės blogėjimo. </w:t>
      </w:r>
    </w:p>
    <w:p>
      <w:pPr>
        <w:pStyle w:val="Normal"/>
        <w:rPr/>
      </w:pPr>
      <w:r>
        <w:rPr/>
        <w:t xml:space="preserve"> </w:t>
      </w:r>
    </w:p>
    <w:p>
      <w:pPr>
        <w:pStyle w:val="P68B1DB1Normal15"/>
        <w:rPr>
          <w:b/>
          <w:b/>
        </w:rPr>
      </w:pPr>
      <w:r>
        <w:rPr/>
        <w:t>2. Mes rekomenduojame ES sumažinti savo priklausomybę nuo naftos ir dujų importo. Tam reikėtų aktyviai remti viešojo transporto ir energijos vartojimo efektyvumo projektus, Europos greitųjų krovinių vežimo geležinkeliais tinklą, švarios ir atsinaujinančios energijos (įskaitant saulės ir vėjo energiją) tiekimo plėtrą ir alternatyvias technologijas (pvz., vandenilį arba energijos gavybą iš atliekų). Europos Sąjunga taip pat turėtų skatinti keisti mąstyseną ir atsisakyti privačių automobilių viešojo transporto, dalijimosi automobiliais naudojant elektra varomas transporto priemones ir dviračius naudai.</w:t>
      </w:r>
    </w:p>
    <w:p>
      <w:pPr>
        <w:pStyle w:val="Normal"/>
        <w:rPr/>
      </w:pPr>
      <w:r>
        <w:rPr/>
      </w:r>
    </w:p>
    <w:p>
      <w:pPr>
        <w:pStyle w:val="Normal"/>
        <w:rPr/>
      </w:pPr>
      <w:r>
        <w:rPr/>
        <w:t>Mes rekomenduojame šias priemones, nes jomis sukuriama padėtis, skatinanti tiek Europos savarankiškumą mažinant jos išorės priklausomybę, tiek plataus užmojo klimato kaitos ir išmetamo CO2 kiekio mažinimo</w:t>
      </w:r>
      <w:r>
        <w:rPr>
          <w:vertAlign w:val="subscript"/>
        </w:rPr>
        <w:t>tikslus</w:t>
      </w:r>
      <w:r>
        <w:rPr/>
        <w:t xml:space="preserve">. Jos taip pat leis Europai tapti svarbia būsimų technologijų veikėja, sustiprinti savo ekonomiką ir kurti darbo vietas. </w:t>
      </w:r>
    </w:p>
    <w:p>
      <w:pPr>
        <w:pStyle w:val="Normal"/>
        <w:rPr/>
      </w:pPr>
      <w:r>
        <w:rPr/>
        <w:t xml:space="preserve"> </w:t>
      </w:r>
    </w:p>
    <w:p>
      <w:pPr>
        <w:pStyle w:val="P68B1DB1Normal15"/>
        <w:rPr>
          <w:b/>
          <w:b/>
        </w:rPr>
      </w:pPr>
      <w:r>
        <w:rPr/>
        <w:t xml:space="preserve">3. Rekomenduojame ES lygmeniu priimti įstatymą, kuriuo būtų užtikrinta, kad visi ES gamybos ir tiekimo procesai bei importuojamos prekės atitiktų Europos kokybės, etikos ir tvarumo standartus, taip pat visus taikomus Europos žmogaus teisių standartus ir kad šiuos kriterijus atitinkantys produktai būtų sertifikuoti. </w:t>
      </w:r>
    </w:p>
    <w:p>
      <w:pPr>
        <w:pStyle w:val="Normal"/>
        <w:rPr/>
      </w:pPr>
      <w:r>
        <w:rPr/>
        <w:t xml:space="preserve"> </w:t>
      </w:r>
    </w:p>
    <w:p>
      <w:pPr>
        <w:pStyle w:val="Normal"/>
        <w:rPr/>
      </w:pPr>
      <w:r>
        <w:rPr/>
        <w:t xml:space="preserve">Mes rekomenduojame šias priemones, nes jos leidžia vartotojams ir prekybininkams lengvai gauti informaciją apie perkamus ar parduodamus produktus. Norėdami tai padaryti, tiesiog pasikonsultuokite su sertifikavimo sistema. Sertifikavimas taip pat sumažina atotrūkį tarp pigių ir brangių rinkoje esančių produktų. Pigūs produktai neatitiks reikalaujamų kriterijų, todėl negalės prisistatyti kaip geros kokybės. Laikantis sertifikavimo kriterijų, aplinka bus saugoma, taupant išteklius ir skatinant atsakingą vartojimą. </w:t>
      </w:r>
    </w:p>
    <w:p>
      <w:pPr>
        <w:pStyle w:val="Normal"/>
        <w:rPr/>
      </w:pPr>
      <w:r>
        <w:rPr/>
        <w:t xml:space="preserve"> </w:t>
      </w:r>
    </w:p>
    <w:p>
      <w:pPr>
        <w:pStyle w:val="P68B1DB1Normal15"/>
        <w:rPr>
          <w:b/>
          <w:b/>
        </w:rPr>
      </w:pPr>
      <w:r>
        <w:rPr/>
        <w:t xml:space="preserve">4. Rekomenduojame įgyvendinti Europos programą, skirtą remti smulkius vietos gamintojus strateginiuose sektoriuose visose valstybėse narėse. Šiems gamintojams būtų naudingas profesinis mokymas, finansinė parama teikiant subsidijas ir (kai Sąjungoje yra žaliavų) paskata gaminti labiau reikalavimus atitinkančias prekes importo nenaudai. </w:t>
      </w:r>
    </w:p>
    <w:p>
      <w:pPr>
        <w:pStyle w:val="Normal"/>
        <w:rPr/>
      </w:pPr>
      <w:r>
        <w:rPr/>
        <w:t xml:space="preserve"> </w:t>
      </w:r>
    </w:p>
    <w:p>
      <w:pPr>
        <w:pStyle w:val="Normal"/>
        <w:rPr/>
      </w:pPr>
      <w:r>
        <w:rPr/>
        <w:t xml:space="preserve">Mes rekomenduojame šias priemones, nes remdama gamintojus strateginiuose sektoriuose, įsikūrusiuose Sąjungoje, Sąjunga gali įgyti ekonominę nepriklausomybę šiuose sektoriuose. Tai gali tik paskatinti viso gamybos proceso stiprinimą ir taip skatinti inovacijas. Tai lems tvaresnę žaliavų gamybą ES, dėl kurios sumažės transporto išlaidos ir bus apsaugota aplinka. </w:t>
      </w:r>
    </w:p>
    <w:p>
      <w:pPr>
        <w:pStyle w:val="Normal"/>
        <w:rPr/>
      </w:pPr>
      <w:r>
        <w:rPr/>
        <w:t xml:space="preserve"> </w:t>
      </w:r>
    </w:p>
    <w:p>
      <w:pPr>
        <w:pStyle w:val="P68B1DB1Normal15"/>
        <w:rPr>
          <w:b/>
          <w:b/>
        </w:rPr>
      </w:pPr>
      <w:r>
        <w:rPr/>
        <w:t xml:space="preserve">5. Mes rekomenduojame gerinti žmogaus teisių įgyvendinimą Europos lygmeniu taip: didinti šalių, kurios atitinkamai nesilaiko Europos žmogaus teisių konvencijos (EŽTK) arba Žmogaus teisių ir pagrindinių laisvių apsaugos konvencijos, informuotumą; užtikrinti griežtą Europos Sąjungos ir teisingumo rezultatų suvestinės koordinuojamą stebėseną, kaip įvairiose valstybėse narėse gerbiamos žmogaus teisės, ir užtikrinti, kad jų būtų griežtai laikomasi taikant įvairias sankcijų formas. </w:t>
      </w:r>
    </w:p>
    <w:p>
      <w:pPr>
        <w:pStyle w:val="Normal"/>
        <w:rPr/>
      </w:pPr>
      <w:r>
        <w:rPr/>
        <w:t xml:space="preserve"> </w:t>
      </w:r>
    </w:p>
    <w:p>
      <w:pPr>
        <w:pStyle w:val="Normal"/>
        <w:rPr/>
      </w:pPr>
      <w:r>
        <w:rPr/>
        <w:t xml:space="preserve">Mes rekomenduojame šias priemones, nes žmogaus teisėms jau pritarė valstybės narės, ratifikuodamos Europos žmogaus teisių konvenciją, tačiau dabar būtina didinti jų pripažinimą kiekvienoje valstybėje narėje, kad žmogaus teisės būtų žinomos ir aktyviai įgyvendinamos tose valstybėse narėse. </w:t>
      </w:r>
    </w:p>
    <w:p>
      <w:pPr>
        <w:pStyle w:val="Normal"/>
        <w:rPr/>
      </w:pPr>
      <w:r>
        <w:rPr/>
        <w:t xml:space="preserve"> </w:t>
      </w:r>
    </w:p>
    <w:p>
      <w:pPr>
        <w:pStyle w:val="P68B1DB1Normal15"/>
        <w:rPr>
          <w:b/>
          <w:b/>
        </w:rPr>
      </w:pPr>
      <w:r>
        <w:rPr/>
        <w:t xml:space="preserve">6. Rekomenduojame Europos lygmeniu pradėti peržiūrą ir organizuoti intensyvią komunikacijos kampaniją, siekiant užtikrinti, kad EURES (Europos užimtumo tarnybų tinklas), ES imigracijos portalas ir trečiųjų šalių piliečiams skirta Europos įgūdžių profilio priemonė būtų geriau žinomi Europos piliečiams ir dažniau naudotųsi ES įmonės skelbdamos ir skelbdamos savo darbo pasiūlymus. </w:t>
      </w:r>
    </w:p>
    <w:p>
      <w:pPr>
        <w:pStyle w:val="Normal"/>
        <w:rPr/>
      </w:pPr>
      <w:r>
        <w:rPr/>
        <w:t xml:space="preserve"> </w:t>
      </w:r>
    </w:p>
    <w:p>
      <w:pPr>
        <w:pStyle w:val="Normal"/>
        <w:rPr/>
      </w:pPr>
      <w:r>
        <w:rPr/>
        <w:t xml:space="preserve">Rekomenduojame nekurti naujos interneto platformos, kurioje būtų skelbiami darbo pasiūlymai jauniems europiečiams. Europos lygmeniu jau yra daugiau nei pakankamai tokių iniciatyvų. Manome, kad siekiant didinti informuotumą apie esamą darbo jėgą ir užimtumo galimybes Europos lygmeniu, geriau tobulinti tai, kas jau yra. </w:t>
      </w:r>
    </w:p>
    <w:p>
      <w:pPr>
        <w:pStyle w:val="Normal"/>
        <w:rPr/>
      </w:pPr>
      <w:r>
        <w:rPr/>
        <w:t xml:space="preserve"> </w:t>
      </w:r>
    </w:p>
    <w:p>
      <w:pPr>
        <w:pStyle w:val="Titre4"/>
        <w:numPr>
          <w:ilvl w:val="3"/>
          <w:numId w:val="2"/>
        </w:numPr>
        <w:rPr/>
      </w:pPr>
      <w:bookmarkStart w:id="184" w:name="__RefHeading___Toc297303_1346298689"/>
      <w:bookmarkEnd w:id="184"/>
      <w:r>
        <w:rPr/>
        <w:t xml:space="preserve">1.2 poašis – Sienos </w:t>
      </w:r>
    </w:p>
    <w:p>
      <w:pPr>
        <w:pStyle w:val="P68B1DB1Normal15"/>
        <w:rPr>
          <w:b/>
          <w:b/>
        </w:rPr>
      </w:pPr>
      <w:r>
        <w:rPr/>
        <w:t xml:space="preserve">7. Rekomenduojame ES sukurti darbo jėgos migracijos mechanizmą, pagrįstą realiais Europos darbo rinkų poreikiais. Turėtų būti sukurta vienoda profesinių ir akademinių diplomų, egzistuojančių Europos Sąjungoje ir trečiosiose šalyse, pripažinimo sistema. Kvalifikuotiems migrantams turėtų būti siūlomos profesinės kvalifikacijos, taip pat kultūrinės ir kalbinės integracijos pasiūlymai. Prieglobsčio prašytojai, turintys tinkamą kvalifikaciją, turėtų turėti galimybę patekti į darbo rinką. Turėtų būti integruota agentūra, kurios pagrindą galėtų sudaryti Europos užimtumo tarnybų tinklas. </w:t>
      </w:r>
    </w:p>
    <w:p>
      <w:pPr>
        <w:pStyle w:val="Normal"/>
        <w:rPr/>
      </w:pPr>
      <w:r>
        <w:rPr/>
        <w:t xml:space="preserve"> </w:t>
      </w:r>
    </w:p>
    <w:p>
      <w:pPr>
        <w:pStyle w:val="Normal"/>
        <w:rPr/>
      </w:pPr>
      <w:r>
        <w:rPr/>
        <w:t xml:space="preserve">Mes rekomenduojame šias priemones, nes Europai reikia kvalifikuotos darbo jėgos tam tikruose sektoriuose, kuriuose neįmanoma visiškai patenkinti ES darbuotojų paklausos. Šiuo metu nėra pakankamai perspektyvių būdų teisėtai kreiptis dėl leidimo dirbti ES. Europos profesinių ir akademinių diplomų pripažinimo sistema padės lengviau patenkinti šiuos poreikius ir supaprastinti darbo jėgos migraciją Sąjungoje ir darbo jėgos migraciją iš Sąjungai nepriklausančių šalių. Taip būtų galima geriau patenkinti darbo jėgos paklausą ir geriau valdyti nelegalią imigraciją. Darbo jėgos migracijos mechanizmo atvėrimas prieglobsčio prašytojams paspartintų jų integraciją į Europos ekonomiką ir visuomenę. </w:t>
      </w:r>
    </w:p>
    <w:p>
      <w:pPr>
        <w:pStyle w:val="Normal"/>
        <w:rPr/>
      </w:pPr>
      <w:r>
        <w:rPr/>
        <w:t xml:space="preserve"> </w:t>
      </w:r>
    </w:p>
    <w:p>
      <w:pPr>
        <w:pStyle w:val="P68B1DB1Normal15"/>
        <w:rPr>
          <w:b/>
          <w:b/>
        </w:rPr>
      </w:pPr>
      <w:r>
        <w:rPr/>
        <w:t xml:space="preserve">8. Rekomenduojame Europos Sąjungai sustiprinti savo teisės aktus, kad FRONTEX būtų suteikta daugiau galių ir nepriklausomybės. Todėl ji galės įsikišti visose valstybėse narėse, kad užtikrintų visų Sąjungos išorės sienų apsaugą, tačiau Sąjunga turėtų atlikti FRONTEX organizacinių procesų auditą, nes ji turi veikti skaidriai, kad būtų išvengta bet kokio piktnaudžiavimo. </w:t>
      </w:r>
    </w:p>
    <w:p>
      <w:pPr>
        <w:pStyle w:val="Normal"/>
        <w:rPr/>
      </w:pPr>
      <w:r>
        <w:rPr/>
        <w:t xml:space="preserve"> </w:t>
      </w:r>
    </w:p>
    <w:p>
      <w:pPr>
        <w:pStyle w:val="Normal"/>
        <w:rPr/>
      </w:pPr>
      <w:r>
        <w:rPr/>
        <w:t xml:space="preserve">Mes rekomenduojame šias priemones, nes, mūsų nuomone, nepriimtina, kad FRONTEX nebūtų leista naudotis sienomis, ypač tais atvejais, kai pažeidžiamos žmogaus teisės. Norime būti tikri, kad FRONTEX taiko Europos teisės aktus. Pati FRONTEX turi būti tikrinama ir tikrinama, siekiant išvengti netinkamo elgesio joje. </w:t>
      </w:r>
    </w:p>
    <w:p>
      <w:pPr>
        <w:pStyle w:val="Normal"/>
        <w:rPr/>
      </w:pPr>
      <w:r>
        <w:rPr/>
        <w:t xml:space="preserve"> </w:t>
      </w:r>
    </w:p>
    <w:p>
      <w:pPr>
        <w:pStyle w:val="P68B1DB1Normal15"/>
        <w:rPr>
          <w:b/>
          <w:b/>
        </w:rPr>
      </w:pPr>
      <w:r>
        <w:rPr/>
        <w:t xml:space="preserve">9. Mes rekomenduojame, kad Europos Sąjunga, visų pirma ekonominių migrantų, organizuotų galimybę atrinkti piliečius kilmės šalyje (pagal jų įrodytus įgūdžius, kilmę ir t. t.), siekiant nustatyti, kas galėtų atvykti į ES pagal ekonomikos poreikius ir laisvas darbo vietas priimančioje šalyje. Šie atrankos kriterijai turi būti vieši ir prieinami visiems. Šiuo tikslu turėtų būti įsteigta Europos imigracijos agentūra (internete). </w:t>
      </w:r>
    </w:p>
    <w:p>
      <w:pPr>
        <w:pStyle w:val="Normal"/>
        <w:rPr/>
      </w:pPr>
      <w:r>
        <w:rPr/>
        <w:t xml:space="preserve"> </w:t>
      </w:r>
    </w:p>
    <w:p>
      <w:pPr>
        <w:pStyle w:val="Normal"/>
        <w:rPr/>
      </w:pPr>
      <w:r>
        <w:rPr/>
        <w:t xml:space="preserve">Mes rekomenduojame šias priemones, nes tokiu būdu nebereikėtų neteisėtai kirsti valstybių. Į ES atvykstančių žmonių srautas būtų kontroliuojamas, o tai sumažintų spaudimą prie sienų ir palengvintų priimančiųjų šalių darbo jėgos poreikių tenkinimą. </w:t>
      </w:r>
    </w:p>
    <w:p>
      <w:pPr>
        <w:pStyle w:val="Normal"/>
        <w:rPr/>
      </w:pPr>
      <w:r>
        <w:rPr/>
        <w:t xml:space="preserve"> </w:t>
      </w:r>
    </w:p>
    <w:p>
      <w:pPr>
        <w:pStyle w:val="P68B1DB1Normal15"/>
        <w:rPr>
          <w:b/>
          <w:b/>
        </w:rPr>
      </w:pPr>
      <w:r>
        <w:rPr/>
        <w:t xml:space="preserve">10. Rekomenduojame Europos Sąjungai užtikrinti, kad priėmimo politika ir patalpos būtų vienodos prie visų sienų, gerbti žmogaus teises ir užtikrinti visų migrantų (įskaitant, pavyzdžiui, nėščias moteris ir vaikus) saugą ir sveikatą. </w:t>
      </w:r>
    </w:p>
    <w:p>
      <w:pPr>
        <w:pStyle w:val="Normal"/>
        <w:rPr/>
      </w:pPr>
      <w:r>
        <w:rPr/>
        <w:t xml:space="preserve"> </w:t>
      </w:r>
    </w:p>
    <w:p>
      <w:pPr>
        <w:pStyle w:val="Normal"/>
        <w:rPr/>
      </w:pPr>
      <w:r>
        <w:rPr/>
        <w:t xml:space="preserve">Mes rekomenduojame šias priemones, nes teikiame didelę svarbą vienodam požiūriui į migrantus prie visų sienų. Norime užtikrinti, kad migrantai neliktų pernelyg ilgai prie sienų ir kad valstybės narės būtų priblokštas migrantų srauto. Valstybės narės turi būti gerai pasirengusios jas apgyvendinti. </w:t>
      </w:r>
    </w:p>
    <w:p>
      <w:pPr>
        <w:pStyle w:val="Normal"/>
        <w:rPr/>
      </w:pPr>
      <w:r>
        <w:rPr/>
        <w:t xml:space="preserve"> </w:t>
      </w:r>
    </w:p>
    <w:p>
      <w:pPr>
        <w:pStyle w:val="Titre3"/>
        <w:numPr>
          <w:ilvl w:val="2"/>
          <w:numId w:val="2"/>
        </w:numPr>
        <w:rPr/>
      </w:pPr>
      <w:bookmarkStart w:id="185" w:name="__RefHeading___Toc297305_1346298689"/>
      <w:bookmarkEnd w:id="185"/>
      <w:r>
        <w:rPr/>
        <w:t xml:space="preserve">2 ašis: ES kaip tarptautinė partnerė </w:t>
      </w:r>
    </w:p>
    <w:p>
      <w:pPr>
        <w:pStyle w:val="Titre4"/>
        <w:numPr>
          <w:ilvl w:val="3"/>
          <w:numId w:val="2"/>
        </w:numPr>
        <w:rPr/>
      </w:pPr>
      <w:bookmarkStart w:id="186" w:name="__RefHeading___Toc297307_1346298689"/>
      <w:bookmarkEnd w:id="186"/>
      <w:r>
        <w:rPr/>
        <w:t xml:space="preserve">Poašis. Prekyba ir santykiai etikos požiūriu </w:t>
      </w:r>
    </w:p>
    <w:p>
      <w:pPr>
        <w:pStyle w:val="P68B1DB1Normal15"/>
        <w:rPr>
          <w:b/>
          <w:b/>
        </w:rPr>
      </w:pPr>
      <w:r>
        <w:rPr/>
        <w:t xml:space="preserve">11. Mes rekomenduojame, kad ES nustatytų apribojimus produktų importui iš šalių, kuriose leidžiamas vaikų darbas. Tam reikėtų sudaryti juodąjį bendrovių sąrašą, kuris būtų reguliariai atnaujinamas atsižvelgiant į pokyčius. Mes taip pat rekomenduojame užtikrinti laipsnišką prieigą prie švietimo vaikams, kurie nustoja dirbti, taip pat didinti vartotojų informuotumą apie vaikų darbą per Europos Sąjungos oficialiai platinamą informaciją, pavyzdžiui, per kampanijas ar pasakojimus. </w:t>
      </w:r>
    </w:p>
    <w:p>
      <w:pPr>
        <w:pStyle w:val="Normal"/>
        <w:rPr/>
      </w:pPr>
      <w:r>
        <w:rPr/>
        <w:t xml:space="preserve"> </w:t>
      </w:r>
    </w:p>
    <w:p>
      <w:pPr>
        <w:pStyle w:val="Normal"/>
        <w:rPr/>
      </w:pPr>
      <w:r>
        <w:rPr/>
        <w:t xml:space="preserve">Mes rekomenduojame šias priemones, nes manome, kad yra ryšys tarp mokyklinio ugdymo trūkumo ir vaikų darbo. Šia rekomendacija norime didinti vartotojų informuotumą ir sumažinti vaikų gaminamų produktų paklausą, kad ši praktika išnyktų. </w:t>
      </w:r>
    </w:p>
    <w:p>
      <w:pPr>
        <w:pStyle w:val="Normal"/>
        <w:rPr/>
      </w:pPr>
      <w:r>
        <w:rPr/>
        <w:t xml:space="preserve"> </w:t>
      </w:r>
    </w:p>
    <w:p>
      <w:pPr>
        <w:pStyle w:val="P68B1DB1Normal15"/>
        <w:rPr>
          <w:b/>
          <w:b/>
        </w:rPr>
      </w:pPr>
      <w:r>
        <w:rPr/>
        <w:t xml:space="preserve">12. Rekomenduojame Europos Sąjungai plėtoti partnerystes su besivystančiomis šalimis, kad būtų remiama jų infrastruktūra ir dalijamasi patirtimi mainais į abipusiai naudingus prekybos susitarimus, kurie padėtų joms pereiti prie ekologiškų energijos šaltinių. </w:t>
      </w:r>
    </w:p>
    <w:p>
      <w:pPr>
        <w:pStyle w:val="Normal"/>
        <w:rPr/>
      </w:pPr>
      <w:r>
        <w:rPr/>
        <w:t xml:space="preserve"> </w:t>
      </w:r>
    </w:p>
    <w:p>
      <w:pPr>
        <w:pStyle w:val="Normal"/>
        <w:rPr/>
      </w:pPr>
      <w:r>
        <w:rPr/>
        <w:t xml:space="preserve">Rekomenduojame šias priemones, kad būtų sudarytos palankesnės sąlygos besivystančioms šalims pereiti prie atsinaujinančiosios energijos pasitelkiant prekybos partnerystes ir diplomatinius susitarimus. Taigi Europos Sąjunga ir besivystančios šalys užmegztų gerus ilgalaikius santykius, kurie padėtų kovoti su klimato kaita. </w:t>
      </w:r>
    </w:p>
    <w:p>
      <w:pPr>
        <w:pStyle w:val="Normal"/>
        <w:rPr/>
      </w:pPr>
      <w:r>
        <w:rPr/>
        <w:t xml:space="preserve"> </w:t>
      </w:r>
    </w:p>
    <w:p>
      <w:pPr>
        <w:pStyle w:val="P68B1DB1Normal15"/>
        <w:rPr>
          <w:b/>
          <w:b/>
        </w:rPr>
      </w:pPr>
      <w:r>
        <w:rPr/>
        <w:t xml:space="preserve">13. Mes rekomenduojame, kad Europos Sąjunga nustatytų Europos poveikio aplinkai rodiklį (ekoscore) visiems vartojimo produktams. „Ecoscore“ būtų apskaičiuojamas remiantis gamybos ir transporto išmetamais teršalais, taip pat turinio kenksmingumu, remiantis pavojingų produktų sąrašu. „Ecoscore“ turėtų būti valdoma ir kontroliuojama Europos institucijos. </w:t>
      </w:r>
    </w:p>
    <w:p>
      <w:pPr>
        <w:pStyle w:val="Normal"/>
        <w:rPr/>
      </w:pPr>
      <w:r>
        <w:rPr/>
        <w:t xml:space="preserve"> </w:t>
      </w:r>
    </w:p>
    <w:p>
      <w:pPr>
        <w:pStyle w:val="Normal"/>
        <w:rPr/>
      </w:pPr>
      <w:r>
        <w:rPr/>
        <w:t xml:space="preserve">Rekomenduojame šias priemones, kad Europos vartotojai geriau žinotų apie perkamų produktų aplinkosauginį pėdsaką. „Ecoscore“ padėtų lengvai nurodyti, kokiu mastu produktas tausoja aplinką, taikant visoje Europoje bendrą mastą. „Ecoscore“ turėtų turėti QR kodą produkto gale, kad būtų galima susipažinti su papildoma informacija apie jo aplinkosauginį pėdsaką. </w:t>
      </w:r>
    </w:p>
    <w:p>
      <w:pPr>
        <w:pStyle w:val="Normal"/>
        <w:rPr/>
      </w:pPr>
      <w:r>
        <w:rPr/>
        <w:t xml:space="preserve"> </w:t>
      </w:r>
    </w:p>
    <w:p>
      <w:pPr>
        <w:pStyle w:val="Titre4"/>
        <w:numPr>
          <w:ilvl w:val="3"/>
          <w:numId w:val="2"/>
        </w:numPr>
        <w:rPr/>
      </w:pPr>
      <w:bookmarkStart w:id="187" w:name="__RefHeading___Toc297309_1346298689"/>
      <w:bookmarkEnd w:id="187"/>
      <w:r>
        <w:rPr/>
        <w:t xml:space="preserve">2.2 poašis – Tarptautinė klimato politika </w:t>
      </w:r>
    </w:p>
    <w:p>
      <w:pPr>
        <w:pStyle w:val="P68B1DB1Normal15"/>
        <w:rPr>
          <w:b/>
          <w:b/>
        </w:rPr>
      </w:pPr>
      <w:r>
        <w:rPr/>
        <w:t xml:space="preserve">14. Mes rekomenduojame Europos Sąjungai priimti strategiją, kad ji taptų autonomiškesnė energijos gamybos srityje. Europos institucija, vienijanti dabartines Europos energetikos institucijas, turėtų koordinuoti atsinaujinančiosios energijos plėtrą pagal valstybių narių poreikius, pajėgumus ir išteklius, kartu gerbdama jų suverenumą. Institucijos skatintų tarpusavyje keistis žiniomis, kad galėtų įgyvendinti šią strategiją. </w:t>
      </w:r>
    </w:p>
    <w:p>
      <w:pPr>
        <w:pStyle w:val="Normal"/>
        <w:rPr/>
      </w:pPr>
      <w:r>
        <w:rPr/>
        <w:t xml:space="preserve"> </w:t>
      </w:r>
    </w:p>
    <w:p>
      <w:pPr>
        <w:pStyle w:val="Normal"/>
        <w:rPr/>
      </w:pPr>
      <w:r>
        <w:rPr/>
        <w:t xml:space="preserve">Mes rekomenduojame šias priemones, nes mūsų dabartinė priklausomybė daro mus pažeidžiamus politinės įtampos su šalimis, kurias importuojame energiją, atveju. Dabar tai matome su elektros energijos krize. Tačiau tokiu koordinavimu turėtų būti gerbiamas kiekvienos šalies suverenitetas. </w:t>
      </w:r>
    </w:p>
    <w:p>
      <w:pPr>
        <w:pStyle w:val="Normal"/>
        <w:rPr/>
      </w:pPr>
      <w:r>
        <w:rPr/>
        <w:t xml:space="preserve"> </w:t>
      </w:r>
    </w:p>
    <w:p>
      <w:pPr>
        <w:pStyle w:val="P68B1DB1Normal15"/>
        <w:rPr>
          <w:b/>
          <w:b/>
        </w:rPr>
      </w:pPr>
      <w:r>
        <w:rPr/>
        <w:t xml:space="preserve">15. Mes rekomenduojame sugriežtinti aplinkosaugos standartus atliekų eksportui ES viduje ir už jos ribų, taip pat griežčiau kontroliuoti ir taikyti sankcijas, kad būtų sustabdytas neteisėtas eksportas. ES turėtų skatinti valstybes nares toliau perdirbti savo atliekas ir jas naudoti energijai gaminti. </w:t>
      </w:r>
    </w:p>
    <w:p>
      <w:pPr>
        <w:pStyle w:val="Normal"/>
        <w:rPr/>
      </w:pPr>
      <w:r>
        <w:rPr/>
        <w:t xml:space="preserve"> </w:t>
      </w:r>
    </w:p>
    <w:p>
      <w:pPr>
        <w:pStyle w:val="Normal"/>
        <w:rPr/>
      </w:pPr>
      <w:r>
        <w:rPr/>
        <w:t xml:space="preserve">Mes rekomenduojame šias priemones, kad šalys, kurios šalina savo atliekas kitų šalių nenaudai, nebedarytų žalos aplinkai, ypač tais atvejais, kai visiškai nesilaikoma aplinkosaugos standartų. </w:t>
      </w:r>
    </w:p>
    <w:p>
      <w:pPr>
        <w:pStyle w:val="Normal"/>
        <w:rPr/>
      </w:pPr>
      <w:r>
        <w:rPr/>
        <w:t xml:space="preserve"> </w:t>
      </w:r>
    </w:p>
    <w:p>
      <w:pPr>
        <w:pStyle w:val="P68B1DB1Normal15"/>
        <w:rPr>
          <w:b/>
          <w:b/>
        </w:rPr>
      </w:pPr>
      <w:r>
        <w:rPr/>
        <w:t xml:space="preserve">16. Rekomenduojame ES ryžtingiau skatinti vykstančią ekologinę pertvarką, siekiant panaikinti taršias pakuotes. Tai turėtų būti daroma skatinant mažinti pakuočių kiekį arba skatinant ekologiškesnes pakuotes. Kad mažosios įmonės galėtų prisitaikyti, joms turėtų būti teikiama parama ir patikslinimai. </w:t>
      </w:r>
    </w:p>
    <w:p>
      <w:pPr>
        <w:pStyle w:val="Normal"/>
        <w:rPr/>
      </w:pPr>
      <w:r>
        <w:rPr/>
        <w:t xml:space="preserve"> </w:t>
      </w:r>
    </w:p>
    <w:p>
      <w:pPr>
        <w:pStyle w:val="Normal"/>
        <w:rPr/>
      </w:pPr>
      <w:r>
        <w:rPr/>
        <w:t xml:space="preserve">Mes rekomenduojame šias priemones, nes turime sumažinti gamtos išteklių, įskaitant žaliavas iš ES nepriklausančių šalių, naudojimą. Taip pat turime sumažinti europiečių daromą žalą mūsų planetai ir jos klimatui. Labai svarbu geriau remti mažąsias įmones, kad jos galėtų prisitaikyti nedidindamos savo kainų. </w:t>
      </w:r>
    </w:p>
    <w:p>
      <w:pPr>
        <w:pStyle w:val="Normal"/>
        <w:rPr/>
      </w:pPr>
      <w:r>
        <w:rPr/>
        <w:t xml:space="preserve"> </w:t>
      </w:r>
    </w:p>
    <w:p>
      <w:pPr>
        <w:pStyle w:val="P68B1DB1Normal15"/>
        <w:rPr>
          <w:b/>
          <w:b/>
        </w:rPr>
      </w:pPr>
      <w:r>
        <w:rPr/>
        <w:t xml:space="preserve">17. Mes rekomenduojame Europos Sąjungos šalims rimčiau pažvelgti į branduolinės energijos klausimą kartu. Reikėtų stiprinti bendradarbiavimą siekiant įvertinti branduolinės energijos naudojimą ir jos vaidmenį Europos perėjimo prie žaliosios energetikos srityje. </w:t>
      </w:r>
    </w:p>
    <w:p>
      <w:pPr>
        <w:pStyle w:val="Normal"/>
        <w:rPr/>
      </w:pPr>
      <w:r>
        <w:rPr/>
        <w:t xml:space="preserve"> </w:t>
      </w:r>
    </w:p>
    <w:p>
      <w:pPr>
        <w:pStyle w:val="Normal"/>
        <w:rPr/>
      </w:pPr>
      <w:r>
        <w:rPr/>
        <w:t xml:space="preserve">Mes rekomenduojame šias priemones, nes branduolinės problemos negali išspręsti izoliuota šalis. Šiuo metu pusėje valstybių narių yra daugiau kaip 100 reaktorių, o nauji reaktoriai statomi. Kadangi turime bendrą elektros tinklą, jų gaminama mažo anglies dioksido kiekio elektros energija yra naudinga visiems europiečiams ir didina mūsų žemyno energetinį savarankiškumą. Be to, branduolinių atliekų išmetimas ar avarija paliestų kelias šalis. Nepriklausomai nuo to, ar sprendžiama dėl branduolinės energijos naudojimo, ar ne, europiečiai turi ją aptarti kartu ir apibrėžti labiau suderintas strategijas, kartu gerbdami nacionalinį suverenitetą. </w:t>
      </w:r>
    </w:p>
    <w:p>
      <w:pPr>
        <w:pStyle w:val="Normal"/>
        <w:rPr/>
      </w:pPr>
      <w:r>
        <w:rPr/>
        <w:t xml:space="preserve"> </w:t>
      </w:r>
    </w:p>
    <w:p>
      <w:pPr>
        <w:pStyle w:val="Titre4"/>
        <w:numPr>
          <w:ilvl w:val="3"/>
          <w:numId w:val="2"/>
        </w:numPr>
        <w:rPr/>
      </w:pPr>
      <w:bookmarkStart w:id="188" w:name="__RefHeading___Toc297311_1346298689"/>
      <w:bookmarkEnd w:id="188"/>
      <w:r>
        <w:rPr/>
        <w:t xml:space="preserve">Poašis. Europos vertybių propagavimas </w:t>
      </w:r>
    </w:p>
    <w:p>
      <w:pPr>
        <w:pStyle w:val="P68B1DB1Normal15"/>
        <w:rPr>
          <w:b/>
          <w:b/>
        </w:rPr>
      </w:pPr>
      <w:r>
        <w:rPr/>
        <w:t xml:space="preserve">18. ES turėtų būti arčiau piliečių. Rekomenduojame ES užmegzti ir stiprinti ryšius su piliečiais ir vietos institucijomis, pavyzdžiui, vietos valdžios institucijomis, mokyklomis ir savivaldybėmis. Tikslas – didinti skaidrumą, pasiekti piliečius, geriau juos informuoti apie konkrečias ES iniciatyvas ir geriau perduoti bendrą ES informaciją. </w:t>
      </w:r>
    </w:p>
    <w:p>
      <w:pPr>
        <w:pStyle w:val="Normal"/>
        <w:rPr/>
      </w:pPr>
      <w:r>
        <w:rPr/>
        <w:t xml:space="preserve"> </w:t>
      </w:r>
    </w:p>
    <w:p>
      <w:pPr>
        <w:pStyle w:val="Normal"/>
        <w:rPr/>
      </w:pPr>
      <w:r>
        <w:rPr/>
        <w:t xml:space="preserve">Rekomenduojame šias priemones, nes dabartinė informacija apie ES nėra pakankamai prieinama visoms socialinėms grupėms ir nedaro poveikio paprastiems piliečiams. Jie dažnai nuobodūs, sunkiai suprantami ir nedraugiški. Ši padėtis turi pasikeisti, kad piliečiai turėtų aiškią ES veiksmų ir vaidmens viziją. Siekiant pritraukti visuomenės susidomėjimą, su ES susijusi informacija turi būti lengvai randama, motyvuojanti, įdomi ir parašyta bendra kalba. Štai mūsų pasiūlymai: Europos politikų vizitų į mokyklas organizavimas, radijo kampanijos tinklalaidėmis, laiškais, spaudos straipsniais, reklaminiais autobusais ir socialine žiniasklaida, vietos piliečių asamblėjos ir darbo grupės, specialiai skirtos ES komunikacijai gerinti, sukūrimas. Šios priemonės leis piliečiams gauti informacijos apie ES, kurios nefiltruoja nacionalinė žiniasklaida. </w:t>
      </w:r>
    </w:p>
    <w:p>
      <w:pPr>
        <w:pStyle w:val="Normal"/>
        <w:rPr/>
      </w:pPr>
      <w:r>
        <w:rPr/>
        <w:t xml:space="preserve"> </w:t>
      </w:r>
    </w:p>
    <w:p>
      <w:pPr>
        <w:pStyle w:val="P68B1DB1Normal15"/>
        <w:rPr>
          <w:b/>
          <w:b/>
        </w:rPr>
      </w:pPr>
      <w:r>
        <w:rPr/>
        <w:t xml:space="preserve">19. Rekomenduojame aktyviau dalyvauti ES politikoje. Siūlome organizuoti renginius, kuriuose piliečiai tiesiogiai dalyvautų pagal Konferencijos dėl Europos ateities modelį. Jie turėtų būti organizuojami nacionaliniu, vietos ir Europos lygmenimis. ES turėtų nustatyti nuoseklią strategiją ir centralizuotas gaires šiems renginiams. </w:t>
      </w:r>
    </w:p>
    <w:p>
      <w:pPr>
        <w:pStyle w:val="Normal"/>
        <w:rPr/>
      </w:pPr>
      <w:r>
        <w:rPr/>
        <w:t xml:space="preserve"> </w:t>
      </w:r>
    </w:p>
    <w:p>
      <w:pPr>
        <w:pStyle w:val="Normal"/>
        <w:rPr/>
      </w:pPr>
      <w:r>
        <w:rPr/>
        <w:t xml:space="preserve">Rekomenduojame šias priemones, nes šios dalyvaujamosios demokratijos pratybos suteiks teisingą informaciją apie ES ir pagerins ES politikos kokybę. Renginiai turėtų būti organizuojami taip, kad būtų propaguojamos pagrindinės Sąjungos vertybės – demokratija ir piliečių dalyvavimas. Šie renginiai suteiktų galimybę politikams parodyti piliečiams, kad jiems svarbu, jog piliečiai būtų informuojami apie dabartinius įvykius ir būtų siejami su jų apibrėžimu. Centralizuotos gairės užtikrins nacionalinių ir vietos konferencijų nuoseklumą ir nuoseklumą. </w:t>
      </w:r>
    </w:p>
    <w:p>
      <w:pPr>
        <w:pStyle w:val="Normal"/>
        <w:rPr/>
      </w:pPr>
      <w:r>
        <w:rPr/>
        <w:t xml:space="preserve"> </w:t>
      </w:r>
    </w:p>
    <w:p>
      <w:pPr>
        <w:pStyle w:val="Titre3"/>
        <w:numPr>
          <w:ilvl w:val="2"/>
          <w:numId w:val="2"/>
        </w:numPr>
        <w:rPr/>
      </w:pPr>
      <w:bookmarkStart w:id="189" w:name="__RefHeading___Toc297313_1346298689"/>
      <w:bookmarkEnd w:id="189"/>
      <w:r>
        <w:rPr/>
        <w:t xml:space="preserve">3 ašis: Stipri ES taikiame pasaulyje </w:t>
      </w:r>
    </w:p>
    <w:p>
      <w:pPr>
        <w:pStyle w:val="Titre4"/>
        <w:numPr>
          <w:ilvl w:val="3"/>
          <w:numId w:val="2"/>
        </w:numPr>
        <w:rPr/>
      </w:pPr>
      <w:bookmarkStart w:id="190" w:name="__RefHeading___Toc297315_1346298689"/>
      <w:bookmarkEnd w:id="190"/>
      <w:r>
        <w:rPr/>
        <w:t xml:space="preserve">3.1 poašis. Saugumas ir gynyba </w:t>
      </w:r>
    </w:p>
    <w:p>
      <w:pPr>
        <w:pStyle w:val="P68B1DB1Normal15"/>
        <w:rPr>
          <w:b/>
          <w:b/>
        </w:rPr>
      </w:pPr>
      <w:r>
        <w:rPr/>
        <w:t xml:space="preserve">20. Rekomenduojame, kad būsimos „Europos Sąjungos bendrosios ginkluotosios pajėgos“ visų pirma būtų naudojamos gynybos tikslais. Bet kokie agresyvūs kariniai veiksmai, nepriklausomai nuo jų pobūdžio, atmetami. Europoje tai suteiktų galimybę teikti pagalbą krizės atveju, ypač gaivalinės nelaimės atveju. Už Europos sienų tai leistų dislokuoti išteklius išskirtinėmis aplinkybėmis pasižyminčioms teritorijoms, išimtinai pagal JT Saugumo Tarybos teisinius įgaliojimus ir taip laikantis tarptautinės teisės. </w:t>
      </w:r>
    </w:p>
    <w:p>
      <w:pPr>
        <w:pStyle w:val="Normal"/>
        <w:rPr/>
      </w:pPr>
      <w:r>
        <w:rPr/>
        <w:t xml:space="preserve"> </w:t>
      </w:r>
    </w:p>
    <w:p>
      <w:pPr>
        <w:pStyle w:val="Normal"/>
        <w:rPr/>
      </w:pPr>
      <w:r>
        <w:rPr/>
        <w:t xml:space="preserve">Jei ji būtų įgyvendinta, Europos Sąjungą būtų galima laikyti patikima, atsakinga, stipria ir taikia partnere tarptautinėje arenoje. Taigi, sustiprinus jos gebėjimą reaguoti į krizines situacijas šalyje ir užsienyje, turėtų būti apsaugotos pagrindinės jos vertybės. </w:t>
      </w:r>
    </w:p>
    <w:p>
      <w:pPr>
        <w:pStyle w:val="Normal"/>
        <w:rPr/>
      </w:pPr>
      <w:r>
        <w:rPr/>
        <w:t xml:space="preserve"> </w:t>
      </w:r>
    </w:p>
    <w:p>
      <w:pPr>
        <w:pStyle w:val="Titre4"/>
        <w:numPr>
          <w:ilvl w:val="3"/>
          <w:numId w:val="2"/>
        </w:numPr>
        <w:rPr/>
      </w:pPr>
      <w:bookmarkStart w:id="191" w:name="__RefHeading___Toc297317_1346298689"/>
      <w:bookmarkEnd w:id="191"/>
      <w:r>
        <w:rPr/>
        <w:t xml:space="preserve">Poašis. Sprendimų priėmimas ir ES užsienio politika </w:t>
      </w:r>
    </w:p>
    <w:p>
      <w:pPr>
        <w:pStyle w:val="P68B1DB1Normal15"/>
        <w:rPr>
          <w:b/>
          <w:b/>
        </w:rPr>
      </w:pPr>
      <w:r>
        <w:rPr/>
        <w:t xml:space="preserve">21. Rekomenduojame, kad visos sritys, kuriose sprendimai priimami vieningai, dabar būtų priimamos kvalifikuota balsų dauguma. Vienintelės išimtys turėtų būti naujų valstybių narių priėmimas į Sąjungą ir pagrindinių Sąjungos principų, įtvirtintų Lisabonos sutarties 2 straipsnyje ir Europos Sąjungos pagrindinių teisių chartijoje, pakeitimas. </w:t>
      </w:r>
    </w:p>
    <w:p>
      <w:pPr>
        <w:pStyle w:val="Normal"/>
        <w:rPr/>
      </w:pPr>
      <w:r>
        <w:rPr/>
        <w:t xml:space="preserve"> </w:t>
      </w:r>
    </w:p>
    <w:p>
      <w:pPr>
        <w:pStyle w:val="Normal"/>
        <w:rPr/>
      </w:pPr>
      <w:r>
        <w:rPr/>
        <w:t xml:space="preserve">Tai sustiprintų ES poziciją pasaulyje, nes būtų pasiektas vieningas frontas trečiųjų šalių atžvilgiu, ir būtų sudarytos palankesnės sąlygos jos bendriems reagavimo pajėgumams, įskaitant reagavimą į krizes. </w:t>
      </w:r>
    </w:p>
    <w:p>
      <w:pPr>
        <w:pStyle w:val="Normal"/>
        <w:rPr/>
      </w:pPr>
      <w:r>
        <w:rPr/>
        <w:t xml:space="preserve"> </w:t>
      </w:r>
    </w:p>
    <w:p>
      <w:pPr>
        <w:pStyle w:val="P68B1DB1Normal15"/>
        <w:rPr>
          <w:b/>
          <w:b/>
        </w:rPr>
      </w:pPr>
      <w:r>
        <w:rPr/>
        <w:t xml:space="preserve">22. Rekomenduojame Europos Sąjungai sustiprinti savo gebėjimą taikyti sankcijas valstybėms narėms, vyriausybėms, subjektams, grupėms ar organizacijoms ir asmenims, kurie nesilaiko savo pagrindinių principų, susitarimų ir įstatymų. Būtina, kad jau taikomos sankcijos būtų greitai įgyvendintos ir veiksmingai jų būtų laikomasi. Trečiosioms šalims taikomos sankcijos turėtų būti proporcingos veiksmams, kuriais jos buvo paskatintos, būti veiksmingos ir taikomos laiku. </w:t>
      </w:r>
    </w:p>
    <w:p>
      <w:pPr>
        <w:pStyle w:val="Normal"/>
        <w:rPr/>
      </w:pPr>
      <w:r>
        <w:rPr/>
        <w:t xml:space="preserve"> </w:t>
      </w:r>
    </w:p>
    <w:p>
      <w:pPr>
        <w:pStyle w:val="Normal"/>
        <w:rPr/>
      </w:pPr>
      <w:r>
        <w:rPr/>
        <w:t xml:space="preserve">Kad ES būtų patikima ir patikima, ji turi taikyti sankcijas tiems, kurie pažeidžia jos principus. Tokios sankcijos turėtų būti taikomos veiksmingai ir operatyviai ir joms turėtų būti taikoma kontrolė. </w:t>
      </w:r>
    </w:p>
    <w:p>
      <w:pPr>
        <w:pStyle w:val="Normal"/>
        <w:rPr/>
      </w:pPr>
      <w:r>
        <w:rPr/>
        <w:t xml:space="preserve"> </w:t>
      </w:r>
    </w:p>
    <w:p>
      <w:pPr>
        <w:pStyle w:val="Titre4"/>
        <w:numPr>
          <w:ilvl w:val="3"/>
          <w:numId w:val="2"/>
        </w:numPr>
        <w:rPr/>
      </w:pPr>
      <w:bookmarkStart w:id="192" w:name="__RefHeading___Toc297319_1346298689"/>
      <w:bookmarkEnd w:id="192"/>
      <w:r>
        <w:rPr/>
        <w:t xml:space="preserve">Subašis – Kaimyninės šalys ir plėtra </w:t>
      </w:r>
    </w:p>
    <w:p>
      <w:pPr>
        <w:pStyle w:val="P68B1DB1Normal15"/>
        <w:rPr>
          <w:b/>
          <w:b/>
        </w:rPr>
      </w:pPr>
      <w:r>
        <w:rPr/>
        <w:t xml:space="preserve">23. Rekomenduojame Europos Sąjungai skirti specialų biudžetą švietimo programoms, skirtoms ES veikimui ir jos vertybėms, plėtoti. Tada šios programos bus pasiūlytos valstybėms narėms, jei jos to norės įtraukti jas į savo mokyklų mokymo programas (pradinį ir vidurinį ugdymą bei universitetus). Be to, studentams, norintiems studijuoti kitoje Europos šalyje pagal programą „Erasmus“, galėtų būti pasiūlytas specialus kursas apie ES ir jos veikimą. Studentams, kurie pasirenka šį kursą, būtų teikiama pirmenybė, kad jie galėtų pasinaudoti šiomis Erasmus programomis. </w:t>
      </w:r>
    </w:p>
    <w:p>
      <w:pPr>
        <w:pStyle w:val="Normal"/>
        <w:rPr/>
      </w:pPr>
      <w:r>
        <w:rPr/>
        <w:t xml:space="preserve"> </w:t>
      </w:r>
    </w:p>
    <w:p>
      <w:pPr>
        <w:pStyle w:val="Normal"/>
        <w:rPr/>
      </w:pPr>
      <w:r>
        <w:rPr/>
        <w:t xml:space="preserve">Mes rekomenduojame šias priemones, kad padidintume priklausymo ES jausmą. Tokiu būdu piliečiai geriau susitapatins su Sąjunga ir perteiks jos vertybes. Be to, šios priemonės padidins ES veikimo skaidrumą ir dalyvavimo joje naudą, taip pat kovą su antieuropietiškais judėjimais. Šios priemonės turėtų atgrasyti valstybes nares nuo pasitraukimo iš ES. </w:t>
      </w:r>
    </w:p>
    <w:p>
      <w:pPr>
        <w:pStyle w:val="Normal"/>
        <w:rPr/>
      </w:pPr>
      <w:r>
        <w:rPr/>
        <w:t xml:space="preserve"> </w:t>
      </w:r>
    </w:p>
    <w:p>
      <w:pPr>
        <w:pStyle w:val="P68B1DB1Normal15"/>
        <w:rPr>
          <w:b/>
          <w:b/>
        </w:rPr>
      </w:pPr>
      <w:r>
        <w:rPr/>
        <w:t xml:space="preserve">24. Rekomenduojame ES labiau išnaudoti savo politinę ir ekonominę įtaką santykiuose su kitomis šalimis, kad tam tikros valstybės narės nepatirtų dvišalio ekonominio, politinio ir socialinio spaudimo. </w:t>
      </w:r>
    </w:p>
    <w:p>
      <w:pPr>
        <w:pStyle w:val="Normal"/>
        <w:rPr/>
      </w:pPr>
      <w:r>
        <w:rPr/>
        <w:t xml:space="preserve"> </w:t>
      </w:r>
    </w:p>
    <w:p>
      <w:pPr>
        <w:pStyle w:val="Normal"/>
        <w:rPr/>
      </w:pPr>
      <w:r>
        <w:rPr/>
        <w:t xml:space="preserve">Mes rekomenduojame šias priemones dėl trijų priežasčių. Visų pirma, jie sustiprins vienybės jausmą ES. Antra, vienašalė reakcija bus aiškus, tvirtas ir greitas atsakas siekiant išvengti bet kokių trečiųjų šalių bandymų tyčiotis ar susidoroti su ES valstybėmis narėmis. Galiausiai jos sustiprins Sąjungos saugumą ir užtikrins, kad nė viena valstybė narė nesijaustų apleista ar ignoruojama. Dvišalės reakcijos skiria ES ir yra silpnumas, kurį trečiosios šalys naudoja prieš mus. </w:t>
      </w:r>
    </w:p>
    <w:p>
      <w:pPr>
        <w:pStyle w:val="Normal"/>
        <w:rPr/>
      </w:pPr>
      <w:r>
        <w:rPr/>
        <w:t xml:space="preserve"> </w:t>
      </w:r>
    </w:p>
    <w:p>
      <w:pPr>
        <w:pStyle w:val="P68B1DB1Normal15"/>
        <w:rPr>
          <w:b/>
          <w:b/>
        </w:rPr>
      </w:pPr>
      <w:r>
        <w:rPr/>
        <w:t xml:space="preserve">25. „Rekomenduojame, kad Sąjunga patobulintų savo komunikacijos strategiją“. Viena vertus, ES turėtų didinti savo matomumą socialiniuose tinkluose ir aktyviai propaguoti jos turinį. Kita vertus, ji turėtų ir toliau kasmet rengti konferencijas, pavyzdžiui, Konferenciją dėl Europos ateities. Taip pat rekomenduojame toliau skatinti inovacijas skatinant prieinamą Europos socialinį tinklą. </w:t>
      </w:r>
    </w:p>
    <w:p>
      <w:pPr>
        <w:pStyle w:val="Normal"/>
        <w:rPr/>
      </w:pPr>
      <w:r>
        <w:rPr/>
        <w:t xml:space="preserve"> </w:t>
      </w:r>
    </w:p>
    <w:p>
      <w:pPr>
        <w:pStyle w:val="Normal"/>
        <w:rPr/>
      </w:pPr>
      <w:r>
        <w:rPr/>
        <w:t xml:space="preserve">Šie pasiūlymai ne tik pasiektų jaunimą, bet ir padidintų Europos piliečių susidomėjimą ir dalyvavimą taikant patrauklesnę ir veiksmingesnę komunikacijos priemonę. Renginių, pavyzdžiui, Konferencijos dėl Europos ateities, organizavimas turėtų sudaryti sąlygas piliečiams aktyviau dalyvauti sprendimų priėmimo procese ir užtikrinti, kad jų balsas būtų išgirstas. </w:t>
      </w:r>
    </w:p>
    <w:p>
      <w:pPr>
        <w:pStyle w:val="Normal"/>
        <w:rPr/>
      </w:pPr>
      <w:r>
        <w:rPr/>
        <w:t xml:space="preserve"> </w:t>
      </w:r>
    </w:p>
    <w:p>
      <w:pPr>
        <w:pStyle w:val="P68B1DB1Normal15"/>
        <w:rPr>
          <w:b/>
          <w:b/>
        </w:rPr>
      </w:pPr>
      <w:r>
        <w:rPr/>
        <w:t xml:space="preserve">26. Mes rekomenduojame valstybėms narėms priimti tvirtą viziją ir bendrą strategiją, siekiant suderinti ir įtvirtinti Europos tapatybę ir vienybę prieš toliau plečiant Sąjungą. </w:t>
      </w:r>
    </w:p>
    <w:p>
      <w:pPr>
        <w:pStyle w:val="Normal"/>
        <w:rPr/>
      </w:pPr>
      <w:r>
        <w:rPr/>
        <w:t xml:space="preserve"> </w:t>
      </w:r>
    </w:p>
    <w:p>
      <w:pPr>
        <w:pStyle w:val="Normal"/>
        <w:rPr/>
      </w:pPr>
      <w:r>
        <w:rPr/>
        <w:t xml:space="preserve">Manome, kad prieš svarstant kitų šalių integraciją labai svarbu stiprinti ES ir stiprinti valstybių narių santykius. Kuo daugiau valstybių narių yra ES, tuo sudėtingesnis sprendimų priėmimo procesas; todėl svarbu peržiūrėti vieningą balsavimą sprendimų priėmimo procesuose. </w:t>
      </w:r>
    </w:p>
    <w:p>
      <w:pPr>
        <w:pStyle w:val="Normal"/>
        <w:rPr/>
      </w:pPr>
      <w:r>
        <w:rPr/>
        <w:t xml:space="preserve"> </w:t>
      </w:r>
    </w:p>
    <w:p>
      <w:pPr>
        <w:pStyle w:val="Titre3"/>
        <w:numPr>
          <w:ilvl w:val="2"/>
          <w:numId w:val="2"/>
        </w:numPr>
        <w:rPr/>
      </w:pPr>
      <w:bookmarkStart w:id="193" w:name="__RefHeading___Toc297321_1346298689"/>
      <w:bookmarkEnd w:id="193"/>
      <w:r>
        <w:rPr/>
        <w:t xml:space="preserve">4 ašis: Migracija žmogaus požiūriu </w:t>
      </w:r>
    </w:p>
    <w:p>
      <w:pPr>
        <w:pStyle w:val="Titre4"/>
        <w:numPr>
          <w:ilvl w:val="3"/>
          <w:numId w:val="2"/>
        </w:numPr>
        <w:rPr/>
      </w:pPr>
      <w:bookmarkStart w:id="194" w:name="__RefHeading___Toc297323_1346298689"/>
      <w:bookmarkEnd w:id="194"/>
      <w:r>
        <w:rPr/>
        <w:t xml:space="preserve">4.1 poašis. Emigracijos priežasčių šalinimas </w:t>
      </w:r>
    </w:p>
    <w:p>
      <w:pPr>
        <w:pStyle w:val="P68B1DB1Normal15"/>
        <w:rPr>
          <w:b/>
          <w:b/>
        </w:rPr>
      </w:pPr>
      <w:r>
        <w:rPr/>
        <w:t xml:space="preserve">27. Rekomenduojame Europos Sąjungai aktyviai dalyvauti trečiųjų šalių ir šalių, iš kurių atvyksta didžiausi migrantų srautai, ekonominiame vystymesi. Padedama atitinkamų institucijų (vietos NVO ir vietos politikų, ekspertų srities darbuotojų ir kt.), ES turėtų ieškoti būdų, kaip taikiai ir veiksmingai įsikišti šalyse, iš kurių kyla didžiausi migrantų srautai ir kurios susitarė dėl bendradarbiavimo sąlygų. Šios intervencijos turėtų turėti apčiuopiamą ir išmatuojamą poveikį, kuris turėtų būti aiškiai pabrėžtas, kad Europos piliečiai galėtų suprasti Sąjungos paramos vystymuisi politiką. Todėl ES paramos vystymuisi veiksmai turėtų tapti labiau matomi. </w:t>
      </w:r>
    </w:p>
    <w:p>
      <w:pPr>
        <w:pStyle w:val="Normal"/>
        <w:rPr/>
      </w:pPr>
      <w:r>
        <w:rPr/>
        <w:t xml:space="preserve"> </w:t>
      </w:r>
    </w:p>
    <w:p>
      <w:pPr>
        <w:pStyle w:val="Normal"/>
        <w:rPr/>
      </w:pPr>
      <w:r>
        <w:rPr/>
        <w:t xml:space="preserve">Net jei ES siekia tarptautinio vystymosi, ji turi tęsti savo veiksmus ir investuoti į savo politikos skaidrumą ir matomumą šioje srityje. </w:t>
      </w:r>
    </w:p>
    <w:p>
      <w:pPr>
        <w:pStyle w:val="Normal"/>
        <w:rPr/>
      </w:pPr>
      <w:r>
        <w:rPr/>
        <w:t xml:space="preserve"> </w:t>
      </w:r>
    </w:p>
    <w:p>
      <w:pPr>
        <w:pStyle w:val="P68B1DB1Normal15"/>
        <w:rPr>
          <w:b/>
          <w:b/>
        </w:rPr>
      </w:pPr>
      <w:r>
        <w:rPr/>
        <w:t xml:space="preserve">28. Rekomenduojame sukurti bendrą Europos darbo sąlygų (minimalaus darbo užmokesčio, darbo laiko ir kt.) suderinimo visoje Sąjungoje sistemą. ES turėtų stengtis sukurti bendrus pagrindinius darbo standartus, kad piliečiai negalėtų išvykti iš savo šalies ir ieškoti geresnių darbo sąlygų kitur. Laikydamasi šių standartų, ES turėtų stiprinti profesinių sąjungų vaidmenį tarptautiniu lygmeniu. Tai darydama ES pripažintų, kad vidaus ekonominė migracija (ES piliečių migracija) yra rimta problema. </w:t>
      </w:r>
    </w:p>
    <w:p>
      <w:pPr>
        <w:pStyle w:val="Normal"/>
        <w:rPr/>
      </w:pPr>
      <w:r>
        <w:rPr/>
        <w:t xml:space="preserve"> </w:t>
      </w:r>
    </w:p>
    <w:p>
      <w:pPr>
        <w:pStyle w:val="Normal"/>
        <w:rPr/>
      </w:pPr>
      <w:r>
        <w:rPr/>
        <w:t xml:space="preserve">Ši rekomendacija grindžiama išvada, kad daug žmonių ES migruoja dėl ekonominių priežasčių dėl skirtingų darbo sąlygų valstybėse narėse. Būtina užkirsti kelią šiam protų nutekėjimui, kad valstybės narės išlaikytų savo talentus ir darbo jėgą Mes remiame laisvą piliečių judėjimą, tačiau manome, kad ES piliečių migracija tarp skirtingų valstybių narių, kai jos nėra pageidaujama, yra susijusi su ekonominėmis priežastimis. Todėl svarbu sukurti bendrą darbo sistemą. </w:t>
      </w:r>
    </w:p>
    <w:p>
      <w:pPr>
        <w:pStyle w:val="Normal"/>
        <w:rPr/>
      </w:pPr>
      <w:r>
        <w:rPr/>
        <w:t xml:space="preserve"> </w:t>
      </w:r>
    </w:p>
    <w:p>
      <w:pPr>
        <w:pStyle w:val="Titre4"/>
        <w:numPr>
          <w:ilvl w:val="3"/>
          <w:numId w:val="2"/>
        </w:numPr>
        <w:rPr/>
      </w:pPr>
      <w:bookmarkStart w:id="195" w:name="__RefHeading___Toc297325_1346298689"/>
      <w:bookmarkEnd w:id="195"/>
      <w:r>
        <w:rPr/>
        <w:t xml:space="preserve">4.2 poašis – Žmogiškieji aspektai </w:t>
      </w:r>
    </w:p>
    <w:p>
      <w:pPr>
        <w:pStyle w:val="P68B1DB1Normal15"/>
        <w:rPr>
          <w:b/>
          <w:b/>
        </w:rPr>
      </w:pPr>
      <w:r>
        <w:rPr/>
        <w:t xml:space="preserve">29. Rekomenduojame įgyvendinti bendrą migracijos politiką, grindžiamą solidarumo principu. Norime atkreipti dėmesį į pabėgėlių problemą. Visoms ES valstybėms narėms bendra procedūra turėtų būti grindžiama veiksmingiausia praktika visose ES šalyse. Šią procedūrą turėtų aktyviai įgyvendinti nacionalinės valdžios institucijos ir ES administracija. </w:t>
      </w:r>
    </w:p>
    <w:p>
      <w:pPr>
        <w:pStyle w:val="Normal"/>
        <w:rPr/>
      </w:pPr>
      <w:r>
        <w:rPr/>
        <w:t xml:space="preserve"> </w:t>
      </w:r>
    </w:p>
    <w:p>
      <w:pPr>
        <w:pStyle w:val="Normal"/>
        <w:rPr/>
      </w:pPr>
      <w:r>
        <w:rPr/>
        <w:t xml:space="preserve">Pabėgėlių problema paliečia visas valstybes nares. Šiuo metu šios valstybės taiko pernelyg skirtingą praktiką, o tai daro neigiamą poveikį pabėgėliams ir ES piliečiams. Todėl būtina laikytis nuoseklaus ir nuoseklaus požiūrio. </w:t>
      </w:r>
    </w:p>
    <w:p>
      <w:pPr>
        <w:pStyle w:val="Normal"/>
        <w:rPr/>
      </w:pPr>
      <w:r>
        <w:rPr/>
        <w:t xml:space="preserve"> </w:t>
      </w:r>
    </w:p>
    <w:p>
      <w:pPr>
        <w:pStyle w:val="P68B1DB1Normal15"/>
        <w:rPr>
          <w:b/>
          <w:b/>
        </w:rPr>
      </w:pPr>
      <w:r>
        <w:rPr/>
        <w:t xml:space="preserve">30. Rekomenduojame ES dėti daugiau pastangų siekiant informuoti ir šviesti valstybių narių piliečius su migracija susijusiais klausimais. Tai turėtų būti pasiekta kuo anksčiau nuo pradinės mokyklos pradžios šviečiant vaikus tokiais klausimais kaip migracija ir integracija. Jei šį ankstyvąjį ugdymą sujungtume su NVO ir jaunimo organizacijų veikla, taip pat su plataus masto žiniasklaidos kampanijomis, galėtume visiškai pasiekti savo tikslą. Be to, galima naudoti daug komunikacijos priemonių: lankstinukai, televizija ir socialiniai tinklai. </w:t>
      </w:r>
    </w:p>
    <w:p>
      <w:pPr>
        <w:pStyle w:val="Normal"/>
        <w:rPr/>
      </w:pPr>
      <w:r>
        <w:rPr/>
        <w:t xml:space="preserve"> </w:t>
      </w:r>
    </w:p>
    <w:p>
      <w:pPr>
        <w:pStyle w:val="Normal"/>
        <w:rPr/>
      </w:pPr>
      <w:r>
        <w:rPr/>
        <w:t xml:space="preserve">Svarbu parodyti, kad migracija taip pat turi daug teigiamų aspektų, pavyzdžiui, papildomą darbo jėgą. Norėtume pabrėžti, kad svarbu didinti informuotumą apie abu procesus, kad piliečiai suprastų migracijos priežastis ir pasekmes, kad būtų pašalinta stigma, atsirandanti dėl to, kad jie laikomi migrantais. </w:t>
      </w:r>
    </w:p>
    <w:p>
      <w:pPr>
        <w:pStyle w:val="Normal"/>
        <w:rPr/>
      </w:pPr>
      <w:r>
        <w:rPr/>
        <w:t xml:space="preserve"> </w:t>
      </w:r>
    </w:p>
    <w:p>
      <w:pPr>
        <w:pStyle w:val="Titre4"/>
        <w:numPr>
          <w:ilvl w:val="3"/>
          <w:numId w:val="2"/>
        </w:numPr>
        <w:rPr/>
      </w:pPr>
      <w:bookmarkStart w:id="196" w:name="__RefHeading___Toc297327_1346298689"/>
      <w:bookmarkEnd w:id="196"/>
      <w:r>
        <w:rPr/>
        <w:t xml:space="preserve">Poašis. Sienos </w:t>
      </w:r>
    </w:p>
    <w:p>
      <w:pPr>
        <w:pStyle w:val="P68B1DB1Normal15"/>
        <w:rPr>
          <w:b/>
          <w:b/>
        </w:rPr>
      </w:pPr>
      <w:r>
        <w:rPr/>
        <w:t xml:space="preserve">31. Rekomenduojame Direktyvą 2013/33/ES dėl minimalių normų dėl prieglobsčio prašytojų priėmimo valstybėse narėse pakeisti privalomu ES reglamentu, kuris būtų vienodai taikomas visose valstybėse narėse. Pirmenybė turėtų būti teikiama priėmimo ir apgyvendinimo infrastruktūros gerinimui. Rekomenduojame įsteigti specialią ES stebėsenos įstaigą šiam reglamentui įgyvendinti. </w:t>
      </w:r>
    </w:p>
    <w:p>
      <w:pPr>
        <w:pStyle w:val="Normal"/>
        <w:rPr/>
      </w:pPr>
      <w:r>
        <w:rPr/>
        <w:t xml:space="preserve"> </w:t>
      </w:r>
    </w:p>
    <w:p>
      <w:pPr>
        <w:pStyle w:val="Normal"/>
        <w:rPr/>
      </w:pPr>
      <w:r>
        <w:rPr/>
        <w:t xml:space="preserve">Iš tiesų direktyva nėra vienodai įgyvendinama visose valstybėse narėse. Turime vengti kartoti Morijos pabėgėlių stovykloje nustatytas sąlygas. Todėl rekomenduojamas reglamentas turėtų būti įgyvendintas ir į jį turėtų būti įtrauktos privalomos sankcijos. Stebėsenos įstaiga turėtų būti tvirta ir patikima. </w:t>
      </w:r>
    </w:p>
    <w:p>
      <w:pPr>
        <w:pStyle w:val="Normal"/>
        <w:rPr/>
      </w:pPr>
      <w:r>
        <w:rPr/>
        <w:t xml:space="preserve"> </w:t>
      </w:r>
    </w:p>
    <w:p>
      <w:pPr>
        <w:pStyle w:val="P68B1DB1Normal15"/>
        <w:rPr>
          <w:b/>
          <w:b/>
        </w:rPr>
      </w:pPr>
      <w:r>
        <w:rPr/>
        <w:t xml:space="preserve">32. Rekomenduojame ES užtikrinti, kad visi prieglobsčio prašytojai ir pabėgėliai dalyvautų kalbos ir integracijos kursuose, kol bus nagrinėjamas jų prašymas gyventi šalyje. Kursai turėtų būti privalomi, nemokami ir apimti asmeninę pagalbą pirminei integracijai. Jie turėtų būti pradėti per dvi savaites nuo prašymo leisti gyventi šalyje pateikimo. Taip pat turėtų būti įdiegti paskatų ir sankcijų mechanizmai. </w:t>
      </w:r>
    </w:p>
    <w:p>
      <w:pPr>
        <w:pStyle w:val="Normal"/>
        <w:rPr/>
      </w:pPr>
      <w:r>
        <w:rPr/>
        <w:t xml:space="preserve"> </w:t>
      </w:r>
    </w:p>
    <w:p>
      <w:pPr>
        <w:pStyle w:val="Normal"/>
        <w:rPr/>
      </w:pPr>
      <w:r>
        <w:rPr/>
        <w:t xml:space="preserve">Kalbos mokymasis ir atvykimo šalies kultūros, istorijos ir etikos supratimas yra esminis integracijos žingsnis. Vėlavimo trukmė iki pradinio integracijos proceso pradžios daro neigiamą poveikį migrantų socialinei asimiliacijai. Sankcijų mechanizmai gali padėti nustatyti migrantų norą integruotis. </w:t>
      </w:r>
    </w:p>
    <w:p>
      <w:pPr>
        <w:pStyle w:val="Normal"/>
        <w:rPr/>
      </w:pPr>
      <w:r>
        <w:rPr/>
        <w:t xml:space="preserve"> </w:t>
      </w:r>
    </w:p>
    <w:p>
      <w:pPr>
        <w:pStyle w:val="Titre3"/>
        <w:numPr>
          <w:ilvl w:val="2"/>
          <w:numId w:val="2"/>
        </w:numPr>
        <w:rPr/>
      </w:pPr>
      <w:bookmarkStart w:id="197" w:name="__RefHeading___Toc297329_1346298689"/>
      <w:bookmarkEnd w:id="197"/>
      <w:r>
        <w:rPr/>
        <w:t xml:space="preserve">5 ašis: Atsakomybė ir solidarumas ES </w:t>
      </w:r>
    </w:p>
    <w:p>
      <w:pPr>
        <w:pStyle w:val="Titre4"/>
        <w:numPr>
          <w:ilvl w:val="3"/>
          <w:numId w:val="2"/>
        </w:numPr>
        <w:rPr/>
      </w:pPr>
      <w:bookmarkStart w:id="198" w:name="__RefHeading___Toc297331_1346298689"/>
      <w:bookmarkEnd w:id="198"/>
      <w:r>
        <w:rPr/>
        <w:t xml:space="preserve">5.1 poašis. Migrantų pasiskirstymas </w:t>
      </w:r>
    </w:p>
    <w:p>
      <w:pPr>
        <w:pStyle w:val="P68B1DB1Normal15"/>
        <w:rPr>
          <w:b/>
          <w:b/>
        </w:rPr>
      </w:pPr>
      <w:r>
        <w:rPr/>
        <w:t xml:space="preserve">33. Rekomenduojame Dublino sistemą pakeisti teisiškai privaloma sutartimi, siekiant užtikrinti teisingą, subalansuotą ir proporcingą prieglobsčio prašytojų paskirstymą ES remiantis solidarumu ir teisingumu. Šiuo metu pabėgėliai turi prašyti prieglobsčio pirmojoje atvykimo valstybėje narėje. Šis sistemos pakeitimas turi būti kuo greitesnis. Europos Komisijos pasiūlymas dėl naujo ES migracijos ir prieglobsčio pakto nuo 2020 m. yra gera pradžia ir turėtų būti teisinė forma, nes jame numatytos pabėgėlių paskirstymo tarp ES valstybių narių kvotos. </w:t>
      </w:r>
    </w:p>
    <w:p>
      <w:pPr>
        <w:pStyle w:val="Normal"/>
        <w:rPr/>
      </w:pPr>
      <w:r>
        <w:rPr/>
        <w:t xml:space="preserve"> </w:t>
      </w:r>
    </w:p>
    <w:p>
      <w:pPr>
        <w:pStyle w:val="Normal"/>
        <w:rPr/>
      </w:pPr>
      <w:r>
        <w:rPr/>
        <w:t xml:space="preserve">Mes rekomenduojame tai, nes dabartinė Dublino sistema neatitinka solidarumo ir teisingumo principų. Dėl to valstybėms narėms, esančioms netoli ES išorės sienų, tenka didelė našta, kurią prieglobsčio prašytojai kerta, kad patektų į jos teritoriją. Visos valstybės narės turi prisiimti atsakomybę už pabėgėlių srautų į ES valdymą. ES yra bendrų vertybių bendrija ir turi atitinkamai veikti. </w:t>
      </w:r>
    </w:p>
    <w:p>
      <w:pPr>
        <w:pStyle w:val="Normal"/>
        <w:rPr/>
      </w:pPr>
      <w:r>
        <w:rPr/>
        <w:t xml:space="preserve"> </w:t>
      </w:r>
    </w:p>
    <w:p>
      <w:pPr>
        <w:pStyle w:val="P68B1DB1Normal15"/>
        <w:rPr>
          <w:b/>
          <w:b/>
        </w:rPr>
      </w:pPr>
      <w:r>
        <w:rPr/>
        <w:t xml:space="preserve">34. Mes rekomenduojame, kad ES padėtų savo valstybėms narėms nagrinėti prieglobsčio prašymus greičiau ir laikantis bendrų standartų. Be to, pabėgėliams turėtų būti suteiktas humanitarinis būstas. Siekiant iškrauti atvykstančias šalis ir suteikti galimybę tvarkyti prieglobsčio prašymus kitur, rekomenduojame, kad pabėgėliai po pirmojo atvykimo į ES būtų greitai ir veiksmingai perkeliami į skirtingas valstybes nares. Šiuo tikslu reikia ES finansinės paramos ir organizacinės paramos iš ES prieglobsčio agentūros. Asmenys, kurių prieglobsčio prašymas buvo atmestas, turi būti veiksmingai grąžinami į savo kilmės šalį, jei jų kilmės šalis laikoma saugia. </w:t>
      </w:r>
    </w:p>
    <w:p>
      <w:pPr>
        <w:pStyle w:val="Normal"/>
        <w:rPr/>
      </w:pPr>
      <w:r>
        <w:rPr/>
        <w:t xml:space="preserve"> </w:t>
      </w:r>
    </w:p>
    <w:p>
      <w:pPr>
        <w:pStyle w:val="Normal"/>
        <w:rPr/>
      </w:pPr>
      <w:r>
        <w:rPr/>
        <w:t xml:space="preserve">Mes rekomenduojame tai, nes šiuo metu prieglobsčio procedūros trunka per ilgai ir įvairiose valstybėse narėse gali skirtis. Paspartindami prieglobsčio procedūras pabėgėliai praleidžia mažiau laiko laukdami galutinio sprendimo laikino apgyvendinimo įstaigose. Prieglobsčio prašytojai gali būti integruoti greičiau. </w:t>
      </w:r>
    </w:p>
    <w:p>
      <w:pPr>
        <w:pStyle w:val="Normal"/>
        <w:rPr/>
      </w:pPr>
      <w:r>
        <w:rPr/>
        <w:t xml:space="preserve"> </w:t>
      </w:r>
    </w:p>
    <w:p>
      <w:pPr>
        <w:pStyle w:val="P68B1DB1Normal15"/>
        <w:rPr>
          <w:b/>
          <w:b/>
        </w:rPr>
      </w:pPr>
      <w:r>
        <w:rPr/>
        <w:t xml:space="preserve">35. Rekomenduojame teikti tvirtą ES finansinę, logistinę ir operatyvinę paramą pirmojo priėmimo valdymui, kuris gali padėti integruoti arba repatrijuoti neteisėtus migrantus. Šios paramos gavėjai yra ES pasienio valstybės, kurioms tenka migracijos srauto našta. </w:t>
      </w:r>
    </w:p>
    <w:p>
      <w:pPr>
        <w:pStyle w:val="Normal"/>
        <w:rPr/>
      </w:pPr>
      <w:r>
        <w:rPr/>
        <w:t xml:space="preserve"> </w:t>
      </w:r>
    </w:p>
    <w:p>
      <w:pPr>
        <w:pStyle w:val="Normal"/>
        <w:rPr/>
      </w:pPr>
      <w:r>
        <w:rPr/>
        <w:t xml:space="preserve">Dėl geografinės padėties kai kurios </w:t>
      </w:r>
      <w:commentRangeStart w:id="8"/>
      <w:r>
        <w:rPr/>
        <w:t>valstybės</w:t>
      </w:r>
      <w:r>
        <w:rPr/>
      </w:r>
      <w:commentRangeEnd w:id="8"/>
      <w:r>
        <w:commentReference w:id="8"/>
      </w:r>
      <w:r>
        <w:rPr/>
        <w:t xml:space="preserve"> narės labiausiai nukentėjo nuo migrantų antplūdžio. </w:t>
      </w:r>
    </w:p>
    <w:p>
      <w:pPr>
        <w:pStyle w:val="Normal"/>
        <w:rPr/>
      </w:pPr>
      <w:r>
        <w:rPr/>
        <w:t xml:space="preserve"> </w:t>
      </w:r>
    </w:p>
    <w:p>
      <w:pPr>
        <w:pStyle w:val="P68B1DB1Normal15"/>
        <w:rPr>
          <w:b/>
          <w:b/>
        </w:rPr>
      </w:pPr>
      <w:r>
        <w:rPr/>
        <w:t xml:space="preserve">36. Rekomenduojame sustiprinti ES prieglobsčio agentūros įgaliojimus, kad būtų užtikrintas teisingas prieglobsčio prašytojų pasiskirstymas valstybėse narėse. Siekiant šio tikslo, reikėtų atsižvelgti į tokių prieglobsčio prašytojų poreikius, taip pat į valstybių narių logistinius ir ekonominius pajėgumus bei jų poreikius darbo rinkoje. </w:t>
      </w:r>
    </w:p>
    <w:p>
      <w:pPr>
        <w:pStyle w:val="Normal"/>
        <w:rPr/>
      </w:pPr>
      <w:r>
        <w:rPr/>
        <w:t xml:space="preserve"> </w:t>
      </w:r>
    </w:p>
    <w:p>
      <w:pPr>
        <w:pStyle w:val="Normal"/>
        <w:rPr/>
      </w:pPr>
      <w:r>
        <w:rPr/>
        <w:t xml:space="preserve">Koordinuotai ir centralizuotai paskirstant prieglobsčio prašytojus, kuriuos valstybės narės ir jų piliečiai laiko teisingu, išvengiama chaotiškos padėties ir socialinės įtampos ir stiprinamas valstybių narių solidarumas. </w:t>
      </w:r>
    </w:p>
    <w:p>
      <w:pPr>
        <w:pStyle w:val="Normal"/>
        <w:rPr/>
      </w:pPr>
      <w:r>
        <w:rPr/>
        <w:t xml:space="preserve"> </w:t>
      </w:r>
    </w:p>
    <w:p>
      <w:pPr>
        <w:pStyle w:val="Titre4"/>
        <w:numPr>
          <w:ilvl w:val="3"/>
          <w:numId w:val="2"/>
        </w:numPr>
        <w:rPr/>
      </w:pPr>
      <w:bookmarkStart w:id="199" w:name="__RefHeading___Toc297333_1346298689"/>
      <w:bookmarkEnd w:id="199"/>
      <w:r>
        <w:rPr/>
        <w:t xml:space="preserve">5.2 poašis. Bendras požiūris į prieglobstį </w:t>
      </w:r>
    </w:p>
    <w:p>
      <w:pPr>
        <w:pStyle w:val="P68B1DB1Normal15"/>
        <w:rPr>
          <w:b/>
          <w:b/>
        </w:rPr>
      </w:pPr>
      <w:r>
        <w:rPr/>
        <w:t xml:space="preserve">37. Rekomenduojame sukurti visapusišką Europos instituciją arba sustiprinti ES prieglobsčio agentūrą, kad ji galėtų nagrinėti prieglobsčio prašymus visoje Europos Sąjungoje ir veikti pagal vienodus standartus. Agentūra taip pat turėtų būti atsakinga už teisingą pabėgėlių paskirstymą. Ji taip pat turėtų apibrėžti saugias ir nesaugias kilmės šalis ir būti atsakinga už prieglobsčio prašytojų, kurių prašymai buvo atmesti, grąžinimą. </w:t>
      </w:r>
    </w:p>
    <w:p>
      <w:pPr>
        <w:pStyle w:val="Normal"/>
        <w:rPr/>
      </w:pPr>
      <w:r>
        <w:rPr/>
        <w:t xml:space="preserve"> </w:t>
      </w:r>
    </w:p>
    <w:p>
      <w:pPr>
        <w:pStyle w:val="Normal"/>
        <w:rPr/>
      </w:pPr>
      <w:r>
        <w:rPr/>
        <w:t xml:space="preserve">Dabartinei prieglobsčio politikai būdinga neaiški atsakomybė ir skirtingi standartai tarp ES valstybių narių. Todėl prieglobsčio procedūros skirtingose valstybėse narėse taikomos nevienodai. Be to, Europos Sąjungos prieglobsčio agentūra šiuo metu turi tik įtakos galią. Ji gali tik patarti valstybėms narėms prieglobsčio klausimais. </w:t>
      </w:r>
    </w:p>
    <w:p>
      <w:pPr>
        <w:pStyle w:val="Normal"/>
        <w:rPr/>
      </w:pPr>
      <w:r>
        <w:rPr/>
        <w:t xml:space="preserve"> </w:t>
      </w:r>
    </w:p>
    <w:p>
      <w:pPr>
        <w:pStyle w:val="P68B1DB1Normal15"/>
        <w:rPr>
          <w:b/>
          <w:b/>
        </w:rPr>
      </w:pPr>
      <w:r>
        <w:rPr/>
        <w:t xml:space="preserve">38. Rekomenduojame nedelsiant įsteigti specializuotus prieglobsčio centrus nelydimiems nepilnamečiams visose ES valstybėse narėse. Tikslas – kuo greičiau priimti ir pasirūpinti nepilnamečiais, atsižvelgiant į jų ypatingus poreikius. </w:t>
      </w:r>
    </w:p>
    <w:p>
      <w:pPr>
        <w:pStyle w:val="Normal"/>
        <w:rPr/>
      </w:pPr>
      <w:r>
        <w:rPr/>
        <w:t xml:space="preserve"> </w:t>
      </w:r>
    </w:p>
    <w:p>
      <w:pPr>
        <w:pStyle w:val="Normal"/>
        <w:rPr/>
      </w:pPr>
      <w:r>
        <w:rPr/>
        <w:t xml:space="preserve">Mes teikiame šią rekomendaciją, nes: </w:t>
      </w:r>
    </w:p>
    <w:p>
      <w:pPr>
        <w:pStyle w:val="Normal"/>
        <w:rPr/>
      </w:pPr>
      <w:r>
        <w:rPr/>
        <w:t xml:space="preserve">1) Daugelis nepilnamečių gali būti traumuoti (nes jie yra iš konflikto zonų); </w:t>
      </w:r>
    </w:p>
    <w:p>
      <w:pPr>
        <w:pStyle w:val="Normal"/>
        <w:rPr/>
      </w:pPr>
      <w:r>
        <w:rPr/>
        <w:t xml:space="preserve">2) skirtingi vaikai turi skirtingus poreikius (priklausomai nuo amžiaus, sveikatos ir kt.); </w:t>
      </w:r>
    </w:p>
    <w:p>
      <w:pPr>
        <w:pStyle w:val="Normal"/>
        <w:rPr/>
      </w:pPr>
      <w:r>
        <w:rPr/>
        <w:t xml:space="preserve">(3) ją įgyvendinus būtų užtikrinta, kad pažeidžiami ir traumuoti nepilnamečiai kuo greičiau gautų visą būtiną priežiūrą; </w:t>
      </w:r>
    </w:p>
    <w:p>
      <w:pPr>
        <w:pStyle w:val="Normal"/>
        <w:rPr/>
      </w:pPr>
      <w:r>
        <w:rPr/>
        <w:t xml:space="preserve">4) šie nepilnamečiai yra būsimi Europos piliečiai, todėl, jei su jais tinkamai elgiamasi, jie turėtų teigiamai prisidėti prie Europos ateities. </w:t>
      </w:r>
    </w:p>
    <w:p>
      <w:pPr>
        <w:pStyle w:val="Normal"/>
        <w:rPr/>
      </w:pPr>
      <w:r>
        <w:rPr/>
        <w:t xml:space="preserve"> </w:t>
      </w:r>
    </w:p>
    <w:p>
      <w:pPr>
        <w:pStyle w:val="P68B1DB1Normal15"/>
        <w:rPr>
          <w:b/>
          <w:b/>
        </w:rPr>
      </w:pPr>
      <w:r>
        <w:rPr/>
        <w:t xml:space="preserve">39. Rekomenduojame sukurti bendrą, greitą ir skaidrią prieglobsčio prašymų nagrinėjimo sistemą. Šiame procese turėtų būti numatyti būtiniausi standartai ir jis turėtų būti vienodai taikomas visose valstybėse narėse. </w:t>
      </w:r>
    </w:p>
    <w:p>
      <w:pPr>
        <w:pStyle w:val="Normal"/>
        <w:rPr/>
      </w:pPr>
      <w:r>
        <w:rPr/>
        <w:t xml:space="preserve"> </w:t>
      </w:r>
    </w:p>
    <w:p>
      <w:pPr>
        <w:pStyle w:val="Normal"/>
        <w:rPr/>
      </w:pPr>
      <w:r>
        <w:rPr/>
        <w:t xml:space="preserve">Mes teikiame šią rekomendaciją, nes: </w:t>
      </w:r>
    </w:p>
    <w:p>
      <w:pPr>
        <w:pStyle w:val="Normal"/>
        <w:rPr/>
      </w:pPr>
      <w:r>
        <w:rPr/>
        <w:t xml:space="preserve">(1) jei ši rekomendacija būtų įgyvendinta, prieglobsčio prašymų nagrinėjimas būtų spartesnis ir skaidresnis; </w:t>
      </w:r>
    </w:p>
    <w:p>
      <w:pPr>
        <w:pStyle w:val="Normal"/>
        <w:rPr/>
      </w:pPr>
      <w:r>
        <w:rPr/>
        <w:t xml:space="preserve">2) dabartinių procedūrų lėtumas lemia neteisėtumą ir nusikalstamumą; </w:t>
      </w:r>
    </w:p>
    <w:p>
      <w:pPr>
        <w:pStyle w:val="Normal"/>
        <w:rPr/>
      </w:pPr>
      <w:r>
        <w:rPr/>
        <w:t xml:space="preserve">3) Mūsų rekomendacijoje numatyti minimalūs standartai turėtų apimti pagarbą žmogaus teisėms, sveikatai ir prieglobsčio prašytojų švietimo poreikiams; </w:t>
      </w:r>
    </w:p>
    <w:p>
      <w:pPr>
        <w:pStyle w:val="Normal"/>
        <w:rPr/>
      </w:pPr>
      <w:r>
        <w:rPr/>
        <w:t xml:space="preserve">4) įgyvendinus šią rekomendaciją būtų sudarytos geresnės galimybės įsidarbinti ir apsirūpinti savimi, o tai sudarytų sąlygas teigiamai prisidėti prie Europos visuomenės; prieglobsčio prašytojai, kurių profesinis statusas yra įteisintas, yra mažiau linkę piktnaudžiauti darbo aplinkoje; taip būtų galima tik skatinti visų susijusių asmenų integraciją; </w:t>
      </w:r>
    </w:p>
    <w:p>
      <w:pPr>
        <w:pStyle w:val="Normal"/>
        <w:rPr/>
      </w:pPr>
      <w:r>
        <w:rPr/>
        <w:t xml:space="preserve">5) ilgesnis buvimas prieglobsčio centruose daro neigiamą poveikį gyventojų psichikos sveikatai ir gerovei. </w:t>
      </w:r>
    </w:p>
    <w:p>
      <w:pPr>
        <w:pStyle w:val="Normal"/>
        <w:rPr/>
      </w:pPr>
      <w:r>
        <w:rPr/>
        <w:t xml:space="preserve"> </w:t>
      </w:r>
    </w:p>
    <w:p>
      <w:pPr>
        <w:pStyle w:val="P68B1DB1Normal15"/>
        <w:rPr>
          <w:b/>
          <w:b/>
        </w:rPr>
      </w:pPr>
      <w:r>
        <w:rPr/>
        <w:t xml:space="preserve">40. Primygtinai rekomenduojame išsamiai peržiūrėti visus susitarimus ir teisės aktus, reglamentuojančius prieglobstį ir imigraciją Europoje. Mes rekomenduojame laikytis požiūrio į visą Europą. </w:t>
      </w:r>
    </w:p>
    <w:p>
      <w:pPr>
        <w:pStyle w:val="Normal"/>
        <w:rPr/>
      </w:pPr>
      <w:r>
        <w:rPr/>
        <w:t xml:space="preserve"> </w:t>
      </w:r>
    </w:p>
    <w:p>
      <w:pPr>
        <w:pStyle w:val="Normal"/>
        <w:rPr/>
      </w:pPr>
      <w:r>
        <w:rPr/>
        <w:t xml:space="preserve">Mes teikiame šią rekomendaciją, nes: </w:t>
      </w:r>
    </w:p>
    <w:p>
      <w:pPr>
        <w:pStyle w:val="Normal"/>
        <w:rPr/>
      </w:pPr>
      <w:r>
        <w:rPr/>
        <w:t xml:space="preserve">1) nuo 2015 m. visi galiojantys susitarimai yra netaikytini, nepraktiški ir netinkami; </w:t>
      </w:r>
    </w:p>
    <w:p>
      <w:pPr>
        <w:pStyle w:val="Normal"/>
        <w:rPr/>
      </w:pPr>
      <w:r>
        <w:rPr/>
        <w:t xml:space="preserve">2) ES turėtų būti laikoma pagrindine agentūra, kuri prižiūri visas kitas agentūras ir NVO, kurių užduotis yra tiesiogiai spręsti prieglobsčio klausimus; </w:t>
      </w:r>
    </w:p>
    <w:p>
      <w:pPr>
        <w:pStyle w:val="Normal"/>
        <w:rPr/>
      </w:pPr>
      <w:r>
        <w:rPr/>
        <w:t xml:space="preserve">(3) valstybės narės, kurios labiausiai nukenčia nuo padėties, yra tos valstybės narės, kurios iš esmės pačios sprendžia šią problemą; kai kurių valstybių narių pasirinkimai „ą la carte“ nesuteikia vienybės įvaizdžio; </w:t>
      </w:r>
    </w:p>
    <w:p>
      <w:pPr>
        <w:pStyle w:val="Normal"/>
        <w:rPr/>
      </w:pPr>
      <w:r>
        <w:rPr/>
        <w:t xml:space="preserve">4) nauji tiksliniai teisės aktai pagerintų visų prieglobsčio prašytojų ateitį ir sustiprintų Europos vienybę; </w:t>
      </w:r>
    </w:p>
    <w:p>
      <w:pPr>
        <w:pStyle w:val="Normal"/>
        <w:rPr/>
      </w:pPr>
      <w:r>
        <w:rPr/>
        <w:t xml:space="preserve">5) dėl dabartinių teisės aktų trūkumų kyla konfliktų, trūksta suderinimo visoje Europoje ir didėja Europos piliečių netolerancija migrantų atžvilgiu. </w:t>
      </w:r>
    </w:p>
    <w:p>
      <w:pPr>
        <w:pStyle w:val="Normal"/>
        <w:rPr/>
      </w:pPr>
      <w:r>
        <w:rPr/>
        <w:t>6) griežtesni ir atitinkami teisės aktai sumažintų nusikalstamumą ir piktnaudžiavimą dabartine prieglobsčio sistema.</w:t>
      </w:r>
    </w:p>
    <w:p>
      <w:pPr>
        <w:pStyle w:val="Normal"/>
        <w:rPr/>
      </w:pPr>
      <w:r>
        <w:rPr/>
        <w:t xml:space="preserve"> </w:t>
      </w:r>
    </w:p>
    <w:p>
      <w:pPr>
        <w:pStyle w:val="Titre3"/>
        <w:numPr>
          <w:ilvl w:val="2"/>
          <w:numId w:val="2"/>
        </w:numPr>
        <w:rPr/>
      </w:pPr>
      <w:bookmarkStart w:id="200" w:name="__RefHeading___Toc297335_1346298689"/>
      <w:bookmarkEnd w:id="200"/>
      <w:r>
        <w:rPr/>
        <w:t xml:space="preserve">Priedas: KITOS GRUPĖS APSVARSTYTOS, BET NEPRIIMTOS REKOMENDACIJOS </w:t>
      </w:r>
    </w:p>
    <w:p>
      <w:pPr>
        <w:pStyle w:val="Titre4"/>
        <w:numPr>
          <w:ilvl w:val="3"/>
          <w:numId w:val="2"/>
        </w:numPr>
        <w:rPr/>
      </w:pPr>
      <w:bookmarkStart w:id="201" w:name="__RefHeading___Toc297337_1346298689"/>
      <w:bookmarkEnd w:id="201"/>
      <w:r>
        <w:rPr/>
        <w:t xml:space="preserve">1 ašis: Savarankiškumas ir stabilumas </w:t>
      </w:r>
    </w:p>
    <w:p>
      <w:pPr>
        <w:pStyle w:val="Normal"/>
        <w:rPr/>
      </w:pPr>
      <w:r>
        <w:rPr/>
        <w:t xml:space="preserve">1.1 poašis. ES autonomija </w:t>
      </w:r>
    </w:p>
    <w:p>
      <w:pPr>
        <w:pStyle w:val="P68B1DB1Normal15"/>
        <w:rPr>
          <w:b/>
          <w:b/>
        </w:rPr>
      </w:pPr>
      <w:r>
        <w:rPr/>
        <w:t xml:space="preserve">Jei to prašo besivystančios šalys, rekomenduojame, kad ekonominės plėtros intervencijos programos būtų kuriamos remiantis kiekvienos šalies poreikiams pritaikyta partneryste ir (arba) prekybos susitarimais. Tam pirmiausia reikia įvertinti atitinkamų šalių ekonominį potencialą ir tada suteikti joms būtiną ekonominę paramą ir profesinį mokymą. </w:t>
      </w:r>
    </w:p>
    <w:p>
      <w:pPr>
        <w:pStyle w:val="Normal"/>
        <w:rPr/>
      </w:pPr>
      <w:r>
        <w:rPr/>
        <w:t xml:space="preserve">Taip būtų užtikrinta didesnė pramonės nepriklausomybė ir pagerėtų bendra migracijos padėtis kuriant darbo vietas; tai taip pat padėtų sudaryti geresnius prekybos susitarimus besivystančiose šalyse. </w:t>
      </w:r>
    </w:p>
    <w:p>
      <w:pPr>
        <w:pStyle w:val="Normal"/>
        <w:rPr/>
      </w:pPr>
      <w:r>
        <w:rPr/>
        <w:t xml:space="preserve"> </w:t>
      </w:r>
    </w:p>
    <w:p>
      <w:pPr>
        <w:pStyle w:val="Titre4"/>
        <w:numPr>
          <w:ilvl w:val="3"/>
          <w:numId w:val="2"/>
        </w:numPr>
        <w:rPr/>
      </w:pPr>
      <w:bookmarkStart w:id="202" w:name="__RefHeading___Toc297339_1346298689"/>
      <w:bookmarkEnd w:id="202"/>
      <w:r>
        <w:rPr/>
        <w:t xml:space="preserve">2 ašis: ES kaip tarptautinė partnerė </w:t>
      </w:r>
    </w:p>
    <w:p>
      <w:pPr>
        <w:pStyle w:val="Normal"/>
        <w:rPr/>
      </w:pPr>
      <w:r>
        <w:rPr/>
        <w:t xml:space="preserve">Poašis. Etinė prekybos santykių perspektyva </w:t>
      </w:r>
    </w:p>
    <w:p>
      <w:pPr>
        <w:pStyle w:val="P68B1DB1Normal15"/>
        <w:rPr>
          <w:b/>
          <w:b/>
        </w:rPr>
      </w:pPr>
      <w:r>
        <w:rPr/>
        <w:t xml:space="preserve">Rekomenduojame, kad ES nustatytų taisykles, pagal kurias reikalaujama, kad įmonės audituotų savo tiekimo grandinę ir reguliariai pateiktų išsamią audito ataskaitą, taip pat nuostatas, pagal kurias būtų atlyginama arba ribojamas importas remiantis etikos kriterijais. Įmonės turėtų pateikti vidaus ir (arba) išorės audito ataskaitą, pagrįstą jų dydžiu. </w:t>
      </w:r>
    </w:p>
    <w:p>
      <w:pPr>
        <w:pStyle w:val="Normal"/>
        <w:rPr/>
      </w:pPr>
      <w:r>
        <w:rPr/>
        <w:t xml:space="preserve"> </w:t>
      </w:r>
    </w:p>
    <w:p>
      <w:pPr>
        <w:pStyle w:val="Normal"/>
        <w:rPr/>
      </w:pPr>
      <w:r>
        <w:rPr/>
        <w:t xml:space="preserve">Reikia plėtoti etinį prekybos su ES aspektą. Tai galima padaryti stebint verslo veiklą tarptautinėse tiekimo grandinėse ir skatinant įmones elgtis pagal etikos kriterijus, pavyzdžiui, pavojingus produktus, darbo teises ir sąlygas, vaikų darbą ir aplinkos apsaugą. Ši rekomendacija nebūtų taikoma internetiniams produktams, kuriuos tiesiogiai perka vartotojas. </w:t>
      </w:r>
    </w:p>
    <w:p>
      <w:pPr>
        <w:pStyle w:val="Normal"/>
        <w:rPr/>
      </w:pPr>
      <w:r>
        <w:rPr/>
        <w:t xml:space="preserve"> </w:t>
      </w:r>
    </w:p>
    <w:p>
      <w:pPr>
        <w:pStyle w:val="Titre4"/>
        <w:numPr>
          <w:ilvl w:val="3"/>
          <w:numId w:val="2"/>
        </w:numPr>
        <w:rPr/>
      </w:pPr>
      <w:bookmarkStart w:id="203" w:name="__RefHeading___Toc297341_1346298689"/>
      <w:bookmarkEnd w:id="203"/>
      <w:r>
        <w:rPr/>
        <w:t xml:space="preserve">3 ašis: Stipri ES taikiame pasaulyje </w:t>
      </w:r>
    </w:p>
    <w:p>
      <w:pPr>
        <w:pStyle w:val="Normal"/>
        <w:rPr/>
      </w:pPr>
      <w:r>
        <w:rPr/>
        <w:t xml:space="preserve">3.1 poašis. Saugumas ir gynyba </w:t>
      </w:r>
    </w:p>
    <w:p>
      <w:pPr>
        <w:pStyle w:val="P68B1DB1Normal15"/>
        <w:rPr>
          <w:b/>
          <w:b/>
        </w:rPr>
      </w:pPr>
      <w:r>
        <w:rPr/>
        <w:t xml:space="preserve">Rekomenduojame persvarstyti dabartinę Europos saugumo struktūrą, kad ji taptų veiksmingesne ir veiksmingesne viršvalstybine struktūra, turinčia didesnius pajėgumus, siekiant sukurti bendrą Europos Sąjungos kariuomenę. Šiuo tikslu nacionalinės ginkluotosios pajėgos turėtų būti palaipsniui sujungtos ir pertvarkytos. Siekiama, kad toks karinių pajėgumų sujungimas visoje Europos Sąjungoje ilgainiui taip pat skatintų Europos integraciją. Kuriant bendrą ES kariuomenę taip pat reikėtų sudaryti naują bendradarbiavimo susitarimą su ES valstybėmis narėmis ir ne Europos NATO narėmis. </w:t>
      </w:r>
    </w:p>
    <w:p>
      <w:pPr>
        <w:pStyle w:val="Normal"/>
        <w:rPr/>
      </w:pPr>
      <w:r>
        <w:rPr/>
        <w:t xml:space="preserve"> </w:t>
      </w:r>
    </w:p>
    <w:p>
      <w:pPr>
        <w:pStyle w:val="Normal"/>
        <w:rPr/>
      </w:pPr>
      <w:r>
        <w:rPr/>
        <w:t xml:space="preserve">Jei ši rekomendacija bus įgyvendinta, manome, kad karinės struktūros Europos Sąjungoje taps ekonomiškai efektyvesnės ir galės geriau reaguoti ir prireikus veikti. Šis integruotas požiūris sustiprintų ES gebėjimą veikti ryžtingai ir koordinuotai kritinėse situacijose. </w:t>
      </w:r>
    </w:p>
    <w:p>
      <w:pPr>
        <w:pStyle w:val="Normal"/>
        <w:rPr/>
      </w:pPr>
      <w:r>
        <w:rPr/>
        <w:t xml:space="preserve"> </w:t>
      </w:r>
    </w:p>
    <w:p>
      <w:pPr>
        <w:pStyle w:val="Titre4"/>
        <w:numPr>
          <w:ilvl w:val="3"/>
          <w:numId w:val="2"/>
        </w:numPr>
        <w:rPr/>
      </w:pPr>
      <w:bookmarkStart w:id="204" w:name="__RefHeading___Toc297343_1346298689"/>
      <w:bookmarkEnd w:id="204"/>
      <w:r>
        <w:rPr/>
        <w:t xml:space="preserve">4 ašis: Emigracija žmogaus požiūriu </w:t>
      </w:r>
    </w:p>
    <w:p>
      <w:pPr>
        <w:pStyle w:val="Normal"/>
        <w:rPr/>
      </w:pPr>
      <w:r>
        <w:rPr/>
        <w:t xml:space="preserve">4.1 poašis. Emigracijos priežasčių šalinimas </w:t>
      </w:r>
    </w:p>
    <w:p>
      <w:pPr>
        <w:pStyle w:val="P68B1DB1Normal15"/>
        <w:rPr>
          <w:b/>
          <w:b/>
        </w:rPr>
      </w:pPr>
      <w:r>
        <w:rPr/>
        <w:t xml:space="preserve">Rekomenduojame ES parengti veiksmų protokolą rengiantis kitai migracijos krizei, t. y. pabėgėlių dėl klimato kaitos. Pagal šį protokolą ES turi išplėsti pabėgėlių ir prieglobsčio prašytojų apibrėžtį, kad ji apimtų nuo klimato kaitos nukentėjusius asmenis. Kadangi daugelio migrantų kilmės šalis taps negyvenama, protokolu taip pat turi būti užtikrinta, kad klimato kaitos paveiktose vietovėse būtų rasta naujų naudojimo būdų, siekiant remti tuos, kurie paliko šias vietoves. Pavyzdžiui, užtvindyti plotai galėtų būti naudojami vėjo jėgainių kūrimui. </w:t>
      </w:r>
    </w:p>
    <w:p>
      <w:pPr>
        <w:pStyle w:val="Normal"/>
        <w:rPr/>
      </w:pPr>
      <w:r>
        <w:rPr/>
        <w:t xml:space="preserve"> </w:t>
      </w:r>
    </w:p>
    <w:p>
      <w:pPr>
        <w:pStyle w:val="Normal"/>
        <w:rPr/>
      </w:pPr>
      <w:r>
        <w:rPr/>
        <w:t xml:space="preserve">Pateikiame šią rekomendaciją, nes visi esame atsakingi už klimato krizę. Taigi mes turime atsakomybę tiems, kurie yra labiausiai paveikti. Net jei neturime nei prognozių, nei konkrečių duomenų apie būsimus pabėgėlius, klimato kaita neabejotinai paveiks milijonus žmonių. </w:t>
      </w:r>
    </w:p>
    <w:p>
      <w:pPr>
        <w:pStyle w:val="Normal"/>
        <w:rPr/>
      </w:pPr>
      <w:r>
        <w:rPr/>
        <w:t xml:space="preserve"> </w:t>
      </w:r>
    </w:p>
    <w:p>
      <w:pPr>
        <w:pStyle w:val="Normal"/>
        <w:rPr/>
      </w:pPr>
      <w:r>
        <w:rPr/>
        <w:t xml:space="preserve">4.2 poašis – Žmogiškieji aspektai </w:t>
      </w:r>
    </w:p>
    <w:p>
      <w:pPr>
        <w:pStyle w:val="P68B1DB1Normal15"/>
        <w:rPr>
          <w:b/>
          <w:b/>
        </w:rPr>
      </w:pPr>
      <w:r>
        <w:rPr/>
        <w:t xml:space="preserve">Rekomenduojame nedelsiant stiprinti ir finansuoti teisinius ir humanitarinius kelius bei transporto priemones, kad pabėgėliai galėtų organizuotai judėti iš krizių zonų. Specialiai šiam tikslui įsteigta įstaiga turėtų sukurti ir reglamentuoti specialią Europos eismo juostų saugos sistemą. Ši agentūra turi būti įsteigta pagal teisėkūros procedūrą ir turėti specialius įgaliojimus, nustatytus jos darbo tvarkos taisyklėse. </w:t>
      </w:r>
    </w:p>
    <w:p>
      <w:pPr>
        <w:pStyle w:val="Normal"/>
        <w:rPr/>
      </w:pPr>
      <w:r>
        <w:rPr/>
        <w:t xml:space="preserve"> </w:t>
      </w:r>
    </w:p>
    <w:p>
      <w:pPr>
        <w:pStyle w:val="Normal"/>
        <w:rPr/>
      </w:pPr>
      <w:r>
        <w:rPr/>
        <w:t xml:space="preserve">Prekyba žmonėmis ir neteisėtas migrantų gabenimas yra rimtos problemos, kurias reikia spręsti. Mūsų rekomendacija tikrai sumažintų šiuos susirūpinimą keliančius klausimus. </w:t>
      </w:r>
    </w:p>
    <w:p>
      <w:pPr>
        <w:pStyle w:val="Normal"/>
        <w:rPr/>
      </w:pPr>
      <w:r>
        <w:rPr/>
        <w:t xml:space="preserve"> </w:t>
      </w:r>
    </w:p>
    <w:p>
      <w:pPr>
        <w:pStyle w:val="Normal"/>
        <w:rPr/>
      </w:pPr>
      <w:r>
        <w:rPr/>
        <w:t xml:space="preserve">Poašis. Sienos </w:t>
      </w:r>
    </w:p>
    <w:p>
      <w:pPr>
        <w:pStyle w:val="P68B1DB1Normal15"/>
        <w:rPr>
          <w:b/>
          <w:b/>
        </w:rPr>
      </w:pPr>
      <w:r>
        <w:rPr/>
        <w:t xml:space="preserve">Mes rekomenduojame, kad Europos direktyva užtikrintų, kad kiekvienoje gyvenamojoje teritorijoje kiekvienoje valstybėje narėje būtų ne daugiau kaip 30 % gyventojų trečiosiose šalyse. Tikimasi, kad šis tikslas bus pasiektas iki 2030 m., o ES valstybės narės turės gauti paramą šiam tikslui įgyvendinti. </w:t>
      </w:r>
    </w:p>
    <w:p>
      <w:pPr>
        <w:pStyle w:val="Normal"/>
        <w:rPr/>
      </w:pPr>
      <w:r>
        <w:rPr/>
        <w:t xml:space="preserve"> </w:t>
      </w:r>
    </w:p>
    <w:p>
      <w:pPr>
        <w:pStyle w:val="Normal"/>
        <w:rPr/>
      </w:pPr>
      <w:r>
        <w:rPr/>
        <w:t xml:space="preserve">Mes teikiame šią rekomendaciją, nes teisingesnis geografinis pasiskirstymas leis vietos gyventojams geriau priimti migrantus ir taip sudaryti jiems sąlygas geriau integruotis. Ši procentinė dalis grindžiama neseniai Danijoje pasiektu politiniu susitarimu. </w:t>
      </w:r>
      <w:r>
        <w:br w:type="page"/>
      </w:r>
    </w:p>
    <w:p>
      <w:pPr>
        <w:pStyle w:val="Titre1"/>
        <w:numPr>
          <w:ilvl w:val="0"/>
          <w:numId w:val="2"/>
        </w:numPr>
        <w:rPr/>
      </w:pPr>
      <w:bookmarkStart w:id="205" w:name="__RefHeading___Toc297345_1346298689"/>
      <w:bookmarkEnd w:id="205"/>
      <w:r>
        <w:rPr/>
        <w:t xml:space="preserve">II A. Nacionalinės grupės: Belgija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Paveikslėli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aveikslėlis32" descr=""/>
                    <pic:cNvPicPr>
                      <a:picLocks noChangeAspect="1" noChangeArrowheads="1"/>
                    </pic:cNvPicPr>
                  </pic:nvPicPr>
                  <pic:blipFill>
                    <a:blip r:embed="rId85"/>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Čia rasite visas rekomendacijas, kurias pateikė 50 piliečių iš piliečių grupės, kurią globoja Ministro Pirmininko pavaduotoja ir išorės ir Europos reikalų ministrė Sophie Wilmčs, kaip Belgijos federalinės vyriausybės indėlio į Konferenciją dėl Europos ateities. Šios grupės tema – „Kaip labiau įtraukti piliečius į Europos demokratiją“. Nors ji gerai žino, kad Konferencijos taikymo sritis yra platesnė nei vien ES reikalai, šios ekspertų grupės tema paaiškinama, kodėl tiek daug aiškių nuorodų daroma į ES ir jos institucijas. Tam tikrais atvejais daroma nuoroda į Europą apskritai.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Siekiant atspindėti visus piliečių pasiūlymus, šioje ataskaitoje pateikiamos visos rekomendacijos, įskaitant rekomendacijas, dėl kurių per galutinį balsavimą dėl visų rekomendacijų nesurinkta paprasta balsų dauguma. Jie yra aiškiai atpažįstami dėl procentinės dalies </w:t>
      </w:r>
      <w:r>
        <w:rPr>
          <w:b/>
          <w:color w:val="FF0000"/>
        </w:rPr>
        <w:t>raudonai ir paryškintu šriftu.</w:t>
      </w:r>
      <w:r>
        <w:rPr>
          <w:color w:val="000000"/>
        </w:rPr>
        <w:t xml:space="preserve"> Be to, kai kurios rekomendacijos prieštarauja viena kitai, o net ir galutinėse diskusijose piliečiai apie jas vis dar nėra įtikinami. Šios rekomendacijos yra atpažįstamos, nes jos yra </w:t>
      </w:r>
      <w:r>
        <w:rPr>
          <w:i/>
          <w:color w:val="000000"/>
        </w:rPr>
        <w:t>kursyvu.</w:t>
      </w:r>
      <w:r>
        <w:rPr>
          <w:color w:val="000000"/>
        </w:rPr>
        <w:t xml:space="preserve"> Kalbant apie vieną rekomendaciją, padalijimas buvo toks aiškus, kad balsavimas baigėsi </w:t>
      </w:r>
      <w:r>
        <w:rPr>
          <w:i/>
          <w:color w:val="000000"/>
        </w:rPr>
        <w:t xml:space="preserve">ex-aequo, </w:t>
      </w:r>
      <w:r>
        <w:rPr>
          <w:color w:val="000000"/>
        </w:rPr>
        <w:t xml:space="preserve">tai nurodoma </w:t>
      </w:r>
      <w:r>
        <w:rPr>
          <w:b/>
          <w:color w:val="FF9900"/>
        </w:rPr>
        <w:t>oranžinės spalvos ir paryškintu šriftu</w:t>
      </w:r>
      <w:r>
        <w:rPr>
          <w:color w:val="000000"/>
        </w:rPr>
        <w:t xml:space="preserve">. Piliečiai pritaria tam, kad nuomonės dėl šių rekomendacijų skyrėsi. Todėl jie siūlo, kad COFE organai ir ES institucijos būtų budrūs įgyvendinant šias rekomendacijas, nes tam tikra balsavimo tvarka grindžiama pasiskirstymu. </w:t>
      </w:r>
    </w:p>
    <w:p>
      <w:pPr>
        <w:pStyle w:val="Normal"/>
        <w:rPr/>
      </w:pPr>
      <w:r>
        <w:rPr/>
      </w:r>
      <w:r>
        <w:br w:type="page"/>
      </w:r>
    </w:p>
    <w:p>
      <w:pPr>
        <w:pStyle w:val="Normal"/>
        <w:rPr/>
      </w:pPr>
      <w:r>
        <w:rPr/>
        <w:t>1. Bendravimas</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Problemos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Rekomendacijos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Palaiko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Komunikatas dėl ES yra nepatenkinamas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Siūlome įtraukti kursus apie Europos Sąjungą nuo trečiojo pradinės mokyklos lygmens. Tikslas – pasiekti visus piliečius ir gilinti žinias apie Europos Sąjungą.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Europos Sąjunga, visų pirma Komisija, turėtų įvairių valstybių narių švietimo ministerijoms pateikti mokomąją medžiagą apie Europos veikimą. Šios sudėties institucijos turėtų ne tik paaiškinti institucijų veikimą, sudėtį ir įgaliojimus, bet ir trumpai apžvelgti Europos integracijos istoriją. Ypatingas dėmesys turėtų būti skiriamas aiškios ir suprantamos ir prieinamos kalbos naudojimui, taip pat švietimo priemonėms, pavyzdžiui, dokumentiniams filmams, klipams ar mokyklų televizijos programoms, visomis 24 kalbomis.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Europos projektas lieka užsienietis piliečiams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Siūlome, kad Europos institucijos savo komunikate užtikrintų, kad jos geriau paaiškintų, kas patenka į ES kompetencijos sritį ir kas nepriklauso jos kompetencijai.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Komunikate Europos Sąjunga turėtų įtraukti žinomus kasdienio europiečių gyvenimo pavyzdžius. Šie paaiškinimai turėtų būti perduodami valstybėse narėse Europos institucijų ir nacionalinių visuomeninių televizijos kanalų susitarimais, kad jie pasiektų plačią auditoriją.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Be to, valstybių narių piliečiai turėtų būti reguliariai informuojami, pavyzdžiui, vaizdo įrašais, apie Europos Sąjungos vaidmenį kitose valstybėse narėse. Todėl diskusijose dėl Europos ateities būtų geriau atsižvelgiama į Europos pranašumus ir trūkumus.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Siekdami stiprinti Europos tapatybę, siūlome reguliariai priminti ir padaryti prieinamą informaciją apie tai, koks būtų europiečių gyvenimas be ES ir konkrečių jos laimėjimų.</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Taip pat siūlome paskelbti Europos dieną (gegužės 9 d.) Europos valstybine švente visiems ES piliečiams.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Rekomenduojame Europos institucijoms skirti dar daugiau dėmesio informacijos, susijusios su prioritetinėmis temomis, kurios nagrinėjamos Europos lygmeniu, supaprastinimui, supratimui ir prieinamumui</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Rekomenduojame, kad Europos Sąjunga pateiktų </w:t>
            </w:r>
            <w:commentRangeStart w:id="10"/>
            <w:r>
              <w:rPr/>
              <w:t>rezultatų suvestinę,</w:t>
            </w:r>
            <w:r>
              <w:rPr/>
            </w:r>
            <w:commentRangeEnd w:id="10"/>
            <w:r>
              <w:commentReference w:id="10"/>
            </w:r>
            <w:r>
              <w:rPr/>
              <w:t xml:space="preserve"> rodančią kiekvienai šaliai ES kiekvienai prioritetinei temai skirtus išteklius. Visa tokia informacija turėtų būti prieinama Europos Sąjungos interneto svetainėje.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Rekomenduojame, kad Europos Sąjunga aiškiai pristatytų vykstantį teisėkūros darbą. Visa tokia informacija turėtų būti prieinama Europos Sąjungos interneto svetainėje.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Norime, kad Europos institucijos būtų prieinamesnės </w:t>
            </w:r>
            <w:commentRangeStart w:id="11"/>
            <w:r>
              <w:rPr/>
              <w:t>europiečiams</w:t>
            </w:r>
            <w:r>
              <w:rPr/>
            </w:r>
            <w:commentRangeEnd w:id="11"/>
            <w:r>
              <w:commentReference w:id="11"/>
            </w:r>
            <w:r>
              <w:rPr/>
              <w:t>. Jiems turėtų būti sudarytos palankesnės sąlygos dalyvauti diskusijose Europos Parlamento sesijose.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Rekomenduojame išplėsti dalyvavimą Erasmus programoje visiems studentams, neatsižvelgiant į jų mokymosi kelią (profesinės technologijos, pakaitalai). Visi turėtų turėti galimybę dalyvauti Europos mainuose.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Rekomenduojame leisti dirbantiems gyventojams pasinaudoti Europos mainų programomis, neatsižvelgiant į veiklos sektorių, taip pat ir vietos įmonėms. Visi turėtų turėti galimybę dalyvauti Europos mainuose.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Rekomenduojame visiems Europos piliečiams rengti Europos pilietybės kursus.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ES teisės aktai valstybėse narėse taikomi nevienodai.</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Rekomenduojame Europos Sąjungai labiau naudotis tiesiogiai valstybėse narėse taikomais teisės aktais. Tai sumažintų nacionalinius ES teisės aktų įgyvendinimo skirtumus, o tai silpnina Europos projektą. Tai taip pat sustiprintų svarbiausius Europos laimėjimus, pavyzdžiui, vidaus rinką, eurą ir Šengeno erdvę.</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Europos demokratijai gresia pavojus.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Rekomenduojame ES komunikate dėl Europos demokratijos negailestingai ir nedviprasmiškai priminti, ką jis reiškia europiečiams.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Europos Sąjungos sutarčių vertybės ir principai, kuriuos valstybės narės pasirašė po įstojimo, yra negrįžtami. Būtina ir toliau užtikrinti jų apsaugą.</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Sutartyse įtvirtintų vertybių ir principų apsaugą užtikrina</w:t>
            </w:r>
            <w:r>
              <w:rPr/>
              <w:commentReference w:id="12"/>
            </w:r>
            <w:r>
              <w:rPr/>
              <w:t xml:space="preserve"> Europos Teisingumo Teismas, todėl valstybės narės negali jos kvestionuoti.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Informacija apie ES nėra lengvai prieinama ir sunkiai suprantama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Rekomenduojame stiprinti informacijos Europos klausimais tikrinimą. Institucijų skleidžiama ir tikrinama informacija turi būti lengvai prieinama Europos visuomenei ir kiekvienos valstybės narės nacionalinei žiniasklaidai.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Nacionalinė žiniasklaida dažnai perteikia neigiamą ES įvaizdį.</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ES taip pat turi aktyviau dalyvauti kasdieniame europiečių gyvenime ir aktyviau bendrauti. (Pvz., remiant kultūrinius renginius, kurie suburia piliečius ir verčia juos didžiuotis ES piliečiais. Be to, ataskaitų teikėjai ir rinkėjai leistų europiečiams susipažinti</w:t>
            </w:r>
            <w:r>
              <w:rPr/>
              <w:commentReference w:id="13"/>
            </w:r>
            <w:r>
              <w:rPr/>
              <w:t xml:space="preserve"> su kontekstine informacija apie 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Piliečiai nežino tų, kurie jiems atstovauja Europos Parlamente.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Rekomenduojame, kad Parlamento nariai būtų geriau žinomi savo gimtosiose šalyse, ypač ne rinkimų laikotarpiu. Jie turi būti prieinamesni. Jų balsavimo Europos Parlamente priežastys turi būti lengviau prieinamos Europos piliečiams Europos Sąjungos interneto svetainėje.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Rekomenduojame nacionalinėms politinėms partijoms užtikrinti kandidatų, įtrauktų į Europos Parlamento rinkimuose pateiktus sąrašus, atjauninimą. Toks įgaliojimas neturėtų būti laikomas atlygiu už geras ir ištikimas paslaugas, teikiamas vykdant nacionalinę politiką.</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ES komunikatas yra pernelyg vienodas; neatsižvelgiama į gyventojų įvairovę</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Kad pasiektų pakankamai plačią ir įvairią auditoriją, rekomenduojame, kad ES, pasitelkdama įtraukią komunikaciją nuo koncepcijos etapo, atsižvelgtų į atitinkamų asmenų išsilavinimo lygį, galimą jų negalią. Be to, mes taip pat rekomenduojame įtraukti asmenis ir organizacijas (gatvių pedagogus, kaimynystės agentus, CPAS, pilietinę visuomenę) į šio komunikato perdavimą.</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Kad pasiektume darbo jėgą, rekomenduojame daugiau investuoti į esamų ryšių kanalų naudojimą, kad būtų galima periodiškai teikti tinkamą informaciją apie ES, pavyzdžiui, rengiant aiškinamąsias programas. Be to, rekomenduojame pasikliauti ambasadoriais (tiek asmenimis, tiek organizacijomis), kurie propaguoja ES projektą.</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Kad pasiektų jaunimą ir studentus, rekomenduojame, kad kartu su esamais kanalais, tokiais kaip švietimas ir atitinkami jaunimo judėjimai, būtų kviečiami ambasadoriai, ypač įtakingi asmenys, kurie gali pasiekti jaunimą per socialinę žiniasklaidą. Dar viena rekomendacija būtų surengti visos Europos konkursą, kad būtų sukurtas animacinis personažas, patrauklus jaunimui ir siunčiantis jiems europines žinutes.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Senjorams rekomenduojame naudotis tais pačiais kanalais, kurie siūlomi darbo jėgai. Be to, rekomenduojame ieškoti tinkamos pusiausvyros tarp skaitmeninio ir neskaitmeninio bendravimo (raštinė spauda, radijas, tiesioginiai renginiai), kad būtų patenkinti kiekvieno asmens poreikiai, įskaitant tuos, kurie yra mažiau patogūs skaitmeninėje aplinkoje, taip pat tuos, kurie yra mažiau mobilūs visuomenėje.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Rekomenduojame, kad daugelyje valstybių narių jau vykdomuose integracijos kursuose ES įsipareigotų įtraukti „naujus europiečius“ (žmones, kurie pagal vieną ar kitą teisėtos imigracijos procedūrą gyvena ES) ir informuoti juos apie kitus tradicinius ES komunikacijos kanalus. Galiausiai, mes taip pat rekomenduojame suteikti vietą vietos asociatyviam pasauliui.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Taip pat rekomenduojame ES keliauti į gatves užtikrinant įtraukią komunikaciją. Pavyzdžiui, galėtų būti naudojami (skaitmeniniai) reklaminiai stendai, taip pat naujos ryšio priemonės, pvz., QR kodai ir tradicinės priemonės.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Kitos rekomendacijos būtų padaryti ES vizualesnę (per mažus filmus ar infografiką), sukurti Europos sporto judėjimą, kad būtų sukurtas ryšys ir (arba) priklausymo jausmas ir kad Europos himnas būtų geriau žinomas.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Dezinformacija</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Problemos</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Rekomendacijos</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Palaiko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Žiniasklaidos dezinformacijos rizika vis didėja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Rekomenduojame aiškiai ir prieinamu būdu peržiūrėti žiniasklaidos finansavimo modelį ir privalomą pajamų šaltinių skelbimą. Žiniasklaidos finansavimo modelis skatina juos į sensacingumą, taigi ir skelbti informaciją iš konteksto, paverčiant juos dezinformacija.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Mes rekomenduojame privalomai cituoti šaltinius žiniasklaidoje, pateikiant nuorodas, kad jie būtų patikrinti. Priešingu atveju informacija turėtų būti paženklinta kaip nepatikrinta.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Rekomenduojame, kad Europos kovos su dezinformacija reguliavimo institucija (žr. 2 punktą) taip pat būtų atsakinga už informacijos tikrinimo organizacijų (faktų tikrintojų) akreditavimą.</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Rekomenduojame kiekvienoje valstybėje narėje įsteigti nepriklausomą instituciją, atsakingą už žiniasklaidos neutralumo tikrinimą. Šią instituciją turėtų finansuoti ir stebėti Europos Sąjunga.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Rekomenduojame skleisti informaciją apie oficialių ES tinklalapių URL, kad piliečiai būtų tikri dėl informacijos kilmės.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Daugelis piliečių abejoja žiniasklaidos neutralumu</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Rekomenduojame įsteigti Europos kovos su dezinformacija reguliavimo instituciją. Konkrečiai kalbant, šios reguliavimo institucijos užduotis būtų nustatyti neutralumo ženklo kriterijus ir prireikus nustatyti sankcijų ar paskatų sistemą, susijusią su neutralumo standartų laikymusi. Taip pat būtų galima apsvarstyti galimybę laikytis etikos chartijos. Ženklą suteiktų nepriklausoma nacionalinė institucija ir juo būtų atsižvelgiama į priemones, kurių ėmėsi žiniasklaida kovodama su dezinformacija.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Rekomenduojame sukurti Europos karštąją liniją, kad piliečiai galėtų pasmerkti dezinformaciją apie Europos (politinę ir ekonominę) kompetenciją.</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Piliečiai nežino apie jiems kylančią klaidingos informacijos riziką.</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Rekomenduojame, kad platformos būtų įpareigotos skelbti aiškią ir suprantamą informaciją apie dezinformacijos riziką, su kuria susiduria jų naudotojai. Ši informacija turėtų būti perduodama automatiškai, kai tik atidaroma sąskaita.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Rekomenduojame privalomus mokymus žiniasklaidos priemonių naudojimo srityje nuo ankstyvo amžiaus ir pritaikytus skirtingiems švietimo sistemos lygmenims.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Rekomenduojame, kad Europos Sąjunga pradėtų pasikartojančias dezinformacijos kampanijas. Šias kampanijas galima identifikuoti pagal logotipą arba talismaną. Europos Sąjunga galėtų priversti socialinius tinklus perduoti juos skleidžiant vietas.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Kovos su dezinformacija priemonių nepakanka.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Rekomenduojame skelbti paprasta ir suprantama kalba informaciją apie algoritmus, tvarkančius platformos naudotojų gautus pranešimus.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Rekomenduojame, kad vartotojai galėtų paprastai išjungti elgesio šališkumo didinimo algoritmus. Taip pat galėtų būti išnagrinėtas įpareigojimas suteikti naudotojams prieigą prie kitų šaltinių, ginančių skirtingas pozicijas tuo pačiu klausimu.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Rekomenduojame, kad Europos Sąjunga remtų socialinės žiniasklaidos platformos, kuri atitiktų savo neutralumo ir kovos su dezinformacija standartus, kūrimą. Be to, būtų galima papildyti daugiakalbę platformą, sukurtą Konferencijai dėl Europos ateities paremti.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Piliečių grupės</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Problemos</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Rekomendacijos</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Palaiko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Sunku užtikrinti piliečių grupės reprezentatyvumą. Galiausiai jame dalyvauja tik nedidelė gyventojų dalis.</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Rekomenduojame stebėti, ką rodo naujausias mokslinis darbas patariamosios demokratijos srityje, susijęs su mėginių ėmimu, atrankos metodo kūrimu ir moksliniu patvirtinimu, siekiant užtikrinti kuo geresnį reprezentatyvumą.</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Rekomenduojame, kad prie stalo būtų pakankamai žmonių, kurie užtikrintų nuomonių ir profilių įvairovę, įskaitant (bet ne tik) asmenis, kurie yra tiesiogiai susiję su šia tema.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Į mėginių ėmimo kriterijus rekomenduojame įtraukti tėvystės kriterijų (t. y. ar asmuo turi vaikų?), be tradicinių kriterijų, pavyzdžiui, lyties, amžiaus, gyvenamosios vietos ar išsilavinimo lygio.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Rekomenduojame nustatyti kvotas pagal geografines vietoves, t. y. nustatyti, kad Europos piliečių grupę sudarytų X žmonės iš kiekvienos Europos geografinės teritorijos (turi būti nustatyta), kad ši grupė iš tikrųjų galėtų būti laikoma europietiška ir prasmingai apgalvota.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Rekomenduojame, kad gyventojų registrai (arba jų atitikmuo, priklausomai nuo šalies) būtų naudojami kaip pagrindinės burtų traukimo duomenų bazės, kad visiems būtų suteikta tokia pati galimybė būti išrinktiems ir domėtis tam tikru visuomenės subjektu.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Rekomenduojame, kad dalyviams būtų atlyginta už jų investicijų vertę ir pritrauktume žmones, kurie nedalyvautų, jei jiems nebūtų atlyginta.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Rekomenduojame informuoti – gana minimaliai: nei per daug informacijos, nei pernelyg sudėtinga informacija – pirmieji dalyviai per ekspertų pristatymus, siekiant užtikrinti, kad net ir be išankstinių žinių žmonės jaustųsi patogiai dalyvauti diskusijose.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Rekomenduojame iš anksto pranešti Piliečių forumo temą, kad žmonės žinotų, dėl kokios temos jie įsipareigoja diskutuoti.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Rekomenduojame nereikalauti, kad piliečiai dalyvautų.</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Sunku organizuoti ekspertų grupę Europos lygmeniu.</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Rekomenduojame leisti Europos piliečių forumo posėdžius rengti mišraus formato (prezidento ir (arba) vietos). Žmonės, kurie negali fiziškai judėti, taip pat gali dalyvauti.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Rekomenduojame, kad Europos Sąjunga, siekdama užtikrinti lengvesnę prieigą ir organizavimą, piliečių forumų (Europos temomis) organizavimą pavestų skirtingiems valdžios lygmenims nacionaliniu lygmeniu.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Rekomenduojame kiekvienai Europos lygmens grupei pasirinkti vieną temą. Tai leis visiems dalyviams diskutuoti tuo pačiu klausimu, nepriklausomai nuo to, iš kur jie atvyksta Europoje.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Venkite skydelio </w:t>
              <w:br/>
              <w:t>piliečiai nėra nukreipiami kitiems tikslams nei nurodytieji.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Rekomenduojame, kad bet kuris pilietis galėtų pateikti temą diskusijoms ir kad ši teisė nebūtų rezervuota politiniam pasauliui ar lobistų pasauliui.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Rekomenduojame, kad iniciatyvos teisė būtų suteikta Europos Parlamentui, kad Europos Parlamentas apibrėžtų svarstytiną temą ir priimtų tekstus, būtinus atsižvelgiant į svarstymuose pateiktas rekomendacijas.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Sunku nuspręsti, kaip geriausiai organizuoti geriausio piliečių atstovavimo procesą.</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Rekomenduojame kartu su parlamentu sudaryti nuolatinę piliečių grupę, kuri vykdytų konkrečias užduotis. Jis bus reguliariai atnaujinamas. Tai leistų ilgainiui suburti piliečius ir skirti pakankamai laiko diskusijoms. Laikas suteikia niuansą diskusijoms ir konsensusui. Be šios nuolatinės grupės, ad hoc piliečių grupės aptaria nuolatinės grupės pasirinktas temas. Siūlome vadovautis vokiškai kalbančios bendruomenės modeliu.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Rekomenduojame sudaryti tik vieną ar daugiau nenuolatinių Europos piliečių grupių, kurios susitiktų ir aptartų konkrečią temą tik tam tikrą laikotarpį.</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Rekomenduojame neorganizuoti Europos piliečių forumų skubiais klausimais, nes reikia pakankamai laiko diskusijų kokybei užtikrinti.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Pernelyg dažnai piliečiai, dalyvaujantys dalyvaujamosios demokratijos iniciatyvose, pvz., piliečių grupėse, negauna grįžtamosios informacijos apie tolesnę veiklą, susijusią su jų darbu tiek trumpuoju, tiek ilguoju laikotarpiu.</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Rekomenduojame piliečiams pateikti grįžtamąją informaciją apie tolesnius veiksmus, kurių imtasi (arba ne) atsižvelgiant į rekomendacijas, pateiktas po Europos piliečių forumų. Jei rekomendacijų nesilaikoma, susijusios Europos institucijos turi nurodyti savo sprendimo priežastis (pvz., kompetencijos trūkumą). Šiuo tikslu rekomenduojame rašyti reguliarias santraukas per visą procesą po skydelio.</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Rekomenduojame rengti piliečių forumus, taip pat su vaikais nuo ankstyvo amžiaus (pvz., 10–16 metų), kad būtų didinamas informuotumas apie dalyvavimą ir diskusijas. Tai gali būti organizuojama mokyklose.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Referendumai</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Problemos</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Rekomendacijos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Palaiko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Rekomenduojame Europos lygmeniu rengti referendumus dėl Europos reikalų.</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Referendumo kultūra įvairiose valstybėse narėse labai skiriasi.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Rekomenduojame užsakyti mokslinius tyrimus, kaip Europoje sukurti bendrą referendumo kultūrą.</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Rekomenduojame (nepriklausomų ekspertų) atlikti tyrimus dėl būtinybės ir galimybės surengti referendumą tam tikra tema Europos lygmeniu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Referendume pateikto klausimo formuluotė gali turėti neigiamą poveikį, kaip ir gebėjimas atsakyti tik „taip“ arba „ne“, o tai dažnai poliarizuoja diskusijas ir visuomenes.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Rekomenduojame įsteigti mokslinį komitetą, kuris apsvarstytų, kaip kuo objektyviau užduoti klausimus, dėl kurių būtų surengtas Europos referendumas.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Rekomenduojame užduoti klausimus su keliais atsakymų variantais, neapsiribojant paprasta alternatyva tarp „taip“ ir „ne“, siekiant suteikti niuansą ar net nustatyti sąlygas „taip“ ir „ne“ (t. y. „taip, jei“, „ne“).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Rekomenduojame, kad apskaičiuojant balsų daugumą (paprasta arba absoliučią daugumą) nebūtų atsižvelgiama į baltuosius balsus. Vis dar turi būti pakankamai balsų (turi būti gerbiamas kvorumas).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Temos pasirinkimas taip pat yra subtilus.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Rekomenduojame, kad Europos referendume iškeltas klausimas priklausytų bet kuriam Europos klausimui, priklausančiam Europos Sąjungos kompetencijai.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Rekomenduojame neįtraukti temų, dėl kurių galėtų kilti konfliktas tarp valstybių narių.</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Rekomenduojame aiškiai suformuluoti techninius ir sudėtingus klausimus, nes žmonės gali būti pakankamai informuoti.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Referendumas nėra demokratinė priemonė, jei tik politinis pasaulis gali nuspręsti jį organizuoti.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Rekomenduojame, kad Europos Parlamentas turėtų iniciatyvos teisę rengti</w:t>
            </w:r>
            <w:r>
              <w:rPr/>
              <w:commentReference w:id="14"/>
            </w:r>
            <w:r>
              <w:rPr/>
              <w:t xml:space="preserve"> Europos referendumus ir kad jis galėtų įgyvendinti jų rezultatus (Europos Komisija ir Taryba turėtų sekti be blokavimo galimybės).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Rekomenduojame, kad iniciatyvą taip pat galėtų teikti patys piliečiai (pvz., taikant taisykles, panašias į tas, kurios taikomos Europos piliečių iniciatyvai).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Rekomenduojame, kad praktinis Europos referendumo organizavimas būtų neutralus organas.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Patariamasis ar privalomas referendumo aspektas turi būti </w:t>
              <w:br/>
              <w:t>aiškiai apibrėžta.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Rekomenduojame, kad Europos referendumo rezultatai būtų privalomi tik tada, kai įvykdomos tam tikros dalyvavimo sąlygos.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Rekomenduojame, kad referendumo rezultatai būtų privalomi tik tuo atveju, jei bus pasiekta tam tikra dauguma (51/49, 70/30). Šios sąlygos nustatomos prieš kiekvieną referendumą.</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Rekomenduojame, kad Europos referendumo rezultatai būtų privalomi, jei jo organizacijos iniciatyvą imtųsi piliečiai (kuriems šiuo tikslu būtų pavykę surinkti keletą parašų), tačiau orientacinis, ar iniciatyvos ėmėsi politinė institucija.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Rekomenduojame, kad Europos referendumo rezultatai būtų privalomi tik tam tikrais klausimais, bet ne tais klausimais, dėl kurių balsavimo pasekmės gali būti labai rimtos.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Gyventojai dažnai prastai informuojami prieš juos kviečiant balsuoti referendume. Kartu labai svarbu kontroliuoti perduodamą informaciją, kad būtų išvengta žalingo poveikio (vidaus ar užsienio) balsavimui.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Rekomenduojame, kad prieš bet kokį Europos referendumą visuomenė būtų aiškiai informuojama apie balsavimo poveikį jų kasdieniam gyvenimui, pateikiant brošiūras, kaip tai daroma Šveicarijoje, ir (arba) informacinius posėdžius.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Rekomenduojame kiekvienam Europos referendumui įsteigti mokslinį komitetą, kuris užtikrintų perduodamos informacijos neutralumą.</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Nors referendumas kviečia visus gyventojus balsuoti tiesiogiai (skirtingai nei piliečių komisija), visada yra tam tikras neatvykimas, daugiau ar mažiau svarbus.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Rekomenduojame, kad dalyvavimas Europos referendume būtų privalomas.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Rekomenduojame, kad balsavimas Europos referendume būtų savanoriškas.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Siekiant sumažinti neatvykimą, rekomenduojame be balsavimo popieriuje (arba kitų balsavimo priemonių, pvz., balsavimo paštu) leisti balsuoti elektroniniu būdu. Elektroninis balsavimas ypač įdomus atostogaujantiems žmonėms, taip pat skatina žmones, kurie mažiau domisi balsavimu, nes kelionių prievartos nebėra.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Pernelyg dažnai piliečiai, dalyvaujantys dalyvaujamosios demokratijos iniciatyvose, pvz., referendumuose,</w:t>
            </w:r>
            <w:r>
              <w:rPr/>
              <w:commentReference w:id="15"/>
            </w:r>
            <w:r>
              <w:rPr/>
              <w:t xml:space="preserve"> negauna grįžtamosios informacijos apie tolesnius veiksmus, susijusius su jų balsavimu, nei trumpuoju, nei ilguoju laikotarpiu.</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Rekomenduojame piliečiams pateikti grįžtamąją informaciją apie tolesnius veiksmus, kurių imtasi (arba ne) dėl piliečių sprendimo, priimto per Europos referendumą.</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Esamos priemonės</w:t>
      </w:r>
    </w:p>
    <w:p>
      <w:pPr>
        <w:pStyle w:val="Normal"/>
        <w:rPr/>
      </w:pPr>
      <w:r>
        <w:rPr/>
        <w:t>5.1. Europos Parlamento rinkimai.</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Problemos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Rekomendacijos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Palaiko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Skirtingose valstybėse narėse taikomi skirtingi teisės aktai.</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Siūlome, kad Europos Parlamente būtų privaloma dalyvauti balsavime, tačiau piliečiai turėtų pakankamai informacijos, kad suprastų to priežastis.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Rekomenduojame visose šalyse kuo labiau nustatyti rinkimų į Europos Parlamentą taisykles, įskaitant minimalų amžių.</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Nėra pakankamos Europos Parlamento narių amžiaus, kilmės ir lyties kriterijų įvairovės.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Siūlome, kad EP nariai būtų įvairaus amžiaus ir išsilavinimo.</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Mes siūlome EP nariams sąmoningai pasirinkti Europos karjerą, o ne tik dėl to, kad jie yra karjeros pabaigoje.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Siūlome pasirinkti subalansuotą lyčių pasiskirstymą, pavyzdžiui, keičiant lytį rinkėjų sąrašuose</w:t>
            </w:r>
            <w:r>
              <w:rPr/>
              <w:commentReference w:id="16"/>
            </w:r>
            <w:r>
              <w:rPr/>
              <w:t>. ES turi nustatyti šiuos kriterijus ir patikrinti, ar jų laikomasi nustatant kvotas. Jei kandidatas atsisako kadencijos, jo vietą užima kitas kandidatas pirmenybės tvarka ir tos pačios lyties asmuo.</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Rekomenduojame, kad į Europos sąrašus įtraukti kandidatai vykdytų savo įgaliojimus, jei jie bus išrinkti.</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Mes balsuojame už Europos Parlamentą ir neturime jokios įtakos komiteto sudėčiai.</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Siūlome iš dalies pakeisti Sutartį, pagal kurią didžiausia Europos Parlamento partija galėtų paskirti Europos Komisijos pirmininką.</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Rekomenduojame, kad Europos Komisijos sudėtis būtų skaidresnė pagal kai kurias pagrindines taisykles, kad sudėtis atspindėtų piliečių nuomonę ir kad pilietis žinotų, kaip vyko atranka.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Nėra daug informacijos apie kandidatus, mes mažai žinome apie juos ir jų programą, taip pat apie politinę dalį, kurią jie atstovaus Europos Parlamente.</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Siūlome, kad Europos kandidatai vietos lygmeniu geriau pristatytų savo tikslus ir programas įvairiais kanalais (komunikacija).</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Europos ombudsmenas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Problemos</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Rekomendacijos</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Palaiko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Svetainėje kitomis kalbomis nei anglų kalba pateikiama tik informacija anglų kalba pirmuose dviejuose puslapiuose. Tai sukuria kliūtį piliečiams, kurie nemoka anglų kalbos</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Siūlome į pagrindinį puslapį įtraukti informaciją kiekvieno piliečio kalba ir, jei neįmanoma jos išversti, paskelbti naujienas anglų kalba kitur svetainėje.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Ombudsmenas nėra baudos ir kompensacijos skundo pateikėjui šalis.</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Siūlome, kad ombudsmenas dalyvautų sprendimo/sankcijos/kompensacijos nustatymo ir įgyvendinimo procese ir turėtų galimybę pareikšti savo nuomonę šiuo klausimu.</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Kartais labai ilgas terminas registracijai svetainėje patvirtinti (patvirtinimo el. paštu) Kartais užtrunka 24 valandas ir nuverčia pilietį, kuris pereina prie kažko kito.</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Siūlome nedelsiant įdiegti patvirtinimo sistemą.</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Kai mes pateikiame skundą, klausimas užduodamas: ar naudojote visas galimas procedūras? Pilietis ne visada žino visas procedūras ir negali atsakyti į klausimą.</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Siūlome įtraukti nuorodą į paprastą kitų procedūrų pristatymą ir (arba) paaiškinimą</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Ombudsmeno interneto svetainė yra gerai parengta, tačiau joje nėra aiškaus europietiško įvaizdžio, todėl piliečiams kyla klausimų (ar aš tinkamoje svetainėje, ar ji patikima?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Siūlome peržiūrėti grafinę paveldo vietos chartiją ir ją labiau suderinti su ES (pirmoji rekomendacija: pakelkite Europos vėliavą į puslapio viršų). Pirmajame paspaudime turi būti aišku, kad pilietis yra institucijų ombudsmeno interneto svetainėje.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Viešos konsultacijos</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Problemos</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Rekomendacijos</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Palaiko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Pasikeitė konsultacijų svetainė ir pilietis pirmąja instancija siunčiamas į pasenusią svetainę. Jūs turite ieškoti naujos svetainės adresą.</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Siūlome ištrinti seną svetainę ir pirmiausia nurodyti naują svetainę.</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Konsultacijų gairės (anglų k.) ir nuomonės (piliečių redaktoriaus kalba) nėra verčiamos į piliečių skaitytojo kalbą.</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Primygtinai rekomenduojame veiksmų planą išversti į piliečių kalbą. Kelio žemėlapis anglų kalba blokuoja bet kurį pilietį, kuris</w:t>
            </w:r>
            <w:commentRangeStart w:id="19"/>
            <w:r>
              <w:rPr/>
              <w:t>nemoka</w:t>
            </w:r>
            <w:r>
              <w:rPr/>
            </w:r>
            <w:commentRangeEnd w:id="19"/>
            <w:r>
              <w:commentReference w:id="19"/>
            </w:r>
            <w:r>
              <w:rPr/>
              <w:t xml:space="preserve"> anglų kalbos.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Siūlome įdėti skirtuką/ikoną „automatizuotas vertimas“ kiekvienoje apžvalgoje, kuri jungiasi prie atvirojo kodo vertimo variklio, pvz., </w:t>
            </w:r>
            <w:commentRangeStart w:id="20"/>
            <w:r>
              <w:rPr/>
              <w:t>„Google Translate“ arba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Turite užsiprenumeruoti, kad po konsultacijų būtų imtasi tolesnių veiksmų.</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Siūlome automatiškai siųsti proceso sekimą visiems, kurie reagavo, su galimybe atsisakyti prenumeratos.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Mes nežinome, ar nuomonių skaičius tam tikra prasme turi įtakos komisijai, ar panašios nuomonės laikomos viena nuomone (koeficientas ar ne). Jei nuomonių skaičius tam tikra prasme reiškia susirūpinimą dėl lobistų, aktyvistų/didelių bendrovių svarbos konsultacijose ir de facto veiksmų, kurių ES ėmėsi piliečių ir asociatyviojo pasaulio atžvilgiu,</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Rekomenduojame svetainėje pateikti aiškią informaciją apie tai.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Jei nuomonių skaičius viena kryptimi daro poveikį, rekomenduojame sukurti sistemą, galinčią filtruoti lobistus, aktyvistus, dideles įmones ir t. t., kad jiems nebūtų suteiktas neproporcingas svoris.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Mes rekomenduojame sukurti dirbtinio intelekto programinę įrangą, kuri reitinguoja skirtingus atsiliepimus ir skaičiuoja priešingus ar palankius atsiliepimus.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Siūlome organizuoti ryšius tarp piliečių ir asociacijų (karininkų): turėti vietų, į kurias piliečiai galėtų atvykti ir pareikšti savo nuomonę, t. y. „Europos namai“, kurie galėtų padėti skleisti piliečių nuomones Europos lygmeniu. Šios vietos turėtų būti steigiamos skirtingose vietose, vietos lygmeniu ir perkeliamos.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5.Pranešimo forma nėra aiški: yra atviras klausimas ir klausimynas. Koks yra kiekvieno dokumento vaidmuo, ką reikėtų užpildyti?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Paaiškinkite šią informaciją svetainėje.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Yra per daug įgūdžių lygių, kai kalbama apie įrankius</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Siūlome įsteigti dispečerinį centrą, kuris leistų prašymus perduoti kompetentingai institucijai.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Europos piliečių iniciatyva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Problemos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Rekomendacijos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Palaiko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Piliečiams, kurie neturi interneto, sunkiau pasiekti.</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Siūlome, kad nuo vyriausybės nepriklausomos vietos valdžios institucijos ar bibliotekos galėtų dalyvauti platinant šią iniciatyvą ir renkant parašus. Tiek elektroniniu būdu, tiek popieriuje. ES turėtų įvertinti šį tinklą pagal šalis ir pateikti jį iniciatoriams.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Šalių, kurios turi dalyvauti, skaičius yra per mažas, kad gautų pakankamą paramą.</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Siūlome padidinti šalių, iš kurių surenkami parašai, skaičių iki 13 šalių, kad pasiūlymas būtų labiau remiamas. Parašų skaičius turi būti proporcingas gyventojų skaičiui.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Parašų rinkimo išlaidos ir pastangos yra didelės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Siūlome ES finansavimą šioms iniciatyvoms remti.</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Siūlome įsteigti instituciją, kuri palengvintų koordinavimą tarp skirtingų šalių.</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Procedūra piliečiams yra sudėtinga.</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Siūlome įsteigti pagalbos tarnybą, kuri padėtų piliečiams užbaigti procesą.</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Piliečių iniciatyvos rezultatai yra neaiškūs.</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Siūlome įpareigoti Europos Komisiją diskutuoti ir imtis su pasiūlymu susijusių tolesnių veiksmų, o ne tik atsakyti ir patvirtinti jo gavimą. Jei Komisija nusprendžia nesiimti veiksmų dėl pasiūlymo, ji turi jį pagrįsti.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Siūlome surengti konsultacijas su piliečiais, gaunančiais Europos piliečių iniciatyvą, ir paprašyti jų pateikti savo nuomonę apie ją, prieš komitetui ją stebint. Taip būtų išvengta tik kraštutinių nuomonių ir (arba) balsavimo dėl iniciatyvos ir žmonių, kurie nepasirašė, nuomonės. Be to, jei visi piliečiai pateiks savo nuomonę, pasiūlymas bus svaresnis ES lygmeniu ir su juo susijusi tolesnė veikla.</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Teisė pateikti peticiją</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Problemos</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Rekomendacijos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Palaiko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Europos Komisija turi galutinį sprendimą, nėra tikrumo dėl rezultatų</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Siūlome, kad komitetas atsižvelgtų į Europos Parlamento rekomendaciją.</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Trūksta skaidrumo apie sprendimo priėmimo procesą ir motyvaciją.</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Siūlome reguliariai informuoti peticiją pateikusį asmenį apie pažangą ir sprendimus. Galutinė išvada taip pat turi būti pagrįsta.</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Piliečiams sunku įrodyti, kad reikia naujų teisės aktų.</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Rekomenduojame, kad peticija taip pat turėtų būti naudojama kaip priemonė naujų teisės aktų poreikiui įrodyti.</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nacionalinės grupės: Prancūzija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Sistema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Šis dokumentas yra Prancūzijos surengtos ataskaitos „Piliečių indėlis į Konferenciją dėl Europos ateities“ santrauka. Visą ataskaitos versiją prancūzų kalba galima rasti šiuo adresu: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Sistema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Šis dokumentas yra Prancūzijos surengtos ataskaitos „Piliečių indėlis į Konferenciją dėl Europos ateities“ santrauka. Visą ataskaitos versiją prancūzų kalba galima rasti šiuo adresu: </w:t>
                      </w:r>
                    </w:p>
                    <w:p>
                      <w:pPr>
                        <w:pStyle w:val="Contenudecadre"/>
                        <w:spacing w:before="57" w:after="57"/>
                        <w:rPr/>
                      </w:pPr>
                      <w:hyperlink r:id="rId87">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Paveikslėli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aveikslėlis33" descr=""/>
                    <pic:cNvPicPr>
                      <a:picLocks noChangeAspect="1" noChangeArrowheads="1"/>
                    </pic:cNvPicPr>
                  </pic:nvPicPr>
                  <pic:blipFill>
                    <a:blip r:embed="rId88"/>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Paveikslėli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aveikslėlis38" descr=""/>
                    <pic:cNvPicPr>
                      <a:picLocks noChangeAspect="1" noChangeArrowheads="1"/>
                    </pic:cNvPicPr>
                  </pic:nvPicPr>
                  <pic:blipFill>
                    <a:blip r:embed="rId89"/>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Paveikslėli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aveikslėlis37" descr=""/>
                    <pic:cNvPicPr>
                      <a:picLocks noChangeAspect="1" noChangeArrowheads="1"/>
                    </pic:cNvPicPr>
                  </pic:nvPicPr>
                  <pic:blipFill>
                    <a:blip r:embed="rId90"/>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Vaizda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aizdas36" descr=""/>
                    <pic:cNvPicPr>
                      <a:picLocks noChangeAspect="1" noChangeArrowheads="1"/>
                    </pic:cNvPicPr>
                  </pic:nvPicPr>
                  <pic:blipFill>
                    <a:blip r:embed="rId91"/>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Paveikslėli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veikslėlis34" descr=""/>
                    <pic:cNvPicPr>
                      <a:picLocks noChangeAspect="1" noChangeArrowheads="1"/>
                    </pic:cNvPicPr>
                  </pic:nvPicPr>
                  <pic:blipFill>
                    <a:blip r:embed="rId92"/>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Paveikslėli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veikslėlis35" descr=""/>
                    <pic:cNvPicPr>
                      <a:picLocks noChangeAspect="1" noChangeArrowheads="1"/>
                    </pic:cNvPicPr>
                  </pic:nvPicPr>
                  <pic:blipFill>
                    <a:blip r:embed="rId93"/>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Santrauka</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Įvadas </w:t>
      </w:r>
    </w:p>
    <w:p>
      <w:pPr>
        <w:pStyle w:val="P68B1DB1Normal19"/>
        <w:widowControl w:val="false"/>
        <w:spacing w:lineRule="auto" w:line="240" w:before="156" w:after="0"/>
        <w:ind w:left="0" w:right="0" w:hanging="0"/>
        <w:jc w:val="both"/>
        <w:rPr/>
      </w:pPr>
      <w:r>
        <w:rPr/>
        <w:t xml:space="preserve">Konferencija dėl Europos ateities yra precedento neturintis piliečių dalyvavimas siekiant konsultuotis su 27 Europos Sąjungos valstybių narių piliečiais, kad jie taptų sprendimų, kurie bus priimami daugelį metų ir dešimtmečiais, centre. Todėl ES piliečiai raginami pareikšti savo nuomonę, pasiūlyti pakeitimų ir konkrečių veiksmų būdų, kurie leistų Europai nustatyti naują užmojį ir spręsti pasaulines problemas, su kuriomis ji šiandien susiduria. </w:t>
      </w:r>
    </w:p>
    <w:p>
      <w:pPr>
        <w:pStyle w:val="P68B1DB1Normal19"/>
        <w:widowControl w:val="false"/>
        <w:spacing w:lineRule="auto" w:line="240" w:before="156" w:after="0"/>
        <w:ind w:left="0" w:right="0" w:hanging="0"/>
        <w:jc w:val="both"/>
        <w:rPr/>
      </w:pPr>
      <w:r>
        <w:rPr/>
        <w:t xml:space="preserve">Prancūzijos vyriausybė remia Konferencijai dėl Europos ateities pirmininkaujančių trijų valstybių narių iniciatyvas, visų pirma skatindama jos piliečius svariai prisidėti prie interneto platformos ir organizuoti renginius visoje šalyje. </w:t>
      </w:r>
    </w:p>
    <w:p>
      <w:pPr>
        <w:pStyle w:val="P68B1DB1Normal19"/>
        <w:widowControl w:val="false"/>
        <w:spacing w:lineRule="auto" w:line="240" w:before="156" w:after="0"/>
        <w:ind w:left="0" w:right="0" w:hanging="0"/>
        <w:jc w:val="left"/>
        <w:rPr/>
      </w:pPr>
      <w:r>
        <w:rPr/>
        <w:t xml:space="preserve">Kartu su šiomis Europos iniciatyvomis Vyriausybė norėjo dalyvauti nacionaliniu lygmeniu. </w:t>
      </w:r>
    </w:p>
    <w:p>
      <w:pPr>
        <w:pStyle w:val="P68B1DB1Normal19"/>
        <w:widowControl w:val="false"/>
        <w:spacing w:lineRule="auto" w:line="240" w:before="156" w:after="0"/>
        <w:ind w:left="0" w:right="0" w:hanging="0"/>
        <w:jc w:val="both"/>
        <w:rPr/>
      </w:pPr>
      <w:r>
        <w:rPr/>
        <w:t xml:space="preserve">Remiant Ryšių su Parlamentu ir piliečių dalyvavimo ministerijai (MRPCC) ir Tarpministerinio piliečių dalyvavimo centro (ICPC) ekspertinėmis žiniomis, Europos ir užsienio reikalų ministerija (MEAE) surengė piliečių pratybas, grindžiamas tvirtu metodiniu šališkumu (žr. toliau „Metodiniai įsipareigojimai ir šališkumas“). MEAE rėmėsi tiekėjų konsorciumu, kurį sudaro Roland Berger, Wavestone, Missions Publiques ir Harris Interactive. Regioninės prefektūros pagaliau atliko svarbų vaidmenį organizuojant 18 konferencijų visoje šalyje. </w:t>
      </w:r>
    </w:p>
    <w:p>
      <w:pPr>
        <w:pStyle w:val="P68B1DB1Normal19"/>
        <w:widowControl w:val="false"/>
        <w:spacing w:lineRule="auto" w:line="240" w:before="156" w:after="0"/>
        <w:ind w:left="0" w:right="0" w:hanging="0"/>
        <w:jc w:val="both"/>
        <w:rPr/>
      </w:pPr>
      <w:r>
        <w:rPr/>
        <w:t xml:space="preserve">Per šias konsultacijas dalyviams buvo pateiktas vienas klausimas: </w:t>
      </w:r>
      <w:r>
        <w:rPr>
          <w:b/>
          <w:i/>
        </w:rPr>
        <w:t>Kaip Prancūzijos piliečiai, kokių pokyčių norite Europai?</w:t>
      </w:r>
      <w:r>
        <w:rPr/>
        <w:t xml:space="preserve"> (Žr. IV priedą „Dalyvavimo įgaliojimai“). </w:t>
      </w:r>
    </w:p>
    <w:p>
      <w:pPr>
        <w:pStyle w:val="P68B1DB1Normal19"/>
        <w:widowControl w:val="false"/>
        <w:spacing w:lineRule="auto" w:line="240" w:before="156" w:after="0"/>
        <w:ind w:left="0" w:right="0" w:hanging="0"/>
        <w:jc w:val="both"/>
        <w:rPr/>
      </w:pPr>
      <w:r>
        <w:rPr/>
        <w:t xml:space="preserve">Šios nacionalinės pratybos vyko kaip 18 regioninių konferencijų 13 didmiesčių regionų ir 5 Prancūzijos ultramarinų regionuose, kurios vyko tris savaitgalius 2021 m. rugsėjo ir spalio mėn. ir kuriose dalyvavo 30–50 burtų keliu atrinktų piliečių (iš viso 746). Šių 18 regioninių forumų apibendrinimas buvo atliktas 2021 m. spalio 15–17 d. Ekonomikos, socialinių reikalų ir aplinkos taryboje (EESRK, Paryžiuje) vykusioje nacionalinėje konferencijoje, kurioje dalyvavo 98 savanoriški piliečiai iš regioninių konferencijų dalyvių. </w:t>
      </w:r>
    </w:p>
    <w:p>
      <w:pPr>
        <w:pStyle w:val="P68B1DB1Normal19"/>
        <w:widowControl w:val="false"/>
        <w:spacing w:lineRule="auto" w:line="240" w:before="156" w:after="0"/>
        <w:ind w:left="0" w:right="0" w:hanging="0"/>
        <w:jc w:val="both"/>
        <w:rPr/>
      </w:pPr>
      <w:r>
        <w:rPr/>
        <w:t xml:space="preserve">Be to, siekiant pabrėžti jaunų Prancūzijos žmonių žodžius artėjant Europos jaunimo metams 2022 m., Europos ir užsienio reikalų ministerija kartu </w:t>
      </w:r>
      <w:r>
        <w:rPr>
          <w:i/>
        </w:rPr>
        <w:t>su „Make.org“ surengė internetinę konsultaciją „Speak</w:t>
      </w:r>
      <w:r>
        <w:rPr/>
        <w:t xml:space="preserve">to Youth“. Daugiau kaip 50 000 15–35 metų jaunuolių išreiškė savo idėjas ir prioritetus 2035 m. Europai.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Šioje ataskaitoje pateikiami pagrindiniai dviejų Vyriausybės surengtų konsultacijų rezultatai.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Konsultacijų metodika </w:t>
      </w:r>
    </w:p>
    <w:p>
      <w:pPr>
        <w:pStyle w:val="P68B1DB1Normal19"/>
        <w:widowControl w:val="false"/>
        <w:spacing w:lineRule="auto" w:line="240" w:before="156" w:after="0"/>
        <w:ind w:left="0" w:right="0" w:hanging="0"/>
        <w:jc w:val="both"/>
        <w:rPr/>
      </w:pPr>
      <w:r>
        <w:rPr/>
        <w:t xml:space="preserve">Regioninėse konferencijose dalyvaujančių piliečių įdarbinimas apjungė atsitiktinę dalyvių atranką, atsitiktine tvarka traukiant jų telefono numerius, ir tikslinius profilius, kad būtų galima pasiekti grupę, kuri kuo geriau atspindėtų kiekvienos teritorijos įvairovę. </w:t>
      </w:r>
    </w:p>
    <w:p>
      <w:pPr>
        <w:pStyle w:val="P68B1DB1Normal19"/>
        <w:widowControl w:val="false"/>
        <w:spacing w:lineRule="auto" w:line="240" w:before="156" w:after="0"/>
        <w:ind w:left="0" w:right="0" w:hanging="0"/>
        <w:jc w:val="both"/>
        <w:rPr/>
      </w:pPr>
      <w:r>
        <w:rPr/>
        <w:t xml:space="preserve">Regioninių forumų metu dalyviai kalbėjo keisdami darbo laiką grupėse pagal lentelę, kurioje dalyvavo 6–8 piliečiai, kartu su tarpininku ir pristatymo laiku plenariniame posėdyje. Svarstymų metu ekspertai dalyvavo, kad atsakytų į piliečių klausimus ir atskleistų informaciją, kartu išlaikant neutralumo poziciją. </w:t>
      </w:r>
    </w:p>
    <w:p>
      <w:pPr>
        <w:pStyle w:val="P68B1DB1Normal19"/>
        <w:widowControl w:val="false"/>
        <w:spacing w:lineRule="auto" w:line="240" w:before="156" w:after="0"/>
        <w:ind w:left="0" w:right="0" w:hanging="0"/>
        <w:jc w:val="both"/>
        <w:rPr/>
      </w:pPr>
      <w:r>
        <w:rPr/>
        <w:t xml:space="preserve">Pirmiausia piliečiai buvo pakviesti aptarti savo dabartinį požiūrį į Europą. Tada jie išreiškė savo </w:t>
      </w:r>
      <w:r>
        <w:rPr>
          <w:b/>
        </w:rPr>
        <w:t>pageidavimus 2035 m. Europai,</w:t>
      </w:r>
      <w:r>
        <w:rPr/>
        <w:t xml:space="preserve"> kaip frakcijai, o vėliau plenariniame posėdyje. Šios diskusijos leido nustatyti 3–8 pageidavimus kiekvienam regionui. Kiekvienam iš šių pageidavimų piliečiai suformulavo </w:t>
      </w:r>
      <w:r>
        <w:rPr>
          <w:b/>
        </w:rPr>
        <w:t>pakeitimus</w:t>
      </w:r>
      <w:r>
        <w:rPr/>
        <w:t xml:space="preserve">, kurie, jų nuomone, yra būtini norint pasiekti norimą Europą, ir tada juos iliustravo konkrečiais pasiūlymais, kuriuos reikia įgyvendinti. Šis procesas lėmė iš viso 515 pakeitimų ir 1 301 konkrečių pasiūlymų nacionaliniu lygmeniu. </w:t>
      </w:r>
    </w:p>
    <w:p>
      <w:pPr>
        <w:pStyle w:val="P68B1DB1Normal19"/>
        <w:widowControl w:val="false"/>
        <w:spacing w:lineRule="auto" w:line="240" w:before="156" w:after="0"/>
        <w:ind w:left="0" w:right="0" w:hanging="0"/>
        <w:jc w:val="left"/>
        <w:rPr/>
      </w:pPr>
      <w:r>
        <w:rPr/>
        <w:t xml:space="preserve">Po kiekvienos regioninės konferencijos buvo parengta regioninė apibendrinamoji ataskaita, kuri buvo pateikta visiems dalyviams prieš nacionalinę konferenciją. </w:t>
      </w:r>
    </w:p>
    <w:p>
      <w:pPr>
        <w:pStyle w:val="P68B1DB1Normal19"/>
        <w:widowControl w:val="false"/>
        <w:spacing w:lineRule="auto" w:line="240" w:before="156" w:after="0"/>
        <w:ind w:left="0" w:right="0" w:hanging="0"/>
        <w:jc w:val="both"/>
        <w:rPr/>
      </w:pPr>
      <w:r>
        <w:rPr/>
        <w:t xml:space="preserve">Į Nacionalinę apibendrinamąją konferenciją susirinko 98 atsitiktinai atrinkti piliečiai iš 18 regioninių konferencijų dalyvių. Siekiant užtikrinti nacionalinės ekspertų grupės įvairovę, iš regioninių konferencijų, vykusių Prancūzijos metropolijoje ir Reunione, savanorių burtų keliu buvo atrinkti 6 piliečiai, taip pat 4 piliečiai ultramarinų konferencijoms, atsižvelgiant į lygiateisiškumą ir amžiaus įvairovę kiekviename regione (žr. II priedą). </w:t>
      </w:r>
    </w:p>
    <w:p>
      <w:pPr>
        <w:pStyle w:val="Normal"/>
        <w:widowControl w:val="false"/>
        <w:spacing w:lineRule="auto" w:line="240" w:before="156" w:after="0"/>
        <w:ind w:left="0" w:right="0" w:hanging="0"/>
        <w:jc w:val="both"/>
        <w:rPr/>
      </w:pPr>
      <w:r>
        <w:rPr>
          <w:rFonts w:ascii="Times New Roman" w:hAnsi="Times New Roman"/>
          <w:color w:val="000000"/>
          <w:sz w:val="24"/>
        </w:rPr>
        <w:t>Rengiantis nacionalinei konferencijai, buvo išanalizuoti ir suderinti 515 regioninėse konferencijose nustatytų pakeitimų, kai jų pagrindiniai ketinimai atrodė panašūs arba artimi, kad būtų sudaryta 14</w:t>
      </w:r>
      <w:r>
        <w:rPr>
          <w:rFonts w:ascii="Times New Roman" w:hAnsi="Times New Roman"/>
          <w:b/>
          <w:color w:val="000000"/>
          <w:sz w:val="24"/>
        </w:rPr>
        <w:t xml:space="preserve"> </w:t>
      </w:r>
      <w:r>
        <w:rPr>
          <w:rFonts w:ascii="Times New Roman" w:hAnsi="Times New Roman"/>
          <w:color w:val="000000"/>
          <w:sz w:val="24"/>
        </w:rPr>
        <w:t>pakeitimų grupių, atspindinčių bendrą Europos norą (žr. 6 dalį). Šie 14 europiečių pageidavimų buvo pagrindas 98 nacionalinės konferencijos dalyviams, kurių misija buvo praturtinti regionuose atliekamą darbą ir atremti Europos pageidavimus, pokyčius ir pasiūlymus padedant dvidešimties ekspertų parengti prioritetinių pokyčių sąrašą. Kiekviena frakcija galiausiai atrinko 3 pagrindinius pakeitimus, dėl</w:t>
      </w:r>
      <w:r>
        <w:rPr>
          <w:rFonts w:ascii="Times New Roman" w:hAnsi="Times New Roman"/>
          <w:b/>
          <w:color w:val="000000"/>
          <w:sz w:val="24"/>
        </w:rPr>
        <w:t xml:space="preserve"> </w:t>
      </w:r>
      <w:r>
        <w:rPr>
          <w:rFonts w:ascii="Times New Roman" w:hAnsi="Times New Roman"/>
          <w:color w:val="000000"/>
          <w:sz w:val="24"/>
        </w:rPr>
        <w:t xml:space="preserve">kurių dėl pirmojo balsavo visi 98 piliečiai, ir nustatė galutinį 14 prioritetinių pakeitimų reitingą. Apibendrinamoji ataskaita apibendrina visą šios konferencijos darbą. </w:t>
      </w:r>
      <w:r>
        <w:br w:type="page"/>
      </w:r>
    </w:p>
    <w:p>
      <w:pPr>
        <w:pStyle w:val="P68B1DB1Normal19"/>
        <w:spacing w:lineRule="auto" w:line="240" w:before="156" w:after="0"/>
        <w:ind w:left="0" w:right="0" w:hanging="0"/>
        <w:rPr/>
      </w:pPr>
      <w:r>
        <w:rPr/>
        <w:t xml:space="preserve">Konsultacijos internetu „Parole aux Jeunes“, vykusios bendradarbiaujant su „Make.org“, vyko 2021 m. gegužės-liepos mėn. Daugiau nei 50 000 dalyvių dalyvavo ir pateikė beveik 3000 pasiūlymų Europai. Remiantis visomis jaunų piliečių reakcijomis, buvo nustatytos 35 pagrindinės idėjos, iš kurių 22 buvo plačiai pripažintos, o 13 – dalyvių nesutarimai (žr. 11 dalį). </w:t>
      </w:r>
    </w:p>
    <w:p>
      <w:pPr>
        <w:pStyle w:val="P68B1DB1Normal19"/>
        <w:widowControl w:val="false"/>
        <w:spacing w:lineRule="auto" w:line="240" w:before="156" w:after="0"/>
        <w:ind w:left="0" w:right="0" w:hanging="0"/>
        <w:jc w:val="left"/>
        <w:rPr/>
      </w:pPr>
      <w:r>
        <w:rPr>
          <w:u w:val="single"/>
        </w:rPr>
        <w:t>Išvežimo vieta ir muitas iš karto</w:t>
      </w:r>
      <w:r>
        <w:rPr/>
        <w:t xml:space="preserve"> </w:t>
      </w:r>
    </w:p>
    <w:p>
      <w:pPr>
        <w:pStyle w:val="P68B1DB1Normal19"/>
        <w:widowControl w:val="false"/>
        <w:spacing w:lineRule="auto" w:line="240" w:before="156" w:after="0"/>
        <w:ind w:left="0" w:right="0" w:hanging="0"/>
        <w:jc w:val="both"/>
        <w:rPr/>
      </w:pPr>
      <w:r>
        <w:rPr/>
        <w:t xml:space="preserve">Šią ataskaitą piliečiai pateiks Vyriausybei 2021 m. lapkričio 29 d., dalyvaujant Prancūzijos išrinktiems Konferencijos dėl Europos ateities plenarinės asamblėjos nariams. Jis bus pristatytas Konferencijai pirmininkaujančių valstybių trejetui Prancūzijos pirmininkavimo Europos Sąjungos Tarybai laikotarpiu. </w:t>
      </w:r>
    </w:p>
    <w:p>
      <w:pPr>
        <w:pStyle w:val="P68B1DB1Normal19"/>
        <w:widowControl w:val="false"/>
        <w:spacing w:lineRule="auto" w:line="240" w:before="156" w:after="0"/>
        <w:ind w:left="0" w:right="0" w:hanging="0"/>
        <w:jc w:val="both"/>
        <w:rPr/>
      </w:pPr>
      <w:r>
        <w:rPr/>
        <w:t xml:space="preserve">Pasibaigus Nacionalinei apibendrinimo konferencijai EESRK ir siekiant patenkinti didelius piliečių lūkesčius, iškeltus burtų keliu, buvo įsteigtas Piliečių tęstinio darbo komitetas, įkūnijantis dalyvių teisę imtis tolesnių veiksmų. Šiam komitetui, kurį sudaro 15 narių – 14 regioninių konferencijų atstovų ir „Parole aux Jeunes“ konsultacijų atstovas – bus pavesta informuoti piliečius apie jų pasiūlymų ateitį. Kiekviename Konferencijos plenarinės asamblėjos posėdyje vienas arba vienas iš Stebėsenos komiteto narių dalyvaus kaip Prancūzijos atstovas, kad atkreiptų dėmesį į šiame pranešime išdėstytus pasiūlymus, kartu parengdamas bendrą poziciją su visais Europos piliečiais, kuriems atstovaujama. </w:t>
      </w:r>
    </w:p>
    <w:p>
      <w:pPr>
        <w:pStyle w:val="P68B1DB1Normal19"/>
        <w:widowControl w:val="false"/>
        <w:spacing w:lineRule="auto" w:line="240" w:before="156" w:after="0"/>
        <w:ind w:left="0" w:right="0" w:hanging="0"/>
        <w:jc w:val="both"/>
        <w:rPr/>
      </w:pPr>
      <w:r>
        <w:rPr/>
        <w:t xml:space="preserve">Visi Prancūzijos konsultacijų dokumentai bus vieši ir prieinami visiems Prancūzijos valstybės piliečių dalyvavimo platformoje: dalyvavimo įgaliojimai, regioninės santraukos, nacionalinė apibendrinamoji ataskaita, garanto ataskaita ir galutinė ataskaita.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Programinė įranga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Prancūzijos indėlio į Konferenciją dėl Europos ateities apžvalga</w:t>
                            </w:r>
                          </w:p>
                          <w:p>
                            <w:pPr>
                              <w:pStyle w:val="Contenudecadre"/>
                              <w:rPr>
                                <w:color w:val="auto"/>
                              </w:rPr>
                            </w:pPr>
                            <w:r>
                              <w:rPr>
                                <w:color w:val="auto"/>
                              </w:rPr>
                            </w:r>
                          </w:p>
                          <w:p>
                            <w:pPr>
                              <w:pStyle w:val="Contenudecadre"/>
                              <w:rPr>
                                <w:color w:val="auto"/>
                              </w:rPr>
                            </w:pPr>
                            <w:r>
                              <w:rPr>
                                <w:color w:val="auto"/>
                              </w:rPr>
                              <w:t>Burtų keliu atrinkti piliečiai turėjo atsakyti į klausimą: „Kaip Prancūzijos piliečiai, kokių pokyčių norite Europai?“</w:t>
                            </w:r>
                          </w:p>
                          <w:p>
                            <w:pPr>
                              <w:pStyle w:val="Contenudecadre"/>
                              <w:rPr>
                                <w:color w:val="auto"/>
                              </w:rPr>
                            </w:pPr>
                            <w:r>
                              <w:rPr>
                                <w:color w:val="auto"/>
                              </w:rPr>
                            </w:r>
                          </w:p>
                          <w:p>
                            <w:pPr>
                              <w:pStyle w:val="Contenudecadre"/>
                              <w:rPr>
                                <w:color w:val="auto"/>
                              </w:rPr>
                            </w:pPr>
                            <w:r>
                              <w:rPr>
                                <w:color w:val="auto"/>
                              </w:rPr>
                              <w:t xml:space="preserve">10 svarbiausių 2035 m. Europos prioritetų pokyčių </w:t>
                            </w:r>
                          </w:p>
                          <w:p>
                            <w:pPr>
                              <w:pStyle w:val="Contenudecadre"/>
                              <w:rPr>
                                <w:color w:val="auto"/>
                              </w:rPr>
                            </w:pPr>
                            <w:r>
                              <w:rPr>
                                <w:color w:val="auto"/>
                              </w:rPr>
                            </w:r>
                          </w:p>
                          <w:p>
                            <w:pPr>
                              <w:pStyle w:val="Contenudecadre"/>
                              <w:rPr>
                                <w:color w:val="auto"/>
                              </w:rPr>
                            </w:pPr>
                            <w:r>
                              <w:rPr>
                                <w:color w:val="auto"/>
                              </w:rPr>
                              <w:t xml:space="preserve">1. Sukurkite </w:t>
                            </w:r>
                            <w:r>
                              <w:rPr>
                                <w:b/>
                                <w:color w:val="auto"/>
                              </w:rPr>
                              <w:t>energijos blaivumą</w:t>
                            </w:r>
                            <w:r>
                              <w:rPr>
                                <w:color w:val="auto"/>
                              </w:rPr>
                              <w:t>, kad suvartotumėte mažiau, sustabdydami nereikalingą</w:t>
                            </w:r>
                          </w:p>
                          <w:p>
                            <w:pPr>
                              <w:pStyle w:val="Contenudecadre"/>
                              <w:rPr>
                                <w:b w:val="false"/>
                                <w:b w:val="false"/>
                                <w:color w:val="auto"/>
                              </w:rPr>
                            </w:pPr>
                            <w:r>
                              <w:rPr>
                                <w:b w:val="false"/>
                                <w:color w:val="auto"/>
                              </w:rPr>
                            </w:r>
                          </w:p>
                          <w:p>
                            <w:pPr>
                              <w:pStyle w:val="Contenudecadre"/>
                              <w:rPr>
                                <w:color w:val="auto"/>
                              </w:rPr>
                            </w:pPr>
                            <w:r>
                              <w:rPr>
                                <w:color w:val="auto"/>
                              </w:rPr>
                              <w:t>2. Europos Sąjungos</w:t>
                            </w:r>
                            <w:r>
                              <w:rPr>
                                <w:b/>
                                <w:color w:val="auto"/>
                              </w:rPr>
                              <w:t>bendros gynybos ir saugumo</w:t>
                            </w:r>
                            <w:r>
                              <w:rPr>
                                <w:color w:val="auto"/>
                              </w:rPr>
                              <w:t>stiprinimas</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Kolektyvinių ekonominės veiklos rezultatų</w:t>
                            </w:r>
                            <w:r>
                              <w:rPr>
                                <w:color w:val="auto"/>
                              </w:rPr>
                              <w:t xml:space="preserve"> skatinimas ES pasitelkiant savarankišką, konkurencingą ir vertinamą pramonę</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Įgalinti piliečius</w:t>
                            </w:r>
                            <w:r>
                              <w:rPr>
                                <w:color w:val="auto"/>
                              </w:rPr>
                              <w:t xml:space="preserve"> keliais lygmenimis: dalyvavimas, sprendimas, kontrolė</w:t>
                            </w:r>
                          </w:p>
                          <w:p>
                            <w:pPr>
                              <w:pStyle w:val="Contenudecadre"/>
                              <w:rPr>
                                <w:b w:val="false"/>
                                <w:b w:val="false"/>
                                <w:color w:val="auto"/>
                              </w:rPr>
                            </w:pPr>
                            <w:r>
                              <w:rPr>
                                <w:b w:val="false"/>
                                <w:color w:val="auto"/>
                              </w:rPr>
                            </w:r>
                          </w:p>
                          <w:p>
                            <w:pPr>
                              <w:pStyle w:val="Contenudecadre"/>
                              <w:rPr>
                                <w:color w:val="auto"/>
                              </w:rPr>
                            </w:pPr>
                            <w:r>
                              <w:rPr>
                                <w:color w:val="auto"/>
                              </w:rPr>
                              <w:t xml:space="preserve">5. </w:t>
                            </w:r>
                            <w:r>
                              <w:rPr>
                                <w:b/>
                                <w:color w:val="auto"/>
                              </w:rPr>
                              <w:t>Europos valstybių federacijos,</w:t>
                            </w:r>
                            <w:r>
                              <w:rPr>
                                <w:color w:val="auto"/>
                              </w:rPr>
                              <w:t xml:space="preserve"> turinčios didelę kompetenciją bendro intereso srityse, kūrimas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Pasiūlyti visą gyvenimą </w:t>
                            </w:r>
                            <w:r>
                              <w:rPr>
                                <w:b/>
                                <w:color w:val="auto"/>
                              </w:rPr>
                              <w:t>trunkančių mainų programas</w:t>
                            </w:r>
                          </w:p>
                        </w:txbxContent>
                      </wps:txbx>
                      <wps:bodyPr lIns="54000" rIns="54000" tIns="54000" bIns="54000">
                        <a:noAutofit/>
                      </wps:bodyPr>
                    </wps:wsp>
                  </a:graphicData>
                </a:graphic>
              </wp:anchor>
            </w:drawing>
          </mc:Choice>
          <mc:Fallback>
            <w:pict>
              <v:rect id="shape_0" ID="Programinė įranga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Prancūzijos indėlio į Konferenciją dėl Europos ateities apžvalga</w:t>
                      </w:r>
                    </w:p>
                    <w:p>
                      <w:pPr>
                        <w:pStyle w:val="Contenudecadre"/>
                        <w:rPr>
                          <w:color w:val="auto"/>
                        </w:rPr>
                      </w:pPr>
                      <w:r>
                        <w:rPr>
                          <w:color w:val="auto"/>
                        </w:rPr>
                      </w:r>
                    </w:p>
                    <w:p>
                      <w:pPr>
                        <w:pStyle w:val="Contenudecadre"/>
                        <w:rPr>
                          <w:color w:val="auto"/>
                        </w:rPr>
                      </w:pPr>
                      <w:r>
                        <w:rPr>
                          <w:color w:val="auto"/>
                        </w:rPr>
                        <w:t>Burtų keliu atrinkti piliečiai turėjo atsakyti į klausimą: „Kaip Prancūzijos piliečiai, kokių pokyčių norite Europai?“</w:t>
                      </w:r>
                    </w:p>
                    <w:p>
                      <w:pPr>
                        <w:pStyle w:val="Contenudecadre"/>
                        <w:rPr>
                          <w:color w:val="auto"/>
                        </w:rPr>
                      </w:pPr>
                      <w:r>
                        <w:rPr>
                          <w:color w:val="auto"/>
                        </w:rPr>
                      </w:r>
                    </w:p>
                    <w:p>
                      <w:pPr>
                        <w:pStyle w:val="Contenudecadre"/>
                        <w:rPr>
                          <w:color w:val="auto"/>
                        </w:rPr>
                      </w:pPr>
                      <w:r>
                        <w:rPr>
                          <w:color w:val="auto"/>
                        </w:rPr>
                        <w:t xml:space="preserve">10 svarbiausių 2035 m. Europos prioritetų pokyčių </w:t>
                      </w:r>
                    </w:p>
                    <w:p>
                      <w:pPr>
                        <w:pStyle w:val="Contenudecadre"/>
                        <w:rPr>
                          <w:color w:val="auto"/>
                        </w:rPr>
                      </w:pPr>
                      <w:r>
                        <w:rPr>
                          <w:color w:val="auto"/>
                        </w:rPr>
                      </w:r>
                    </w:p>
                    <w:p>
                      <w:pPr>
                        <w:pStyle w:val="Contenudecadre"/>
                        <w:rPr>
                          <w:color w:val="auto"/>
                        </w:rPr>
                      </w:pPr>
                      <w:r>
                        <w:rPr>
                          <w:color w:val="auto"/>
                        </w:rPr>
                        <w:t xml:space="preserve">1. Sukurkite </w:t>
                      </w:r>
                      <w:r>
                        <w:rPr>
                          <w:b/>
                          <w:color w:val="auto"/>
                        </w:rPr>
                        <w:t>energijos blaivumą</w:t>
                      </w:r>
                      <w:r>
                        <w:rPr>
                          <w:color w:val="auto"/>
                        </w:rPr>
                        <w:t>, kad suvartotumėte mažiau, sustabdydami nereikalingą</w:t>
                      </w:r>
                    </w:p>
                    <w:p>
                      <w:pPr>
                        <w:pStyle w:val="Contenudecadre"/>
                        <w:rPr>
                          <w:b w:val="false"/>
                          <w:b w:val="false"/>
                          <w:color w:val="auto"/>
                        </w:rPr>
                      </w:pPr>
                      <w:r>
                        <w:rPr>
                          <w:b w:val="false"/>
                          <w:color w:val="auto"/>
                        </w:rPr>
                      </w:r>
                    </w:p>
                    <w:p>
                      <w:pPr>
                        <w:pStyle w:val="Contenudecadre"/>
                        <w:rPr>
                          <w:color w:val="auto"/>
                        </w:rPr>
                      </w:pPr>
                      <w:r>
                        <w:rPr>
                          <w:color w:val="auto"/>
                        </w:rPr>
                        <w:t>2. Europos Sąjungos</w:t>
                      </w:r>
                      <w:r>
                        <w:rPr>
                          <w:b/>
                          <w:color w:val="auto"/>
                        </w:rPr>
                        <w:t>bendros gynybos ir saugumo</w:t>
                      </w:r>
                      <w:r>
                        <w:rPr>
                          <w:color w:val="auto"/>
                        </w:rPr>
                        <w:t>stiprinimas</w:t>
                      </w:r>
                    </w:p>
                    <w:p>
                      <w:pPr>
                        <w:pStyle w:val="Contenudecadre"/>
                        <w:rPr>
                          <w:b w:val="false"/>
                          <w:b w:val="false"/>
                          <w:color w:val="auto"/>
                        </w:rPr>
                      </w:pPr>
                      <w:r>
                        <w:rPr>
                          <w:b w:val="false"/>
                          <w:color w:val="auto"/>
                        </w:rPr>
                      </w:r>
                    </w:p>
                    <w:p>
                      <w:pPr>
                        <w:pStyle w:val="Contenudecadre"/>
                        <w:rPr>
                          <w:color w:val="auto"/>
                        </w:rPr>
                      </w:pPr>
                      <w:r>
                        <w:rPr>
                          <w:color w:val="auto"/>
                        </w:rPr>
                        <w:t xml:space="preserve">3. </w:t>
                      </w:r>
                      <w:r>
                        <w:rPr>
                          <w:b/>
                          <w:color w:val="auto"/>
                        </w:rPr>
                        <w:t>Kolektyvinių ekonominės veiklos rezultatų</w:t>
                      </w:r>
                      <w:r>
                        <w:rPr>
                          <w:color w:val="auto"/>
                        </w:rPr>
                        <w:t xml:space="preserve"> skatinimas ES pasitelkiant savarankišką, konkurencingą ir vertinamą pramonę</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Įgalinti piliečius</w:t>
                      </w:r>
                      <w:r>
                        <w:rPr>
                          <w:color w:val="auto"/>
                        </w:rPr>
                        <w:t xml:space="preserve"> keliais lygmenimis: dalyvavimas, sprendimas, kontrolė</w:t>
                      </w:r>
                    </w:p>
                    <w:p>
                      <w:pPr>
                        <w:pStyle w:val="Contenudecadre"/>
                        <w:rPr>
                          <w:b w:val="false"/>
                          <w:b w:val="false"/>
                          <w:color w:val="auto"/>
                        </w:rPr>
                      </w:pPr>
                      <w:r>
                        <w:rPr>
                          <w:b w:val="false"/>
                          <w:color w:val="auto"/>
                        </w:rPr>
                      </w:r>
                    </w:p>
                    <w:p>
                      <w:pPr>
                        <w:pStyle w:val="Contenudecadre"/>
                        <w:rPr>
                          <w:color w:val="auto"/>
                        </w:rPr>
                      </w:pPr>
                      <w:r>
                        <w:rPr>
                          <w:color w:val="auto"/>
                        </w:rPr>
                        <w:t xml:space="preserve">5. </w:t>
                      </w:r>
                      <w:r>
                        <w:rPr>
                          <w:b/>
                          <w:color w:val="auto"/>
                        </w:rPr>
                        <w:t>Europos valstybių federacijos,</w:t>
                      </w:r>
                      <w:r>
                        <w:rPr>
                          <w:color w:val="auto"/>
                        </w:rPr>
                        <w:t xml:space="preserve"> turinčios didelę kompetenciją bendro intereso srityse, kūrimas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Pasiūlyti visą gyvenimą </w:t>
                      </w:r>
                      <w:r>
                        <w:rPr>
                          <w:b/>
                          <w:color w:val="auto"/>
                        </w:rPr>
                        <w:t>trunkančių mainų programas</w:t>
                      </w:r>
                    </w:p>
                  </w:txbxContent>
                </v:textbox>
              </v:rect>
            </w:pict>
          </mc:Fallback>
        </mc:AlternateContent>
      </w:r>
      <w:r>
        <w:rPr/>
        <w:t>Pagrindinių rezultatų pristatymas</w:t>
      </w:r>
    </w:p>
    <w:p>
      <w:pPr>
        <w:pStyle w:val="P68B1DB1Normal24"/>
        <w:rPr>
          <w:b w:val="false"/>
          <w:b w:val="false"/>
          <w:sz w:val="22"/>
        </w:rPr>
      </w:pPr>
      <w:r>
        <w:rPr/>
        <w:t xml:space="preserve"> </w:t>
      </w:r>
      <w:r>
        <w:rPr/>
        <w:t>(originalas buvo iliustracijos forma)</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Paveikslėli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aveikslėlis39" descr=""/>
                    <pic:cNvPicPr>
                      <a:picLocks noChangeAspect="1" noChangeArrowheads="1"/>
                    </pic:cNvPicPr>
                  </pic:nvPicPr>
                  <pic:blipFill>
                    <a:blip r:embed="rId94"/>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Šaltinis: Daugiausia balsų Nacionalinėje konferencijoje dėl Europos ateities surinkę pakeitimai (2021 m. spalio 15–17 d.)</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Paveikslėlis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aveikslėlis40" descr=""/>
                    <pic:cNvPicPr>
                      <a:picLocks noChangeAspect="1" noChangeArrowheads="1"/>
                    </pic:cNvPicPr>
                  </pic:nvPicPr>
                  <pic:blipFill>
                    <a:blip r:embed="rId95"/>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Struktūra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Internetinė konsultacija „Žodžiai jaunimui“</w:t>
                            </w:r>
                          </w:p>
                          <w:p>
                            <w:pPr>
                              <w:pStyle w:val="Contenudecadre"/>
                              <w:rPr>
                                <w:color w:val="auto"/>
                              </w:rPr>
                            </w:pPr>
                            <w:r>
                              <w:rPr>
                                <w:color w:val="auto"/>
                              </w:rPr>
                              <w:t>2021 m. gegužės 9 d. už Europos reikalus atsakingas valstybės sekretorius pradėjo konsultacijas „žodis jaunimui“, kurias „Make.org“ surengė 2021 m. gegužės-liepos mėn.</w:t>
                            </w:r>
                          </w:p>
                          <w:p>
                            <w:pPr>
                              <w:pStyle w:val="Contenudecadre"/>
                              <w:rPr>
                                <w:color w:val="auto"/>
                              </w:rPr>
                            </w:pPr>
                            <w:r>
                              <w:rPr>
                                <w:color w:val="auto"/>
                              </w:rPr>
                              <w:t>Į šį klausimą atsakė 50 000 15–30 m. jaunuolių: „Kokie jūsų ateities Europos prioritetai?“ – pateikė 2918 pasiūlymų.</w:t>
                            </w:r>
                          </w:p>
                          <w:p>
                            <w:pPr>
                              <w:pStyle w:val="Contenudecadre"/>
                              <w:spacing w:before="57" w:after="57"/>
                              <w:rPr>
                                <w:color w:val="auto"/>
                              </w:rPr>
                            </w:pPr>
                            <w:r>
                              <w:rPr>
                                <w:color w:val="auto"/>
                              </w:rPr>
                              <w:t>Idėjos, kurioms Prancūzijos jaunimas teikia pirmenybę per šias internetines konsultacijas, yra piliečių indėlio į Konferenciją dėl Europos ateities dalis (išsamiau žr. šios ataskaitos 2 dalyje).</w:t>
                            </w:r>
                          </w:p>
                        </w:txbxContent>
                      </wps:txbx>
                      <wps:bodyPr lIns="54000" rIns="54000" tIns="54000" bIns="54000">
                        <a:noAutofit/>
                      </wps:bodyPr>
                    </wps:wsp>
                  </a:graphicData>
                </a:graphic>
              </wp:anchor>
            </w:drawing>
          </mc:Choice>
          <mc:Fallback>
            <w:pict>
              <v:rect id="shape_0" ID="Struktūra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Internetinė konsultacija „Žodžiai jaunimui“</w:t>
                      </w:r>
                    </w:p>
                    <w:p>
                      <w:pPr>
                        <w:pStyle w:val="Contenudecadre"/>
                        <w:rPr>
                          <w:color w:val="auto"/>
                        </w:rPr>
                      </w:pPr>
                      <w:r>
                        <w:rPr>
                          <w:color w:val="auto"/>
                        </w:rPr>
                        <w:t>2021 m. gegužės 9 d. už Europos reikalus atsakingas valstybės sekretorius pradėjo konsultacijas „žodis jaunimui“, kurias „Make.org“ surengė 2021 m. gegužės-liepos mėn.</w:t>
                      </w:r>
                    </w:p>
                    <w:p>
                      <w:pPr>
                        <w:pStyle w:val="Contenudecadre"/>
                        <w:rPr>
                          <w:color w:val="auto"/>
                        </w:rPr>
                      </w:pPr>
                      <w:r>
                        <w:rPr>
                          <w:color w:val="auto"/>
                        </w:rPr>
                        <w:t>Į šį klausimą atsakė 50 000 15–30 m. jaunuolių: „Kokie jūsų ateities Europos prioritetai?“ – pateikė 2918 pasiūlymų.</w:t>
                      </w:r>
                    </w:p>
                    <w:p>
                      <w:pPr>
                        <w:pStyle w:val="Contenudecadre"/>
                        <w:spacing w:before="57" w:after="57"/>
                        <w:rPr>
                          <w:color w:val="auto"/>
                        </w:rPr>
                      </w:pPr>
                      <w:r>
                        <w:rPr>
                          <w:color w:val="auto"/>
                        </w:rPr>
                        <w:t>Idėjos, kurioms Prancūzijos jaunimas teikia pirmenybę per šias internetines konsultacijas, yra piliečių indėlio į Konferenciją dėl Europos ateities dalis (išsamiau žr. šios ataskaitos 2 dalyje).</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Struktūra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Dalijimasis Europos kultūromis </w:t>
                            </w:r>
                            <w:r>
                              <w:rPr>
                                <w:b/>
                                <w:color w:val="auto"/>
                              </w:rPr>
                              <w:t>suvienijant renginius ir renginius</w:t>
                            </w:r>
                          </w:p>
                          <w:p>
                            <w:pPr>
                              <w:pStyle w:val="Contenudecadre"/>
                              <w:rPr>
                                <w:b w:val="false"/>
                                <w:b w:val="false"/>
                                <w:color w:val="auto"/>
                              </w:rPr>
                            </w:pPr>
                            <w:r>
                              <w:rPr>
                                <w:b w:val="false"/>
                                <w:color w:val="auto"/>
                              </w:rPr>
                            </w:r>
                          </w:p>
                          <w:p>
                            <w:pPr>
                              <w:pStyle w:val="Contenudecadre"/>
                              <w:rPr>
                                <w:color w:val="auto"/>
                              </w:rPr>
                            </w:pPr>
                            <w:r>
                              <w:rPr>
                                <w:color w:val="auto"/>
                              </w:rPr>
                              <w:t xml:space="preserve">8.Sveikatos </w:t>
                            </w:r>
                            <w:r>
                              <w:rPr>
                                <w:b/>
                                <w:color w:val="auto"/>
                              </w:rPr>
                              <w:t>suderinimas</w:t>
                            </w:r>
                            <w:r>
                              <w:rPr>
                                <w:color w:val="auto"/>
                              </w:rPr>
                              <w:t xml:space="preserve"> ir galimybės ja naudotis visiems europiečiams užtikrinimas vykdant bendrą sveikatos politiką</w:t>
                            </w:r>
                          </w:p>
                          <w:p>
                            <w:pPr>
                              <w:pStyle w:val="Contenudecadre"/>
                              <w:rPr>
                                <w:b w:val="false"/>
                                <w:b w:val="false"/>
                                <w:color w:val="auto"/>
                              </w:rPr>
                            </w:pPr>
                            <w:r>
                              <w:rPr>
                                <w:b w:val="false"/>
                                <w:color w:val="auto"/>
                              </w:rPr>
                            </w:r>
                          </w:p>
                          <w:p>
                            <w:pPr>
                              <w:pStyle w:val="Contenudecadre"/>
                              <w:rPr>
                                <w:color w:val="auto"/>
                              </w:rPr>
                            </w:pPr>
                            <w:r>
                              <w:rPr>
                                <w:color w:val="auto"/>
                              </w:rPr>
                              <w:t xml:space="preserve">9. Plėtoti ir valdyti </w:t>
                            </w:r>
                            <w:r>
                              <w:rPr>
                                <w:b/>
                                <w:color w:val="auto"/>
                              </w:rPr>
                              <w:t>strateginius kanalus</w:t>
                            </w:r>
                            <w:r>
                              <w:rPr>
                                <w:color w:val="auto"/>
                              </w:rPr>
                              <w:t xml:space="preserve"> Europos lygmeniu, kad būtų užtikrintas mūsų suverenumas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Gerinti </w:t>
                            </w:r>
                            <w:r>
                              <w:rPr>
                                <w:b/>
                                <w:color w:val="auto"/>
                              </w:rPr>
                              <w:t>aplinkos ir ekosistemų apsaugą</w:t>
                            </w:r>
                            <w:r>
                              <w:rPr>
                                <w:color w:val="auto"/>
                              </w:rPr>
                              <w:t xml:space="preserve"> ir sukurti </w:t>
                            </w:r>
                            <w:r>
                              <w:rPr>
                                <w:b/>
                                <w:color w:val="auto"/>
                              </w:rPr>
                              <w:t>saugomas teritorijas</w:t>
                            </w:r>
                            <w:r>
                              <w:rPr>
                                <w:color w:val="auto"/>
                              </w:rPr>
                              <w:t>, kurios būtų miesto, priemiesčių ir kaimo vietovių pagrindas</w:t>
                            </w:r>
                          </w:p>
                        </w:txbxContent>
                      </wps:txbx>
                      <wps:bodyPr lIns="54000" rIns="54000" tIns="54000" bIns="54000">
                        <a:noAutofit/>
                      </wps:bodyPr>
                    </wps:wsp>
                  </a:graphicData>
                </a:graphic>
              </wp:anchor>
            </w:drawing>
          </mc:Choice>
          <mc:Fallback>
            <w:pict>
              <v:rect id="shape_0" ID="Struktūra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Dalijimasis Europos kultūromis </w:t>
                      </w:r>
                      <w:r>
                        <w:rPr>
                          <w:b/>
                          <w:color w:val="auto"/>
                        </w:rPr>
                        <w:t>suvienijant renginius ir renginius</w:t>
                      </w:r>
                    </w:p>
                    <w:p>
                      <w:pPr>
                        <w:pStyle w:val="Contenudecadre"/>
                        <w:rPr>
                          <w:b w:val="false"/>
                          <w:b w:val="false"/>
                          <w:color w:val="auto"/>
                        </w:rPr>
                      </w:pPr>
                      <w:r>
                        <w:rPr>
                          <w:b w:val="false"/>
                          <w:color w:val="auto"/>
                        </w:rPr>
                      </w:r>
                    </w:p>
                    <w:p>
                      <w:pPr>
                        <w:pStyle w:val="Contenudecadre"/>
                        <w:rPr>
                          <w:color w:val="auto"/>
                        </w:rPr>
                      </w:pPr>
                      <w:r>
                        <w:rPr>
                          <w:color w:val="auto"/>
                        </w:rPr>
                        <w:t xml:space="preserve">8.Sveikatos </w:t>
                      </w:r>
                      <w:r>
                        <w:rPr>
                          <w:b/>
                          <w:color w:val="auto"/>
                        </w:rPr>
                        <w:t>suderinimas</w:t>
                      </w:r>
                      <w:r>
                        <w:rPr>
                          <w:color w:val="auto"/>
                        </w:rPr>
                        <w:t xml:space="preserve"> ir galimybės ja naudotis visiems europiečiams užtikrinimas vykdant bendrą sveikatos politiką</w:t>
                      </w:r>
                    </w:p>
                    <w:p>
                      <w:pPr>
                        <w:pStyle w:val="Contenudecadre"/>
                        <w:rPr>
                          <w:b w:val="false"/>
                          <w:b w:val="false"/>
                          <w:color w:val="auto"/>
                        </w:rPr>
                      </w:pPr>
                      <w:r>
                        <w:rPr>
                          <w:b w:val="false"/>
                          <w:color w:val="auto"/>
                        </w:rPr>
                      </w:r>
                    </w:p>
                    <w:p>
                      <w:pPr>
                        <w:pStyle w:val="Contenudecadre"/>
                        <w:rPr>
                          <w:color w:val="auto"/>
                        </w:rPr>
                      </w:pPr>
                      <w:r>
                        <w:rPr>
                          <w:color w:val="auto"/>
                        </w:rPr>
                        <w:t xml:space="preserve">9. Plėtoti ir valdyti </w:t>
                      </w:r>
                      <w:r>
                        <w:rPr>
                          <w:b/>
                          <w:color w:val="auto"/>
                        </w:rPr>
                        <w:t>strateginius kanalus</w:t>
                      </w:r>
                      <w:r>
                        <w:rPr>
                          <w:color w:val="auto"/>
                        </w:rPr>
                        <w:t xml:space="preserve"> Europos lygmeniu, kad būtų užtikrintas mūsų suverenumas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Gerinti </w:t>
                      </w:r>
                      <w:r>
                        <w:rPr>
                          <w:b/>
                          <w:color w:val="auto"/>
                        </w:rPr>
                        <w:t>aplinkos ir ekosistemų apsaugą</w:t>
                      </w:r>
                      <w:r>
                        <w:rPr>
                          <w:color w:val="auto"/>
                        </w:rPr>
                        <w:t xml:space="preserve"> ir sukurti </w:t>
                      </w:r>
                      <w:r>
                        <w:rPr>
                          <w:b/>
                          <w:color w:val="auto"/>
                        </w:rPr>
                        <w:t>saugomas teritorijas</w:t>
                      </w:r>
                      <w:r>
                        <w:rPr>
                          <w:color w:val="auto"/>
                        </w:rPr>
                        <w:t>, kurios būtų miesto, priemiesčių ir kaimo vietovių pagrindas</w:t>
                      </w:r>
                    </w:p>
                  </w:txbxContent>
                </v:textbox>
              </v:rect>
            </w:pict>
          </mc:Fallback>
        </mc:AlternateContent>
      </w:r>
    </w:p>
    <w:p>
      <w:pPr>
        <w:pStyle w:val="Titre2"/>
        <w:numPr>
          <w:ilvl w:val="1"/>
          <w:numId w:val="2"/>
        </w:numPr>
        <w:rPr/>
      </w:pPr>
      <w:bookmarkStart w:id="209" w:name="__RefHeading___Toc300452_1346298689"/>
      <w:bookmarkEnd w:id="209"/>
      <w:r>
        <w:rPr/>
        <w:t>Regioninių konferencijų grupių pristatymas</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1 forma"/>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6"/>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746 piliečių grupė</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regioninių konferencijų dalyvių apžvalga</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Ūkininkai ūkininkai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Amatininkai – Prekiautojai – Verslo lyderiai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Vyresnieji vadovai – liberalios profesijos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Tarpinės profesijos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Darbuotojai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Darbuotojai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Pensininkai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Kitos neaktyvios</w:t>
                              </w:r>
                            </w:p>
                          </w:txbxContent>
                        </wps:txbx>
                        <wps:bodyPr lIns="90000" rIns="90000" tIns="45000" bIns="45000">
                          <a:noAutofit/>
                        </wps:bodyPr>
                      </wps:wsp>
                    </wpg:wgp>
                  </a:graphicData>
                </a:graphic>
              </wp:anchor>
            </w:drawing>
          </mc:Choice>
          <mc:Fallback>
            <w:pict>
              <v:group id="shape_0" alt="1 forma"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6"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746 piliečių grupė</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regioninių konferencijų dalyvių apžvalga</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Ūkininkai ūkininkai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Amatininkai – Prekiautojai – Verslo lyderiai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Vyresnieji vadovai – liberalios profesijos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Tarpinės profesijos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Darbuotojai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Darbuotojai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Pensininkai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Kitos neaktyvios</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2 forma"/>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7"/>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Konferencijos apie Europos ateitį visoje Prancūzijoje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regioninių konferencijų, 13 metropolyje ir 5 užsienyje</w:t>
                              </w:r>
                            </w:p>
                          </w:txbxContent>
                        </wps:txbx>
                        <wps:bodyPr lIns="90000" rIns="90000" tIns="45000" bIns="45000">
                          <a:noAutofit/>
                        </wps:bodyPr>
                      </wps:wsp>
                    </wpg:wgp>
                  </a:graphicData>
                </a:graphic>
              </wp:anchor>
            </w:drawing>
          </mc:Choice>
          <mc:Fallback>
            <w:pict>
              <v:group id="shape_0" alt="2 forma" style="position:absolute;margin-left:0pt;margin-top:2.85pt;width:462.45pt;height:650.75pt" coordorigin="0,57" coordsize="9249,13015">
                <v:shape id="shape_0" stroked="f" style="position:absolute;left:1;top:1652;width:9247;height:11419" type="shapetype_75">
                  <v:imagedata r:id="rId97"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Konferencijos apie Europos ateitį visoje Prancūzijoje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regioninių konferencijų, 13 metropolyje ir 5 užsienyje</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3 forma"/>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8"/>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Valstybės įsipareigojimai</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Skaidrumas</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Pareiga nedelsiant</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Neutralumas</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Metodinis šališkumas</w:t>
                              </w:r>
                            </w:p>
                          </w:txbxContent>
                        </wps:txbx>
                        <wps:bodyPr lIns="90000" rIns="90000" tIns="45000" bIns="45000">
                          <a:noAutofit/>
                        </wps:bodyPr>
                      </wps:wsp>
                      <pic:pic xmlns:pic="http://schemas.openxmlformats.org/drawingml/2006/picture">
                        <pic:nvPicPr>
                          <pic:cNvPr id="3" name="" descr=""/>
                          <pic:cNvPicPr/>
                        </pic:nvPicPr>
                        <pic:blipFill>
                          <a:blip r:embed="rId99"/>
                          <a:stretch/>
                        </pic:blipFill>
                        <pic:spPr>
                          <a:xfrm>
                            <a:off x="1105560" y="2401560"/>
                            <a:ext cx="4354200" cy="5891040"/>
                          </a:xfrm>
                          <a:prstGeom prst="rect">
                            <a:avLst/>
                          </a:prstGeom>
                          <a:ln>
                            <a:noFill/>
                          </a:ln>
                        </pic:spPr>
                      </pic:pic>
                    </wpg:wgp>
                  </a:graphicData>
                </a:graphic>
              </wp:anchor>
            </w:drawing>
          </mc:Choice>
          <mc:Fallback>
            <w:pict>
              <v:group id="shape_0" alt="3 forma" style="position:absolute;margin-left:13.85pt;margin-top:35.45pt;width:455.3pt;height:668.3pt" coordorigin="277,709" coordsize="9106,13366">
                <v:shape id="shape_0" stroked="f" style="position:absolute;left:277;top:709;width:9105;height:13365" type="shapetype_75">
                  <v:imagedata r:id="rId98"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Valstybės įsipareigojimai</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Skaidrumas</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Pareiga nedelsiant</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Neutralumas</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Metodinis šališkumas</w:t>
                        </w:r>
                      </w:p>
                    </w:txbxContent>
                  </v:textbox>
                  <w10:wrap type="square"/>
                  <v:fill o:detectmouseclick="t" on="false"/>
                  <v:stroke color="#3465a4" joinstyle="round" endcap="flat"/>
                </v:rect>
                <v:shape id="shape_0" stroked="f" style="position:absolute;left:2018;top:4491;width:6856;height:9276" type="shapetype_75">
                  <v:imagedata r:id="rId99" o:detectmouseclick="t"/>
                  <w10:wrap type="none"/>
                  <v:stroke color="#3465a4" joinstyle="round" endcap="flat"/>
                </v:shape>
              </v:group>
            </w:pict>
          </mc:Fallback>
        </mc:AlternateContent>
      </w:r>
      <w:r>
        <w:rPr/>
        <w:t xml:space="preserve">Metodiniai įsipareigojimai ir šališkumas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Valstybės įsipareigojimai dėl dalyvaujamosios demokratijos </w:t>
      </w:r>
    </w:p>
    <w:p>
      <w:pPr>
        <w:pStyle w:val="P68B1DB1Normal19"/>
        <w:widowControl w:val="false"/>
        <w:spacing w:lineRule="auto" w:line="240" w:before="0" w:after="0"/>
        <w:ind w:left="0" w:right="0" w:hanging="0"/>
        <w:jc w:val="left"/>
        <w:rPr/>
      </w:pPr>
      <w:r>
        <w:rPr/>
        <w:t>Prancūzijos Konferencijos dėl Europos ateities dalis yra dalis valstybės įsipareigojimų dėl dalyvaujamosios demokratijos, kurie grindžiami trimis principais:</w:t>
      </w:r>
      <w:r>
        <w:rPr>
          <w:b/>
        </w:rPr>
        <w:t xml:space="preserve"> skaidrumas, neutralumas ir pareiga nedelsiant</w:t>
      </w:r>
      <w:r>
        <w:rPr/>
        <w:t xml:space="preserve">. </w:t>
      </w:r>
    </w:p>
    <w:p>
      <w:pPr>
        <w:pStyle w:val="P68B1DB1Normal19"/>
        <w:widowControl w:val="false"/>
        <w:spacing w:lineRule="auto" w:line="240" w:before="0" w:after="0"/>
        <w:ind w:left="0" w:right="0" w:hanging="0"/>
        <w:jc w:val="both"/>
        <w:rPr/>
      </w:pPr>
      <w:r>
        <w:rPr/>
        <w:t xml:space="preserve">Taikant dalyvaujamąjį požiūrį organizatorius įpareigojamas laikytis griežtos metodikos. Piliečių dalyvavimo metodas turi suteikti piliečiams galimybę dalyvauti geriausiomis įmanomomis sąlygomis ir laisvai bei motyvuotai reikšti savo nuomonę.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Skaidrumas </w:t>
      </w:r>
    </w:p>
    <w:p>
      <w:pPr>
        <w:pStyle w:val="P68B1DB1Normal19"/>
        <w:widowControl w:val="false"/>
        <w:spacing w:lineRule="auto" w:line="240" w:before="0" w:after="0"/>
        <w:ind w:left="0" w:right="0" w:hanging="0"/>
        <w:jc w:val="left"/>
        <w:rPr/>
      </w:pPr>
      <w:r>
        <w:rPr/>
        <w:t xml:space="preserve">Konferencijos organizavimo grupė yra įsipareigojusi užtikrinti, kad visa informacija apie konsultacijas būtų prieinama piliečiams: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Sistema, pagal kurią vyksta konsultacijos; •</w:t>
      </w:r>
      <w:r>
        <w:rPr/>
        <w:t xml:space="preserve"> </w:t>
      </w:r>
      <w:r>
        <w:rPr>
          <w:rFonts w:ascii="Times New Roman" w:hAnsi="Times New Roman"/>
        </w:rPr>
        <w:t xml:space="preserve">Prisiimti įsipareigojimai piliečiams;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Konsultacijų tikslai;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Konsultacijų rezultatai. </w:t>
      </w:r>
    </w:p>
    <w:p>
      <w:pPr>
        <w:pStyle w:val="Normal"/>
        <w:widowControl w:val="false"/>
        <w:spacing w:lineRule="auto" w:line="240" w:before="0" w:after="0"/>
        <w:ind w:left="0" w:right="0" w:hanging="0"/>
        <w:jc w:val="both"/>
        <w:rPr/>
      </w:pPr>
      <w:r>
        <w:rPr>
          <w:rFonts w:ascii="Times New Roman" w:hAnsi="Times New Roman"/>
          <w:color w:val="000000"/>
          <w:sz w:val="24"/>
        </w:rPr>
        <w:t>Taip buvo nustatyta Konferencijos dėl Europos ateities metodika, kurios tikslas – užtikrinti skaidrumą piliečiams. Buvo aiškiai nustatyta atsitiktinai atrinktų piliečių įdarbinimo metodika, metodinis šališkumas ir piliečių kalbos traktavimas. Konferencijos pabaigoje dalyviai taip pat gavo savo regioninės konferencijos santrauką elektroniniu paštu. Be to, visi darbo ir pasitraukimo dokumentai programos pabaigoje bus paskelbti valstybės piliečių dalyvavimo platformoje</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Neutralumas </w:t>
      </w:r>
    </w:p>
    <w:p>
      <w:pPr>
        <w:pStyle w:val="P68B1DB1Normal19"/>
        <w:widowControl w:val="false"/>
        <w:spacing w:lineRule="auto" w:line="240" w:before="0" w:after="0"/>
        <w:ind w:left="0" w:right="0" w:hanging="0"/>
        <w:jc w:val="both"/>
        <w:rPr/>
      </w:pPr>
      <w:r>
        <w:rPr/>
        <w:t xml:space="preserve">Konsultacijų metu organizatorė turi užtikrinti, kad ji išliktų neutrali sudarydama palankesnes sąlygas keistis informacija ir rengdama rezultatų santraukas. Programoje dalyvaujantys suinteresuotieji subjektai – tarpininkai, tarpininkai, ekspertai – neturėtų reikšti savo nuomonės ar siekti, kad diskusija vyktų subjektyviai. </w:t>
      </w:r>
    </w:p>
    <w:p>
      <w:pPr>
        <w:pStyle w:val="P68B1DB1Normal19"/>
        <w:widowControl w:val="false"/>
        <w:spacing w:lineRule="auto" w:line="240" w:before="0" w:after="0"/>
        <w:ind w:left="0" w:right="0" w:hanging="0"/>
        <w:jc w:val="both"/>
        <w:rPr/>
      </w:pPr>
      <w:r>
        <w:rPr/>
        <w:t xml:space="preserve">Neutralumo tikslo siekta visais konsultacijų etapais, visų pirma užtikrinant nešališką dalyvių atranką, visišką diskusijų laisvę ir rėmėjo ar suinteresuotųjų subjektų įtakos piliečių kalboms stoką. Šis neutralumo reikalavimas atsirado dėl objektyvaus ir skaidraus dalyvių įdarbinimo proceso, nuoseklaus metodinio šališkumo (atvirkštinio ekspertizės, teminio diskusijų formavimo stokos) ir ypatingo dėmesio įvairių pranešėjų (tarpininkų, tarpininkų, ekspertų) laikysenai. Galiausiai organizatorė įsitikino, kad vertina visus žodžius, o ne filtruoja piliečių pasiūlymus. </w:t>
      </w:r>
    </w:p>
    <w:p>
      <w:pPr>
        <w:pStyle w:val="P68B1DB1Normal19"/>
        <w:widowControl w:val="false"/>
        <w:spacing w:lineRule="auto" w:line="240" w:before="0" w:after="0"/>
        <w:ind w:left="0" w:right="0" w:hanging="0"/>
        <w:jc w:val="both"/>
        <w:rPr/>
      </w:pPr>
      <w:r>
        <w:rPr>
          <w:b/>
        </w:rPr>
        <w:t>Trijų garantų kolegija</w:t>
      </w:r>
      <w:r>
        <w:rPr/>
        <w:t xml:space="preserve">, kurią paskyrė Nacionalinės Asamblėjos, Europos Parlamento ir vyriausybės pirmininkai, taip pat užtikrino, kad būtų pareikštos visos nuomonės ir į jas būtų atsižvelgta.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Pareiga nedelsiant </w:t>
      </w:r>
    </w:p>
    <w:p>
      <w:pPr>
        <w:pStyle w:val="P68B1DB1Normal19"/>
        <w:widowControl w:val="false"/>
        <w:spacing w:lineRule="auto" w:line="240" w:before="0" w:after="0"/>
        <w:ind w:left="0" w:right="0" w:hanging="0"/>
        <w:jc w:val="both"/>
        <w:rPr/>
      </w:pPr>
      <w:r>
        <w:rPr/>
        <w:t xml:space="preserve">Piliečiai, nepriklausomai nuo to, ar jie dalyvavo konsultacijose, ar ne, turi teisę būti informuoti apie tai, kas buvo pasirinkta apie jų pasiūlymus ir nuomones, kurias jie iš jų gavo, ir dėl kokių priežasčių. Tai vadinama </w:t>
      </w:r>
      <w:r>
        <w:rPr>
          <w:b/>
        </w:rPr>
        <w:t>pareiga iš karto</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Tarpžinybinis piliečių dalyvavimo centras (ICPC) ir Tarpžinybinis Viešosios transformacijos direktoratas (DITP) jį apibrėžia kaip visuomenės sprendimų priėmėjo įsipareigojimą pateikti piliečiams aiškų ir įskaitomą atsakymą į konsultacijų rezultatus. Konkrečiai, pareiga imtis tolesnių veiksmų yra grįžti į piliečius, kad jie paaiškintų, kaip atsižvelgiama į jų indėlį ir kaip jie daro poveikį sprendimų priėmimui ir administracijos praktikai.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Vyriausybė ėmėsi šios pareigos vykdydama tolesnę veiklą, susijusią su Konferencija dėl Europos ateities, ir paskelbė apie plataus užmojo tolesnių veiksmų mechanizmą po kitoje šios ataskaitos dalyje aprašytos nacionalinės konferencijos (žr. </w:t>
      </w:r>
      <w:r>
        <w:rPr>
          <w:i/>
        </w:rPr>
        <w:t>Metodikos Šalys</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Metodinės partijos </w:t>
      </w:r>
    </w:p>
    <w:p>
      <w:pPr>
        <w:pStyle w:val="P68B1DB1Normal19"/>
        <w:widowControl w:val="false"/>
        <w:spacing w:lineRule="auto" w:line="240" w:before="0" w:after="0"/>
        <w:ind w:left="0" w:right="0" w:hanging="0"/>
        <w:jc w:val="both"/>
        <w:rPr/>
      </w:pPr>
      <w:r>
        <w:rPr/>
        <w:t xml:space="preserve">Šie trys valstybės įsipareigojimai buvo atspindėti konsultacijų metodikoje, t. y. </w:t>
      </w:r>
      <w:r>
        <w:rPr>
          <w:b/>
        </w:rPr>
        <w:t>septyniuose stipriuose metodiniuose šališkumo principuose</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Teritorizavimas ir artumas</w:t>
      </w:r>
    </w:p>
    <w:p>
      <w:pPr>
        <w:pStyle w:val="P68B1DB1Normal24"/>
        <w:widowControl w:val="false"/>
        <w:spacing w:lineRule="auto" w:line="240" w:before="0" w:after="0"/>
        <w:ind w:left="0" w:right="0" w:hanging="0"/>
        <w:jc w:val="both"/>
        <w:rPr/>
      </w:pPr>
      <w:r>
        <w:rPr/>
        <w:t xml:space="preserve">Nacionalinis Konferencijos dėl Europos ateities komponentas buvo 18 regioninių konferencijų 13 didmiesčių regionų ir penkiuose Prancūzijos ultramarinų regionuose, po to Paryžiuje surengta nacionalinė konferencija. Pasirinkus vietos lygmens grupes, buvo </w:t>
      </w:r>
      <w:r>
        <w:rPr>
          <w:b/>
        </w:rPr>
        <w:t>siekiama kuo arčiau piliečių pareikšti savo nuomonę</w:t>
      </w:r>
      <w:r>
        <w:rPr/>
        <w:t xml:space="preserve">. Šis šališkumas taip pat praturtino konsultacijas, nes parodė, kad teritorijos skirtingais klausimais laikosi bendro sutarimo ir nesutarimo.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Piliečių profilių įvairovė ir piešinio naudojimas</w:t>
      </w:r>
    </w:p>
    <w:p>
      <w:pPr>
        <w:pStyle w:val="P68B1DB1Normal24"/>
        <w:widowControl w:val="false"/>
        <w:spacing w:lineRule="auto" w:line="240" w:before="0" w:after="0"/>
        <w:ind w:left="0" w:right="0" w:hanging="0"/>
        <w:jc w:val="both"/>
        <w:rPr/>
      </w:pPr>
      <w:r>
        <w:rPr/>
        <w:t xml:space="preserve">Prieš šį procesą buvo nustatytas tikslas įdarbinti 50 piliečių per regioninę konferenciją, išskyrus Martinikos, Majoto, Gvadelupos ir Gajanos ultrajūrų konferencijas, po 30–40 piliečių ir „Grand Est“ konferenciją, kurioje taip pat dalyvavo 5 Vokietijos piliečiai iš trijų pasienio Landerių. </w:t>
      </w:r>
      <w:r>
        <w:rPr>
          <w:b/>
        </w:rPr>
        <w:t>Atsitiktinė telefono numerių karta</w:t>
      </w:r>
      <w:r>
        <w:rPr/>
        <w:t xml:space="preserve"> leido pritraukti daug piliečių, pakviestų dalyvauti regioninėse konferencijose. </w:t>
      </w:r>
    </w:p>
    <w:p>
      <w:pPr>
        <w:pStyle w:val="P68B1DB1Normal24"/>
        <w:widowControl w:val="false"/>
        <w:spacing w:lineRule="auto" w:line="240" w:before="0" w:after="0"/>
        <w:ind w:left="0" w:right="0" w:hanging="0"/>
        <w:jc w:val="both"/>
        <w:rPr/>
      </w:pPr>
      <w:r>
        <w:rPr/>
        <w:t xml:space="preserve">Kad atitiktų reikalavimus, burtų keliu atrinkti piliečiai turėjo būti vyresni nei 18 metų ir nuolatiniai Prancūzijos gyventojai arba nuolatiniai gyventojai. Kiekviena regioninė piliečių grupė turėjo </w:t>
      </w:r>
      <w:r>
        <w:rPr>
          <w:b/>
        </w:rPr>
        <w:t>atstovauti regionų gyventojų įvairovei</w:t>
      </w:r>
      <w:r>
        <w:rPr/>
        <w:t xml:space="preserve">ir suburti </w:t>
      </w:r>
      <w:r>
        <w:rPr>
          <w:b/>
        </w:rPr>
        <w:t>nuomonių apie Europą įvairovę</w:t>
      </w:r>
      <w:r>
        <w:rPr/>
        <w:t xml:space="preserve">. Tiksli įdarbinimo burtų keliu metodika pateikta II priede.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Požiūrio skaidrumas</w:t>
      </w:r>
    </w:p>
    <w:p>
      <w:pPr>
        <w:pStyle w:val="P68B1DB1Normal24"/>
        <w:widowControl w:val="false"/>
        <w:spacing w:lineRule="auto" w:line="240" w:before="0" w:after="0"/>
        <w:ind w:left="0" w:right="0" w:hanging="0"/>
        <w:jc w:val="both"/>
        <w:rPr/>
      </w:pPr>
      <w:r>
        <w:rPr/>
        <w:t xml:space="preserve">Visą procesą stebėjo </w:t>
      </w:r>
      <w:r>
        <w:rPr>
          <w:b/>
        </w:rPr>
        <w:t>trijų garantų kolegija</w:t>
      </w:r>
      <w:r>
        <w:rPr/>
        <w:t xml:space="preserve">, kurią paskyrė valstybės sekretorius, atsakingas už Europos reikalus, Nacionalinės Asamblėjos pirmininkas ir Europos Parlamento pirmininkas, kad būtų užtikrintas jo neutralumas ir reguliarumas. Visų pirma garantai turi: stebėjo burtų keliu atrinktų piliečių įdarbinimo nuoširdumą, teikė rekomendacijas dėl ekspertų atrankos ir užtikrino, kad diskusijos būtų gerai organizuotos. Pasibaigus procedūrai, garantai viešai paskelbs savo nuomonę apie konsultacijas. Šis dokumentas bus paskelbtas valstybės piliečių dalyvavimo platformoje. </w:t>
      </w:r>
    </w:p>
    <w:p>
      <w:pPr>
        <w:pStyle w:val="P68B1DB1Normal24"/>
        <w:widowControl w:val="false"/>
        <w:spacing w:lineRule="auto" w:line="240" w:before="0" w:after="0"/>
        <w:ind w:left="0" w:right="0" w:hanging="0"/>
        <w:jc w:val="both"/>
        <w:rPr/>
      </w:pPr>
      <w:r>
        <w:rPr/>
        <w:t xml:space="preserve">Taip pat bus paskelbta valstybės piliečių dalyvavimo platformoje: aštuoniolikos regioninių konferencijų santraukos, visų regioninėse konferencijose išreikštų pakeitimų santrauka, nacionalinės konferencijos apibendrinimas ir galiausiai Vyriausybei pateikta galutinė ataskaita.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Atviros diskusijos be primestos temos</w:t>
      </w:r>
    </w:p>
    <w:p>
      <w:pPr>
        <w:pStyle w:val="P68B1DB1Normal24"/>
        <w:widowControl w:val="false"/>
        <w:spacing w:lineRule="auto" w:line="240" w:before="215" w:after="0"/>
        <w:ind w:left="1" w:right="0" w:hanging="0"/>
        <w:jc w:val="left"/>
        <w:rPr/>
      </w:pPr>
      <w:r>
        <w:rPr/>
        <w:t xml:space="preserve">Vykstant šioms nacionalinėms konsultacijoms, dalyvaujantiems piliečiams buvo suformuluotas vienas klausimas: „ </w:t>
      </w:r>
      <w:r>
        <w:rPr>
          <w:i/>
        </w:rPr>
        <w:t>Kaip Prancūzijos piliečiai, kokių pokyčių norite Europai?“</w:t>
      </w:r>
      <w:r>
        <w:rPr/>
        <w:t xml:space="preserve"> </w:t>
      </w:r>
    </w:p>
    <w:p>
      <w:pPr>
        <w:pStyle w:val="P68B1DB1Normal24"/>
        <w:widowControl w:val="false"/>
        <w:spacing w:lineRule="auto" w:line="240" w:before="235" w:after="0"/>
        <w:ind w:left="1" w:right="0" w:hanging="0"/>
        <w:jc w:val="both"/>
        <w:rPr/>
      </w:pPr>
      <w:r>
        <w:rPr/>
        <w:t xml:space="preserve">Per atsiskleidimą ir įdiegtą metodiką piliečiai galėjo patys nustatyti norimų pokyčių darbotvarkę, nesuvaržydami konkrečios temos ar išankstinio norminio rėmelio. </w:t>
      </w:r>
    </w:p>
    <w:p>
      <w:pPr>
        <w:pStyle w:val="Normal"/>
        <w:widowControl w:val="false"/>
        <w:spacing w:lineRule="auto" w:line="240" w:before="233" w:after="0"/>
        <w:ind w:left="1" w:right="1" w:hanging="0"/>
        <w:jc w:val="both"/>
        <w:rPr/>
      </w:pPr>
      <w:r>
        <w:rPr>
          <w:rFonts w:ascii="Times New Roman" w:hAnsi="Times New Roman"/>
          <w:color w:val="000000"/>
        </w:rPr>
        <w:t>Tikslas buvo sudaryti sąlygas regioninių konferencijų piliečiams visiškai laisvai spręsti temas, kurias jie norėjo aptarti. Todėl Europos ir užsienio reikalų ministerija, atsakinga už nacionalinę Konferencijos dėl Europos ateities dalį, nusprendė parengti papildomą požiūrį į Europos pratybas, kurį sudaro devynios temos: klimato kaita ir aplinka; sveikata; stipresnė ekonomika, socialinis teisingumas ir užimtumas; ES pasaulyje; vertybės ir teisės, teisinė valstybė, saugumas; skaitmeninė transformacija; Europos demokratija; migracija; švietimas, kultūra, jaunimas ir sportas; kitos idėjos</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Taigi keitimosi regioninėmis konferencijomis temas apibrėžė patys piliečiai, o ne pratybų rėmėjas.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Atvirkštinė patirtis</w:t>
      </w:r>
    </w:p>
    <w:p>
      <w:pPr>
        <w:pStyle w:val="P68B1DB1Normal24"/>
        <w:widowControl w:val="false"/>
        <w:spacing w:lineRule="auto" w:line="240" w:before="218" w:after="0"/>
        <w:ind w:left="1" w:right="0" w:hanging="0"/>
        <w:jc w:val="left"/>
        <w:rPr/>
      </w:pPr>
      <w:r>
        <w:rPr/>
        <w:t xml:space="preserve">Siekiant kuo mažiau paveikti savo norų Europai nustatymo proceso dalyvius, buvo nuspręsta </w:t>
      </w:r>
      <w:r>
        <w:rPr>
          <w:b/>
        </w:rPr>
        <w:t>neteikti išankstinės informacijos ar patirties</w:t>
      </w:r>
      <w:r>
        <w:rPr/>
        <w:t xml:space="preserve"> (pvz., apie dabartinį Europos Sąjungos projektą, jos kompetenciją ar institucijų veikimą), bet pradėti nuo pačių piliečių klausimų. Šis metodologinis šališkumas grindžiamas </w:t>
      </w:r>
      <w:r>
        <w:rPr>
          <w:i/>
        </w:rPr>
        <w:t>atvirkštinės kompetencijos</w:t>
      </w:r>
      <w:r>
        <w:rPr/>
        <w:t xml:space="preserve">principu, pagal kurį </w:t>
      </w:r>
      <w:r>
        <w:rPr>
          <w:b/>
        </w:rPr>
        <w:t>kolektyviniai svarstymai</w:t>
      </w:r>
      <w:r>
        <w:rPr/>
        <w:t xml:space="preserve"> grindžiami piliečių patirtimi ir nuomonėmis, kurie vėliau apklausia ekspertus, kad paremtų jų diskusijas ir sustiprintų savo darbo hipotezes. </w:t>
      </w:r>
    </w:p>
    <w:p>
      <w:pPr>
        <w:pStyle w:val="P68B1DB1Normal24"/>
        <w:widowControl w:val="false"/>
        <w:spacing w:lineRule="auto" w:line="240" w:before="232" w:after="0"/>
        <w:ind w:left="0" w:right="0" w:hanging="0"/>
        <w:jc w:val="both"/>
        <w:rPr/>
      </w:pPr>
      <w:r>
        <w:rPr/>
        <w:t xml:space="preserve">Šiam tikslui pasiekti buvo sutelkti </w:t>
      </w:r>
      <w:r>
        <w:rPr>
          <w:b/>
        </w:rPr>
        <w:t>ekspertai</w:t>
      </w:r>
      <w:r>
        <w:rPr/>
        <w:t xml:space="preserve"> įvairiuose regionuose (vidutiniškai trys), visų pirma iš akademinės bendruomenės ir „Europe Direct“ informacijos centrų atitinkamose teritorijose. Šeštadieniais ir sekmadieniais jie dalyvavo atsakydami į piliečių klausimus, kalbėdami tik jų prašymu. Taip pat buvo galima susipažinti</w:t>
      </w:r>
      <w:r>
        <w:rPr>
          <w:i/>
        </w:rPr>
        <w:t>su</w:t>
      </w:r>
      <w:r>
        <w:rPr/>
        <w:t xml:space="preserve">faktų </w:t>
      </w:r>
      <w:r>
        <w:rPr>
          <w:b/>
        </w:rPr>
        <w:t>tikrintojais</w:t>
      </w:r>
      <w:r>
        <w:rPr/>
        <w:t xml:space="preserve">, kad būtų galima greitai patikrinti faktinius piliečių klausimus. </w:t>
      </w:r>
    </w:p>
    <w:p>
      <w:pPr>
        <w:pStyle w:val="P68B1DB1Normal24"/>
        <w:widowControl w:val="false"/>
        <w:spacing w:lineRule="auto" w:line="240" w:before="235" w:after="0"/>
        <w:ind w:left="0" w:right="1" w:hanging="0"/>
        <w:jc w:val="both"/>
        <w:rPr/>
      </w:pPr>
      <w:r>
        <w:rPr/>
        <w:t xml:space="preserve">EESRK vykusioje nacionalinėje apibendrinamojoje konferencijoje darbo grupėse dalyvavo 19 aukšto lygio ekspertų iš akademinės bendruomenės, ekspertų grupių ir diplomatinio korpuso. Šie ekspertai visą savaitgalį lydėjo grupę, kuri leido jiems pagilinti regionuose išreikštus pokyčius.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Kolegialumas ir Agile valdymas</w:t>
      </w:r>
    </w:p>
    <w:p>
      <w:pPr>
        <w:pStyle w:val="P68B1DB1Normal24"/>
        <w:widowControl w:val="false"/>
        <w:spacing w:lineRule="auto" w:line="240" w:before="212" w:after="0"/>
        <w:ind w:left="0" w:right="0" w:hanging="0"/>
        <w:jc w:val="left"/>
        <w:rPr/>
      </w:pPr>
      <w:r>
        <w:rPr/>
        <w:t xml:space="preserve">Visą procesą </w:t>
      </w:r>
      <w:r>
        <w:rPr>
          <w:b/>
        </w:rPr>
        <w:t>bendrai sukūrė</w:t>
      </w:r>
      <w:r>
        <w:rPr/>
        <w:t xml:space="preserve"> Europos ir užsienio reikalų ministerija (MEAE). </w:t>
      </w:r>
    </w:p>
    <w:p>
      <w:pPr>
        <w:pStyle w:val="P68B1DB1Normal24"/>
        <w:widowControl w:val="false"/>
        <w:spacing w:lineRule="auto" w:line="240"/>
        <w:ind w:left="0" w:right="4" w:hanging="0"/>
        <w:jc w:val="both"/>
        <w:rPr/>
      </w:pPr>
      <w:r>
        <w:rPr/>
        <w:t xml:space="preserve">remiant Tarpministerinio Visuomenės transformacijos direktorato (DITP) ir Parlamentinių ryšių ir piliečių dalyvavimo ministerijos (MRPC) Tarpministerinio piliečių dalyvavimo centro (ICPC) dalyvavimo strategiją. Šią schemą įgyvendino tiekėjų konsorciumas, kurį sudarė Roland Berger, Wavestone, Missions Publiques ir Harris Interactive, skirtas proceso valdymui, konferencijų animacijai, piliečių rengimui ir ataskaitų bei santraukų rengimui, bendradarbiaujant su regioninėmis prefektūromis regioninėms konferencijoms organizuoti. </w:t>
      </w:r>
    </w:p>
    <w:p>
      <w:pPr>
        <w:pStyle w:val="P68B1DB1Normal24"/>
        <w:widowControl w:val="false"/>
        <w:spacing w:lineRule="auto" w:line="240" w:before="232" w:after="0"/>
        <w:ind w:left="0" w:right="4" w:hanging="0"/>
        <w:jc w:val="left"/>
        <w:rPr/>
      </w:pPr>
      <w:r>
        <w:rPr>
          <w:b/>
        </w:rPr>
        <w:t>Specialus valdymas</w:t>
      </w:r>
      <w:r>
        <w:rPr/>
        <w:t xml:space="preserve"> buvo sukurtas remiantis MEAE pirmininkaujama projekto grupe, kurią sudaro CPIC, MRPC ir tiekėjų konsorciumas.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Tolesnių veiksmų ir sąsajų su Europos pratybomis pareiga</w:t>
      </w:r>
    </w:p>
    <w:p>
      <w:pPr>
        <w:pStyle w:val="P68B1DB1Normal19"/>
        <w:widowControl w:val="false"/>
        <w:spacing w:lineRule="auto" w:line="240" w:before="211" w:after="0"/>
        <w:ind w:left="0" w:right="0" w:hanging="0"/>
        <w:jc w:val="left"/>
        <w:rPr/>
      </w:pPr>
      <w:r>
        <w:rPr/>
        <w:t xml:space="preserve">Nacionalinės konferencijos proga buvo paskelbti keli </w:t>
      </w:r>
      <w:r>
        <w:rPr>
          <w:b/>
        </w:rPr>
        <w:t>Prancūzijos institucijų tolesnės veiklos</w:t>
      </w:r>
      <w:r>
        <w:rPr/>
        <w:t xml:space="preserve">, susijusios su Konferencija dėl Europos ateities, elementai: </w:t>
      </w:r>
    </w:p>
    <w:p>
      <w:pPr>
        <w:pStyle w:val="P68B1DB1Normal34"/>
        <w:widowControl w:val="false"/>
        <w:spacing w:lineRule="auto" w:line="240" w:before="333" w:after="0"/>
        <w:ind w:left="720" w:right="0" w:hanging="359"/>
        <w:jc w:val="both"/>
        <w:rPr/>
      </w:pPr>
      <w:r>
        <w:rPr>
          <w:rFonts w:ascii="Calibri" w:hAnsi="Calibri"/>
        </w:rPr>
        <w:t>Visą</w:t>
      </w:r>
      <w:r>
        <w:rPr/>
        <w:t xml:space="preserve"> </w:t>
      </w:r>
      <w:r>
        <w:rPr>
          <w:rFonts w:ascii="Times New Roman" w:hAnsi="Times New Roman"/>
          <w:b/>
        </w:rPr>
        <w:t>informaciją apie</w:t>
      </w:r>
      <w:r>
        <w:rPr>
          <w:rFonts w:ascii="Times New Roman" w:hAnsi="Times New Roman"/>
        </w:rPr>
        <w:t xml:space="preserve"> požiūrį, šį dokumentą, taip pat regioninių ir nacionalinių konferencijų apibendrinamąsias ataskaitas skaidriai ir visiems prieinamai skelbti naujoje piliečių dalyvavimo platformoje, kuri buvo pradėta grįžti į Vyriausybę; </w:t>
      </w:r>
    </w:p>
    <w:p>
      <w:pPr>
        <w:pStyle w:val="P68B1DB1Normal34"/>
        <w:widowControl w:val="false"/>
        <w:spacing w:lineRule="auto" w:line="240" w:before="90" w:after="0"/>
        <w:ind w:left="360" w:right="0" w:hanging="0"/>
        <w:jc w:val="left"/>
        <w:rPr/>
      </w:pPr>
      <w:r>
        <w:rPr>
          <w:rFonts w:ascii="Calibri" w:hAnsi="Calibri"/>
        </w:rPr>
        <w:t>Renginio</w:t>
      </w:r>
      <w:r>
        <w:rPr/>
        <w:t xml:space="preserve"> </w:t>
      </w:r>
      <w:r>
        <w:rPr>
          <w:rFonts w:ascii="Times New Roman" w:hAnsi="Times New Roman"/>
        </w:rPr>
        <w:t xml:space="preserve">organizavimas </w:t>
      </w:r>
      <w:r>
        <w:rPr>
          <w:rFonts w:ascii="Times New Roman" w:hAnsi="Times New Roman"/>
          <w:b/>
        </w:rPr>
        <w:t>siekiant grąžinti Vyriausybei</w:t>
      </w:r>
      <w:r>
        <w:rPr>
          <w:rFonts w:ascii="Times New Roman" w:hAnsi="Times New Roman"/>
        </w:rPr>
        <w:t xml:space="preserve"> galutinę 2021 m. lapkričio mėn. Konferencijos dėl Europos ateities nacionalinio komponento ataskaitą; </w:t>
      </w:r>
    </w:p>
    <w:p>
      <w:pPr>
        <w:pStyle w:val="P68B1DB1Normal34"/>
        <w:widowControl w:val="false"/>
        <w:spacing w:lineRule="auto" w:line="240" w:before="90" w:after="0"/>
        <w:ind w:left="720" w:right="0" w:hanging="359"/>
        <w:jc w:val="both"/>
        <w:rPr/>
      </w:pPr>
      <w:r>
        <w:rPr>
          <w:rFonts w:ascii="Times New Roman" w:hAnsi="Times New Roman"/>
          <w:b/>
        </w:rPr>
        <w:t>Piliečių stebėsenos komiteto</w:t>
      </w:r>
      <w:r>
        <w:rPr>
          <w:rFonts w:ascii="Calibri" w:hAnsi="Calibri"/>
        </w:rPr>
        <w:t>įsteigimas</w:t>
      </w:r>
      <w:r>
        <w:rPr>
          <w:rFonts w:ascii="Times New Roman" w:hAnsi="Times New Roman"/>
          <w:b/>
        </w:rPr>
        <w:t xml:space="preserve"> </w:t>
      </w:r>
      <w:r>
        <w:rPr>
          <w:rFonts w:ascii="Times New Roman" w:hAnsi="Times New Roman"/>
        </w:rPr>
        <w:t>siekiant</w:t>
      </w:r>
      <w:r>
        <w:rPr>
          <w:rFonts w:ascii="Times New Roman" w:hAnsi="Times New Roman"/>
          <w:b/>
        </w:rPr>
        <w:t xml:space="preserve"> užtikrinti, kad proceso rezultatai atitiktų pateiktus pasiūlymus. Šį komitetą sudarys 15 piliečių, iš jų 14 dalyvių iš regioninių konferencijų ir vienas konsultacijų „Words to </w:t>
      </w:r>
      <w:r>
        <w:rPr>
          <w:rFonts w:ascii="Times New Roman" w:hAnsi="Times New Roman"/>
          <w:i/>
        </w:rPr>
        <w:t>Youth“</w:t>
      </w:r>
      <w:r>
        <w:rPr>
          <w:rFonts w:ascii="Times New Roman" w:hAnsi="Times New Roman"/>
          <w:b/>
        </w:rPr>
        <w:t xml:space="preserve"> dalyvis;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2022 m.</w:t>
      </w:r>
      <w:r>
        <w:rPr>
          <w:rFonts w:ascii="Times New Roman" w:hAnsi="Times New Roman"/>
        </w:rPr>
        <w:t xml:space="preserve"> sausio mėn. Europos institucijoms pristatys Prancūzijos indėlį į Konferenciją dėl Europos ateities</w:t>
      </w:r>
      <w:r>
        <w:rPr>
          <w:rFonts w:ascii="Times New Roman" w:hAnsi="Times New Roman"/>
          <w:b/>
        </w:rPr>
        <w:t xml:space="preserve">; </w:t>
      </w:r>
    </w:p>
    <w:p>
      <w:pPr>
        <w:pStyle w:val="P68B1DB1Normal19"/>
        <w:widowControl w:val="false"/>
        <w:spacing w:lineRule="auto" w:line="240" w:before="87" w:after="0"/>
        <w:ind w:left="0" w:right="0" w:hanging="0"/>
        <w:jc w:val="left"/>
        <w:rPr/>
      </w:pPr>
      <w:r>
        <w:rPr/>
        <w:t xml:space="preserve">Prancūzijos piliečių pasiūlymai bus pateikti kolektyviniams valstybių narių ir Europos institucijų svarstymams. Kaip Europos Sąjungos Tarybai pirmininkaujanti šalis 2022 m. pirmąjį pusmetį, Prancūzija turės pareikšti savo piliečių nuomonę ir kartu nustatyti bendrą poziciją visame žemyne.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Pirmoji dalis: regioninių konferencijų dėl Europos ateities rezultatų pristatymas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Kiekvienoje iš 18 regioninių konferencijų piliečiai išreiškė savo pageidavimus dėl 2035 m. Europos atskirai, o vėliau kaip grupė. Kiekviename regione susiformavo 3–8 norų grupės, o tai lėmė </w:t>
      </w:r>
      <w:r>
        <w:rPr>
          <w:b/>
        </w:rPr>
        <w:t>101 Europą, kurios pageidaujama visoje Prancūzijoje</w:t>
      </w:r>
      <w:r>
        <w:rPr/>
        <w:t xml:space="preserve">. Tada piliečiai suformulavo pakeitimus, kurie, jų nuomone, yra būtini norint pasiekti norimą Europą, ir tada juos iliustravo konkrečiais veiksmais. Šis procesas sukėlė iš viso </w:t>
      </w:r>
      <w:r>
        <w:rPr>
          <w:b/>
        </w:rPr>
        <w:t>515 pakeitimų</w:t>
      </w:r>
      <w:r>
        <w:rPr/>
        <w:t xml:space="preserve"> ir </w:t>
      </w:r>
      <w:r>
        <w:rPr>
          <w:b/>
        </w:rPr>
        <w:t xml:space="preserve">1 301 konkrečių veiksmų visoje </w:t>
      </w:r>
      <w:r>
        <w:rPr/>
        <w:t xml:space="preserve">Prancūzijoje.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Per kelias savaites, kurios atskyrė regionines konferencijas ir nacionalinę konferenciją, projekto grupė atliko 515 pakeitimų į nuoseklias grupes. Visiems regionuose išreikštiems pokyčiams buvo atlikta leksikologinė analizė ir užbaigta, kai jų pagrindiniai ketinimai atrodė panašūs arba artimi, kad būtų sudarytos bendros Europos noro nacionalinės konferencijos darbo grupės. Galiausiai </w:t>
      </w:r>
      <w:r>
        <w:rPr>
          <w:b/>
        </w:rPr>
        <w:t>regionuose nustatyti pokyčiai buvo suskirstyti į 14 skirtingų Europos norų</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11 forma"/>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0"/>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Linkėjimai</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Europai 2035 m.</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Pokyčiai</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norint pasiekti šią norimą Europą</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Konkretūs pasiūlymai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šiems pokyčiams įgyvendinti</w:t>
                              </w:r>
                            </w:p>
                          </w:txbxContent>
                        </wps:txbx>
                        <wps:bodyPr lIns="90000" rIns="90000" tIns="45000" bIns="45000">
                          <a:noAutofit/>
                        </wps:bodyPr>
                      </wps:wsp>
                    </wpg:wgp>
                  </a:graphicData>
                </a:graphic>
              </wp:anchor>
            </w:drawing>
          </mc:Choice>
          <mc:Fallback>
            <w:pict>
              <v:group id="shape_0" alt="11 forma" style="position:absolute;margin-left:34.4pt;margin-top:7.25pt;width:453.95pt;height:103.85pt" coordorigin="688,145" coordsize="9079,2077">
                <v:shape id="shape_0" stroked="f" style="position:absolute;left:688;top:145;width:9078;height:1696" type="shapetype_75">
                  <v:imagedata r:id="rId100"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Linkėjimai</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Europai 2035 m.</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Pokyčiai</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norint pasiekti šią norimą Europą</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Konkretūs pasiūlymai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šiems pokyčiams įgyvendinti</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Klausimas piliečiams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Koks jūsų noras 2035 m. Europai?</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Kokių pokyčių reikia norint pasiekti šią norimą Europą?</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Kokius konkrečius pasiūlymus pateiktumėte šiems pokyčiams įgyvendinti?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Regioninių konferencijų rezultatai</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pageidavimas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pakeitimų</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konkretūs pasiūlymai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Užsakyti 515 regioninių pokyčių 14 nuoseklių organizacijos komandos pageidavimų</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Dalyvių sugrupavimas, prioritetų nustatymas ir išsami informacija apie pasikeitimus nacionalinėje konferencijoje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Nacionalinės konferencijos rezultatai</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pageidavimų</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pakeitimų</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Pagrindiniai kiekvieno pokyčio įgyvendinimo etapai ir sėkmės kriterijai</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14 Europos norų reitingas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Kiekvienos regioninės konferencijos pabaigoje dalyvaujantys piliečiai balsavo už tai, kad jie pritartų įvairių darbo grupių nustatytiems pokyčiams.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Struktūra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Europos pageidavimų reitingavimas pagal populiarumo rodiklį </w:t>
                            </w:r>
                          </w:p>
                        </w:txbxContent>
                      </wps:txbx>
                      <wps:bodyPr lIns="0" rIns="0" tIns="0" bIns="0">
                        <a:noAutofit/>
                      </wps:bodyPr>
                    </wps:wsp>
                  </a:graphicData>
                </a:graphic>
              </wp:anchor>
            </w:drawing>
          </mc:Choice>
          <mc:Fallback>
            <w:pict>
              <v:rect id="shape_0" ID="Struktūra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Europos pageidavimų reitingavimas pagal populiarumo rodiklį </w:t>
                      </w:r>
                    </w:p>
                  </w:txbxContent>
                </v:textbox>
              </v:rect>
            </w:pict>
          </mc:Fallback>
        </mc:AlternateContent>
      </w:r>
      <w:r>
        <w:rPr>
          <w:rFonts w:ascii="Times New Roman" w:hAnsi="Times New Roman"/>
          <w:color w:val="000000"/>
          <w:sz w:val="24"/>
        </w:rPr>
        <w:t xml:space="preserve">Remiantis iki nacionalinės sintezės konferencijos surengtomis grupėmis, balsais dėl pokyčių kiekviename regione galima nustatyti, kokie Europos norai buvo populiariausi tarp piliečių. Taigi, pageidavimai „ </w:t>
      </w:r>
      <w:r>
        <w:rPr>
          <w:rFonts w:ascii="Times New Roman" w:hAnsi="Times New Roman"/>
          <w:i/>
          <w:color w:val="000000"/>
          <w:sz w:val="24"/>
        </w:rPr>
        <w:t>Europa, kuri teikia pirmenybę švietimui“</w:t>
      </w:r>
      <w:r>
        <w:rPr>
          <w:rFonts w:ascii="Times New Roman" w:hAnsi="Times New Roman"/>
          <w:color w:val="000000"/>
          <w:sz w:val="24"/>
        </w:rPr>
        <w:t xml:space="preserve"> ir „ </w:t>
      </w:r>
      <w:r>
        <w:rPr>
          <w:rFonts w:ascii="Times New Roman" w:hAnsi="Times New Roman"/>
          <w:i/>
          <w:color w:val="000000"/>
          <w:sz w:val="24"/>
        </w:rPr>
        <w:t>artesnė ir prieinama Europa</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buvo plačiai palankiai vertinami, o pokyčius regioninėse konferencijose vidutiniškai palaikė 56 proc. piliečių.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4 forma"/>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1"/>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Kokius pakeitimus norėtumėte, kad jie būtų įgyvendinti?</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Europa, kuri pirmauja švietimo srityje</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Artimesnė ir prieinama Europa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Europa, turinti bendras kultūras ir tapatybes</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Europa, pasiryžusi spręsti klimato ir aplinkos problemas</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Vieningesnė Europa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Europa, kuri apsaugo</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Europa, užtikrinanti pagarbą pagrindinėms teisėms</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Konkurencinga ir novatoriška Europa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Darnų vystymąsi skatinanti Europa</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Demokratiškesnė Europa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Veiksmingesnio valdymo Europa</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Europa, ginanti savo interesus</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Galinga Europa pasaulyje</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Europa, kurioje vyrauja kiekvienos valstybės interesai</w:t>
                              </w:r>
                            </w:p>
                          </w:txbxContent>
                        </wps:txbx>
                        <wps:bodyPr lIns="90000" rIns="90000" tIns="45000" bIns="45000">
                          <a:noAutofit/>
                        </wps:bodyPr>
                      </wps:wsp>
                    </wpg:wgp>
                  </a:graphicData>
                </a:graphic>
              </wp:anchor>
            </w:drawing>
          </mc:Choice>
          <mc:Fallback>
            <w:pict>
              <v:group id="shape_0" alt="4 forma" style="position:absolute;margin-left:21.5pt;margin-top:39.85pt;width:354.75pt;height:494.75pt" coordorigin="430,797" coordsize="7095,9895">
                <v:shape id="shape_0" stroked="f" style="position:absolute;left:4005;top:1727;width:3121;height:8964" type="shapetype_75">
                  <v:imagedata r:id="rId101"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Kokius pakeitimus norėtumėte, kad jie būtų įgyvendinti?</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Europa, kuri pirmauja švietimo srityje</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Artimesnė ir prieinama Europa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Europa, turinti bendras kultūras ir tapatybes</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Europa, pasiryžusi spręsti klimato ir aplinkos problemas</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Vieningesnė Europa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Europa, kuri apsaugo</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Europa, užtikrinanti pagarbą pagrindinėms teisėms</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Konkurencinga ir novatoriška Europa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Darnų vystymąsi skatinanti Europa</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Demokratiškesnė Europa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Veiksmingesnio valdymo Europa</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Europa, ginanti savo interesus</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Galinga Europa pasaulyje</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Europa, kurioje vyrauja kiekvienos valstybės interesai</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14 prioritetinių pokyčių, susijusių su nacionaline konferencija, pristatymas </w:t>
      </w:r>
    </w:p>
    <w:p>
      <w:pPr>
        <w:pStyle w:val="P68B1DB1Normal19"/>
        <w:widowControl w:val="false"/>
        <w:spacing w:lineRule="exact" w:line="388" w:before="322" w:after="0"/>
        <w:ind w:left="0" w:right="0" w:hanging="0"/>
        <w:jc w:val="left"/>
        <w:rPr/>
      </w:pPr>
      <w:r>
        <w:rPr/>
        <w:t xml:space="preserve">Nacionalinėje sintezės konferencijoje 100 dalyvaujančių piliečių dirbo vienoje iš 14 įkurtų norų grupių. Darbo pabaigoje kiekviena grupė pasirinko savo pageidavimą, kad Europa </w:t>
      </w:r>
      <w:r>
        <w:rPr>
          <w:b/>
        </w:rPr>
        <w:t>taptų prioritetiniu pakeitimu, kuris turi būti įgyvendintas iki 2035 m.</w:t>
      </w:r>
      <w:r>
        <w:rPr/>
        <w:t xml:space="preserve">. Šie 14 prioritetinių pakeitimų buvo pasiūlyti 100 piliečių balsavimui paskutinę nacionalinės konferencijos dieną. Šio balsavimo rezultatai pateikiami toliau mažėjančia tvarka, atsižvelgiant į už kiekvieną pakeitimą surinktų balsų skaičių. </w:t>
      </w:r>
    </w:p>
    <w:p>
      <w:pPr>
        <w:pStyle w:val="P68B1DB1Normal19"/>
        <w:widowControl w:val="false"/>
        <w:spacing w:lineRule="exact" w:line="413" w:before="332" w:after="0"/>
        <w:ind w:left="0" w:right="708" w:hanging="0"/>
        <w:jc w:val="left"/>
        <w:rPr/>
      </w:pPr>
      <w:r>
        <w:rPr/>
        <w:t xml:space="preserve">Permainos, kurios surinko daugiausiai balsų iš 100 nacionalinės konferencijos piliečių, yra „Išplėskite </w:t>
      </w:r>
      <w:r>
        <w:rPr>
          <w:i/>
        </w:rPr>
        <w:t>energijos blaivumą, kad suvartotų mažiau, sustabdydami nereikalingą“</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pagrindinių pokyčių Europoje 2035 m.</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Sukurkite energijos blaivumą, kad sunaudotumėte mažiau nereikalingą</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Europos Sąjungos bendros gynybos ir saugumo stiprinimas</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Skatinti kolektyvinius Europos Sąjungos ekonominės veiklos rezultatus kuriant savarankišką, konkurencingą ir vertinamą pramonę</w:t>
      </w:r>
    </w:p>
    <w:p>
      <w:pPr>
        <w:pStyle w:val="P68B1DB1Normal41"/>
        <w:widowControl w:val="false"/>
        <w:spacing w:lineRule="auto" w:line="240" w:before="136" w:after="0"/>
        <w:ind w:left="324" w:right="0" w:hanging="0"/>
        <w:jc w:val="left"/>
        <w:rPr/>
      </w:pPr>
      <w:r>
        <w:rPr>
          <w:color w:val="000000"/>
        </w:rPr>
        <w:t>4) Pilietinės</w:t>
      </w:r>
      <w:r>
        <w:rPr>
          <w:color w:val="FFFFFF"/>
        </w:rPr>
        <w:t xml:space="preserve"> galios </w:t>
      </w:r>
      <w:r>
        <w:rPr>
          <w:color w:val="000000"/>
        </w:rPr>
        <w:t>nustatymas keliais lygmenimis: dalyvavimas, sprendimas, kontrolė</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Perėjimas į Europos valstybių federaciją, turinčią didelę kompetenciją bendro intereso srityse</w:t>
      </w:r>
    </w:p>
    <w:p>
      <w:pPr>
        <w:pStyle w:val="P68B1DB1Normal41"/>
        <w:widowControl w:val="false"/>
        <w:spacing w:lineRule="auto" w:line="240" w:before="136" w:after="0"/>
        <w:ind w:left="324" w:right="0" w:hanging="0"/>
        <w:jc w:val="left"/>
        <w:rPr/>
      </w:pPr>
      <w:r>
        <w:rPr>
          <w:color w:val="000000"/>
        </w:rPr>
        <w:t>6 (6) Siūlomos</w:t>
      </w:r>
      <w:r>
        <w:rPr>
          <w:color w:val="FFFFFF"/>
        </w:rPr>
        <w:t xml:space="preserve"> </w:t>
      </w:r>
      <w:r>
        <w:rPr>
          <w:color w:val="000000"/>
        </w:rPr>
        <w:t>visą gyvenimą trunkančios mainų programos</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Dalijimasis Europos kultūromis suvienijant renginius ir renginius</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Sveikatos derinimas ir prieinamumas visiems europiečiams įgyvendinant bendrą sveikatos politiką</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Strateginių kanalų kūrimas ir išbandymas Europos lygmeniu siekiant užtikrinti mūsų suverenumą</w:t>
      </w:r>
    </w:p>
    <w:p>
      <w:pPr>
        <w:pStyle w:val="P68B1DB1Normal41"/>
        <w:widowControl w:val="false"/>
        <w:spacing w:lineRule="auto" w:line="240" w:before="193" w:after="0"/>
        <w:ind w:left="324" w:right="0" w:hanging="0"/>
        <w:jc w:val="left"/>
        <w:rPr/>
      </w:pPr>
      <w:r>
        <w:rPr>
          <w:color w:val="FFFFFF"/>
        </w:rPr>
        <w:t>10</w:t>
      </w:r>
      <w:r>
        <w:rPr>
          <w:color w:val="000000"/>
        </w:rPr>
        <w:t>(10)Aplinkos ir ekosistemų apsaugos gerinimas ir saugomų teritorijų, kurios yra miesto, priemiesčių ir kaimo vietovių pagrindas, kūrimas</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Europos informacijos centrų, skirtų išklausyti ir konsultuoti piliečius, įsteigimas teritorijose</w:t>
      </w:r>
    </w:p>
    <w:p>
      <w:pPr>
        <w:pStyle w:val="P68B1DB1Normal41"/>
        <w:widowControl w:val="false"/>
        <w:spacing w:lineRule="auto" w:line="240" w:before="193" w:after="0"/>
        <w:ind w:left="283" w:right="643" w:hanging="0"/>
        <w:jc w:val="left"/>
        <w:rPr/>
      </w:pPr>
      <w:r>
        <w:rPr>
          <w:color w:val="000000"/>
        </w:rPr>
        <w:t>12 (12)</w:t>
      </w:r>
      <w:r>
        <w:rPr>
          <w:color w:val="FFFFFF"/>
        </w:rPr>
        <w:t xml:space="preserve"> </w:t>
      </w:r>
      <w:r>
        <w:rPr>
          <w:color w:val="000000"/>
        </w:rPr>
        <w:t>Suvienodinti Europos Parlamento rinkimų į dvidešimt septynias valstybes būdą ir pagerinti piliečių artumą, pakeičiant dabartinį balsavimą vienkartiniu balsavimu regioniniu lygmeniu</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Bendros politikos, skirtos migrantų (įskaitant neteisėtus migrantus) priėmimui ir socialinei bei profesinei integracijai gerinti, nustatymas</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Išsaugoti skirtingų Europos regionų ypatumus (maisto produktų etiketės, amatininkų gamyba, tradicijos), kad būtų išvengta vienodo gyvenimo būdo ir užtikrintas produktų atsekamumas ir kokybė</w:t>
      </w:r>
    </w:p>
    <w:p>
      <w:pPr>
        <w:pStyle w:val="Normal"/>
        <w:spacing w:lineRule="auto" w:line="240"/>
        <w:rPr/>
      </w:pPr>
      <w:r>
        <w:rPr/>
      </w:r>
    </w:p>
    <w:p>
      <w:pPr>
        <w:pStyle w:val="Normal"/>
        <w:rPr/>
      </w:pPr>
      <w:r>
        <w:rPr/>
        <w:t xml:space="preserve">Kiekvieno prioritetinio pakeitimo atveju atitinkamos grupės piliečiai pateikė pakeitimo apibrėžtį, pasiūlė konkrečius veiksmus, kuriuos reikia įgyvendinti, ir nurodė sėkmės kriterijus iki 2035 m. </w:t>
      </w:r>
    </w:p>
    <w:p>
      <w:pPr>
        <w:pStyle w:val="Normal"/>
        <w:rPr/>
      </w:pPr>
      <w:r>
        <w:rPr/>
      </w:r>
      <w:r>
        <w:br w:type="page"/>
      </w:r>
    </w:p>
    <w:p>
      <w:pPr>
        <w:pStyle w:val="P68B1DB1Normal42"/>
        <w:widowControl w:val="false"/>
        <w:spacing w:lineRule="auto" w:line="240" w:before="237" w:after="0"/>
        <w:ind w:left="0" w:right="0" w:hanging="0"/>
        <w:jc w:val="left"/>
        <w:rPr/>
      </w:pPr>
      <w:r>
        <w:rPr/>
        <w:t xml:space="preserve">1 pakeitimas – Sukurkite energijos blaivumą, kad sunaudotumėte mažiau, sustabdydami nereikalingą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Europa, pasiryžusi spręsti klimato ir aplinkos problemas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76" w:after="0"/>
        <w:ind w:left="0" w:right="0" w:hanging="0"/>
        <w:jc w:val="left"/>
        <w:rPr/>
      </w:pPr>
      <w:r>
        <w:rPr>
          <w:i/>
          <w:color w:val="000000"/>
        </w:rPr>
        <w:t>Raktiniai žodžiai: Atsinaujinančios energijos plėtra, energijos vartojimo mažinimas</w:t>
      </w:r>
      <w:r>
        <w:rPr>
          <w:b/>
          <w:color w:val="273375"/>
        </w:rPr>
        <w:t xml:space="preserve"> </w:t>
      </w:r>
    </w:p>
    <w:p>
      <w:pPr>
        <w:pStyle w:val="P68B1DB1Normal19"/>
        <w:widowControl w:val="false"/>
        <w:spacing w:lineRule="auto" w:line="240" w:before="248" w:after="0"/>
        <w:ind w:left="0" w:right="9" w:hanging="0"/>
        <w:jc w:val="both"/>
        <w:rPr/>
      </w:pPr>
      <w:r>
        <w:rPr/>
        <w:t xml:space="preserve">Šiuo pakeitimu siekiama skatinti mažinti energijos vartojimą Europoje ir plėtoti atsinaujinančiąją energiją. Piliečių nustatytas prioritetas reiškia jų norą įtraukti Europą ir jos gyventojus į </w:t>
      </w:r>
      <w:r>
        <w:rPr>
          <w:b/>
        </w:rPr>
        <w:t>ryžtingą požiūrį</w:t>
      </w:r>
      <w:r>
        <w:rPr/>
        <w:t xml:space="preserve"> į klimato ir aplinkos problemas.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237" w:after="0"/>
        <w:ind w:left="0" w:right="9" w:hanging="0"/>
        <w:jc w:val="both"/>
        <w:rPr/>
      </w:pPr>
      <w:r>
        <w:rPr/>
        <w:t xml:space="preserve">Šis pokytis atsispindi rengiant </w:t>
      </w:r>
      <w:r>
        <w:rPr>
          <w:b/>
        </w:rPr>
        <w:t>plataus užmojo mokslinių tyrimų programas</w:t>
      </w:r>
      <w:r>
        <w:rPr/>
        <w:t xml:space="preserve">, susijusias su atsinaujinančiaisiais energijos ištekliais, ir </w:t>
      </w:r>
      <w:r>
        <w:rPr>
          <w:b/>
        </w:rPr>
        <w:t>diegiant Europos investicinius fondus</w:t>
      </w:r>
      <w:r>
        <w:rPr/>
        <w:t xml:space="preserve">, kuriuose tiesiogiai dalyvauja šio sektoriaus įmonės. </w:t>
      </w:r>
    </w:p>
    <w:p>
      <w:pPr>
        <w:pStyle w:val="P68B1DB1Normal19"/>
        <w:widowControl w:val="false"/>
        <w:spacing w:lineRule="auto" w:line="240" w:before="326" w:after="0"/>
        <w:ind w:left="0" w:right="9" w:hanging="0"/>
        <w:jc w:val="both"/>
        <w:rPr/>
      </w:pPr>
      <w:r>
        <w:rPr/>
        <w:t>Piliečiams šis pokytis būtų sėkmingas, jei</w:t>
      </w:r>
      <w:r>
        <w:rPr>
          <w:b/>
        </w:rPr>
        <w:t>būtų nustatyti privalomi energijos vartojimo tikslai ir pagrindiniai blaivumo rodikliai</w:t>
      </w:r>
      <w:r>
        <w:rPr/>
        <w:t xml:space="preserve">, pvz., Europos automobilių parko sumažėjimas arba mėsos suvartojimas. Taip pat siekiama sėkmingai nustatyti </w:t>
      </w:r>
      <w:r>
        <w:rPr>
          <w:b/>
        </w:rPr>
        <w:t>vartojimo kvotas pagal sektorius</w:t>
      </w:r>
      <w:r>
        <w:rPr/>
        <w:t xml:space="preserve">, atsižvelgiant į įmonių vartojimo svyravimus ir užtikrinant jų duomenų konfidencialumą. </w:t>
      </w:r>
    </w:p>
    <w:p>
      <w:pPr>
        <w:pStyle w:val="Normal"/>
        <w:spacing w:lineRule="auto" w:line="240"/>
        <w:rPr/>
      </w:pPr>
      <w:r>
        <w:rPr/>
      </w:r>
    </w:p>
    <w:p>
      <w:pPr>
        <w:pStyle w:val="P68B1DB1Normal42"/>
        <w:spacing w:lineRule="auto" w:line="240"/>
        <w:rPr/>
      </w:pPr>
      <w:r>
        <w:rPr/>
        <w:t xml:space="preserve">2 pakeitimas. Europos Sąjungos bendros gynybos ir saugumo stiprinimas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Galinga Europa pasaulyje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78" w:after="0"/>
        <w:ind w:left="0" w:right="0" w:hanging="0"/>
        <w:jc w:val="left"/>
        <w:rPr/>
      </w:pPr>
      <w:r>
        <w:rPr>
          <w:i/>
          <w:color w:val="000000"/>
        </w:rPr>
        <w:t>Raktiniai žodžiai: Europos kariuomenė, strateginė autonomija</w:t>
      </w:r>
      <w:r>
        <w:rPr>
          <w:b/>
          <w:color w:val="273375"/>
        </w:rPr>
        <w:t xml:space="preserve"> </w:t>
      </w:r>
    </w:p>
    <w:p>
      <w:pPr>
        <w:pStyle w:val="P68B1DB1Normal19"/>
        <w:widowControl w:val="false"/>
        <w:spacing w:lineRule="auto" w:line="240" w:before="201" w:after="0"/>
        <w:ind w:left="0" w:right="10" w:hanging="0"/>
        <w:jc w:val="left"/>
        <w:rPr/>
      </w:pPr>
      <w:r>
        <w:rPr/>
        <w:t>Šis pokytis atitinka vieningą piliečių valią pasiekti</w:t>
      </w:r>
      <w:r>
        <w:rPr>
          <w:b/>
        </w:rPr>
        <w:t>autonomiją</w:t>
      </w:r>
      <w:r>
        <w:rPr/>
        <w:t xml:space="preserve"> gynybos ir saugumo srityje Europoje, kad nepriklausytų nuo užsienio valstybių.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198" w:after="0"/>
        <w:ind w:left="0" w:right="10" w:hanging="0"/>
        <w:jc w:val="left"/>
        <w:rPr/>
      </w:pPr>
      <w:r>
        <w:rPr/>
        <w:t>Jei šis pakeitimas būtų sėkmingas, visų pirma būtų paskirtas už gynybą ir</w:t>
      </w:r>
      <w:r>
        <w:rPr>
          <w:b/>
        </w:rPr>
        <w:t xml:space="preserve"> saugumą atsakingas Europos Komisijos narys</w:t>
      </w:r>
      <w:r>
        <w:rPr/>
        <w:t xml:space="preserve">. </w:t>
      </w:r>
    </w:p>
    <w:p>
      <w:pPr>
        <w:pStyle w:val="P68B1DB1Normal19"/>
        <w:widowControl w:val="false"/>
        <w:spacing w:lineRule="auto" w:line="240" w:before="203" w:after="0"/>
        <w:ind w:left="0" w:right="10" w:hanging="0"/>
        <w:jc w:val="both"/>
        <w:rPr/>
      </w:pPr>
      <w:r>
        <w:rPr/>
        <w:t>Gynybos srityje sukūrus</w:t>
      </w:r>
      <w:r>
        <w:rPr>
          <w:b/>
        </w:rPr>
        <w:t xml:space="preserve"> nuolatinę, reaktyvią ir projekcinę kariuomenę</w:t>
      </w:r>
      <w:r>
        <w:rPr/>
        <w:t xml:space="preserve"> visame pasaulyje Europa galėtų apsaugoti savo sienas ir prireikus įsikišti trečiųjų šalių prašymu. </w:t>
      </w:r>
    </w:p>
    <w:p>
      <w:pPr>
        <w:pStyle w:val="P68B1DB1Normal19"/>
        <w:widowControl w:val="false"/>
        <w:spacing w:lineRule="auto" w:line="240" w:before="206" w:after="0"/>
        <w:ind w:left="0" w:right="10" w:hanging="0"/>
        <w:jc w:val="both"/>
        <w:rPr/>
      </w:pPr>
      <w:r>
        <w:rPr/>
        <w:t xml:space="preserve">Kalbant apie saugumą, Europa savo piliečių akyse turėtų užtikrinti savo </w:t>
      </w:r>
      <w:r>
        <w:rPr>
          <w:b/>
        </w:rPr>
        <w:t>tiekimo saugumą ir apsaugoti savo</w:t>
      </w:r>
      <w:r>
        <w:rPr/>
        <w:t xml:space="preserve"> </w:t>
      </w:r>
      <w:r>
        <w:rPr>
          <w:b/>
        </w:rPr>
        <w:t>strateginius mokslinius tyrimus</w:t>
      </w:r>
      <w:r>
        <w:rPr/>
        <w:t xml:space="preserve"> prioritetiniuose sektoriuose, pavyzdžiui, kosmoso, kibernetinio saugumo, medicinos sektoriaus ir aplinkos. Geresnė </w:t>
      </w:r>
      <w:r>
        <w:rPr>
          <w:b/>
        </w:rPr>
        <w:t>išorės sienų apsauga</w:t>
      </w:r>
      <w:r>
        <w:rPr/>
        <w:t xml:space="preserve"> taip pat turėtų padėti sustabdyti nelegalią imigraciją ir prekybą žmonėmis. </w:t>
      </w:r>
    </w:p>
    <w:p>
      <w:pPr>
        <w:pStyle w:val="Normal"/>
        <w:spacing w:lineRule="auto" w:line="240"/>
        <w:rPr/>
      </w:pPr>
      <w:r>
        <w:rPr/>
      </w:r>
    </w:p>
    <w:p>
      <w:pPr>
        <w:pStyle w:val="P68B1DB1Normal42"/>
        <w:spacing w:lineRule="auto" w:line="240"/>
        <w:rPr/>
      </w:pPr>
      <w:r>
        <w:rPr/>
        <w:t xml:space="preserve">3 pakeitimas. Bendros ekonominės veiklos rezultatų skatinimas Europos Sąjungoje pasitelkiant savarankišką, konkurencingą ir vertinamą pramonę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Europa, ginanti savo interesus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Ką reiškia šis pokytis?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Raktiniai žodžiai: </w:t>
      </w:r>
    </w:p>
    <w:p>
      <w:pPr>
        <w:pStyle w:val="P68B1DB1Normal7"/>
        <w:widowControl w:val="false"/>
        <w:spacing w:lineRule="auto" w:line="240"/>
        <w:ind w:left="0" w:right="10" w:hanging="0"/>
        <w:jc w:val="left"/>
        <w:rPr/>
      </w:pPr>
      <w:r>
        <w:rPr>
          <w:i/>
          <w:color w:val="000000"/>
        </w:rPr>
        <w:t>Pirmenybė Europai, praktinės patirties apsauga, Europos čempionų kūrimas</w:t>
      </w:r>
      <w:r>
        <w:rPr>
          <w:b/>
          <w:color w:val="273375"/>
        </w:rPr>
        <w:t xml:space="preserve"> </w:t>
      </w:r>
    </w:p>
    <w:p>
      <w:pPr>
        <w:pStyle w:val="P68B1DB1Normal19"/>
        <w:widowControl w:val="false"/>
        <w:spacing w:lineRule="auto" w:line="240" w:before="321" w:after="0"/>
        <w:ind w:left="0" w:right="10" w:hanging="0"/>
        <w:jc w:val="both"/>
        <w:rPr/>
      </w:pPr>
      <w:r>
        <w:rPr/>
        <w:t xml:space="preserve">Šiuo pakeitimu siekiama trijų tikslų: stiprinti </w:t>
      </w:r>
      <w:r>
        <w:rPr>
          <w:b/>
        </w:rPr>
        <w:t>„</w:t>
      </w:r>
      <w:r>
        <w:rPr/>
        <w:t xml:space="preserve"> </w:t>
      </w:r>
      <w:r>
        <w:rPr>
          <w:b/>
        </w:rPr>
        <w:t>europinės pirmenybės“</w:t>
      </w:r>
      <w:r>
        <w:rPr/>
        <w:t xml:space="preserve"> politiką Sąjungoje, užtikrinti </w:t>
      </w:r>
      <w:r>
        <w:rPr>
          <w:b/>
        </w:rPr>
        <w:t>pagrindinių prekių ir praktinės patirties apsaugą</w:t>
      </w:r>
      <w:r>
        <w:rPr/>
        <w:t xml:space="preserve"> ir sukurti </w:t>
      </w:r>
      <w:r>
        <w:rPr>
          <w:b/>
        </w:rPr>
        <w:t>„Europos čempionus“.</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316" w:after="0"/>
        <w:ind w:left="0" w:right="10" w:hanging="0"/>
        <w:jc w:val="both"/>
        <w:rPr/>
      </w:pPr>
      <w:r>
        <w:rPr/>
        <w:t xml:space="preserve">Norint pasiekti šiuos tikslus, visų pirma reikia įgyvendinti </w:t>
      </w:r>
      <w:r>
        <w:rPr>
          <w:b/>
        </w:rPr>
        <w:t>„europinės pirmenybės“ politiką</w:t>
      </w:r>
      <w:r>
        <w:rPr/>
        <w:t xml:space="preserve"> konkursų kontekste ir įvesti </w:t>
      </w:r>
      <w:r>
        <w:rPr>
          <w:b/>
        </w:rPr>
        <w:t>anglies dioksido mokestį</w:t>
      </w:r>
      <w:r>
        <w:rPr/>
        <w:t xml:space="preserve"> importui. </w:t>
      </w:r>
    </w:p>
    <w:p>
      <w:pPr>
        <w:pStyle w:val="P68B1DB1Normal19"/>
        <w:widowControl w:val="false"/>
        <w:spacing w:lineRule="auto" w:line="240" w:before="332" w:after="0"/>
        <w:ind w:left="0" w:right="10" w:hanging="0"/>
        <w:jc w:val="left"/>
        <w:rPr/>
      </w:pPr>
      <w:r>
        <w:rPr/>
        <w:t xml:space="preserve">Dėl praktinės patirties apsaugos padidėtų užsienio atpirkimų ir investicijų kontrolė ir išplėtota </w:t>
      </w:r>
      <w:r>
        <w:rPr>
          <w:b/>
        </w:rPr>
        <w:t>perkėlimo</w:t>
      </w:r>
      <w:r>
        <w:rPr/>
        <w:t xml:space="preserve"> pagalba. </w:t>
      </w:r>
    </w:p>
    <w:p>
      <w:pPr>
        <w:pStyle w:val="P68B1DB1Normal19"/>
        <w:widowControl w:val="false"/>
        <w:spacing w:lineRule="auto" w:line="240" w:before="323" w:after="0"/>
        <w:ind w:left="0" w:right="10" w:hanging="0"/>
        <w:jc w:val="both"/>
        <w:rPr/>
      </w:pPr>
      <w:r>
        <w:rPr/>
        <w:t xml:space="preserve">Galiausiai kuriant „Europos čempionus“ reikia skatinti Europos </w:t>
      </w:r>
      <w:r>
        <w:rPr>
          <w:b/>
        </w:rPr>
        <w:t>pramonės aljansus</w:t>
      </w:r>
      <w:r>
        <w:rPr/>
        <w:t xml:space="preserve"> strateginiuose sektoriuose ir didinti viešąsias rizikos kapitalo investicijas. </w:t>
      </w:r>
    </w:p>
    <w:p>
      <w:pPr>
        <w:pStyle w:val="P68B1DB1Normal45"/>
        <w:widowControl w:val="false"/>
        <w:spacing w:lineRule="auto" w:line="240" w:before="333" w:after="0"/>
        <w:ind w:left="0" w:right="13" w:hanging="0"/>
        <w:jc w:val="both"/>
        <w:rPr>
          <w:sz w:val="20"/>
        </w:rPr>
      </w:pPr>
      <w:r>
        <w:rPr/>
        <w:t xml:space="preserve">Šio pokyčio sėkmė piliečiams tampa realybe plėtojant Europos pramonės aljansus pagrindiniuose sektoriuose, didinant verslo perkėlimo atvejų skaičių ir gerinant prekybos pusiausvyrą.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4 pakeitimas. Galių piliečiams suteikimas keliais lygmenimis: dalyvavimas, sprendimas, kontrolė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Demokratiškesnė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84" w:after="0"/>
        <w:ind w:left="0" w:right="10" w:hanging="0"/>
        <w:jc w:val="left"/>
        <w:rPr/>
      </w:pPr>
      <w:r>
        <w:rPr>
          <w:i/>
          <w:color w:val="000000"/>
        </w:rPr>
        <w:t>Raktiniai žodžiai: rinkėjų aktyvumo didinimas, Europos pasitenkinimo barometras, konsultacijų su piliečiais apibendrinimas</w:t>
      </w:r>
      <w:r>
        <w:rPr>
          <w:b/>
          <w:color w:val="273375"/>
        </w:rPr>
        <w:t xml:space="preserve"> </w:t>
      </w:r>
    </w:p>
    <w:p>
      <w:pPr>
        <w:pStyle w:val="P68B1DB1Normal19"/>
        <w:widowControl w:val="false"/>
        <w:spacing w:lineRule="auto" w:line="240" w:before="324" w:after="0"/>
        <w:ind w:left="0" w:right="10" w:hanging="0"/>
        <w:jc w:val="both"/>
        <w:rPr/>
      </w:pPr>
      <w:r>
        <w:rPr/>
        <w:t xml:space="preserve">Su šiuo pokyčiu piliečiai siūlo sukaupti „ </w:t>
      </w:r>
      <w:r>
        <w:rPr>
          <w:i/>
        </w:rPr>
        <w:t xml:space="preserve">visišką piliečių patirtį“  </w:t>
      </w:r>
      <w:r>
        <w:rPr/>
        <w:t xml:space="preserve">europiečiams, kad jie aktyviau </w:t>
      </w:r>
      <w:r>
        <w:rPr>
          <w:b/>
        </w:rPr>
        <w:t>dalyvautų</w:t>
      </w:r>
      <w:r>
        <w:rPr/>
        <w:t xml:space="preserve"> visuose sprendimų priėmimo procesų etapuose. Ji atspindi piliečių norą </w:t>
      </w:r>
      <w:r>
        <w:rPr>
          <w:b/>
        </w:rPr>
        <w:t>išgirsti savo nuomonę</w:t>
      </w:r>
      <w:r>
        <w:rPr/>
        <w:t xml:space="preserve"> ir daryti įtaką viešajai politikai, darančiai poveikį jų kasdieniam gyvenimui.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24"/>
        <w:widowControl w:val="false"/>
        <w:spacing w:lineRule="auto" w:line="240" w:before="323" w:after="0"/>
        <w:ind w:left="0" w:right="13" w:hanging="0"/>
        <w:jc w:val="both"/>
        <w:rPr/>
      </w:pPr>
      <w:r>
        <w:rPr/>
        <w:t>Tai visų pirma skirta piliečiams plėtoti ir palaikyti piliečių dalyvavimo iniciatyvas</w:t>
      </w:r>
      <w:r>
        <w:rPr>
          <w:b/>
        </w:rPr>
        <w:t xml:space="preserve">. </w:t>
      </w:r>
      <w:r>
        <w:rPr/>
        <w:t xml:space="preserve">Šiuo tikslu būtų galima įgyvendinti keletą svertų: įsteigti </w:t>
      </w:r>
      <w:r>
        <w:rPr>
          <w:b/>
        </w:rPr>
        <w:t>nuolatinius konsultacinius rūmus</w:t>
      </w:r>
      <w:r>
        <w:rPr/>
        <w:t xml:space="preserve">, įregistruoti </w:t>
      </w:r>
      <w:r>
        <w:rPr>
          <w:b/>
        </w:rPr>
        <w:t>piliečių įgaliojimus</w:t>
      </w:r>
      <w:r>
        <w:rPr/>
        <w:t xml:space="preserve"> Europos sutartyse arba sukurti </w:t>
      </w:r>
      <w:r>
        <w:rPr>
          <w:b/>
        </w:rPr>
        <w:t>ženklą</w:t>
      </w:r>
      <w:r>
        <w:rPr/>
        <w:t xml:space="preserve">, patvirtinantį teisės aktus, dėl kurių buvo konsultuojamasi su piliečiais. </w:t>
      </w:r>
    </w:p>
    <w:p>
      <w:pPr>
        <w:pStyle w:val="P68B1DB1Normal19"/>
        <w:widowControl w:val="false"/>
        <w:spacing w:lineRule="auto" w:line="240" w:before="230" w:after="0"/>
        <w:ind w:left="0" w:right="10" w:hanging="0"/>
        <w:jc w:val="both"/>
        <w:rPr/>
      </w:pPr>
      <w:r>
        <w:rPr/>
        <w:t xml:space="preserve">Šio pokyčio sėkmę parodytų tokie rodikliai kaip </w:t>
      </w:r>
      <w:r>
        <w:rPr>
          <w:b/>
        </w:rPr>
        <w:t>dalyvavimas</w:t>
      </w:r>
      <w:r>
        <w:rPr/>
        <w:t>rinkimuose</w:t>
      </w:r>
      <w:r>
        <w:rPr>
          <w:b/>
        </w:rPr>
        <w:t>, Europos Sąjungoje išreikštas susidomėjimas</w:t>
      </w:r>
      <w:r>
        <w:rPr/>
        <w:t xml:space="preserve"> ir </w:t>
      </w:r>
      <w:r>
        <w:rPr>
          <w:b/>
        </w:rPr>
        <w:t>pasitikėjimas</w:t>
      </w:r>
      <w:r>
        <w:rPr/>
        <w:t xml:space="preserve"> bei </w:t>
      </w:r>
      <w:r>
        <w:rPr>
          <w:b/>
        </w:rPr>
        <w:t xml:space="preserve"> Europos interneto svetainių lankymas</w:t>
      </w:r>
      <w:r>
        <w:rPr/>
        <w:t xml:space="preserve">. Po konsultacijų su piliečiais priimtų sprendimų skaičiaus didėjimas ir dažnesnis </w:t>
      </w:r>
      <w:r>
        <w:rPr>
          <w:b/>
        </w:rPr>
        <w:t>Europos piliečių iniciatyvų (EPI</w:t>
      </w:r>
      <w:r>
        <w:rPr/>
        <w:t xml:space="preserve">) naudojimas taip pat laikomi sėkmės rodikliais.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5 pakeitimas. Europos valstybių federacijos, turinčios didelę kompetenciją bendro intereso srityse, link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Vieningesnė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76" w:after="0"/>
        <w:ind w:left="0" w:right="0" w:hanging="0"/>
        <w:jc w:val="left"/>
        <w:rPr/>
      </w:pPr>
      <w:r>
        <w:rPr>
          <w:i/>
          <w:color w:val="000000"/>
        </w:rPr>
        <w:t>Raktiniai žodžiai: institucijų suvienijimas, išrinktoji Pirmininkė, ES kompetencijos stiprinimas</w:t>
      </w:r>
      <w:r>
        <w:rPr>
          <w:b/>
          <w:color w:val="273375"/>
        </w:rPr>
        <w:t xml:space="preserve"> </w:t>
      </w:r>
    </w:p>
    <w:p>
      <w:pPr>
        <w:pStyle w:val="P68B1DB1Normal19"/>
        <w:widowControl w:val="false"/>
        <w:spacing w:lineRule="auto" w:line="240" w:before="244" w:after="0"/>
        <w:ind w:left="0" w:right="10" w:hanging="0"/>
        <w:jc w:val="both"/>
        <w:rPr/>
      </w:pPr>
      <w:r>
        <w:rPr/>
        <w:t>Šis pokytis atspindi piliečių siekį</w:t>
      </w:r>
      <w:r>
        <w:rPr>
          <w:b/>
        </w:rPr>
        <w:t>suvienyti</w:t>
      </w:r>
      <w:r>
        <w:rPr/>
        <w:t xml:space="preserve"> Europos politines institucijas. Parodytas valstybių federacijos modelis, kurio tikslas – </w:t>
      </w:r>
      <w:r>
        <w:rPr>
          <w:b/>
        </w:rPr>
        <w:t>stiprinti Europos Sąjungos pasidalijamąją ar išimtinę kompetenciją</w:t>
      </w:r>
      <w:r>
        <w:rPr/>
        <w:t xml:space="preserve">, tačiau nesiorientuoti į federacinę valstybę.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Kokie yra pagrindiniai etapai ir sėkmės kriterijai? </w:t>
      </w:r>
    </w:p>
    <w:p>
      <w:pPr>
        <w:pStyle w:val="P68B1DB1Normal19"/>
        <w:widowControl w:val="false"/>
        <w:spacing w:lineRule="auto" w:line="240" w:before="239" w:after="0"/>
        <w:ind w:left="0" w:right="10" w:hanging="0"/>
        <w:jc w:val="both"/>
        <w:rPr/>
      </w:pPr>
      <w:r>
        <w:rPr/>
        <w:t xml:space="preserve">Vidaus lygmeniu šis pokytis galėtų apimti </w:t>
      </w:r>
      <w:r>
        <w:rPr>
          <w:b/>
        </w:rPr>
        <w:t>piliečių dalyvavimo</w:t>
      </w:r>
      <w:r>
        <w:rPr/>
        <w:t xml:space="preserve"> plėtrą, Europos </w:t>
      </w:r>
      <w:r>
        <w:rPr>
          <w:b/>
        </w:rPr>
        <w:t>ministerijų įsteigimą valstybėse</w:t>
      </w:r>
      <w:r>
        <w:rPr/>
        <w:t xml:space="preserve"> narėse ir, ilgainiui, Europos Komisijos pirmininko</w:t>
      </w:r>
      <w:r>
        <w:rPr>
          <w:b/>
        </w:rPr>
        <w:t xml:space="preserve">rinkimus </w:t>
      </w:r>
      <w:r>
        <w:rPr/>
        <w:t xml:space="preserve"> </w:t>
      </w:r>
      <w:r>
        <w:rPr>
          <w:b/>
        </w:rPr>
        <w:t>remiantis visuotine rinkimų teise</w:t>
      </w:r>
      <w:r>
        <w:rPr/>
        <w:t xml:space="preserve">. </w:t>
      </w:r>
    </w:p>
    <w:p>
      <w:pPr>
        <w:pStyle w:val="P68B1DB1Normal19"/>
        <w:widowControl w:val="false"/>
        <w:spacing w:lineRule="auto" w:line="240" w:before="327" w:after="0"/>
        <w:ind w:left="0" w:right="10" w:hanging="0"/>
        <w:jc w:val="left"/>
        <w:rPr/>
      </w:pPr>
      <w:r>
        <w:rPr/>
        <w:t xml:space="preserve">Išorės lygmeniu Europos balso stiprinimas užsienyje taptų </w:t>
      </w:r>
      <w:r>
        <w:rPr>
          <w:b/>
        </w:rPr>
        <w:t xml:space="preserve">įsikūnijimu </w:t>
      </w:r>
      <w:r>
        <w:rPr/>
        <w:t>per</w:t>
      </w:r>
      <w:r>
        <w:rPr>
          <w:b/>
        </w:rPr>
        <w:t xml:space="preserve"> unikalų Europos atstovą</w:t>
      </w:r>
      <w:r>
        <w:rPr/>
        <w:t xml:space="preserve"> tarptautinėje arenoje. </w:t>
      </w:r>
    </w:p>
    <w:p>
      <w:pPr>
        <w:pStyle w:val="P68B1DB1Normal24"/>
        <w:widowControl w:val="false"/>
        <w:spacing w:lineRule="auto" w:line="240" w:before="324" w:after="0"/>
        <w:ind w:left="0" w:right="15" w:hanging="0"/>
        <w:jc w:val="left"/>
        <w:rPr/>
      </w:pPr>
      <w:r>
        <w:rPr/>
        <w:t xml:space="preserve">Šiai valstybių federacijai taip pat būtų naudingas didesnis </w:t>
      </w:r>
      <w:r>
        <w:rPr>
          <w:b/>
        </w:rPr>
        <w:t>Europos biudžetas</w:t>
      </w:r>
      <w:r>
        <w:rPr/>
        <w:t xml:space="preserve">, kurio tikslas – pasiekti 10 proc. BVP (šiuo metu – 2 proc.).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6 pakeitimas. Siūlomos visą gyvenimą trunkančios mainų programos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Asocijuotos Europos noras: Europa, kuri pirmauja švietimo srityje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Ką reiškia šis pokytis?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Raktiniai žodžiai: mokyklų mainai, Erasmus </w:t>
      </w:r>
    </w:p>
    <w:p>
      <w:pPr>
        <w:pStyle w:val="P68B1DB1Normal19"/>
        <w:widowControl w:val="false"/>
        <w:spacing w:lineRule="auto" w:line="240" w:before="330" w:after="0"/>
        <w:ind w:left="0" w:right="0" w:hanging="0"/>
        <w:jc w:val="both"/>
        <w:rPr/>
      </w:pPr>
      <w:r>
        <w:rPr/>
        <w:t xml:space="preserve">Plačiai pripažinta, kad šis pokytis atspindi susitikimų ir patirties užsienyje svarbą piliečiams, kaip galingą Europos jausmų fermentą. Siekiama </w:t>
      </w:r>
      <w:r>
        <w:rPr>
          <w:i/>
        </w:rPr>
        <w:t>„nuo akademinių žinių pereiti prie išgyvento</w:t>
      </w:r>
      <w:r>
        <w:rPr>
          <w:b/>
          <w:i/>
        </w:rPr>
        <w:t>, patyrusio ir jautrio požiūrio</w:t>
      </w:r>
      <w:r>
        <w:rPr>
          <w:i/>
        </w:rPr>
        <w:t>į Europą“</w:t>
      </w:r>
      <w:r>
        <w:rPr/>
        <w:t xml:space="preserve">ir suprasti švietimą plačiąja prasme kaip </w:t>
      </w:r>
      <w:r>
        <w:rPr>
          <w:b/>
        </w:rPr>
        <w:t xml:space="preserve">mokymąsi visą gyvenimą.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24"/>
        <w:widowControl w:val="false"/>
        <w:spacing w:lineRule="auto" w:line="240" w:before="317" w:after="0"/>
        <w:ind w:left="0" w:right="4" w:hanging="0"/>
        <w:jc w:val="both"/>
        <w:rPr/>
      </w:pPr>
      <w:r>
        <w:rPr/>
        <w:t xml:space="preserve">Tokį pokytį iš esmės lėmė </w:t>
      </w:r>
      <w:r>
        <w:rPr>
          <w:b/>
        </w:rPr>
        <w:t>išplėstas judumo pasiūlymas, įskaitant,</w:t>
      </w:r>
      <w:r>
        <w:rPr/>
        <w:t xml:space="preserve"> inter alia, mokyklų mainus, porinius projektus, keliones ir profesinį judumą. Piliečiams šis pasiūlymas turi būti prieinamas visiems, ypač tiems, kurie turi mažai išteklių ar negalią. Pavyzdžiui, programa „Erasmus“ galėtų apimti visus europiečius be amžiaus ar išteklių apribojimų. Šios programos turi būti suvokiamos kaip </w:t>
      </w:r>
      <w:r>
        <w:rPr>
          <w:b/>
        </w:rPr>
        <w:t>įvairios, įtraukios</w:t>
      </w:r>
      <w:r>
        <w:rPr>
          <w:b/>
          <w:sz w:val="20"/>
        </w:rPr>
        <w:t xml:space="preserve"> </w:t>
      </w:r>
      <w:r>
        <w:rPr>
          <w:b/>
        </w:rPr>
        <w:t>ir prieinamos</w:t>
      </w:r>
      <w:r>
        <w:rPr/>
        <w:t xml:space="preserve"> taikant supaprastintas administracines procedūras. </w:t>
      </w:r>
    </w:p>
    <w:p>
      <w:pPr>
        <w:pStyle w:val="P68B1DB1Normal24"/>
        <w:widowControl w:val="false"/>
        <w:spacing w:lineRule="auto" w:line="240" w:before="232" w:after="0"/>
        <w:ind w:left="0" w:right="3" w:hanging="0"/>
        <w:jc w:val="both"/>
        <w:rPr/>
      </w:pPr>
      <w:r>
        <w:rPr/>
        <w:t xml:space="preserve">Be mobilumo, taip pat buvo paminėta, kad svarbu </w:t>
      </w:r>
      <w:r>
        <w:rPr>
          <w:b/>
        </w:rPr>
        <w:t>plėtoti švietimo sistemas</w:t>
      </w:r>
      <w:r>
        <w:rPr/>
        <w:t xml:space="preserve"> (diplomų lygiavertiškumą ir kt.) ir didinti Europos patrauklumą siekiant išvengti talentų nutekėjimo užsienyje.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7 pakeitimas. Dalijimasis Europos kultūromis suvienijant renginius ir renginius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Europa, turinti bendras kultūras ir tapatybes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Ką reiškia šis pokytis?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Raktiniai žodžiai: Europos festivalis, Europos viešoji šventė, Pasaulinė Europos paroda </w:t>
      </w:r>
    </w:p>
    <w:p>
      <w:pPr>
        <w:pStyle w:val="P68B1DB1Normal19"/>
        <w:widowControl w:val="false"/>
        <w:spacing w:lineRule="auto" w:line="240" w:before="246" w:after="0"/>
        <w:ind w:left="0" w:right="10" w:hanging="0"/>
        <w:jc w:val="left"/>
        <w:rPr/>
      </w:pPr>
      <w:r>
        <w:rPr/>
        <w:t xml:space="preserve">Šiuo pakeitimu </w:t>
      </w:r>
      <w:r>
        <w:rPr>
          <w:b/>
        </w:rPr>
        <w:t>siekiama sukurti ir gyventi europietišką dvasią</w:t>
      </w:r>
      <w:r>
        <w:rPr/>
        <w:t xml:space="preserve"> dalijantis patirtimi, renginiais ir šventiniais renginiais.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239" w:after="0"/>
        <w:ind w:left="0" w:right="10" w:hanging="0"/>
        <w:jc w:val="both"/>
        <w:rPr/>
      </w:pPr>
      <w:r>
        <w:rPr/>
        <w:t xml:space="preserve">Piliečių įsivaizduojami įvykiai yra linksmi, </w:t>
      </w:r>
      <w:r>
        <w:rPr>
          <w:b/>
        </w:rPr>
        <w:t>vienijantys ir populiarūs,</w:t>
      </w:r>
      <w:r>
        <w:rPr/>
        <w:t xml:space="preserve"> kad jais dalintųsi kuo daugiau žmonių. Norėdami tai padaryti, jie turėtų įtraukti </w:t>
      </w:r>
      <w:r>
        <w:rPr>
          <w:b/>
        </w:rPr>
        <w:t>visą auditoriją</w:t>
      </w:r>
      <w:r>
        <w:rPr/>
        <w:t xml:space="preserve"> (įskaitant vaikus, mokyklų auditoriją, jaunimą ir programos „Erasmus“ studentus) ir vykti </w:t>
      </w:r>
      <w:r>
        <w:rPr>
          <w:b/>
        </w:rPr>
        <w:t>įvairiose vietose</w:t>
      </w:r>
      <w:r>
        <w:rPr/>
        <w:t xml:space="preserve"> (pensijų namuose, mokyklose, viešojo administravimo įstaigose, kalėjimuose ir kt.). </w:t>
      </w:r>
    </w:p>
    <w:p>
      <w:pPr>
        <w:pStyle w:val="P68B1DB1Normal24"/>
        <w:widowControl w:val="false"/>
        <w:spacing w:lineRule="auto" w:line="240" w:before="327" w:after="0"/>
        <w:ind w:left="0" w:right="13" w:hanging="0"/>
        <w:jc w:val="both"/>
        <w:rPr/>
      </w:pPr>
      <w:r>
        <w:rPr/>
        <w:t xml:space="preserve">Visų pirma buvo numatyti du renginiai europiečiams suburti: </w:t>
      </w:r>
      <w:r>
        <w:rPr>
          <w:b/>
        </w:rPr>
        <w:t>visuotinė Europos paroda</w:t>
      </w:r>
      <w:r>
        <w:rPr/>
        <w:t xml:space="preserve">, kurioje būtų galima atstovauti visoms valstybėms narėms, ir gegužės 9 </w:t>
      </w:r>
      <w:r>
        <w:rPr>
          <w:b/>
        </w:rPr>
        <w:t>d. nauja redakcija išdėstyta Europos diena</w:t>
      </w:r>
      <w:r>
        <w:rPr/>
        <w:t xml:space="preserve">, kurioje visų pirma būtų surengtas edukacinis renginys, </w:t>
      </w:r>
      <w:r>
        <w:rPr>
          <w:i/>
        </w:rPr>
        <w:t>kad „nepamirštume taikos, susijusios su Europa ir jos vertybėmis</w:t>
      </w:r>
      <w:r>
        <w:rPr/>
        <w:t xml:space="preserve">“. Tuo pat metu Europos atstovai galėtų susitikti su žemyno moksleiviais savo mokyklose, kad būtų sustiprintas piliečių nuo ankstyvo amžiaus artumas ir supratimas apie Europą.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8 pakeitimas. Sveikatos derinimas ir prieinamumas visiems europiečiams įgyvendinant bendrą sveikatos politiką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Europa, kuri apsaugo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86" w:after="0"/>
        <w:ind w:left="0" w:right="10" w:hanging="0"/>
        <w:jc w:val="left"/>
        <w:rPr/>
      </w:pPr>
      <w:r>
        <w:rPr>
          <w:i/>
          <w:color w:val="000000"/>
        </w:rPr>
        <w:t>Raktiniai žodžiai: visuotinė sveikatos apsauga, priežiūros suderinimas, sveikata kaip pagrindinė teisė</w:t>
      </w:r>
      <w:r>
        <w:rPr>
          <w:b/>
          <w:color w:val="273375"/>
        </w:rPr>
        <w:t xml:space="preserve"> </w:t>
      </w:r>
    </w:p>
    <w:p>
      <w:pPr>
        <w:pStyle w:val="P68B1DB1Normal19"/>
        <w:widowControl w:val="false"/>
        <w:spacing w:lineRule="auto" w:line="240" w:before="248" w:after="0"/>
        <w:ind w:left="0" w:right="10" w:hanging="0"/>
        <w:jc w:val="both"/>
        <w:rPr/>
      </w:pPr>
      <w:r>
        <w:rPr/>
        <w:t xml:space="preserve">Siekiant visiems europiečiams užtikrinti galimybę naudotis sveikatos priežiūros paslaugomis ir reaguoti </w:t>
      </w:r>
      <w:r>
        <w:rPr>
          <w:i/>
        </w:rPr>
        <w:t>į apsaugos ir solidarumo poreikį</w:t>
      </w:r>
      <w:r>
        <w:rPr/>
        <w:t xml:space="preserve">, vieningai pasiūlyta </w:t>
      </w:r>
      <w:r>
        <w:rPr>
          <w:b/>
        </w:rPr>
        <w:t>viršvalstybinė sveikatos sistema</w:t>
      </w:r>
      <w:r>
        <w:rPr/>
        <w:t xml:space="preserve">. Jis būtų grindžiamas teisingu valstybių narių finansavimu ir būtų grindžiamas geriausiomis ES sistemomis. Toks pokytis atspindi piliečių norą, kad Europa imtųsi aktyvesnio vaidmens saugant savo gyventojus, ypač sveikatos srityje, kurioje veiksmai iki šiol laikomi pernelyg nedrąsiais.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239" w:after="0"/>
        <w:ind w:left="0" w:right="10" w:hanging="0"/>
        <w:jc w:val="both"/>
        <w:rPr/>
      </w:pPr>
      <w:r>
        <w:rPr/>
        <w:t xml:space="preserve">Šiam pakeitimui įgyvendinti dauguma pritarė </w:t>
      </w:r>
      <w:r>
        <w:rPr>
          <w:b/>
        </w:rPr>
        <w:t>Europos visuotinės socialinės apsaugos</w:t>
      </w:r>
      <w:r>
        <w:rPr/>
        <w:t xml:space="preserve"> principui. Tačiau nebuvo galima nuspręsti dėl šios sistemos įgyvendinimo tvarkos. Nors kai kurie pasisako už </w:t>
      </w:r>
      <w:r>
        <w:rPr>
          <w:i/>
        </w:rPr>
        <w:t xml:space="preserve">„duomenų centralizavimą, leidžiantį [Europos] sveikatos priežiūros darbuotojams susipažinti su visa paciento ligos istorija“, </w:t>
      </w:r>
      <w:r>
        <w:rPr/>
        <w:t xml:space="preserve">kiti mano, kad ši priemonė </w:t>
      </w:r>
      <w:r>
        <w:rPr>
          <w:i/>
        </w:rPr>
        <w:t>yra „papildomas laisvės atėmimas ir kontrolės sistema“.</w:t>
      </w:r>
      <w:r>
        <w:rPr/>
        <w:t xml:space="preserve"> </w:t>
      </w:r>
    </w:p>
    <w:p>
      <w:pPr>
        <w:pStyle w:val="P68B1DB1Normal24"/>
        <w:widowControl w:val="false"/>
        <w:spacing w:lineRule="auto" w:line="240" w:before="329" w:after="0"/>
        <w:ind w:left="0" w:right="14" w:hanging="0"/>
        <w:jc w:val="both"/>
        <w:rPr/>
      </w:pPr>
      <w:r>
        <w:rPr/>
        <w:t xml:space="preserve">Vis dėlto </w:t>
      </w:r>
      <w:r>
        <w:rPr>
          <w:b/>
        </w:rPr>
        <w:t>nustatyta, kad reguliavimo reikalavimųskaidrumas ir suderinimas visame žemyne, taip pat Europos sveikatos planas</w:t>
      </w:r>
      <w:r>
        <w:rPr/>
        <w:t xml:space="preserve"> yra būtinos bet kokių reikšmingų pokyčių sąlygos.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9 pakeitimas – sukurti ir vadovauti strateginiams kanalams Europos lygmeniu, kad būtų užtikrintas mūsų suverenumas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Konkurencinga ir novatoriška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86" w:after="0"/>
        <w:ind w:left="0" w:right="9" w:hanging="0"/>
        <w:jc w:val="left"/>
        <w:rPr/>
      </w:pPr>
      <w:r>
        <w:rPr>
          <w:i/>
          <w:color w:val="000000"/>
        </w:rPr>
        <w:t>Raktiniai žodžiai: Europos lyderių kūrimas, užsienio investicijų kontrolė, skaitmeninis savarankiškumas ir energetika</w:t>
      </w:r>
      <w:r>
        <w:rPr>
          <w:b/>
          <w:color w:val="273375"/>
        </w:rPr>
        <w:t xml:space="preserve"> </w:t>
      </w:r>
    </w:p>
    <w:p>
      <w:pPr>
        <w:pStyle w:val="P68B1DB1Normal19"/>
        <w:widowControl w:val="false"/>
        <w:spacing w:lineRule="auto" w:line="240" w:before="248" w:after="0"/>
        <w:ind w:left="0" w:right="9" w:hanging="0"/>
        <w:jc w:val="both"/>
        <w:rPr/>
      </w:pPr>
      <w:r>
        <w:rPr/>
        <w:t xml:space="preserve">Išbandant strateginius sektorius, pavyzdžiui, sveikatos, maisto, energetikos, skaitmeninių technologijų, gynybos, transporto ir naujų medžiagų, Europos lygmeniu atsižvelgiama į piliečių nustatytą </w:t>
      </w:r>
      <w:r>
        <w:rPr>
          <w:b/>
        </w:rPr>
        <w:t>suvereniteto poreikį</w:t>
      </w:r>
      <w:r>
        <w:rPr/>
        <w:t>. Tai apribotų Europos įmonių konkurenciją, paskatintų</w:t>
      </w:r>
      <w:r>
        <w:rPr>
          <w:b/>
        </w:rPr>
        <w:t>žemyno čempionų atsiradimą</w:t>
      </w:r>
      <w:r>
        <w:rPr/>
        <w:t xml:space="preserve"> ir </w:t>
      </w:r>
      <w:r>
        <w:rPr>
          <w:b/>
        </w:rPr>
        <w:t>reindustrializuotų Europą</w:t>
      </w:r>
      <w:r>
        <w:rPr/>
        <w:t xml:space="preserve"> teikiant pirmenybę Europai.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237" w:after="0"/>
        <w:ind w:left="0" w:right="9" w:hanging="0"/>
        <w:jc w:val="both"/>
        <w:rPr/>
      </w:pPr>
      <w:r>
        <w:rPr/>
        <w:t xml:space="preserve">Siekiant šio suvereniteto, </w:t>
      </w:r>
      <w:r>
        <w:rPr>
          <w:b/>
        </w:rPr>
        <w:t>Europos institucijai</w:t>
      </w:r>
      <w:r>
        <w:rPr/>
        <w:t xml:space="preserve"> galėtų būti pavesta vadovauti šiems sektoriams išduodant leidimus užsienio konkurentams supirkti Europos bendroves ir užtikrinant, kad importuojami produktai atitiktų tuos pačius standartus kaip ir ES gamyba. Vidutinės trukmės laikotarpiu nuo</w:t>
      </w:r>
      <w:r>
        <w:rPr>
          <w:b/>
        </w:rPr>
        <w:t xml:space="preserve"> 30 % iki 50 %</w:t>
      </w:r>
      <w:r>
        <w:rPr/>
        <w:t xml:space="preserve"> Europos vartojimo šiuose strateginiuose sektoriuose turėtų būti </w:t>
      </w:r>
      <w:r>
        <w:rPr>
          <w:b/>
        </w:rPr>
        <w:t>pagaminama žemyne</w:t>
      </w:r>
      <w:r>
        <w:rPr/>
        <w:t xml:space="preserve"> ir iki </w:t>
      </w:r>
      <w:r>
        <w:rPr>
          <w:b/>
        </w:rPr>
        <w:t>70 %</w:t>
      </w:r>
      <w:r>
        <w:rPr/>
        <w:t xml:space="preserve"> ilgalaikėje perspektyvoje. Šių kriterijų laikymasis užtikrintų</w:t>
      </w:r>
      <w:r>
        <w:rPr>
          <w:b/>
        </w:rPr>
        <w:t>Europos</w:t>
      </w:r>
      <w:r>
        <w:rPr/>
        <w:t xml:space="preserve"> pramonės modelio savarankiškumą ir</w:t>
      </w:r>
      <w:r>
        <w:rPr>
          <w:b/>
        </w:rPr>
        <w:t xml:space="preserve"> įtaką</w:t>
      </w:r>
      <w:r>
        <w:rPr/>
        <w:t>bei net</w:t>
      </w:r>
      <w:r>
        <w:rPr>
          <w:b/>
        </w:rPr>
        <w:t>eksportą</w:t>
      </w:r>
      <w:r>
        <w:rPr/>
        <w:t xml:space="preserve">. </w:t>
      </w:r>
    </w:p>
    <w:p>
      <w:pPr>
        <w:pStyle w:val="Normal"/>
        <w:spacing w:lineRule="auto" w:line="240"/>
        <w:rPr/>
      </w:pPr>
      <w:r>
        <w:rPr/>
      </w:r>
    </w:p>
    <w:p>
      <w:pPr>
        <w:pStyle w:val="P68B1DB1Normal42"/>
        <w:spacing w:lineRule="auto" w:line="240"/>
        <w:rPr/>
      </w:pPr>
      <w:r>
        <w:rPr/>
        <w:t xml:space="preserve">10 pakeitimas. Aplinkos ir ekosistemų apsaugos gerinimas ir saugomų teritorijų, kurios yra miesto, priemiesčių ir kaimo vietovių pagrindas, kūrimas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Darnų vystymąsi skatinanti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78" w:after="0"/>
        <w:ind w:left="0" w:right="0" w:hanging="0"/>
        <w:jc w:val="left"/>
        <w:rPr/>
      </w:pPr>
      <w:r>
        <w:rPr>
          <w:i/>
          <w:color w:val="000000"/>
        </w:rPr>
        <w:t>Raktiniai žodžiai: ekologiškesnė urbanizacija, pagarba dirvožemiui ir jo apsauga</w:t>
      </w:r>
      <w:r>
        <w:rPr>
          <w:b/>
          <w:color w:val="273375"/>
        </w:rPr>
        <w:t xml:space="preserve"> </w:t>
      </w:r>
    </w:p>
    <w:p>
      <w:pPr>
        <w:pStyle w:val="P68B1DB1Normal19"/>
        <w:widowControl w:val="false"/>
        <w:spacing w:lineRule="auto" w:line="240" w:before="321" w:after="0"/>
        <w:ind w:left="0" w:right="9" w:hanging="0"/>
        <w:jc w:val="both"/>
        <w:rPr/>
      </w:pPr>
      <w:r>
        <w:rPr/>
        <w:t xml:space="preserve">Siekiama </w:t>
      </w:r>
      <w:r>
        <w:rPr>
          <w:b/>
        </w:rPr>
        <w:t>apriboti neigiamą urbanizacijos poveikį dirvožemiui</w:t>
      </w:r>
      <w:r>
        <w:rPr/>
        <w:t xml:space="preserve">. Imantis ryžtingų veiksmų būtų </w:t>
      </w:r>
      <w:r>
        <w:rPr>
          <w:b/>
        </w:rPr>
        <w:t xml:space="preserve">apribotos nelaimės, susijusios su </w:t>
      </w:r>
      <w:r>
        <w:rPr/>
        <w:t>dirvožemio naikinimu, pvz.</w:t>
      </w:r>
      <w:r>
        <w:rPr>
          <w:b/>
        </w:rPr>
        <w:t>, nuošliaužos, ir pagerėtų gyvenimo kokybė miestuose</w:t>
      </w:r>
      <w:r>
        <w:rPr/>
        <w:t xml:space="preserve">, visų pirma sodinant medžius.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318" w:after="0"/>
        <w:ind w:left="0" w:right="9" w:hanging="0"/>
        <w:jc w:val="both"/>
        <w:rPr/>
      </w:pPr>
      <w:r>
        <w:rPr/>
        <w:t xml:space="preserve">Buvo pasiūlyta veikti dviem lygmenimis: pirma, </w:t>
      </w:r>
      <w:r>
        <w:rPr>
          <w:b/>
        </w:rPr>
        <w:t>pakeisti naujų konstrukcijų tendenciją</w:t>
      </w:r>
      <w:r>
        <w:rPr/>
        <w:t xml:space="preserve"> mažinti dirvožemio sandarinimo greitį ir, antra, </w:t>
      </w:r>
      <w:r>
        <w:rPr>
          <w:b/>
        </w:rPr>
        <w:t>skatinti dirvožemio atkūrimą</w:t>
      </w:r>
      <w:r>
        <w:rPr/>
        <w:t xml:space="preserve"> „ </w:t>
      </w:r>
      <w:r>
        <w:rPr>
          <w:i/>
        </w:rPr>
        <w:t>grįžti į gamtą, kas jai priklauso</w:t>
      </w:r>
      <w:r>
        <w:rPr/>
        <w:t xml:space="preserve">“. </w:t>
      </w:r>
    </w:p>
    <w:p>
      <w:pPr>
        <w:pStyle w:val="Normal"/>
        <w:spacing w:lineRule="auto" w:line="240"/>
        <w:rPr/>
      </w:pPr>
      <w:r>
        <w:rPr/>
      </w:r>
    </w:p>
    <w:p>
      <w:pPr>
        <w:pStyle w:val="P68B1DB1Normal42"/>
        <w:spacing w:lineRule="auto" w:line="240"/>
        <w:rPr/>
      </w:pPr>
      <w:r>
        <w:rPr/>
        <w:t xml:space="preserve">11 pakeitimas. Europos informacijos centrų, skirtų išklausyti ir konsultuoti piliečius, įsteigimas teritorijose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Artimesnė ir prieinama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Ką reiškia šis pokytis?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Raktiniai žodžiai: Europos namai, referencinė Europa vietos lygmeniu, geresnė prieiga prie informacijos </w:t>
      </w:r>
    </w:p>
    <w:p>
      <w:pPr>
        <w:pStyle w:val="P68B1DB1Normal19"/>
        <w:widowControl w:val="false"/>
        <w:spacing w:lineRule="auto" w:line="240" w:before="326" w:after="0"/>
        <w:ind w:left="0" w:right="11" w:hanging="0"/>
        <w:jc w:val="both"/>
        <w:rPr/>
      </w:pPr>
      <w:r>
        <w:rPr/>
        <w:t xml:space="preserve">Šio pokyčio tikslas – pateikti konkrečius atsakymus į daugelio dalyvių </w:t>
      </w:r>
      <w:r>
        <w:rPr>
          <w:b/>
        </w:rPr>
        <w:t>pastebėtą Europos Sąjungos įsikūnijimo stoką</w:t>
      </w:r>
      <w:r>
        <w:rPr/>
        <w:t xml:space="preserve"> kasdieniame gyvenime ir stengtis suartinti Europą ir jos piliečius.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24"/>
        <w:widowControl w:val="false"/>
        <w:spacing w:lineRule="auto" w:line="240" w:before="317" w:after="0"/>
        <w:ind w:left="0" w:right="14" w:hanging="0"/>
        <w:jc w:val="both"/>
        <w:rPr/>
      </w:pPr>
      <w:r>
        <w:rPr/>
        <w:t xml:space="preserve">Siekiant spręsti šį atstumą tarp ES ir piliečių, į kiekvieną rotušę </w:t>
      </w:r>
      <w:r>
        <w:rPr>
          <w:b/>
        </w:rPr>
        <w:t>būtų galima paskirti specialistą</w:t>
      </w:r>
      <w:r>
        <w:rPr/>
        <w:t xml:space="preserve">, kuriam būtų pavesta išklausyti ir konsultuoti piliečius. Šioje ataskaitoje pateikta informacija galėtų būti socialinė ir ekonominė, visų pirma susijusi su galimybe gauti Europos arba informatyvią pagalbą, pavyzdžiui, apie lobistų vaidmenį. Teikiama informacija būtų skirta ir plačiajai visuomenei, ir specialistams, visų pirma konsultuoti MVĮ ir padėti projektų vadovams gauti ES lėšų. Ilgalaikėje perspektyvoje dėl šio pokyčio galėtų būti sukurtos </w:t>
      </w:r>
      <w:r>
        <w:rPr>
          <w:b/>
        </w:rPr>
        <w:t>Europai skirtos vietos,</w:t>
      </w:r>
      <w:r>
        <w:rPr/>
        <w:t xml:space="preserve"> panašios į esamus Europos namus, tačiau bendru lygmeniu būtų sudarytos sąlygos sukurti puikų teritorinį tinklą. </w:t>
      </w:r>
    </w:p>
    <w:p>
      <w:pPr>
        <w:pStyle w:val="P68B1DB1Normal24"/>
        <w:widowControl w:val="false"/>
        <w:spacing w:lineRule="auto" w:line="240" w:before="235" w:after="0"/>
        <w:ind w:left="0" w:right="15" w:hanging="0"/>
        <w:jc w:val="both"/>
        <w:rPr/>
      </w:pPr>
      <w:r>
        <w:rPr/>
        <w:t xml:space="preserve">Šis pokytis būtų sėkmingas, jei kiekvienas pilietis žinotų „ </w:t>
      </w:r>
      <w:r>
        <w:rPr>
          <w:i/>
        </w:rPr>
        <w:t>kaip akivaizdų</w:t>
      </w:r>
      <w:r>
        <w:rPr/>
        <w:t xml:space="preserve">“ šios nuorodos egzistavimą ir šią Europai skirtų išteklių vietą, kurioje būtų teikiami ištekliai, klausymas, informavimas ir patarimai.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12 pakeitimas. Suvienodinti 27 valstybių narių Europos Parlamento rinkimų būdą ir pagerinti piliečių artumą, dabartinį balsavimą pakeičiant vienkartiniu balsavimu regioniniu lygmeniu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Veiksmingesnio valdymo Europa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76" w:after="0"/>
        <w:ind w:left="0" w:right="0" w:hanging="0"/>
        <w:jc w:val="left"/>
        <w:rPr/>
      </w:pPr>
      <w:r>
        <w:rPr>
          <w:i/>
          <w:color w:val="000000"/>
        </w:rPr>
        <w:t>Raktiniai žodžiai: instituciniai pokyčiai, po kurių seka piliečiai per visą kadenciją</w:t>
      </w:r>
      <w:r>
        <w:rPr>
          <w:b/>
          <w:color w:val="273375"/>
        </w:rPr>
        <w:t xml:space="preserve"> </w:t>
      </w:r>
    </w:p>
    <w:p>
      <w:pPr>
        <w:pStyle w:val="P68B1DB1Normal19"/>
        <w:widowControl w:val="false"/>
        <w:spacing w:lineRule="auto" w:line="240" w:before="275" w:after="0"/>
        <w:ind w:left="0" w:right="10" w:hanging="0"/>
        <w:jc w:val="both"/>
        <w:rPr/>
      </w:pPr>
      <w:r>
        <w:rPr/>
        <w:t xml:space="preserve">Šis pokytis atspindi piliečių norą stiprinti savo </w:t>
      </w:r>
      <w:r>
        <w:rPr>
          <w:b/>
        </w:rPr>
        <w:t>artumą su išrinktais</w:t>
      </w:r>
      <w:r>
        <w:rPr/>
        <w:t xml:space="preserve"> pareigūnais ir stebėti jų veiksmus per visą kadenciją. Juo reaguojama į plačiai paplitusį pastebėjimą, kad išrinkti Europos Parlamento atstovai nepakankamai interpretuoja piliečių susirūpinimą keliančius klausimus konkrečiais veiksmais.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316" w:after="0"/>
        <w:ind w:left="0" w:right="10" w:hanging="0"/>
        <w:jc w:val="both"/>
        <w:rPr/>
      </w:pPr>
      <w:r>
        <w:rPr/>
        <w:t xml:space="preserve">Rinkimų būdo pakeitimą sudarytų </w:t>
      </w:r>
      <w:r>
        <w:rPr>
          <w:b/>
        </w:rPr>
        <w:t>balsavimo sistemos suvienodinimas</w:t>
      </w:r>
      <w:r>
        <w:rPr/>
        <w:t xml:space="preserve"> Europos lygmeniu ir perėjimas nuo nacionalinių prie regioninių rinkimų apygardų, kurios, kaip manoma, bus įmanomas iki 2035 m. </w:t>
      </w:r>
    </w:p>
    <w:p>
      <w:pPr>
        <w:pStyle w:val="Normal"/>
        <w:spacing w:lineRule="auto" w:line="240"/>
        <w:rPr/>
      </w:pPr>
      <w:r>
        <w:rPr/>
      </w:r>
    </w:p>
    <w:p>
      <w:pPr>
        <w:pStyle w:val="P68B1DB1Normal42"/>
        <w:spacing w:lineRule="auto" w:line="240"/>
        <w:rPr/>
      </w:pPr>
      <w:r>
        <w:rPr/>
        <w:t xml:space="preserve">13 pakeitimas. Bendros politikos, skirtos migrantų (įskaitant neteisėtus migrantus) priėmimui ir socialinei bei profesinei integracijai gerinti, nustatymas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Asocijuotos Europos noras: Europa, užtikrinanti pagarbą pagrindinėms teisėms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76" w:after="0"/>
        <w:ind w:left="0" w:right="0" w:hanging="0"/>
        <w:jc w:val="left"/>
        <w:rPr/>
      </w:pPr>
      <w:r>
        <w:rPr>
          <w:i/>
          <w:color w:val="000000"/>
        </w:rPr>
        <w:t>Raktiniai žodžiai: Europos migracijos biuras, užtikrinantis deramą priėmimą visoje Europoje</w:t>
      </w:r>
      <w:r>
        <w:rPr>
          <w:b/>
          <w:color w:val="273375"/>
        </w:rPr>
        <w:t xml:space="preserve"> </w:t>
      </w:r>
    </w:p>
    <w:p>
      <w:pPr>
        <w:pStyle w:val="P68B1DB1Normal19"/>
        <w:widowControl w:val="false"/>
        <w:spacing w:lineRule="auto" w:line="240" w:before="248" w:after="0"/>
        <w:ind w:left="0" w:right="10" w:hanging="0"/>
        <w:jc w:val="both"/>
        <w:rPr/>
      </w:pPr>
      <w:r>
        <w:rPr/>
        <w:t xml:space="preserve">Šiuo pakeitimu siekiama pagerinti migrantų priėmimą Europos Sąjungoje – problemą, kurią piliečiai vieningai laiko </w:t>
      </w:r>
      <w:r>
        <w:rPr>
          <w:b/>
        </w:rPr>
        <w:t>ekstremaliąja situacija</w:t>
      </w:r>
      <w:r>
        <w:rPr/>
        <w:t xml:space="preserve">. Esant dabartinei padėčiai, atrodo, kad </w:t>
      </w:r>
      <w:r>
        <w:rPr>
          <w:b/>
        </w:rPr>
        <w:t>bendros, suderintos ir solidarios imigracijos politikos</w:t>
      </w:r>
      <w:r>
        <w:rPr/>
        <w:t xml:space="preserve"> sukūrimas yra pagrindinis taikos veiksnys.</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243" w:after="0"/>
        <w:ind w:left="0" w:right="10" w:hanging="0"/>
        <w:jc w:val="left"/>
        <w:rPr/>
      </w:pPr>
      <w:r>
        <w:rPr/>
        <w:t xml:space="preserve">Tokio pokyčio sėkmė lemtų laipsnišką bendros migrantų priėmimo politikos įgyvendinimą. </w:t>
      </w:r>
    </w:p>
    <w:p>
      <w:pPr>
        <w:pStyle w:val="P68B1DB1Normal19"/>
        <w:widowControl w:val="false"/>
        <w:spacing w:lineRule="auto" w:line="240" w:before="326" w:after="0"/>
        <w:ind w:left="0" w:right="10" w:hanging="0"/>
        <w:jc w:val="both"/>
        <w:rPr/>
      </w:pPr>
      <w:r>
        <w:rPr>
          <w:b/>
        </w:rPr>
        <w:t>Piliečių iniciatyva</w:t>
      </w:r>
      <w:r>
        <w:rPr/>
        <w:t xml:space="preserve"> turėtų perduoti klausimą Komisijai ir leisti vidutinės trukmės laikotarpiu priimti </w:t>
      </w:r>
      <w:r>
        <w:rPr>
          <w:b/>
        </w:rPr>
        <w:t>bendrą standartą</w:t>
      </w:r>
      <w:r>
        <w:rPr/>
        <w:t xml:space="preserve">, nustatantį migrantų priėmimo ir socialinės integracijos sistemą. Ilgalaikėje perspektyvoje šis standartas būtų remiamas įsteigus </w:t>
      </w:r>
      <w:r>
        <w:rPr>
          <w:b/>
        </w:rPr>
        <w:t>specializuotą Europos imigracijos biurą</w:t>
      </w:r>
      <w:r>
        <w:rPr/>
        <w:t xml:space="preserve"> ir pripažinus migracijos politiką Europos Sąjungos kompetencija. </w:t>
      </w:r>
    </w:p>
    <w:p>
      <w:pPr>
        <w:pStyle w:val="Normal"/>
        <w:spacing w:lineRule="auto" w:line="240"/>
        <w:rPr/>
      </w:pPr>
      <w:r>
        <w:rPr/>
      </w:r>
    </w:p>
    <w:p>
      <w:pPr>
        <w:pStyle w:val="P68B1DB1Normal42"/>
        <w:spacing w:lineRule="auto" w:line="240"/>
        <w:rPr/>
      </w:pPr>
      <w:r>
        <w:rPr/>
        <w:t xml:space="preserve">14 pakeitimas. Išsaugoti skirtingų Europos regionų ypatumus (maisto produktų etiketės, amatininkų gamyba, tradicijos), siekiant išvengti vienodo gyvenimo būdo ir užtikrinti produktų atsekamumą ir kokybę </w:t>
      </w:r>
    </w:p>
    <w:p>
      <w:pPr>
        <w:pStyle w:val="P68B1DB1Normal43"/>
        <w:widowControl w:val="false"/>
        <w:spacing w:lineRule="auto" w:line="240" w:before="347" w:after="0"/>
        <w:ind w:left="0" w:right="912" w:hanging="0"/>
        <w:jc w:val="left"/>
        <w:rPr/>
      </w:pPr>
      <w:r>
        <w:rPr/>
        <w:t xml:space="preserve">Asocijuotos Europos noras: Europa, kurioje vyrauja kiekvienos valstybės interesai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Ką reiškia šis pokytis? </w:t>
      </w:r>
    </w:p>
    <w:p>
      <w:pPr>
        <w:pStyle w:val="P68B1DB1Normal7"/>
        <w:widowControl w:val="false"/>
        <w:spacing w:lineRule="auto" w:line="240" w:before="76" w:after="0"/>
        <w:ind w:left="0" w:right="0" w:hanging="0"/>
        <w:jc w:val="left"/>
        <w:rPr/>
      </w:pPr>
      <w:r>
        <w:rPr>
          <w:i/>
          <w:color w:val="000000"/>
        </w:rPr>
        <w:t>Raktiniai žodžiai: Europos ženklai, kuriais vertinama kultūrų ir tradicijų įvairovė</w:t>
      </w:r>
      <w:r>
        <w:rPr>
          <w:b/>
          <w:color w:val="273375"/>
        </w:rPr>
        <w:t xml:space="preserve"> </w:t>
      </w:r>
    </w:p>
    <w:p>
      <w:pPr>
        <w:pStyle w:val="P68B1DB1Normal19"/>
        <w:widowControl w:val="false"/>
        <w:spacing w:lineRule="auto" w:line="240" w:before="323" w:after="0"/>
        <w:ind w:left="0" w:right="10" w:hanging="0"/>
        <w:jc w:val="both"/>
        <w:rPr/>
      </w:pPr>
      <w:r>
        <w:rPr/>
        <w:t xml:space="preserve">Šio pokyčio tikslas – išsaugoti </w:t>
      </w:r>
      <w:r>
        <w:rPr>
          <w:b/>
        </w:rPr>
        <w:t>Europos tradicijų ir kūrinių įvairovę</w:t>
      </w:r>
      <w:r>
        <w:rPr/>
        <w:t xml:space="preserve"> ir</w:t>
      </w:r>
      <w:r>
        <w:rPr>
          <w:b/>
        </w:rPr>
        <w:t>išvengti gyvenimo būdo standartizavimo</w:t>
      </w:r>
      <w:r>
        <w:rPr/>
        <w:t>, dažnai vadinamo Europos Sąjungos kritika.</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Kokie yra pagrindiniai žingsniai ir sėkmės kriterijai? </w:t>
      </w:r>
    </w:p>
    <w:p>
      <w:pPr>
        <w:pStyle w:val="P68B1DB1Normal19"/>
        <w:widowControl w:val="false"/>
        <w:spacing w:lineRule="auto" w:line="240" w:before="322" w:after="0"/>
        <w:ind w:left="0" w:right="10" w:hanging="0"/>
        <w:jc w:val="both"/>
        <w:rPr/>
      </w:pPr>
      <w:r>
        <w:rPr/>
        <w:t xml:space="preserve">Pagrindinis piliečių tikslas – užtikrinti, kad esama duomenų bazė, kurioje pateikiami įvairūs </w:t>
      </w:r>
      <w:r>
        <w:rPr>
          <w:b/>
        </w:rPr>
        <w:t>Europos ir nacionaliniai ženklai,</w:t>
      </w:r>
      <w:r>
        <w:rPr/>
        <w:t xml:space="preserve"> būtų prieinamesnė. Šiuo tikslu siūloma sukurti „ </w:t>
      </w:r>
      <w:r>
        <w:rPr>
          <w:i/>
        </w:rPr>
        <w:t>trijų paspaudimų“</w:t>
      </w:r>
      <w:r>
        <w:rPr/>
        <w:t xml:space="preserve"> svetainę: vienas paspaudimas, kad patektumėte į svetainę, antras – Europos Sąjungos regionų žemėlapis, o kitas – kiekvieno regiono etikečių aprašymas. </w:t>
      </w:r>
    </w:p>
    <w:p>
      <w:pPr>
        <w:pStyle w:val="Normal"/>
        <w:widowControl w:val="false"/>
        <w:spacing w:lineRule="auto" w:line="240" w:before="327" w:after="0"/>
        <w:ind w:left="0" w:right="14" w:hanging="0"/>
        <w:jc w:val="left"/>
        <w:rPr/>
      </w:pPr>
      <w:r>
        <w:rPr>
          <w:rFonts w:ascii="Times New Roman" w:hAnsi="Times New Roman"/>
          <w:color w:val="000000"/>
        </w:rPr>
        <w:t xml:space="preserve">Šio pokyčio sėkmė būtų geresnė </w:t>
      </w:r>
      <w:r>
        <w:rPr>
          <w:rFonts w:ascii="Times New Roman" w:hAnsi="Times New Roman"/>
          <w:b/>
          <w:color w:val="000000"/>
        </w:rPr>
        <w:t>komunikacija</w:t>
      </w:r>
      <w:r>
        <w:rPr>
          <w:rFonts w:ascii="Times New Roman" w:hAnsi="Times New Roman"/>
          <w:color w:val="000000"/>
        </w:rPr>
        <w:t xml:space="preserve"> apie esamus laimėjimus, o tai padėtų piliečiams geriau </w:t>
      </w:r>
      <w:r>
        <w:rPr>
          <w:rFonts w:ascii="Times New Roman" w:hAnsi="Times New Roman"/>
          <w:b/>
          <w:color w:val="000000"/>
        </w:rPr>
        <w:t>suprasti</w:t>
      </w:r>
      <w:r>
        <w:rPr>
          <w:rFonts w:ascii="Times New Roman" w:hAnsi="Times New Roman"/>
          <w:color w:val="000000"/>
        </w:rPr>
        <w:t xml:space="preserve"> Europos kultūrų įvairovę.</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Antroji dalis: konsultacijų „Words to Youth“ rezultatų pristatymas</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Konsultacijų datos </w:t>
      </w:r>
    </w:p>
    <w:p>
      <w:pPr>
        <w:pStyle w:val="P68B1DB1Normal19"/>
        <w:widowControl w:val="false"/>
        <w:spacing w:lineRule="auto" w:line="240" w:before="34" w:after="0"/>
        <w:ind w:left="0" w:right="0" w:hanging="0"/>
        <w:jc w:val="center"/>
        <w:rPr/>
      </w:pPr>
      <w:r>
        <w:rPr/>
        <w:t>nuo 2021 m. gegužės 9 d. iki 2021 m. liepos 18 d.</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Dalyvių skaičius</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dalyviai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pasiūlymų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balsų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Europos reikalų valstybės sekretoriato iniciatyva pradėtos konsultacijos „Pasivaikščioti su jaunimu“. Šios konsultacijos vyksta atsižvelgiant į Konferenciją dėl Europos ateities – precedento neturinčią dalyvaujamąją demokratiją, kuriai vadovauja Europos institucijos ir kurios tikslas – suteikti galimybę visiems Europos piliečiams pareikšti savo nuomonę apie tai, ko jie tikisi iš Europos Sąjungos. Konsultacijų metu įgyta patirtis bus panaudota Konferencijos dėl Europos ateities ir Europos Sąjungos Tarybai pirmininkaujančios Prancūzijos darbe.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pagrindinės pamokos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Masinis jaunimo mobilizavimas: konsultacijose</w:t>
      </w:r>
      <w:r>
        <w:rPr>
          <w:rFonts w:ascii="Times New Roman" w:hAnsi="Times New Roman"/>
          <w:b/>
        </w:rPr>
        <w:t xml:space="preserve"> dalyvavo daugiau kaip 50 000 jaunų Prancūzijos piliečių </w:t>
      </w:r>
      <w:r>
        <w:rPr>
          <w:rFonts w:ascii="Times New Roman" w:hAnsi="Times New Roman"/>
        </w:rPr>
        <w:t xml:space="preserve">visose teritorijose.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Svarbiausias konsensusas yra </w:t>
      </w:r>
      <w:r>
        <w:rPr>
          <w:rFonts w:ascii="Times New Roman" w:hAnsi="Times New Roman"/>
          <w:b/>
        </w:rPr>
        <w:t>susijęs su Europos kovos su klimato kaita politika, gamybos perkėlimu  į Europą, Europos demokratijos atgaivinimu, ES svarba pasaulyje (ekonomika, moksliniai tyrimai, žmogaus teisės, diplomatija).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Sumanymas sukurti galingesnę ir vieningesnę Europą apima visas konsultacijas, kuriomis</w:t>
      </w:r>
      <w:r>
        <w:rPr>
          <w:rFonts w:ascii="Times New Roman" w:hAnsi="Times New Roman"/>
        </w:rPr>
        <w:t xml:space="preserve"> siekiama bendro sutarimo keliais klausimais: </w:t>
      </w:r>
    </w:p>
    <w:p>
      <w:pPr>
        <w:pStyle w:val="P68B1DB1Normal34"/>
        <w:widowControl w:val="false"/>
        <w:spacing w:lineRule="auto" w:line="240" w:before="92" w:after="0"/>
        <w:ind w:left="360" w:right="0" w:hanging="0"/>
        <w:jc w:val="left"/>
        <w:rPr/>
      </w:pPr>
      <w:r>
        <w:rPr>
          <w:rFonts w:ascii="Times New Roman" w:hAnsi="Times New Roman"/>
        </w:rPr>
        <w:t>Stipresnė</w:t>
      </w:r>
      <w:r>
        <w:rPr/>
        <w:t xml:space="preserve"> </w:t>
      </w:r>
      <w:r>
        <w:rPr>
          <w:rFonts w:ascii="Times New Roman" w:hAnsi="Times New Roman"/>
        </w:rPr>
        <w:t xml:space="preserve">Europa ekonominiu požiūriu (ypač vykdant perkėlimą), kad būtų galima susidoroti su Kinija ar Jungtinėmis Valstijomis </w:t>
      </w:r>
    </w:p>
    <w:p>
      <w:pPr>
        <w:pStyle w:val="P68B1DB1Normal34"/>
        <w:widowControl w:val="false"/>
        <w:spacing w:lineRule="auto" w:line="240" w:before="92" w:after="0"/>
        <w:ind w:left="360" w:right="0" w:hanging="0"/>
        <w:jc w:val="left"/>
        <w:rPr/>
      </w:pPr>
      <w:r>
        <w:rPr>
          <w:rFonts w:ascii="Times New Roman" w:hAnsi="Times New Roman"/>
        </w:rPr>
        <w:t>Diplomatinė</w:t>
      </w:r>
      <w:r>
        <w:rPr/>
        <w:t xml:space="preserve"> </w:t>
      </w:r>
      <w:r>
        <w:rPr>
          <w:rFonts w:ascii="Times New Roman" w:hAnsi="Times New Roman"/>
        </w:rPr>
        <w:t xml:space="preserve">Europa, kuri svarbesnė tarptautinėje arenoje </w:t>
      </w:r>
    </w:p>
    <w:p>
      <w:pPr>
        <w:pStyle w:val="P68B1DB1Normal34"/>
        <w:widowControl w:val="false"/>
        <w:spacing w:lineRule="auto" w:line="240" w:before="85" w:after="0"/>
        <w:ind w:left="360" w:right="1483" w:hanging="0"/>
        <w:jc w:val="left"/>
        <w:rPr/>
      </w:pPr>
      <w:r>
        <w:rPr>
          <w:rFonts w:ascii="Times New Roman" w:hAnsi="Times New Roman"/>
        </w:rPr>
        <w:t>Europos</w:t>
      </w:r>
      <w:r>
        <w:rPr/>
        <w:t xml:space="preserve"> </w:t>
      </w:r>
      <w:r>
        <w:rPr>
          <w:rFonts w:ascii="Times New Roman" w:hAnsi="Times New Roman"/>
        </w:rPr>
        <w:t>lyderė kovojant su klimato kaita pasaulyje</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 xml:space="preserve">Jaunimo suburta Europa </w:t>
      </w:r>
    </w:p>
    <w:p>
      <w:pPr>
        <w:pStyle w:val="P68B1DB1Normal34"/>
        <w:widowControl w:val="false"/>
        <w:spacing w:lineRule="auto" w:line="240" w:before="85" w:after="0"/>
        <w:ind w:left="360" w:right="0" w:hanging="0"/>
        <w:jc w:val="left"/>
        <w:rPr/>
      </w:pPr>
      <w:r>
        <w:rPr>
          <w:rFonts w:ascii="Times New Roman" w:hAnsi="Times New Roman"/>
        </w:rPr>
        <w:t>Suvienyta</w:t>
      </w:r>
      <w:r>
        <w:rPr/>
        <w:t xml:space="preserve"> </w:t>
      </w:r>
      <w:r>
        <w:rPr>
          <w:rFonts w:ascii="Times New Roman" w:hAnsi="Times New Roman"/>
        </w:rPr>
        <w:t xml:space="preserve">Europa mokslinių tyrimų ir inovacijų srityje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Jaunimas taip pat palankiai įvertino keturias idėjas, papildančias</w:t>
      </w:r>
      <w:r>
        <w:rPr>
          <w:rFonts w:ascii="Times New Roman" w:hAnsi="Times New Roman"/>
        </w:rPr>
        <w:t xml:space="preserve"> piliečių forumų idėjas: </w:t>
      </w:r>
    </w:p>
    <w:p>
      <w:pPr>
        <w:pStyle w:val="P68B1DB1Normal34"/>
        <w:widowControl w:val="false"/>
        <w:spacing w:lineRule="auto" w:line="240" w:before="90" w:after="0"/>
        <w:ind w:left="360" w:right="0" w:hanging="0"/>
        <w:jc w:val="left"/>
        <w:rPr/>
      </w:pPr>
      <w:r>
        <w:rPr>
          <w:rFonts w:ascii="Times New Roman" w:hAnsi="Times New Roman"/>
        </w:rPr>
        <w:t>Ekologiškai</w:t>
      </w:r>
      <w:r>
        <w:rPr/>
        <w:t xml:space="preserve"> </w:t>
      </w:r>
      <w:r>
        <w:rPr>
          <w:rFonts w:ascii="Times New Roman" w:hAnsi="Times New Roman"/>
        </w:rPr>
        <w:t xml:space="preserve">ir socialiai atsakinga Europos ekonomika </w:t>
      </w:r>
    </w:p>
    <w:p>
      <w:pPr>
        <w:pStyle w:val="P68B1DB1Normal34"/>
        <w:widowControl w:val="false"/>
        <w:spacing w:lineRule="auto" w:line="240" w:before="88" w:after="0"/>
        <w:ind w:left="360" w:right="0" w:hanging="0"/>
        <w:jc w:val="left"/>
        <w:rPr/>
      </w:pPr>
      <w:r>
        <w:rPr>
          <w:rFonts w:ascii="Times New Roman" w:hAnsi="Times New Roman"/>
        </w:rPr>
        <w:t>Geografiškai</w:t>
      </w:r>
      <w:r>
        <w:rPr/>
        <w:t xml:space="preserve"> </w:t>
      </w:r>
      <w:r>
        <w:rPr>
          <w:rFonts w:ascii="Times New Roman" w:hAnsi="Times New Roman"/>
        </w:rPr>
        <w:t xml:space="preserve">labiau geležinkeliais sujungta Europa </w:t>
      </w:r>
    </w:p>
    <w:p>
      <w:pPr>
        <w:pStyle w:val="P68B1DB1Normal34"/>
        <w:widowControl w:val="false"/>
        <w:spacing w:lineRule="auto" w:line="240" w:before="85" w:after="0"/>
        <w:ind w:left="360" w:right="0" w:hanging="0"/>
        <w:jc w:val="left"/>
        <w:rPr/>
      </w:pPr>
      <w:r>
        <w:rPr>
          <w:rFonts w:ascii="Times New Roman" w:hAnsi="Times New Roman"/>
        </w:rPr>
        <w:t>Fiskaliniu</w:t>
      </w:r>
      <w:r>
        <w:rPr/>
        <w:t xml:space="preserve"> </w:t>
      </w:r>
      <w:r>
        <w:rPr>
          <w:rFonts w:ascii="Times New Roman" w:hAnsi="Times New Roman"/>
        </w:rPr>
        <w:t xml:space="preserve">požiūriu teisingesnė Europa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Tvirti Europos Sąjungos veiksmai remiant moterų teises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populiarios idėjos ir 13 prieštaringų idėjų išplito 9 Konferencijos dėl Europos ateities temomis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Pripažintos idėjos</w:t>
      </w:r>
      <w:r>
        <w:rPr>
          <w:color w:val="000000"/>
        </w:rPr>
        <w:t xml:space="preserve"> grindžiamos pasiūlymais, kuriuos daugiausia remia konsultacijų dalyviai. Pripažinti pasiūlymai yra tie pasiūlymai, kurie sulaukia daugiausiai paramos, ir juose </w:t>
      </w:r>
      <w:r>
        <w:rPr>
          <w:b/>
          <w:color w:val="000000"/>
        </w:rPr>
        <w:t>kapitalizuojama vidutiniškai 79 proc. balsų už</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Prieštaringos idėjos</w:t>
      </w:r>
      <w:r>
        <w:rPr>
          <w:color w:val="000000"/>
        </w:rPr>
        <w:t xml:space="preserve"> grindžiamos pasiūlymais, dėl kurių daugiausia diskutuoja konsultacijų dalyviai, išlaikant balsų „už“ ir „prieš“ pusiausvyrą. Prieštaringi pasiūlymai yra labiausiai diskutuoti konsultacijų pasiūlymai, kuriuose vidutiniškai </w:t>
      </w:r>
      <w:r>
        <w:rPr>
          <w:b/>
          <w:color w:val="000000"/>
        </w:rPr>
        <w:t>pasinaudojama 40 proc. balsų už</w:t>
      </w:r>
      <w:r>
        <w:rPr>
          <w:color w:val="000000"/>
        </w:rPr>
        <w:t xml:space="preserve">, </w:t>
      </w:r>
      <w:r>
        <w:rPr>
          <w:b/>
          <w:color w:val="000000"/>
        </w:rPr>
        <w:t>38 proc. balsų prieš</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Šių pasiūlymų analizėje nustatytos 22 pripažintos idėjos ir 13 prieštaringų idėjų. Šios 22 pripažintos idėjos ir 13 prieštaringų idėjų buvo suskirstytos į 9 kryptis, atitinkančias pagrindines Konferencijos dėl Europos ateities temas. </w:t>
      </w:r>
      <w:r>
        <w:br w:type="page"/>
      </w:r>
    </w:p>
    <w:p>
      <w:pPr>
        <w:pStyle w:val="Normal"/>
        <w:widowControl w:val="false"/>
        <w:spacing w:lineRule="auto" w:line="240" w:before="85" w:after="0"/>
        <w:ind w:left="0" w:right="0" w:hanging="0"/>
        <w:jc w:val="left"/>
        <w:rPr/>
      </w:pPr>
      <w:r>
        <w:rPr/>
        <w:t>Pripažintų ir prieštaringų idėjų sintezė</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Klimato kaita ir aplinka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Tvirtesnės Europos ekologinės politikosįgyvendinimas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Perėjimas prie tvaresnio žemės ūkio</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Aktyvesni veiksmai siekiant apsaugoti biologinę įvairovę</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Geležinkelių transporto plėtra ES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Spartinti energetikos pertvarką</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Pakuočiųribojimas ir atliekų tvarkymo gerinimas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Informuotumo apie aplinką didinimas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Ekologiškai atsakingų statybos procesų skatinimas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Daugiau investuoti į branduolinę energetiką</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Europos demokratija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Geriau informuoti apie ES vaidmenį ir darbą</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Demokratinio Europos Sąjungos veikimokeitimas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Kova su dezinformacija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Padaryti Europą federacija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Valstybėms narėmspaliekama daugiau autonomijos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Stipresnės Europos vykdomosios valdžios kūrimas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Suteikti jaunimui vietą Europos institucijose</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Ekonomika, socialinis teisingumas ir užimtumas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Gamybos perkėlimas į Europą siekiant didesnės autonomijos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Verslo praktikos ir prekybos atsakomybėsdidinimas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Kova su mokesčių slėpimu ir optimizavimu</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Europos darbo užmokesčio suderinimas</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Universalių pajamųnustatymas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Europosperorientavimas į antikapitalistinį modelį</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Švietimas, kultūra, jaunimas ir sportas</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Skaitmeninė transformacija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Sudaryti sąlygas jaunimui aktyviau keistis informacija su kitomis ES šalimis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Skatinti mokytis ne anglų kalbų</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Investicijos į mokslinius, skaitmeninius ir aplinkos mokslinius tyrimus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Didinti informuotumą apie skaitmenines technologijas ir jų keliamą pavojų</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Užtikrinti, kad jaunimui būtų privaloma likti Europos Sąjungoje</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Kriptovaliutų kūrimas Europoje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Vertybės ir teisės, teisinė valstybė, saugumas</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Sveikata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ES veiksmų, kuriais siekiama gerbti žmogaus teises,stiprinimas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Moterų teisių stiprinimas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Investavimas į sveikatą</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Gerinti mūsų maisto produktų kokybę</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ES pasaulyje</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Imigracija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Užtikrinti, kad ES galėtų pasverti tarptautiniu mastu</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Sukurti Europos ginkluotąsias pajėgas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Mažinti imigraciją į Europą arba ją lydėti</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Vyraujanti idėja (&gt; 10 pripažintų pasiūlymų)</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Vienaskaitos idėja (Andlt;10 pripažintų pasiūlymų)</w:t>
      </w:r>
    </w:p>
    <w:p>
      <w:pPr>
        <w:pStyle w:val="Contenudetableau"/>
        <w:spacing w:lineRule="auto" w:line="240"/>
        <w:jc w:val="center"/>
        <w:rPr/>
      </w:pPr>
      <w:r>
        <w:rPr>
          <w:rFonts w:eastAsia="SimSun" w:cs="Mangal" w:ascii="Times New Roman" w:hAnsi="Times New Roman"/>
          <w:color w:val="F58220"/>
          <w:sz w:val="18"/>
        </w:rPr>
        <w:t>Prieštaringa idėja (&gt; 3 prieštaringi pasiūlymai)</w:t>
      </w:r>
      <w:r>
        <w:br w:type="page"/>
      </w:r>
    </w:p>
    <w:p>
      <w:pPr>
        <w:pStyle w:val="Titre2"/>
        <w:numPr>
          <w:ilvl w:val="1"/>
          <w:numId w:val="2"/>
        </w:numPr>
        <w:rPr/>
      </w:pPr>
      <w:bookmarkStart w:id="213" w:name="__RefHeading___Toc300458_1346298689"/>
      <w:bookmarkEnd w:id="213"/>
      <w:r>
        <w:rPr/>
        <w:t xml:space="preserve">Išvada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Žodžiu, jums 2035 m. Europa turės būti...“: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Paveikslėlis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aveikslėlis41" descr=""/>
                    <pic:cNvPicPr>
                      <a:picLocks noChangeAspect="1" noChangeArrowheads="1"/>
                    </pic:cNvPicPr>
                  </pic:nvPicPr>
                  <pic:blipFill>
                    <a:blip r:embed="rId102"/>
                    <a:stretch>
                      <a:fillRect/>
                    </a:stretch>
                  </pic:blipFill>
                  <pic:spPr bwMode="auto">
                    <a:xfrm>
                      <a:off x="0" y="0"/>
                      <a:ext cx="6120130" cy="1558290"/>
                    </a:xfrm>
                    <a:prstGeom prst="rect">
                      <a:avLst/>
                    </a:prstGeom>
                  </pic:spPr>
                </pic:pic>
              </a:graphicData>
            </a:graphic>
          </wp:anchor>
        </w:drawing>
      </w:r>
      <w:r>
        <w:rPr/>
        <w:t>N</w:t>
      </w:r>
      <w:r>
        <w:rPr/>
        <w:t>acionalinės konferencijos piliečių</w:t>
      </w:r>
      <w:r>
        <w:rPr>
          <w:rFonts w:ascii="Times New Roman" w:hAnsi="Times New Roman"/>
          <w:i/>
          <w:color w:val="632423"/>
          <w:sz w:val="24"/>
        </w:rPr>
        <w:t xml:space="preserve">atsakymas į galutinį klausimą: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Trumpai tariant, jums 2035 m. Europa turės būti...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nacionalinės grupės: Vokietija</w:t>
      </w:r>
    </w:p>
    <w:p>
      <w:pPr>
        <w:pStyle w:val="P68B1DB1Normal67"/>
        <w:spacing w:lineRule="auto" w:line="240"/>
        <w:rPr>
          <w:rFonts w:ascii="Calibri" w:hAnsi="Calibri"/>
          <w:b/>
          <w:b/>
          <w:color w:val="000000"/>
          <w:sz w:val="36"/>
        </w:rPr>
      </w:pPr>
      <w:r>
        <w:rPr/>
        <w:t xml:space="preserve">Nacionalinis piliečių forumas dėl Europos ateities Berlyne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Piliečių rekomendacijos – </w:t>
      </w:r>
    </w:p>
    <w:p>
      <w:pPr>
        <w:pStyle w:val="P68B1DB1Normal52"/>
        <w:widowControl w:val="false"/>
        <w:spacing w:lineRule="exact" w:line="317" w:before="288" w:after="0"/>
        <w:ind w:left="276" w:right="113" w:hanging="0"/>
        <w:jc w:val="both"/>
        <w:rPr/>
      </w:pPr>
      <w:r>
        <w:rPr>
          <w:color w:val="000000"/>
        </w:rPr>
        <w:t xml:space="preserve">Sausio 5, 8, 15 ir 16 d. Vokietija surengė Nacionalinį piliečių forumą dėl Europos ateities. Piliečių atrankos procesas vyko po stratifikuotos atsitiktinės Europos piliečių forumų dalyvių atrankos. Dalyvauti buvo pakviesta 12 000 Vokietijos piliečių; atsižvelgiant į dabartinius Vokietijos Federacinės Respublikos surašymo duomenis, buvo atrinkta apie 100 respondentų, siekiant atspindėti Vokietijos visuomenės ir visų gyventojų įvairovę. Nacionalinio piliečių forumo metu dalyviai aptarė penkias temas: ES pasaulyje; stipresnė ekonomika; klimato kaita ir aplinka; socialinis teisingumas; Europos vertybės ir teisinė valstybė. Po to jie parengė konkrečias rekomendacijas kiekvienai iš šių temų, kurios buvo priimtos sausio 16 d. baigiamojoje plenarinėje sesijoje: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1 apskritasis stalas: </w:t>
      </w:r>
    </w:p>
    <w:p>
      <w:pPr>
        <w:pStyle w:val="P68B1DB1Normal68"/>
        <w:widowControl w:val="false"/>
        <w:spacing w:lineRule="exact" w:line="400" w:before="196" w:after="0"/>
        <w:ind w:left="0" w:right="0" w:hanging="0"/>
        <w:jc w:val="left"/>
        <w:rPr>
          <w:rFonts w:ascii="Calibri" w:hAnsi="Calibri"/>
          <w:b/>
          <w:b/>
          <w:color w:val="000000"/>
          <w:sz w:val="24"/>
        </w:rPr>
      </w:pPr>
      <w:r>
        <w:rPr/>
        <w:t xml:space="preserve">Užsienio prekybos interesų susiejimas su klimato politikos priemonėmis </w:t>
      </w:r>
    </w:p>
    <w:p>
      <w:pPr>
        <w:pStyle w:val="P68B1DB1Normal20"/>
        <w:widowControl w:val="false"/>
        <w:spacing w:lineRule="exact" w:line="337" w:before="192" w:after="0"/>
        <w:ind w:left="276" w:right="123" w:hanging="0"/>
        <w:jc w:val="both"/>
        <w:rPr/>
      </w:pPr>
      <w:r>
        <w:rPr/>
        <w:t xml:space="preserve">Rekomenduojame ES (visų pirma Europos Komisijai) pradėti įgyvendinti klimatui nekenkiančių technologijų ir inovacijų investicijų paketą, įskaitant finansavimo programas. Šis priemonių paketas turėtų būti finansuojamas iš su klimatu susijusių importo muitų, kurie būtų konkrečiai paveikti ir perduoti kaip finansinė kompensacija už klimato žalą. Atsižvelgiant į tai, būtų sukurta tam tikrų produktų tvarumo vertinimo taškų sistema. Aiški ES pozicija ir stipri bei novatoriška Europa padėtų siekti pasaulinių klimato tikslų. Tai padėtų sustiprinti Europos Sąjungos, kaip pasaulinio pradininko ir atsakingo modelio, vaidmenį, kuris užtikrina gerovę ir gali paskatinti tvarius pokyčius pasauliniu mastu. Šie tikslai mums yra svarbūs, nes ES tvariai prisideda prie kovos su klimato kaita, kuri ilgainiui galėtų atlikti svarbų vaidmenį stiprinant taiką pasaulyje.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2 apskritasis stalas: </w:t>
      </w:r>
    </w:p>
    <w:p>
      <w:pPr>
        <w:pStyle w:val="P68B1DB1Normal68"/>
        <w:widowControl w:val="false"/>
        <w:spacing w:lineRule="exact" w:line="338" w:before="321" w:after="0"/>
        <w:ind w:left="0" w:right="131" w:hanging="0"/>
        <w:jc w:val="left"/>
        <w:rPr/>
      </w:pPr>
      <w:r>
        <w:rPr/>
        <w:t xml:space="preserve">Sukurti paskatas įgyvendinti gamybą ES, visų pirma susijusią su prekėmis </w:t>
      </w:r>
    </w:p>
    <w:p>
      <w:pPr>
        <w:pStyle w:val="P68B1DB1Normal20"/>
        <w:widowControl w:val="false"/>
        <w:spacing w:lineRule="exact" w:line="337" w:before="208" w:after="0"/>
        <w:ind w:left="276" w:right="121" w:hanging="0"/>
        <w:jc w:val="both"/>
        <w:rPr/>
      </w:pPr>
      <w:r>
        <w:rPr/>
        <w:t xml:space="preserve">Siekiant palengvinti prekių gamybą ES, rekomenduojame paspartinti ir standartizuoti patvirtinimo procedūras, sumažinti biurokratiją ir teikti subsidijas įmonėms, kurios persikelia į ES ir (arba) kuria gamybos vietas ES. ES turėtų masiškai skatinti atsinaujinančiąją energiją, kad būtų sumažintos energijos sąnaudos. </w:t>
      </w:r>
    </w:p>
    <w:p>
      <w:pPr>
        <w:pStyle w:val="P68B1DB1Normal20"/>
        <w:widowControl w:val="false"/>
        <w:spacing w:lineRule="exact" w:line="336" w:before="216" w:after="0"/>
        <w:ind w:left="276" w:right="121" w:hanging="0"/>
        <w:jc w:val="both"/>
        <w:rPr/>
      </w:pPr>
      <w:r>
        <w:rPr/>
        <w:t xml:space="preserve">Šiomis priemonėmis norime sutrumpinti tiekimo grandines ir padaryti jas palankesnes klimatui, padėti stiprinti ES ir kurti darbo vietas, kuriose gerbiamos žmogaus teisės. </w:t>
      </w:r>
    </w:p>
    <w:p>
      <w:pPr>
        <w:pStyle w:val="Normal"/>
        <w:widowControl w:val="false"/>
        <w:spacing w:lineRule="exact" w:line="336" w:before="219" w:after="0"/>
        <w:ind w:left="276" w:right="121" w:hanging="0"/>
        <w:jc w:val="both"/>
        <w:rPr/>
      </w:pPr>
      <w:r>
        <w:rPr>
          <w:rFonts w:ascii="Calibri" w:hAnsi="Calibri"/>
          <w:color w:val="000000"/>
          <w:sz w:val="24"/>
        </w:rPr>
        <w:t xml:space="preserve">Šie tikslai mums svarbūs, nes gamybos perkėlimas į ES padarytų ES autonomiją tarptautiniu mastu ir mažiau politiškai pažeidžiamą.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1 apskritasis stalas: </w:t>
      </w:r>
    </w:p>
    <w:p>
      <w:pPr>
        <w:pStyle w:val="P68B1DB1Normal68"/>
        <w:widowControl w:val="false"/>
        <w:spacing w:lineRule="exact" w:line="400" w:before="196" w:after="0"/>
        <w:ind w:left="0" w:right="0" w:hanging="0"/>
        <w:jc w:val="left"/>
        <w:rPr>
          <w:rFonts w:ascii="Calibri" w:hAnsi="Calibri"/>
          <w:b/>
          <w:b/>
          <w:color w:val="000000"/>
          <w:sz w:val="24"/>
        </w:rPr>
      </w:pPr>
      <w:r>
        <w:rPr/>
        <w:t>„</w:t>
      </w:r>
      <w:r>
        <w:rPr/>
        <w:t xml:space="preserve">Digi-Score“ – stiprios ES skaitmeninės ekonomikos taškų sistema </w:t>
      </w:r>
    </w:p>
    <w:p>
      <w:pPr>
        <w:pStyle w:val="P68B1DB1Normal20"/>
        <w:widowControl w:val="false"/>
        <w:spacing w:lineRule="exact" w:line="337" w:before="192" w:after="0"/>
        <w:ind w:left="276" w:right="119" w:hanging="0"/>
        <w:jc w:val="both"/>
        <w:rPr/>
      </w:pPr>
      <w:r>
        <w:rPr/>
        <w:t xml:space="preserve">Siūlome sukurti viešai prieinamą skaitmeninę duomenų suvestinę, vadinamą „Digi-Score“, kurią tvarko Europos Komisija (Ryšių tinklų, turinio ir technologijų GD). Tai būtų tiksli reitingavimo sistema, pagal kurią būtų nurodomas ir lyginamas dabartinis ES įmonių skaitmeninės brandos lygis. Šiuo pasiūlymu norime skatinti didesnį skaitmeninimą visoje Europoje. Įmonės, kurių skaitmeninis balas yra žemas, turėtų teisę gauti tikslinę paramą, kad padėtų joms pasivyti. </w:t>
      </w:r>
    </w:p>
    <w:p>
      <w:pPr>
        <w:pStyle w:val="P68B1DB1Normal20"/>
        <w:widowControl w:val="false"/>
        <w:spacing w:lineRule="exact" w:line="338" w:before="219" w:after="0"/>
        <w:ind w:left="276" w:right="121" w:hanging="0"/>
        <w:jc w:val="both"/>
        <w:rPr/>
      </w:pPr>
      <w:r>
        <w:rPr/>
        <w:t xml:space="preserve">Šis tikslas mums svarbus, nes jis padėtų sudaryti sąlygas didesniam našumui, efektyvumui ir pardavimui, taip sustiprindamas Europos, kaip gamybos pagrindo, vaidmenį.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2 apskritasis stalas: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Informacijos platforma, skirta keistis žiniomis ir patirtimi ES lygmeniu </w:t>
      </w:r>
    </w:p>
    <w:p>
      <w:pPr>
        <w:pStyle w:val="P68B1DB1Normal20"/>
        <w:widowControl w:val="false"/>
        <w:spacing w:lineRule="exact" w:line="337"/>
        <w:ind w:left="276" w:right="119" w:hanging="0"/>
        <w:jc w:val="both"/>
        <w:rPr/>
      </w:pPr>
      <w:r>
        <w:rPr/>
        <w:t xml:space="preserve">Rekomenduojame, kad ES sukurtų informacinę platformą, skirtą keistis žiniomis ir patirtimi ES lygmeniu. Mūsų tikslas – dalytis informacija apie vykdomą tarptautinę švietimo ir mokymo veiklą ES, pristatyti geriausios praktikos pavyzdžius ir suteikti piliečiams galimybę pateikti naujų idėjų tarpvalstybiniams mainams. Be to, papildoma informacija galėtų būti teikiama prieinamuose techninių ekspertų forumuose (pvz., energetikos, aplinkos ar skaitmeninės pertvarkos klausimais). </w:t>
      </w:r>
    </w:p>
    <w:p>
      <w:pPr>
        <w:pStyle w:val="P68B1DB1Normal20"/>
        <w:widowControl w:val="false"/>
        <w:spacing w:lineRule="exact" w:line="337" w:before="216" w:after="0"/>
        <w:ind w:left="276" w:right="121" w:hanging="0"/>
        <w:jc w:val="both"/>
        <w:rPr/>
      </w:pPr>
      <w:r>
        <w:rPr/>
        <w:t xml:space="preserve">Manome, kad tai svarbu, nes piliečiams reikia skaidrumo, susijusio su prieinama tarpvalstybine švietimo ir mokymo veikla. Jie turėtų gauti geresnes gaires ES lygmeniu esamuose forumuose ir platformose.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1 apskritasis stalas: </w:t>
      </w:r>
    </w:p>
    <w:p>
      <w:pPr>
        <w:pStyle w:val="P68B1DB1Normal68"/>
        <w:widowControl w:val="false"/>
        <w:spacing w:lineRule="exact" w:line="400" w:before="196" w:after="0"/>
        <w:ind w:left="0" w:right="0" w:hanging="0"/>
        <w:jc w:val="left"/>
        <w:rPr>
          <w:rFonts w:ascii="Calibri" w:hAnsi="Calibri"/>
          <w:b/>
          <w:b/>
          <w:color w:val="000000"/>
          <w:sz w:val="24"/>
        </w:rPr>
      </w:pPr>
      <w:r>
        <w:rPr/>
        <w:t xml:space="preserve">Produkto gyvybės garantijų reglamentas </w:t>
      </w:r>
    </w:p>
    <w:p>
      <w:pPr>
        <w:pStyle w:val="P68B1DB1Normal20"/>
        <w:widowControl w:val="false"/>
        <w:spacing w:lineRule="exact" w:line="337" w:before="192" w:after="0"/>
        <w:ind w:left="276" w:right="119" w:hanging="0"/>
        <w:jc w:val="both"/>
        <w:rPr/>
      </w:pPr>
      <w:r>
        <w:rPr/>
        <w:t xml:space="preserve">Rekomenduojame, kad ES priimtų teisės aktus, kuriais būtų nustatytas ilgesnis, garantuotas ir konkretus kiekvieno ES gaminamo ir parduodamo produkto gyvavimo laikotarpis ir kad šis laikotarpis būtų skaidrus vartotojų atžvilgiu. </w:t>
      </w:r>
    </w:p>
    <w:p>
      <w:pPr>
        <w:pStyle w:val="P68B1DB1Normal20"/>
        <w:widowControl w:val="false"/>
        <w:spacing w:lineRule="exact" w:line="336" w:before="219" w:after="0"/>
        <w:ind w:left="276" w:right="126" w:hanging="0"/>
        <w:jc w:val="both"/>
        <w:rPr/>
      </w:pPr>
      <w:r>
        <w:rPr/>
        <w:t xml:space="preserve">Ištekliai riboti, todėl būtų sutaupyta lėšų ir sumažėtų atliekų, o tai būtų naudinga aplinkai, klimatui ir vartotojams. </w:t>
      </w:r>
    </w:p>
    <w:p>
      <w:pPr>
        <w:pStyle w:val="P68B1DB1Normal20"/>
        <w:widowControl w:val="false"/>
        <w:spacing w:lineRule="exact" w:line="338" w:before="216" w:after="0"/>
        <w:ind w:left="276" w:right="131" w:hanging="0"/>
        <w:jc w:val="left"/>
        <w:rPr/>
      </w:pPr>
      <w:r>
        <w:rPr/>
        <w:t xml:space="preserve">Norime paskatinti gamintojus tiekti rinkai patvaresnius ir pataisomus gaminius.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2 apskritasis stalas: </w:t>
      </w:r>
    </w:p>
    <w:p>
      <w:pPr>
        <w:pStyle w:val="P68B1DB1Normal68"/>
        <w:widowControl w:val="false"/>
        <w:spacing w:lineRule="exact" w:line="400" w:before="321" w:after="0"/>
        <w:ind w:left="0" w:right="0" w:hanging="0"/>
        <w:jc w:val="left"/>
        <w:rPr>
          <w:rFonts w:ascii="Calibri" w:hAnsi="Calibri"/>
          <w:b/>
          <w:b/>
          <w:color w:val="000000"/>
          <w:sz w:val="24"/>
        </w:rPr>
      </w:pPr>
      <w:r>
        <w:rPr/>
        <w:t xml:space="preserve">Ilgalaikė ES tvaraus vartojimo ir gyvenimo būdo kampanija </w:t>
      </w:r>
    </w:p>
    <w:p>
      <w:pPr>
        <w:pStyle w:val="P68B1DB1Normal20"/>
        <w:widowControl w:val="false"/>
        <w:spacing w:lineRule="exact" w:line="336"/>
        <w:ind w:left="276" w:right="126" w:hanging="0"/>
        <w:jc w:val="left"/>
        <w:rPr/>
      </w:pPr>
      <w:r>
        <w:rPr/>
        <w:t xml:space="preserve">Rekomenduojame, kad Europos įstaiga, įskaitant filialus ES šalyse, turėtų nuosavų išteklių ir vadovautų šiai kampanijai. </w:t>
      </w:r>
    </w:p>
    <w:p>
      <w:pPr>
        <w:pStyle w:val="P68B1DB1Normal20"/>
        <w:widowControl w:val="false"/>
        <w:spacing w:lineRule="exact" w:line="336" w:before="219" w:after="0"/>
        <w:ind w:left="276" w:right="128" w:hanging="0"/>
        <w:jc w:val="both"/>
        <w:rPr/>
      </w:pPr>
      <w:r>
        <w:rPr/>
        <w:t xml:space="preserve">Mūsų tikslas – užtikrinti, kad visi ES piliečiai pripažintų save bendra tapatybe, geriau suvoktų tvaraus vartojimo ir gyvenimo būdo poreikį ir laikytųsi tokio gyvenimo būdo. </w:t>
      </w:r>
    </w:p>
    <w:p>
      <w:pPr>
        <w:pStyle w:val="P68B1DB1Normal20"/>
        <w:widowControl w:val="false"/>
        <w:spacing w:lineRule="exact" w:line="336" w:before="216" w:after="0"/>
        <w:ind w:left="276" w:right="128" w:hanging="0"/>
        <w:jc w:val="left"/>
        <w:rPr/>
      </w:pPr>
      <w:r>
        <w:rPr/>
        <w:t xml:space="preserve">Šie tikslai mums yra svarbūs, nes norime pažadinti vidinę motyvaciją tvariam gyvenimo būdui.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1 apskritasis stalas: </w:t>
      </w:r>
    </w:p>
    <w:p>
      <w:pPr>
        <w:pStyle w:val="P68B1DB1Normal68"/>
        <w:widowControl w:val="false"/>
        <w:spacing w:lineRule="exact" w:line="400" w:before="88" w:after="0"/>
        <w:ind w:left="0" w:right="0" w:hanging="0"/>
        <w:jc w:val="left"/>
        <w:rPr>
          <w:rFonts w:ascii="Calibri" w:hAnsi="Calibri"/>
          <w:b/>
          <w:b/>
          <w:color w:val="000000"/>
          <w:sz w:val="24"/>
        </w:rPr>
      </w:pPr>
      <w:r>
        <w:rPr/>
        <w:t xml:space="preserve">Sukurti daugiau mainų galimybių studentams Europoje </w:t>
      </w:r>
    </w:p>
    <w:p>
      <w:pPr>
        <w:pStyle w:val="P68B1DB1Normal20"/>
        <w:widowControl w:val="false"/>
        <w:spacing w:lineRule="exact" w:line="293" w:before="162" w:after="0"/>
        <w:ind w:left="276" w:right="123" w:hanging="0"/>
        <w:jc w:val="both"/>
        <w:rPr/>
      </w:pPr>
      <w:r>
        <w:rPr/>
        <w:t xml:space="preserve">Rekomenduojame Europos Sąjungai priimti ne tik programą „Erasmus“, bet ir reglamentą dėl 14–25 metų amžiaus moksleivių ir studentų mainų programos, neatsižvelgiant į jų kilmę, lytį ir išsilavinimo lygį. Šią mainų programą turėtų sistemingai rengti ir skatinti vietos lygmens mokyklos. Kiekvienas studentas turėtų turėti galimybę dalyvauti mainų programoje bet kuriuo jų mokymo metu. Šiuo tikslu Europos Komisija turėtų pateikti pasiūlymą Europos Parlamentui ir Europos Vadovų Tarybai. </w:t>
      </w:r>
    </w:p>
    <w:p>
      <w:pPr>
        <w:pStyle w:val="P68B1DB1Normal20"/>
        <w:widowControl w:val="false"/>
        <w:spacing w:lineRule="exact" w:line="293" w:before="168" w:after="0"/>
        <w:ind w:left="276" w:right="123" w:hanging="0"/>
        <w:jc w:val="both"/>
        <w:rPr/>
      </w:pPr>
      <w:r>
        <w:rPr/>
        <w:t xml:space="preserve">Mūsų tikslas yra suteikti studentams, nepriklausomai nuo jų akademinės veiklos ir finansinės paramos jų tėvams, galimybę dalyvauti mainų programose visoje Europoje. Europos mainų kultūra turėtų būti puoselėjama nuo mokyklinio amžiaus. Visų pirma svarbu, kad mainų programos būtų lengvai prieinamos ir be biurokratijos. Šia mainų programa norime įtvirtinti Europos solidarumą ir sumažinti kalbos barjerus. Šiomis aplinkybėmis reikia atsižvelgti į lygiateisiškumą švietimo srityje ir dalyvavimą švietime, kad būtų stiprinami tarpkultūriniai ir bendravimo įgūdžiai. </w:t>
      </w:r>
    </w:p>
    <w:p>
      <w:pPr>
        <w:pStyle w:val="P68B1DB1Normal20"/>
        <w:widowControl w:val="false"/>
        <w:spacing w:lineRule="exact" w:line="293" w:before="168" w:after="0"/>
        <w:ind w:left="276" w:right="123" w:hanging="0"/>
        <w:jc w:val="both"/>
        <w:rPr/>
      </w:pPr>
      <w:r>
        <w:rPr/>
        <w:t xml:space="preserve">Šie tikslai mums yra svarbūs, nes jie gali padėti skatinti Europos sanglaudą, stiprinti pagarbą ir bendradarbiavimą ir nuo ankstyvo amžiaus skleisti Europos vertybes, kad Europos įvairovę būtų galima vertinti kaip galimybę.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2 apskritasis stalas: </w:t>
      </w:r>
    </w:p>
    <w:p>
      <w:pPr>
        <w:pStyle w:val="P68B1DB1Normal68"/>
        <w:widowControl w:val="false"/>
        <w:spacing w:lineRule="exact" w:line="400" w:before="205" w:after="0"/>
        <w:ind w:left="0" w:right="0" w:hanging="0"/>
        <w:jc w:val="left"/>
        <w:rPr>
          <w:rFonts w:ascii="Calibri" w:hAnsi="Calibri"/>
          <w:b/>
          <w:b/>
          <w:color w:val="000000"/>
          <w:sz w:val="24"/>
        </w:rPr>
      </w:pPr>
      <w:r>
        <w:rPr/>
        <w:t xml:space="preserve">Su užimtumu susijusio bazinio darbo užmokesčio nustatymas </w:t>
      </w:r>
    </w:p>
    <w:p>
      <w:pPr>
        <w:pStyle w:val="P68B1DB1Normal20"/>
        <w:widowControl w:val="false"/>
        <w:spacing w:lineRule="exact" w:line="293"/>
        <w:ind w:left="276" w:right="121" w:hanging="0"/>
        <w:jc w:val="both"/>
        <w:rPr/>
      </w:pPr>
      <w:r>
        <w:rPr/>
        <w:t xml:space="preserve">Rekomenduojame, kad už užimtumą ir socialines teises atsakingas Europos Komisijos narys pateiktų Europos Parlamentui pasiūlymą dėl bazinio darbo užmokesčio nustatymo visose valstybėse narėse. Šį bazinį darbo užmokestį turėtų sudaryti minimalios pajamos, kurių pakaktų pragyvenimui užtikrinti, ir konkretus užimtumo papildymas. </w:t>
      </w:r>
    </w:p>
    <w:p>
      <w:pPr>
        <w:pStyle w:val="P68B1DB1Normal20"/>
        <w:widowControl w:val="false"/>
        <w:spacing w:lineRule="exact" w:line="293" w:before="173" w:after="0"/>
        <w:ind w:left="276" w:right="121" w:hanging="0"/>
        <w:jc w:val="both"/>
        <w:rPr/>
      </w:pPr>
      <w:r>
        <w:rPr/>
        <w:t xml:space="preserve">Mūsų tikslas – užtikrinti, kad profesiniai rezultatai ir darbo užmokestis būtų palyginami visoje ES, kad būtų sustiprintas socialinis teisingumas. Šis tikslas mums svarbus, nes jis užtikrintų, kad darbo rinkoje būtų laikomasi pagrindinio ES principo: panašios gyvenimo ir darbo sąlygos, nepriklausomai nuo asmens gyvenamosios vietos ir profesinės veiklos.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1 apskritasis stalas: </w:t>
      </w:r>
    </w:p>
    <w:p>
      <w:pPr>
        <w:pStyle w:val="P68B1DB1Normal68"/>
        <w:widowControl w:val="false"/>
        <w:spacing w:lineRule="exact" w:line="400" w:before="196" w:after="0"/>
        <w:ind w:left="0" w:right="0" w:hanging="0"/>
        <w:jc w:val="left"/>
        <w:rPr>
          <w:rFonts w:ascii="Calibri" w:hAnsi="Calibri"/>
          <w:b/>
          <w:b/>
          <w:color w:val="000000"/>
          <w:sz w:val="24"/>
        </w:rPr>
      </w:pPr>
      <w:r>
        <w:rPr/>
        <w:t xml:space="preserve">Europos vertybių įkūnijimas ir informavimas apie jas apeliuojant į emocijas </w:t>
      </w:r>
    </w:p>
    <w:p>
      <w:pPr>
        <w:pStyle w:val="P68B1DB1Normal20"/>
        <w:widowControl w:val="false"/>
        <w:spacing w:lineRule="exact" w:line="338" w:before="192" w:after="0"/>
        <w:ind w:left="276" w:right="126" w:hanging="0"/>
        <w:jc w:val="both"/>
        <w:rPr/>
      </w:pPr>
      <w:r>
        <w:rPr/>
        <w:t xml:space="preserve">Rekomenduojame Europos vertybes paversti konkretesnėmis ir bendrauti su daugiau emocijų. Tai būtų galima pasiekti, pavyzdžiui, integraciniu paketu, apimančiu žiniasklaidą, interaktyvius elementus ir aktyvesnį piliečių dalyvavimą. </w:t>
      </w:r>
    </w:p>
    <w:p>
      <w:pPr>
        <w:pStyle w:val="P68B1DB1Normal20"/>
        <w:widowControl w:val="false"/>
        <w:spacing w:lineRule="exact" w:line="336" w:before="216" w:after="0"/>
        <w:ind w:left="276" w:right="126" w:hanging="0"/>
        <w:jc w:val="left"/>
        <w:rPr/>
      </w:pPr>
      <w:r>
        <w:rPr/>
        <w:t xml:space="preserve">Mūsų tikslas – užtikrinti, kad visi ES gyvenantys asmenys žinotų ir priimtų bendras vertybes. </w:t>
      </w:r>
    </w:p>
    <w:p>
      <w:pPr>
        <w:pStyle w:val="P68B1DB1Normal20"/>
        <w:widowControl w:val="false"/>
        <w:spacing w:lineRule="exact" w:line="337" w:before="216" w:after="0"/>
        <w:ind w:left="276" w:right="119" w:hanging="0"/>
        <w:jc w:val="both"/>
        <w:rPr/>
      </w:pPr>
      <w:r>
        <w:rPr/>
        <w:t xml:space="preserve">Šis tikslas mums svarbus, nes jis yra mūsų vertybių sambūvio pagrindas. Šios vertybės yra per mažai žinomos, nes trūksta asmeninio ryšio. Mes turime užmegzti šį ryšį.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2 apskritasis stalas: </w:t>
      </w:r>
    </w:p>
    <w:p>
      <w:pPr>
        <w:pStyle w:val="P68B1DB1Normal68"/>
        <w:widowControl w:val="false"/>
        <w:spacing w:lineRule="exact" w:line="400" w:before="211" w:after="0"/>
        <w:ind w:left="0" w:right="0" w:hanging="0"/>
        <w:jc w:val="left"/>
        <w:rPr>
          <w:rFonts w:ascii="Calibri" w:hAnsi="Calibri"/>
          <w:b/>
          <w:b/>
          <w:color w:val="000000"/>
          <w:sz w:val="24"/>
        </w:rPr>
      </w:pPr>
      <w:r>
        <w:rPr/>
        <w:t xml:space="preserve">Gyvenimas ES </w:t>
      </w:r>
    </w:p>
    <w:p>
      <w:pPr>
        <w:pStyle w:val="P68B1DB1Normal20"/>
        <w:widowControl w:val="false"/>
        <w:spacing w:lineRule="exact" w:line="337" w:before="191" w:after="0"/>
        <w:ind w:left="276" w:right="116" w:hanging="0"/>
        <w:jc w:val="both"/>
        <w:rPr/>
      </w:pPr>
      <w:r>
        <w:rPr/>
        <w:t xml:space="preserve">Mes rekomenduojame, kad ES sukurtų savo švietimo ir informacinės televizijos programą, skirtą didinti visų ES piliečių informuotumą apie mūsų bendras vertybes ir užtikrinti lengvą ir netrukdomą prieigą prie šios informacijos visiems. Šie tikslai mums svarbūs, nes norime geriau suprasti kiekvienos ES šalies viešąją nuomonę. Tokiu būdu norime sustiprinti bendrą pagrindą ir padėti suburti piliečius, kad jie skatintų didesnį solidarumą ir mokytų juos laikytis teisinės valstybės principo, kad būtų išsaugota demokratija.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nacionalinės komisijos: Italija</w:t>
      </w:r>
    </w:p>
    <w:p>
      <w:pPr>
        <w:pStyle w:val="P68B1DB1Normal70"/>
        <w:spacing w:lineRule="auto" w:line="240"/>
        <w:jc w:val="center"/>
        <w:rPr/>
      </w:pPr>
      <w:r>
        <w:rPr/>
        <w:t xml:space="preserve">Piliečių grupė teiks rekomendacijas Konferencijai dėl Europos ateities, 2022 m. kovo 11–12 d. </w:t>
      </w:r>
    </w:p>
    <w:p>
      <w:pPr>
        <w:pStyle w:val="P68B1DB1Normal71"/>
        <w:widowControl w:val="false"/>
        <w:spacing w:lineRule="exact" w:line="916" w:before="147" w:after="0"/>
        <w:ind w:left="2234" w:right="0" w:hanging="0"/>
        <w:jc w:val="left"/>
        <w:rPr>
          <w:rFonts w:ascii="Arial" w:hAnsi="Arial"/>
          <w:color w:val="BD1271"/>
          <w:sz w:val="56"/>
        </w:rPr>
      </w:pPr>
      <w:r>
        <w:rPr/>
        <w:t xml:space="preserve">Suvestinė ataskaita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Roma, 2022 m. kovo 16 d.</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Paveikslėli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aveikslėlis42" descr=""/>
                    <pic:cNvPicPr>
                      <a:picLocks noChangeAspect="1" noChangeArrowheads="1"/>
                    </pic:cNvPicPr>
                  </pic:nvPicPr>
                  <pic:blipFill>
                    <a:blip r:embed="rId103"/>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p>
    <w:sdt>
      <w:sdtPr>
        <w:docPartObj>
          <w:docPartGallery w:val="Table of Contents"/>
          <w:docPartUnique w:val="true"/>
        </w:docPartObj>
      </w:sdtPr>
      <w:sdtContent>
        <w:p>
          <w:pPr>
            <w:pStyle w:val="TOAHeading"/>
            <w:rPr/>
          </w:pPr>
          <w:r>
            <w:rPr/>
            <w:t>Turinio</w:t>
          </w:r>
          <w:r>
            <w:br w:type="page"/>
          </w:r>
        </w:p>
        <w:p>
          <w:pPr>
            <w:pStyle w:val="Normal"/>
            <w:rPr/>
          </w:pPr>
          <w:r>
            <w:rPr/>
            <w:t>lentelė</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Pagrindiniai grupės organizavimo principai </w:t>
      </w:r>
    </w:p>
    <w:p>
      <w:pPr>
        <w:pStyle w:val="P68B1DB1Normal34"/>
        <w:widowControl w:val="false"/>
        <w:spacing w:lineRule="auto" w:line="240"/>
        <w:ind w:left="0" w:right="0" w:hanging="0"/>
        <w:jc w:val="left"/>
        <w:rPr/>
      </w:pPr>
      <w:r>
        <w:rPr/>
        <w:t xml:space="preserve"> </w:t>
      </w:r>
      <w:r>
        <w:rPr/>
        <w:t xml:space="preserve">Visas ekspertų grupės įgyvendinimo procesas buvo parengtas taip, kad atitiktų gaires, išdėstytas gairėse, skirtose nacionalinėms piliečių grupėms Konferencijos dėl Europos ateities kontekste. Konkrečiau: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Tikslas:</w:t>
      </w:r>
      <w:r>
        <w:rPr>
          <w:b/>
          <w:color w:val="000000"/>
        </w:rPr>
        <w:t xml:space="preserve"> </w:t>
      </w:r>
    </w:p>
    <w:p>
      <w:pPr>
        <w:pStyle w:val="P68B1DB1Normal34"/>
        <w:widowControl w:val="false"/>
        <w:spacing w:lineRule="auto" w:line="240"/>
        <w:ind w:left="720" w:right="0" w:hanging="0"/>
        <w:jc w:val="left"/>
        <w:rPr/>
      </w:pPr>
      <w:r>
        <w:rPr/>
        <w:t xml:space="preserve">Visi pakviesti dalyvauti ekspertų grupės nariai užpildė dalyvavimo klausimyną, kuriame išdėstyti projekto tikslai ir tikslai, pateikiant konkrečias nuorodas į Konferenciją dėl Europos ateities, aptariamas temas ir dalyvavimo sąlygas.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Skaidrumas: </w:t>
      </w:r>
    </w:p>
    <w:p>
      <w:pPr>
        <w:pStyle w:val="P68B1DB1Normal34"/>
        <w:widowControl w:val="false"/>
        <w:spacing w:lineRule="auto" w:line="240"/>
        <w:ind w:left="720" w:right="0" w:hanging="0"/>
        <w:jc w:val="left"/>
        <w:rPr/>
      </w:pPr>
      <w:r>
        <w:rPr/>
        <w:t xml:space="preserve">Visi iniciatyvos pristatymo dokumentai dalyviams buvo pateikti įvairiomis priemonėmis, visada nurodant oficialią konferencijos svetainę. Dokumentai buvo išsiųsti elektroniniu paštu visiems dalyviams.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Įtraukumas: </w:t>
      </w:r>
    </w:p>
    <w:p>
      <w:pPr>
        <w:pStyle w:val="P68B1DB1Normal75"/>
        <w:widowControl w:val="false"/>
        <w:spacing w:lineRule="auto" w:line="240"/>
        <w:ind w:left="708" w:right="0" w:hanging="0"/>
        <w:jc w:val="left"/>
        <w:rPr/>
      </w:pPr>
      <w:r>
        <w:rPr>
          <w:color w:val="000000"/>
        </w:rPr>
        <w:t xml:space="preserve">Kvietimas dalyvauti buvo išsiųstas įvairiais kanalais: pavyzdžiui, el. paštu SWG </w:t>
      </w:r>
      <w:r>
        <w:rPr>
          <w:color w:val="ED7D31"/>
        </w:rPr>
        <w:t>bendruomenės</w:t>
      </w:r>
      <w:r>
        <w:rPr>
          <w:color w:val="000000"/>
        </w:rPr>
        <w:t xml:space="preserve"> nariams ir pasidalinkite nuoroda į paraiškos formą per „Twitter“ ir „LinkedIn“. Dėl to iš viso buvo suteikta daugiau kaip 400 prieigos prie paraiškos formos ir 245 paraiškos. (Atsitiktinai) dalyvių atranka buvo vykdoma taip, kad būtų užtikrintas skirtingų lyčių, amžiaus, socialinės kilmės, gyvenamosios vietos ir profesinio statuso žmonių buvimas.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Reprezentatyvumas: </w:t>
      </w:r>
    </w:p>
    <w:p>
      <w:pPr>
        <w:pStyle w:val="P68B1DB1Normal34"/>
        <w:widowControl w:val="false"/>
        <w:spacing w:lineRule="auto" w:line="240"/>
        <w:ind w:left="708" w:right="0" w:hanging="0"/>
        <w:jc w:val="left"/>
        <w:rPr/>
      </w:pPr>
      <w:r>
        <w:rPr/>
        <w:t xml:space="preserve">Nors imties dydis statistine prasme nėra reprezentatyvus, imtis buvo sukurta taip, kad būtų pasiektas maksimalus dalyvių heterogeniškumas, kad būtų galima atkurti tikslinės auditorijos mikrokosmą.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Informacija: </w:t>
      </w:r>
    </w:p>
    <w:p>
      <w:pPr>
        <w:pStyle w:val="Normal"/>
        <w:widowControl w:val="false"/>
        <w:spacing w:lineRule="auto" w:line="240"/>
        <w:ind w:left="720" w:right="0" w:hanging="0"/>
        <w:jc w:val="left"/>
        <w:rPr/>
      </w:pPr>
      <w:r>
        <w:rPr>
          <w:color w:val="000000"/>
        </w:rPr>
        <w:t xml:space="preserve">Visi dalyviai gavo įvairios informacijos apie konferenciją ir grupės metu aptartas temas. Projekto tikslai ir sąlygos buvo primintos dalyviams įžanginėje dalyje, laikantis neutralumo ir išsamumo principų. Visiems dalyviams buvo suteikta galimybė prašyti daugiau informacijos ir informacijos apie renginį per tiesioginius SWG projektų vadovų telefono </w:t>
      </w:r>
      <w:r>
        <w:rPr>
          <w:color w:val="ED7D31"/>
        </w:rPr>
        <w:t>numerius</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Svarstymų grupės: </w:t>
      </w:r>
    </w:p>
    <w:p>
      <w:pPr>
        <w:pStyle w:val="P68B1DB1Normal76"/>
        <w:widowControl w:val="false"/>
        <w:spacing w:lineRule="auto" w:line="240"/>
        <w:ind w:left="720" w:right="0" w:hanging="0"/>
        <w:jc w:val="left"/>
        <w:rPr/>
      </w:pPr>
      <w:r>
        <w:rPr/>
        <w:t xml:space="preserve">Pagrindinis viso proceso tikslas buvo parengti konkrečias rekomendacijas, kurioms plačiai pritarė dalyviai ir kurios būtų skirtos Europos Sąjungai. Darbo organizavimo ir grupių vadovavimo būdas lėmė procesą, kurio metu daugiausia dėmesio buvo skiriama dalyvių indikacijų rinkimui, jų gydymui ir sintezei, taip pat jų tikrinimui ir patvirtinimui, kuriuos kitos darbo sesijos metu atliko pačios grupės.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Kalendorius: </w:t>
      </w:r>
    </w:p>
    <w:p>
      <w:pPr>
        <w:pStyle w:val="P68B1DB1Normal76"/>
        <w:widowControl w:val="false"/>
        <w:spacing w:lineRule="auto" w:line="240"/>
        <w:ind w:left="720" w:right="0" w:hanging="0"/>
        <w:jc w:val="left"/>
        <w:rPr/>
      </w:pPr>
      <w:r>
        <w:rPr/>
        <w:t xml:space="preserve">Darbo sesijų metu buvo sukurta atpalaiduojanti atmosfera, suteikiant dalyviams visą laiką, reikalingą gilinti temas, kuriomis jie buvo pakviesti apmąstyti, išreikšti savo nuomonę ir išklausyti kitų. Dėl tos pačios priežasties buvo nuspręsta padalinti dvi pagrindines grupes į du pogrupius. Be to, darbas buvo paskirstytas per dvi dienas, kad būtų galima pagrįsti suformuluotas idėjas.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Tolesni veiksmai:</w:t>
      </w:r>
      <w:r>
        <w:rPr>
          <w:color w:val="000000"/>
        </w:rPr>
        <w:t xml:space="preserve"> </w:t>
      </w:r>
    </w:p>
    <w:p>
      <w:pPr>
        <w:pStyle w:val="P68B1DB1Normal76"/>
        <w:widowControl w:val="false"/>
        <w:spacing w:lineRule="auto" w:line="240"/>
        <w:ind w:left="720" w:right="0" w:hanging="0"/>
        <w:jc w:val="left"/>
        <w:rPr/>
      </w:pPr>
      <w:r>
        <w:rPr/>
        <w:t xml:space="preserve">Paskutinę dieną visos grupės patikrino ir patvirtino pirmajame darbo etape pateiktus pirmuosius rekomendacijų projektus. Kai ataskaita apie rezultatus buvo pateikta Ministrų Tarybai pirmininkaujančios Europos teminiam skyriui ir jai buvo suteiktas įgaliojimas, galutinė rekomendacijų redakcija buvo persiųsta visiems grupės dalyviams. Bet kuriuo atveju dalyvių buvo paprašyta toliau stebėti konferencijos veiklą interneto svetainėje ir skelbiant naujausią informaciją.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Vientisumas: </w:t>
      </w:r>
    </w:p>
    <w:p>
      <w:pPr>
        <w:pStyle w:val="Normal"/>
        <w:widowControl w:val="false"/>
        <w:spacing w:lineRule="auto" w:line="240"/>
        <w:ind w:left="720" w:right="0" w:hanging="0"/>
        <w:jc w:val="left"/>
        <w:rPr/>
      </w:pPr>
      <w:r>
        <w:rPr>
          <w:color w:val="000000"/>
        </w:rPr>
        <w:t>Visą darbo procesą nepriklausomai vykdė TDD</w:t>
      </w:r>
      <w:r>
        <w:rPr>
          <w:color w:val="ED7D31"/>
        </w:rPr>
        <w:t>,</w:t>
      </w:r>
      <w:r>
        <w:rPr>
          <w:color w:val="000000"/>
        </w:rPr>
        <w:t xml:space="preserve"> priklausomai nuo gautos misijos. Ministrų Tarybai pirmininkaujančios valstybės narės Europos teminis skyrius buvo nuolat informuojamas apie įvairius iniciatyvos etapus ir rezultatus.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Privatumo apsauga: </w:t>
      </w:r>
    </w:p>
    <w:p>
      <w:pPr>
        <w:pStyle w:val="P68B1DB1Normal76"/>
        <w:widowControl w:val="false"/>
        <w:spacing w:lineRule="auto" w:line="240"/>
        <w:ind w:left="721" w:right="0" w:hanging="0"/>
        <w:jc w:val="left"/>
        <w:rPr/>
      </w:pPr>
      <w:r>
        <w:rPr/>
        <w:t xml:space="preserve">Dalyvių privatumas buvo visiškai garantuotas. Kad galėtų dalyvauti komisijoje, visi kandidatai turėjo pasirašyti pagal įstatymą reikalaujamą informuoto asmens sutikimo formą.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Įvertinimas: </w:t>
      </w:r>
    </w:p>
    <w:p>
      <w:pPr>
        <w:pStyle w:val="P68B1DB1Normal76"/>
        <w:widowControl w:val="false"/>
        <w:spacing w:lineRule="auto" w:line="240"/>
        <w:ind w:left="721" w:right="0" w:hanging="0"/>
        <w:jc w:val="left"/>
        <w:rPr>
          <w:rFonts w:ascii="Arial" w:hAnsi="Arial"/>
          <w:color w:val="000000"/>
          <w:sz w:val="22"/>
        </w:rPr>
      </w:pPr>
      <w:r>
        <w:rPr/>
        <w:t xml:space="preserve">Proceso pabaigoje visiems dalyviams buvo išsiųstas klausimynas jų patirčiai įvertinti. Rezultatai apibendrinami šioje ataskaitoje. </w:t>
      </w:r>
    </w:p>
    <w:p>
      <w:pPr>
        <w:pStyle w:val="P68B1DB1Titre277"/>
        <w:numPr>
          <w:ilvl w:val="0"/>
          <w:numId w:val="2"/>
        </w:numPr>
        <w:rPr>
          <w:color w:val="BD1271"/>
        </w:rPr>
      </w:pPr>
      <w:bookmarkStart w:id="217" w:name="__RefHeading___Toc300310_1346298689"/>
      <w:bookmarkEnd w:id="217"/>
      <w:r>
        <w:rPr/>
        <w:t xml:space="preserve">2. Dalyvių atranka ir dalyvavimo būdas </w:t>
      </w:r>
    </w:p>
    <w:p>
      <w:pPr>
        <w:pStyle w:val="P68B1DB1Normal74"/>
        <w:widowControl w:val="false"/>
        <w:spacing w:lineRule="auto" w:line="240" w:before="208" w:after="0"/>
        <w:ind w:left="0" w:right="0" w:hanging="0"/>
        <w:jc w:val="left"/>
        <w:rPr>
          <w:rFonts w:ascii="Arial" w:hAnsi="Arial"/>
          <w:color w:val="2E74B5"/>
          <w:sz w:val="22"/>
        </w:rPr>
      </w:pPr>
      <w:r>
        <w:rPr/>
        <w:t xml:space="preserve">Pasirinkimas </w:t>
      </w:r>
    </w:p>
    <w:p>
      <w:pPr>
        <w:pStyle w:val="P68B1DB1Normal76"/>
        <w:widowControl w:val="false"/>
        <w:spacing w:lineRule="auto" w:line="240" w:before="90" w:after="0"/>
        <w:ind w:left="0" w:right="6" w:hanging="0"/>
        <w:jc w:val="left"/>
        <w:rPr/>
      </w:pPr>
      <w:r>
        <w:rPr/>
        <w:t xml:space="preserve">Komunikacijos prieš renginį etapo tikslas buvo atrinkti ne mažiau kaip 50 Italijos piliečių, norinčių dalyvauti iniciatyvoje. </w:t>
      </w:r>
    </w:p>
    <w:p>
      <w:pPr>
        <w:pStyle w:val="Normal"/>
        <w:widowControl w:val="false"/>
        <w:spacing w:lineRule="auto" w:line="240" w:before="90" w:after="0"/>
        <w:ind w:left="0" w:right="4" w:hanging="0"/>
        <w:jc w:val="both"/>
        <w:rPr/>
      </w:pPr>
      <w:r>
        <w:rPr>
          <w:color w:val="000000"/>
        </w:rPr>
        <w:t xml:space="preserve">Šiuo tikslu sukurta trumpa savarankiško prašymo forma – klausimynas, kuris turi būti užpildytas internetu SWG </w:t>
      </w:r>
      <w:r>
        <w:rPr>
          <w:color w:val="ED7D31"/>
        </w:rPr>
        <w:t>platformoje</w:t>
      </w:r>
      <w:r>
        <w:rPr>
          <w:color w:val="000000"/>
        </w:rPr>
        <w:t xml:space="preserve">, per kurį galėjo kreiptis visi suinteresuoti dalyvauti iniciatyvoje dalyviai, nurodant duomenis, kuriuos reikia įrašyti į grupes, iš kurių dalyviai buvo atrinkti atsitiktine tvarka. Būtinos dalyvavimo sąlygos buvo šios: turėti interneto ryšį, įrenginį su mikrofonu ir vaizdo kamera, taip pat pasirašyti konferencijos chartiją.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Paveikslėlis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aveikslėlis44" descr=""/>
                    <pic:cNvPicPr>
                      <a:picLocks noChangeAspect="1" noChangeArrowheads="1"/>
                    </pic:cNvPicPr>
                  </pic:nvPicPr>
                  <pic:blipFill>
                    <a:blip r:embed="rId104"/>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Paveikslėlis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aveikslėlis43" descr=""/>
                    <pic:cNvPicPr>
                      <a:picLocks noChangeAspect="1" noChangeArrowheads="1"/>
                    </pic:cNvPicPr>
                  </pic:nvPicPr>
                  <pic:blipFill>
                    <a:blip r:embed="rId105"/>
                    <a:stretch>
                      <a:fillRect/>
                    </a:stretch>
                  </pic:blipFill>
                  <pic:spPr bwMode="auto">
                    <a:xfrm>
                      <a:off x="0" y="0"/>
                      <a:ext cx="287020" cy="287020"/>
                    </a:xfrm>
                    <a:prstGeom prst="rect">
                      <a:avLst/>
                    </a:prstGeom>
                  </pic:spPr>
                </pic:pic>
              </a:graphicData>
            </a:graphic>
          </wp:anchor>
        </w:drawing>
      </w:r>
      <w:r>
        <w:rPr>
          <w:color w:val="000000"/>
        </w:rPr>
        <w:t>P</w:t>
      </w:r>
      <w:r>
        <w:rPr>
          <w:color w:val="000000"/>
        </w:rPr>
        <w:t>araiškos forma buvo išplatinta socialiniuose tinkluose</w:t>
      </w:r>
      <w:r>
        <w:rPr>
          <w:color w:val="ED7D31"/>
        </w:rPr>
        <w:t>iš</w:t>
      </w:r>
      <w:r>
        <w:rPr>
          <w:color w:val="000000"/>
        </w:rPr>
        <w:t xml:space="preserve">SWG sąskaitų. Šiuo tikslu socialiniame tinkle „Twitter“ buvo paskelbti šeši pranešimai, o vienas – „LinkedIn“, kurių rezultatai buvo tokie: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Socialinis tinklas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Datos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Peržiūrų skaičius</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Galimybė susipažinti su prašymo forma</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w:t>
            </w: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pareigybės kovo 8–10 d.</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pranešimas kovo 8 d.</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Tuo pačiu metu TDG bendruomenės </w:t>
      </w:r>
      <w:r>
        <w:rPr>
          <w:color w:val="ED7D31"/>
        </w:rPr>
        <w:t>nariai</w:t>
      </w:r>
      <w:r>
        <w:rPr>
          <w:color w:val="000000"/>
        </w:rPr>
        <w:t xml:space="preserve"> buvo pakviesti teikti paraiškas pagal kvietimo strategiją, kuria siekiama užtikrinti maksimalų Italijos gyventojų reprezentatyvumą ne tik socialinių ypatybių, bet ir idėjų, kultūrinių orientacijų ir vertybių požiūriu. </w:t>
      </w:r>
    </w:p>
    <w:p>
      <w:pPr>
        <w:pStyle w:val="P68B1DB1Normal76"/>
        <w:widowControl w:val="false"/>
        <w:spacing w:lineRule="exact" w:line="253" w:before="71" w:after="0"/>
        <w:ind w:left="1" w:right="0" w:hanging="0"/>
        <w:jc w:val="both"/>
        <w:rPr/>
      </w:pPr>
      <w:r>
        <w:rPr/>
        <w:t xml:space="preserve">Paraiškas galima teikti nuo 2022 m. kovo 8 d. 8.00 val. iki kovo 10 d. 16.00 val. Iš viso per šį procesą buvo gauta 420 prieigos prie paraiškos formų ir 225 pilnos paraiškos. </w:t>
      </w:r>
    </w:p>
    <w:p>
      <w:pPr>
        <w:pStyle w:val="P68B1DB1Normal76"/>
        <w:widowControl w:val="false"/>
        <w:spacing w:lineRule="exact" w:line="253" w:before="67" w:after="0"/>
        <w:ind w:left="1" w:right="2" w:hanging="0"/>
        <w:jc w:val="both"/>
        <w:rPr/>
      </w:pPr>
      <w:r>
        <w:rPr/>
        <w:t xml:space="preserve">Iš viso reikalavimus atitiko </w:t>
      </w:r>
      <w:r>
        <w:rPr>
          <w:b/>
        </w:rPr>
        <w:t>140</w:t>
      </w:r>
      <w:r>
        <w:rPr/>
        <w:t xml:space="preserve"> asmenų, iš kurių 70 buvo atrinkti remiantis lyčių, geografinio pasiskirstymo, amžiaus ir išsilavinimo pusiausvyros užtikrinimo kriterijumi. </w:t>
      </w:r>
    </w:p>
    <w:p>
      <w:pPr>
        <w:pStyle w:val="P68B1DB1Normal76"/>
        <w:widowControl w:val="false"/>
        <w:spacing w:lineRule="exact" w:line="253" w:before="73" w:after="0"/>
        <w:ind w:left="1" w:right="1" w:hanging="0"/>
        <w:jc w:val="both"/>
        <w:rPr/>
      </w:pPr>
      <w:r>
        <w:rPr/>
        <w:t xml:space="preserve">Vykdant atrankos procedūrą ypatingas dėmesys buvo skiriamas teisingos tikimybės principui atrenkant dalyvius, kartu su procedūromis, pagrįstomis atsitiktinės atrankos kriterijumi. </w:t>
      </w:r>
    </w:p>
    <w:p>
      <w:pPr>
        <w:pStyle w:val="P68B1DB1Normal76"/>
        <w:widowControl w:val="false"/>
        <w:spacing w:lineRule="exact" w:line="253" w:before="71" w:after="0"/>
        <w:ind w:left="1" w:right="0" w:hanging="0"/>
        <w:jc w:val="both"/>
        <w:rPr/>
      </w:pPr>
      <w:r>
        <w:rPr/>
        <w:t xml:space="preserve">Atsitiktinis atrankos pobūdis buvo pagrindinis projekto elementas siekiant užtikrinti prieigos proceso sąžiningumą. Tačiau, atsižvelgiant į iniciatyvos dvasią, atrodė svarbu parengti strategiją, kuria būtų siekiama ne tik įtraukti kuo daugiau žmonių, bet ir užtikrinti kuo didesnį pasirinktų žmonių nevienalytiškumą, kad būtų skatinama kuo didesnė įtrauktis.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Apibendrinant, reikalavimus atitinkančių asmenų pasiskirstymas buvo toks:</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4 forma"/>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6"/>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Reikalavimus atitinkančių kandidatų pasiskirstymas</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lytis</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amžiaus grupė</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metų</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metai</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metų amžiaus</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Išsilavinimo lygis</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Žemas</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rytų</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Koledžas, profesinis mokymas</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Vidutinis</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Vidurinė mokykla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Iškėlė</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Bakalauro laipsnis, magistro laipsnis ar daugiau</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vakarai</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Gyvenamoji vieta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centras</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Pietų ir salos</w:t>
                              </w:r>
                            </w:p>
                          </w:txbxContent>
                        </wps:txbx>
                        <wps:bodyPr lIns="90000" rIns="90000" tIns="45000" bIns="45000">
                          <a:noAutofit/>
                        </wps:bodyPr>
                      </wps:wsp>
                    </wpg:wgp>
                  </a:graphicData>
                </a:graphic>
              </wp:anchor>
            </w:drawing>
          </mc:Choice>
          <mc:Fallback>
            <w:pict>
              <v:group id="shape_0" alt="4 forma" style="position:absolute;margin-left:0pt;margin-top:10.45pt;width:477.1pt;height:297.25pt" coordorigin="0,209" coordsize="9542,5945">
                <v:shape id="shape_0" stroked="f" style="position:absolute;left:0;top:976;width:9526;height:5177" type="shapetype_75">
                  <v:imagedata r:id="rId106"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Reikalavimus atitinkančių kandidatų pasiskirstymas</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lytis</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amžiaus grupė</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metų</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metai</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metų amžiaus</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Išsilavinimo lygis</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Žemas</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rytų</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Koledžas, profesinis mokymas</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Vidutinis</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Vidurinė mokykla</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Iškėlė</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Bakalauro laipsnis, magistro laipsnis ar daugiau</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vakarai</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Gyvenamoji vieta</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centras</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Pietų ir salos</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t>Atrinkus</w:t>
      </w:r>
      <w:r>
        <w:rPr>
          <w:color w:val="000000"/>
        </w:rPr>
        <w:t xml:space="preserve">70 kandidatų, renginio rytą jie gavo telefono skambutį, kad patvirtintų savo dalyvavimą. Šiuos skambučius atliko SWG </w:t>
      </w:r>
      <w:r>
        <w:rPr>
          <w:color w:val="ED7D31"/>
        </w:rPr>
        <w:t>kontaktų</w:t>
      </w:r>
      <w:r>
        <w:rPr/>
        <w:t>centras</w:t>
      </w:r>
      <w:r>
        <w:rPr>
          <w:color w:val="000000"/>
        </w:rPr>
        <w:t xml:space="preserve"> CATI (Computer Assisted Telephone Survey) metodu. Pasibaigus šiam etapui, iš viso 59 asmenys patvirtino savo dalyvavimą ir buvo užregistruoti. </w:t>
      </w:r>
      <w:r>
        <w:rPr>
          <w:b/>
          <w:color w:val="BD1271"/>
        </w:rPr>
        <w:t>Iš jų 55 aktyviai dalyvavo grupėje.</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Grupės narių socialinis ir amžiaus grupės pasiskirstymas buvo toks: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5 forma"/>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7"/>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Aktyvių dalyvių pasiskirstymas</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lytis</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amžiaus grupė</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metų</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metai</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metų amžiaus</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Išsilavinimo lygis</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Žemas</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rytų</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Koledžas, profesinis mokymas</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Vidutinis</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Vidurinė mokykla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Iškėlė</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Bakalauro laipsnis, magistro laipsnis ar daugiau</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vakarai</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Gyvenamoji vieta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centras</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Pietų ir salos</w:t>
                              </w:r>
                            </w:p>
                          </w:txbxContent>
                        </wps:txbx>
                        <wps:bodyPr lIns="90000" rIns="90000" tIns="45000" bIns="45000">
                          <a:noAutofit/>
                        </wps:bodyPr>
                      </wps:wsp>
                    </wpg:wgp>
                  </a:graphicData>
                </a:graphic>
              </wp:anchor>
            </w:drawing>
          </mc:Choice>
          <mc:Fallback>
            <w:pict>
              <v:group id="shape_0" alt="5 forma" style="position:absolute;margin-left:0.05pt;margin-top:3.25pt;width:484.8pt;height:285.3pt" coordorigin="1,65" coordsize="9696,5706">
                <v:shape id="shape_0" stroked="f" style="position:absolute;left:1;top:787;width:9545;height:4982" type="shapetype_75">
                  <v:imagedata r:id="rId107"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Aktyvių dalyvių pasiskirstymas</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lytis</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amžiaus grupė</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metų</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metai</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metų amžiaus</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Išsilavinimo lygis</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Žemas</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rytų</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Koledžas, profesinis mokymas</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Vidutinis</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Vidurinė mokykla</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Iškėlė</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Bakalauro laipsnis, magistro laipsnis ar daugiau</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Šiaurės vakarai</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Gyvenamoji vieta</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centras</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Pietų ir salos</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Štai atrankos proceso etapų rezultatai: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6 forma"/>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8"/>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Paraiškų teikimo procesas</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Galimybė susipažinti su prašymo forma</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Pilnos paraiškos</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Reikalavimus atitinkantys kandidatai</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Priimtas į kolegiją</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Aktyvūs dalyviai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8–10 d.</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10 d.</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8–10 d.</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10 d.</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11 d.</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11–12 d.</w:t>
                              </w:r>
                            </w:p>
                          </w:txbxContent>
                        </wps:txbx>
                        <wps:bodyPr lIns="90000" rIns="90000" tIns="45000" bIns="45000">
                          <a:noAutofit/>
                        </wps:bodyPr>
                      </wps:wsp>
                    </wpg:wgp>
                  </a:graphicData>
                </a:graphic>
              </wp:anchor>
            </w:drawing>
          </mc:Choice>
          <mc:Fallback>
            <w:pict>
              <v:group id="shape_0" alt="6 forma" style="position:absolute;margin-left:0.8pt;margin-top:11.4pt;width:476.1pt;height:286.6pt" coordorigin="16,228" coordsize="9522,5732">
                <v:shape id="shape_0" stroked="f" style="position:absolute;left:2410;top:949;width:4571;height:5010" type="shapetype_75">
                  <v:imagedata r:id="rId108"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Paraiškų teikimo procesas</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Galimybė susipažinti su prašymo forma</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Pilnos paraiškos</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Reikalavimus atitinkantys kandidatai</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Priimtas į kolegiją</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Aktyvūs dalyviai</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8–10 d.</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10 d.</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8–10 d.</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10 d.</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11 d.</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m. kovo 11–12 d.</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Ryšių įranga </w:t>
      </w:r>
    </w:p>
    <w:p>
      <w:pPr>
        <w:pStyle w:val="P68B1DB1Normal76"/>
        <w:widowControl w:val="false"/>
        <w:spacing w:lineRule="exact" w:line="379" w:before="200" w:after="0"/>
        <w:ind w:left="0" w:right="2" w:hanging="0"/>
        <w:jc w:val="left"/>
        <w:rPr/>
      </w:pPr>
      <w:r>
        <w:rPr/>
        <w:t xml:space="preserve">Siekiant nuo pat pradžių užtikrinti aukštą motyvacijos ir dalyvavimo lygį, visiems dalyviams buvo pateikti šie dokumentai: </w:t>
      </w:r>
    </w:p>
    <w:p>
      <w:pPr>
        <w:pStyle w:val="P68B1DB1Normal76"/>
        <w:widowControl w:val="false"/>
        <w:spacing w:lineRule="exact" w:line="252" w:before="192" w:after="0"/>
        <w:ind w:left="720" w:right="0" w:hanging="0"/>
        <w:jc w:val="left"/>
        <w:rPr/>
      </w:pPr>
      <w:r>
        <w:rPr/>
        <w:t xml:space="preserve">• </w:t>
      </w:r>
      <w:r>
        <w:rPr/>
        <w:t xml:space="preserve">Konferencijos </w:t>
      </w:r>
      <w:r>
        <w:rPr>
          <w:b/>
        </w:rPr>
        <w:t xml:space="preserve">dėl Europos ateities ir nacionalinių forumų pristatymus; </w:t>
      </w:r>
    </w:p>
    <w:p>
      <w:pPr>
        <w:pStyle w:val="P68B1DB1Normal76"/>
        <w:widowControl w:val="false"/>
        <w:spacing w:lineRule="exact" w:line="379"/>
        <w:ind w:left="720" w:right="0" w:hanging="0"/>
        <w:jc w:val="left"/>
        <w:rPr/>
      </w:pPr>
      <w:r>
        <w:rPr/>
        <w:t xml:space="preserve">• </w:t>
      </w:r>
      <w:r>
        <w:rPr>
          <w:b/>
        </w:rPr>
        <w:t xml:space="preserve">Konferencijos dėl Europos ateities chartija; </w:t>
      </w:r>
    </w:p>
    <w:p>
      <w:pPr>
        <w:pStyle w:val="P68B1DB1Normal76"/>
        <w:widowControl w:val="false"/>
        <w:spacing w:lineRule="exact" w:line="379"/>
        <w:ind w:left="720" w:right="0" w:hanging="0"/>
        <w:jc w:val="left"/>
        <w:rPr/>
      </w:pPr>
      <w:r>
        <w:rPr/>
        <w:t xml:space="preserve">• </w:t>
      </w:r>
      <w:r>
        <w:rPr/>
        <w:t>temos</w:t>
      </w:r>
      <w:r>
        <w:rPr>
          <w:b/>
        </w:rPr>
        <w:t xml:space="preserve">, kurios bus svarstomos grupėse; </w:t>
      </w:r>
    </w:p>
    <w:p>
      <w:pPr>
        <w:pStyle w:val="P68B1DB1Normal76"/>
        <w:widowControl w:val="false"/>
        <w:spacing w:lineRule="exact" w:line="379"/>
        <w:ind w:left="721" w:right="0" w:hanging="0"/>
        <w:jc w:val="left"/>
        <w:rPr/>
      </w:pPr>
      <w:r>
        <w:rPr/>
        <w:t xml:space="preserve">• </w:t>
      </w:r>
      <w:r>
        <w:rPr>
          <w:b/>
        </w:rPr>
        <w:t xml:space="preserve">dalyvavimui reikalinga techninė ir organizacinė informacija. </w:t>
      </w:r>
    </w:p>
    <w:p>
      <w:pPr>
        <w:pStyle w:val="P68B1DB1Titre277"/>
        <w:numPr>
          <w:ilvl w:val="0"/>
          <w:numId w:val="2"/>
        </w:numPr>
        <w:rPr>
          <w:color w:val="BD1271"/>
        </w:rPr>
      </w:pPr>
      <w:bookmarkStart w:id="218" w:name="__RefHeading___Toc300312_1346298689"/>
      <w:bookmarkEnd w:id="218"/>
      <w:r>
        <w:rPr/>
        <w:t xml:space="preserve">3. Grupės organizavimas </w:t>
      </w:r>
    </w:p>
    <w:p>
      <w:pPr>
        <w:pStyle w:val="P68B1DB1Normal76"/>
        <w:widowControl w:val="false"/>
        <w:spacing w:lineRule="exact" w:line="272" w:before="231" w:after="0"/>
        <w:ind w:left="0" w:right="0" w:hanging="0"/>
        <w:jc w:val="both"/>
        <w:rPr/>
      </w:pPr>
      <w:r>
        <w:rPr/>
        <w:t xml:space="preserve">Siekiant sudaryti sąlygas dalyvauti kuo daugiau asmenų, įskaitant profesinius įsipareigojimus turinčius asmenis, grupė buvo organizuojama per du pusdienius iš eilės, įskaitant vieną savaitgaliais, pagal šį tvarkaraštį: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Kovo 11 d., penktadienis, 4–18 val.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Kovo 12 d., šeštadienis, nuo 10 iki 12 val. </w:t>
      </w:r>
    </w:p>
    <w:p>
      <w:pPr>
        <w:pStyle w:val="Normal"/>
        <w:widowControl w:val="false"/>
        <w:spacing w:lineRule="exact" w:line="286" w:before="83" w:after="0"/>
        <w:ind w:left="0" w:right="1" w:hanging="0"/>
        <w:jc w:val="both"/>
        <w:rPr/>
      </w:pPr>
      <w:r>
        <w:rPr>
          <w:color w:val="000000"/>
        </w:rPr>
        <w:t xml:space="preserve">Šiuo pasirinkimu buvo siekiama, viena vertus, palengvinti darbuotojų dalyvavimą iniciatyvoje ir, kita vertus, paskirstyti dalyvavimo laiką, kad būtų skatinamas didesnis dėmesys ir dalyvavimas, taip pat tolesni svarstymai apie pateiktas temas ir pasiūlymus. Grupės dalyviai, prisijungę prie dviejų darbo sesijų naudodamiesi platforma „GoToMeeting“, buvo suskirstyti į keturias grupes (po dvi kiekvienai teminei sričiai), kurioms vadovavo </w:t>
      </w:r>
      <w:r>
        <w:rPr>
          <w:color w:val="ED7D31"/>
        </w:rPr>
        <w:t>darbo grupės</w:t>
      </w:r>
      <w:r>
        <w:rPr>
          <w:color w:val="000000"/>
        </w:rPr>
        <w:t xml:space="preserve"> moderatorius ir asmens, atsakingo už proceso rašymą, padėjėjai. Moderatoriai sudarė palankesnes sąlygas grupėms dviem skirtingais diskusijų būdais (po vieną kiekvienai teminei sričiai), siekdami kuo labiau įtraukti visus atrinktus žmones ir užtikrinti kuo didesnę įtrauktį ir neutralumą grindžiamą požiūrį. </w:t>
      </w:r>
    </w:p>
    <w:p>
      <w:pPr>
        <w:pStyle w:val="Titre2"/>
        <w:numPr>
          <w:ilvl w:val="1"/>
          <w:numId w:val="2"/>
        </w:numPr>
        <w:rPr/>
      </w:pPr>
      <w:bookmarkStart w:id="219" w:name="__RefHeading___Toc300314_1346298689"/>
      <w:bookmarkEnd w:id="219"/>
      <w:r>
        <w:rPr>
          <w:color w:val="BD1271"/>
        </w:rPr>
        <w:t>4. Darbo programa</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Pirmoji sesija (2022 m. kovo 11 d., penktadienis) </w:t>
      </w:r>
    </w:p>
    <w:p>
      <w:pPr>
        <w:pStyle w:val="P68B1DB1Normal76"/>
        <w:widowControl w:val="false"/>
        <w:spacing w:lineRule="exact" w:line="362" w:before="208" w:after="0"/>
        <w:ind w:left="360" w:right="0" w:hanging="0"/>
        <w:jc w:val="left"/>
        <w:rPr/>
      </w:pPr>
      <w:r>
        <w:rPr/>
        <w:t xml:space="preserve">• </w:t>
      </w:r>
      <w:r>
        <w:rPr/>
        <w:t xml:space="preserve">00 val. – virtualios patalpos atidarymas ir galimybė dalyviams prisijungti prie platformos, kad būtų galima patikrinti, ar tinkamai veikia jų garso ir vaizdo sistemos. </w:t>
      </w:r>
    </w:p>
    <w:p>
      <w:pPr>
        <w:pStyle w:val="P68B1DB1Normal76"/>
        <w:widowControl w:val="false"/>
        <w:spacing w:lineRule="exact" w:line="362"/>
        <w:ind w:left="360" w:right="0" w:hanging="0"/>
        <w:jc w:val="left"/>
        <w:rPr/>
      </w:pPr>
      <w:r>
        <w:rPr/>
        <w:t xml:space="preserve">• </w:t>
      </w:r>
      <w:r>
        <w:rPr/>
        <w:t xml:space="preserve">16:00 – moderatoriaus įvadas: iniciatyvos priežasčių paaiškinimas ir darbo struktūros aprašymas.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val. – Dalyvių pasiskirstymas grupėmis pagal paraiškų teikimo etape nurodytus pageidavimus.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Grupės diskusijos pradžia.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val. – sesijos pabaiga. </w:t>
      </w:r>
    </w:p>
    <w:p>
      <w:pPr>
        <w:pStyle w:val="P68B1DB1Normal80"/>
        <w:widowControl w:val="false"/>
        <w:spacing w:lineRule="exact" w:line="393" w:before="248" w:after="0"/>
        <w:ind w:left="0" w:right="0" w:hanging="0"/>
        <w:jc w:val="left"/>
        <w:rPr>
          <w:rFonts w:ascii="Arial" w:hAnsi="Arial"/>
          <w:color w:val="116E9A"/>
          <w:sz w:val="24"/>
        </w:rPr>
      </w:pPr>
      <w:r>
        <w:rPr/>
        <w:t xml:space="preserve">Antroji sesija (šeštadienis 12 kovo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val. – Darbo atnaujinimas perskaičius pirmosios dienos darbo rezultatus. </w:t>
      </w:r>
    </w:p>
    <w:p>
      <w:pPr>
        <w:pStyle w:val="P68B1DB1Normal76"/>
        <w:widowControl w:val="false"/>
        <w:spacing w:lineRule="exact" w:line="254"/>
        <w:ind w:left="360" w:right="140" w:hanging="0"/>
        <w:jc w:val="left"/>
        <w:rPr/>
      </w:pPr>
      <w:r>
        <w:rPr/>
        <w:t xml:space="preserve">• </w:t>
      </w:r>
      <w:r>
        <w:rPr/>
        <w:t xml:space="preserve">10.15 val. – Nuolatinė diskusija, išsamios diskusijos ir dalyvių pastabos. </w:t>
      </w:r>
    </w:p>
    <w:p>
      <w:pPr>
        <w:pStyle w:val="Normal"/>
        <w:widowControl w:val="false"/>
        <w:spacing w:lineRule="exact" w:line="362"/>
        <w:ind w:left="360" w:right="0" w:hanging="0"/>
        <w:jc w:val="left"/>
        <w:rPr/>
      </w:pPr>
      <w:r>
        <w:rPr>
          <w:color w:val="000000"/>
        </w:rPr>
        <w:t xml:space="preserve">• </w:t>
      </w:r>
      <w:r>
        <w:rPr>
          <w:color w:val="000000"/>
        </w:rPr>
        <w:t>12.00 – Darbo pabaiga</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Paveikslėlis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aveikslėlis45" descr=""/>
                    <pic:cNvPicPr>
                      <a:picLocks noChangeAspect="1" noChangeArrowheads="1"/>
                    </pic:cNvPicPr>
                  </pic:nvPicPr>
                  <pic:blipFill>
                    <a:blip r:embed="rId109"/>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Pateiktos rekomendacijos </w:t>
      </w:r>
    </w:p>
    <w:p>
      <w:pPr>
        <w:pStyle w:val="Titre3"/>
        <w:numPr>
          <w:ilvl w:val="2"/>
          <w:numId w:val="2"/>
        </w:numPr>
        <w:rPr/>
      </w:pPr>
      <w:bookmarkStart w:id="221" w:name="__RefHeading___Toc300318_1346298689"/>
      <w:bookmarkEnd w:id="221"/>
      <w:r>
        <w:rPr>
          <w:color w:val="FFFFFF"/>
          <w:shd w:fill="0066B3" w:val="clear"/>
        </w:rPr>
        <w:t>Stipresnė ekonomika, socialinis teisingumas ir užimtumas</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Įveikti praėjusio šimtmečio gamybos modelį </w:t>
      </w:r>
    </w:p>
    <w:p>
      <w:pPr>
        <w:pStyle w:val="P68B1DB1Normal76"/>
        <w:widowControl w:val="false"/>
        <w:spacing w:lineRule="auto" w:line="240" w:before="80" w:after="0"/>
        <w:ind w:left="0" w:right="1" w:hanging="0"/>
        <w:jc w:val="both"/>
        <w:rPr/>
      </w:pPr>
      <w:r>
        <w:rPr/>
        <w:t xml:space="preserve">Grupės dalyviai manė, kad naujausi pasauliniai įvykiai (COVID-19 pandemija ir Rusijos ir Ukrainos konfliktas) tariamai parodė dabartinio Europos gamybos modelio trūkumus ir pabrėžė, kad reikia persvarstyti požiūrį, kurį daugelis apibūdina kaip priklausantį praėjusiam šimtmečiui.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Įrodymai, kad Europa yra priklausoma nuo energijos ir maisto importo iš Europos Sąjungai nepriklausančių šalių, taip pat atradimas (pandemijos metu), kad mes vieni negalime pagaminti medicinos prietaisų ir vakcinų, reikalingų kovai su viruso plitimu, sudarė įspūdį, kad mūsų ekonomikos sistema kenčia nuo struktūrinio silpnumo dėl nepakankamo apsirūpinimo.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Tuo pat metu dalyviai aiškiai mano, kad stipresnė ekonomika, galinti kurti darbo vietas socialinio teisingumo kontekste, turi sugebėti įgyti svarbių technologinių išteklių. Norint tai padaryti, labai svarbu remti švietimo sistemą, kurioje vis daugiau dėmesio būtų skiriama su gamtos mokslų, technologijų, inžinerijos ir matematikos (MTIM) susijusiems dalykams.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Technologinės inovacijos, tvari energetika, taip pat turizmas ir kultūra</w:t>
      </w:r>
      <w:r>
        <w:rPr/>
        <w:t xml:space="preserve"> yra trys pagrindinės ateities Europos ekonomikos plėtros kryptys, ypatingą dėmesį skiriant bazinės gamybos išlaikymui, kad būtų išvengta pernelyg didelės priklausomybės nuo trečiųjų šalių nuo pagrindinių produktų ir žaliavų tiekimo rizikos.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REKOMENDACIJOS TRUMPAI </w:t>
      </w:r>
    </w:p>
    <w:p>
      <w:pPr>
        <w:pStyle w:val="P68B1DB1Normal84"/>
        <w:widowControl w:val="false"/>
        <w:spacing w:lineRule="auto" w:line="240" w:before="69" w:after="0"/>
        <w:ind w:left="283" w:right="0" w:hanging="0"/>
        <w:jc w:val="left"/>
        <w:rPr/>
      </w:pPr>
      <w:r>
        <w:rPr>
          <w:color w:val="BD1271"/>
        </w:rPr>
        <w:t xml:space="preserve">1. </w:t>
      </w:r>
      <w:r>
        <w:rPr>
          <w:color w:val="000000"/>
        </w:rPr>
        <w:t>Imtis veiksmingų kovos su klimato kaita ir alternatyvia energija veiksmų.</w:t>
      </w:r>
    </w:p>
    <w:p>
      <w:pPr>
        <w:pStyle w:val="P68B1DB1Normal84"/>
        <w:widowControl w:val="false"/>
        <w:spacing w:lineRule="auto" w:line="240"/>
        <w:ind w:left="283" w:right="0" w:hanging="0"/>
        <w:jc w:val="left"/>
        <w:rPr/>
      </w:pPr>
      <w:r>
        <w:rPr>
          <w:color w:val="BD1271"/>
        </w:rPr>
        <w:t xml:space="preserve">2. </w:t>
      </w:r>
      <w:r>
        <w:rPr>
          <w:color w:val="000000"/>
        </w:rPr>
        <w:t>Investuokite į turizmą ir kultūros ekonomiką, taip pat vertindami daugybę mažų Europos vietovių.</w:t>
      </w:r>
    </w:p>
    <w:p>
      <w:pPr>
        <w:pStyle w:val="P68B1DB1Normal84"/>
        <w:widowControl w:val="false"/>
        <w:spacing w:lineRule="auto" w:line="240"/>
        <w:ind w:left="283" w:right="0" w:hanging="0"/>
        <w:jc w:val="left"/>
        <w:rPr/>
      </w:pPr>
      <w:r>
        <w:rPr>
          <w:color w:val="BD1271"/>
        </w:rPr>
        <w:t xml:space="preserve">3. </w:t>
      </w:r>
      <w:r>
        <w:rPr>
          <w:color w:val="000000"/>
        </w:rPr>
        <w:t>Sutelkti dėmesį į technologijas ir inovacijas kaip augimo varomąsias jėgas.</w:t>
      </w:r>
    </w:p>
    <w:p>
      <w:pPr>
        <w:pStyle w:val="P68B1DB1Normal84"/>
        <w:widowControl w:val="false"/>
        <w:spacing w:lineRule="auto" w:line="240"/>
        <w:ind w:left="283" w:right="0" w:hanging="0"/>
        <w:jc w:val="left"/>
        <w:rPr/>
      </w:pPr>
      <w:r>
        <w:rPr>
          <w:color w:val="BD1271"/>
        </w:rPr>
        <w:t xml:space="preserve">4. </w:t>
      </w:r>
      <w:r>
        <w:rPr>
          <w:color w:val="000000"/>
        </w:rPr>
        <w:t>Mažinti priklausomybę nuo kitų šalių žaliavų, energijos šaltinių ir žemės ūkio.</w:t>
      </w:r>
    </w:p>
    <w:p>
      <w:pPr>
        <w:pStyle w:val="P68B1DB1Normal84"/>
        <w:widowControl w:val="false"/>
        <w:spacing w:lineRule="auto" w:line="240"/>
        <w:ind w:left="283" w:right="0" w:hanging="0"/>
        <w:jc w:val="left"/>
        <w:rPr/>
      </w:pPr>
      <w:r>
        <w:rPr>
          <w:color w:val="BD1271"/>
        </w:rPr>
        <w:t xml:space="preserve">5. </w:t>
      </w:r>
      <w:r>
        <w:rPr>
          <w:color w:val="000000"/>
        </w:rPr>
        <w:t>Skatinti jaunimą studijuoti mokslo dalykus.</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Generacinės ir įtraukios gamybos taisyklės </w:t>
      </w:r>
    </w:p>
    <w:p>
      <w:pPr>
        <w:pStyle w:val="P68B1DB1Normal76"/>
        <w:widowControl w:val="false"/>
        <w:spacing w:lineRule="auto" w:line="240" w:before="91" w:after="0"/>
        <w:ind w:left="0" w:right="2" w:hanging="0"/>
        <w:jc w:val="both"/>
        <w:rPr/>
      </w:pPr>
      <w:r>
        <w:rPr/>
        <w:t xml:space="preserve">Siekiant įveikti praėjusio amžiaus ekonominę logiką, taip pat būtina peržiūrėti verslo veiklą reglamentuojančias taisykles ir procedūras. Šiuo požiūriu yra keturios rekomendacijos, kurios visos atitinka bendrą logiką: viena vertus, taisyklių supaprastinimas ir, kita vertus, aukšto lygio budrumas nuo pažeidimų (visų pirma susijusių su klastojimu ir nesąžininga konkurencija). </w:t>
      </w:r>
    </w:p>
    <w:p>
      <w:pPr>
        <w:pStyle w:val="P68B1DB1Normal76"/>
        <w:widowControl w:val="false"/>
        <w:spacing w:lineRule="auto" w:line="240" w:before="15" w:after="0"/>
        <w:ind w:left="0" w:right="2" w:hanging="0"/>
        <w:jc w:val="both"/>
        <w:rPr/>
      </w:pPr>
      <w:r>
        <w:rPr/>
        <w:t xml:space="preserve">Daug dėmesio skiriama ekonominių taisyklių, kurios visų pirma yra generacinės, poreikiui, kuo labiau sumažinant pasirinkimą, kurį taikant reikia standartizuoti gamybos procesus (kelia grėsmę tam tikrai vietos produkcijai su giliomis kultūrinėmis šaknimis), taip pat žemės ūkio prekių sunaikinimą dėl būtinybės išlaikyti iš anksto nustatytus gamybos kiekius.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REKOMENDACIJOS TRUMPAI </w:t>
      </w:r>
    </w:p>
    <w:p>
      <w:pPr>
        <w:pStyle w:val="P68B1DB1Normal84"/>
        <w:widowControl w:val="false"/>
        <w:spacing w:lineRule="auto" w:line="240" w:before="72" w:after="0"/>
        <w:ind w:left="142" w:right="0" w:hanging="0"/>
        <w:jc w:val="left"/>
        <w:rPr/>
      </w:pPr>
      <w:r>
        <w:rPr>
          <w:color w:val="BD1271"/>
        </w:rPr>
        <w:t xml:space="preserve">1. </w:t>
      </w:r>
      <w:r>
        <w:rPr>
          <w:color w:val="000000"/>
        </w:rPr>
        <w:t>Sumažinti biurokratiją (leidimai, sertifikatai).</w:t>
      </w:r>
    </w:p>
    <w:p>
      <w:pPr>
        <w:pStyle w:val="P68B1DB1Normal84"/>
        <w:widowControl w:val="false"/>
        <w:spacing w:lineRule="auto" w:line="240"/>
        <w:ind w:left="142" w:right="0" w:hanging="0"/>
        <w:jc w:val="left"/>
        <w:rPr/>
      </w:pPr>
      <w:r>
        <w:rPr>
          <w:color w:val="BD1271"/>
        </w:rPr>
        <w:t xml:space="preserve">2. </w:t>
      </w:r>
      <w:r>
        <w:rPr>
          <w:color w:val="000000"/>
        </w:rPr>
        <w:t>Sumažinti produktų standartizavimą ir pripažinti vietos ir regionų ypatumus, susijusius su kultūra ir gamyba (pagarba gamybos tradicijoms).</w:t>
      </w:r>
    </w:p>
    <w:p>
      <w:pPr>
        <w:pStyle w:val="P68B1DB1Normal84"/>
        <w:widowControl w:val="false"/>
        <w:spacing w:lineRule="auto" w:line="240"/>
        <w:ind w:left="142" w:right="417" w:hanging="0"/>
        <w:jc w:val="left"/>
        <w:rPr/>
      </w:pPr>
      <w:r>
        <w:rPr>
          <w:color w:val="BD1271"/>
        </w:rPr>
        <w:t xml:space="preserve">3. </w:t>
      </w:r>
      <w:r>
        <w:rPr>
          <w:color w:val="000000"/>
        </w:rPr>
        <w:t>Viršyti kvotų žemės ūkio gamyboje logiką ir dėl to sunaikinti perteklinę gamybą.</w:t>
      </w:r>
    </w:p>
    <w:p>
      <w:pPr>
        <w:pStyle w:val="P68B1DB1Normal84"/>
        <w:widowControl w:val="false"/>
        <w:spacing w:lineRule="auto" w:line="240"/>
        <w:ind w:left="142" w:right="0" w:hanging="0"/>
        <w:jc w:val="left"/>
        <w:rPr/>
      </w:pPr>
      <w:r>
        <w:rPr>
          <w:color w:val="BD1271"/>
        </w:rPr>
        <w:t xml:space="preserve">4. </w:t>
      </w:r>
      <w:r>
        <w:rPr>
          <w:color w:val="000000"/>
        </w:rPr>
        <w:t>Kovoti su klastojimu ir nesąžininga konkurencija.</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Augimo matavimas pagal gyventojų laimę, o ne produktų kiekį </w:t>
      </w:r>
    </w:p>
    <w:p>
      <w:pPr>
        <w:pStyle w:val="P68B1DB1Normal76"/>
        <w:widowControl w:val="false"/>
        <w:spacing w:lineRule="auto" w:line="240" w:before="88" w:after="0"/>
        <w:ind w:left="0" w:right="0" w:hanging="0"/>
        <w:jc w:val="both"/>
        <w:rPr/>
      </w:pPr>
      <w:r>
        <w:rPr/>
        <w:t xml:space="preserve">Peržengus praėjusio šimtmečio gamybos modelio ribas, reikia ne tik keisti gamybos metodus, bet ir kurti naują kultūrą, kurioje augimo rodikliai būtų orientuoti ne tik į pagamintų prekių kiekį, bet ir į gebėjimą užtikrinti piliečiams laimės tikslą. Šioje naujoje ekonomikoje prekės negali būti dėmesio centre poveikio ir investicijų požiūriu, tačiau ši vieta turi grįžti žmonėms. Tai apima perėjimą nuo rodiklių sistemos, pagrįstos pagamintų prekių kiekiu (BVP), prie sistemos, galinčios įvertinti žmonių gerovę (BIB – bruto vidaus laimė).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REKOMENDACIJA TRUMPAI </w:t>
      </w:r>
    </w:p>
    <w:p>
      <w:pPr>
        <w:pStyle w:val="P68B1DB1Normal84"/>
        <w:widowControl w:val="false"/>
        <w:spacing w:lineRule="auto" w:line="240" w:before="69" w:after="0"/>
        <w:ind w:left="142" w:right="0" w:hanging="0"/>
        <w:jc w:val="left"/>
        <w:rPr/>
      </w:pPr>
      <w:r>
        <w:rPr>
          <w:color w:val="BD1271"/>
        </w:rPr>
        <w:t xml:space="preserve">1. </w:t>
      </w:r>
      <w:r>
        <w:rPr>
          <w:color w:val="000000"/>
        </w:rPr>
        <w:t>Sukurti ekonomiką, labiau orientuotą į laimės (bendrosios vidaus laimės) gamybą, o ne į prekes (bendras vidaus produktas).</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Didesnė valstybių integracija </w:t>
      </w:r>
    </w:p>
    <w:p>
      <w:pPr>
        <w:pStyle w:val="P68B1DB1Normal76"/>
        <w:widowControl w:val="false"/>
        <w:spacing w:lineRule="auto" w:line="240" w:before="49" w:after="0"/>
        <w:ind w:left="0" w:right="0" w:hanging="0"/>
        <w:jc w:val="both"/>
        <w:rPr/>
      </w:pPr>
      <w:r>
        <w:rPr/>
        <w:t xml:space="preserve">Visiems, net ir tiems, kurie yra mažiau patenkinti dabartine organizacija ir iki šiol Europos Sąjungos pasiektais rezultatais, aišku, kad pinigų sąjungos nepakanka ir kad Europa turi sugebėti vystytis vis stipriau kaip darnus politinis vienetas, galintis derėtis vienu balsu išorėje ir veikti su didesniu solidarumu viduje. Stipresnė sąjunga yra esminis Europos Sąjungos politinės, prekybos ir produktyvumo stiprinimo aspektas: pagrindinių teisės aktų vienodumas, taip pat integruota ir nuosekli įmonių ir piliečių apmokestinimo sistema, kurioje suderinti darbo užmokestis ir paslaugos piliečiams. Tik tokiu būdu turėsime Europą, kuri gali sumažinti socialinius skirtumus ir skatinti gyvenimo kokybę. </w:t>
      </w:r>
    </w:p>
    <w:p>
      <w:pPr>
        <w:pStyle w:val="P68B1DB1Normal76"/>
        <w:widowControl w:val="false"/>
        <w:spacing w:lineRule="auto" w:line="240" w:before="1" w:after="0"/>
        <w:ind w:left="0" w:right="2" w:hanging="0"/>
        <w:jc w:val="both"/>
        <w:rPr/>
      </w:pPr>
      <w:r>
        <w:rPr/>
        <w:t xml:space="preserve">Tai reiškia, kad nebus grįžtama prie pastarųjų metų pasiekimų ir išsaugoma gerovės valstybės koncepcija, kurią grupės dalyviai pripažino labiausiai pažengusiais pasaulyje ir labiausiai susirūpinę dėl lygių galimybių ir socialinio teisingumo užtikrinimo savo piliečiams. </w:t>
      </w:r>
    </w:p>
    <w:p>
      <w:pPr>
        <w:pStyle w:val="P68B1DB1Normal83"/>
        <w:widowControl w:val="false"/>
        <w:spacing w:lineRule="auto" w:line="240" w:before="72" w:after="0"/>
        <w:ind w:left="3000" w:right="0" w:hanging="0"/>
        <w:jc w:val="left"/>
        <w:rPr>
          <w:rFonts w:ascii="Arial" w:hAnsi="Arial"/>
          <w:b/>
          <w:b/>
          <w:color w:val="2E74B5"/>
          <w:sz w:val="24"/>
        </w:rPr>
      </w:pPr>
      <w:r>
        <w:rPr/>
        <w:t xml:space="preserve">REKOMENDACIJOS TRUMPAI </w:t>
      </w:r>
    </w:p>
    <w:p>
      <w:pPr>
        <w:pStyle w:val="P68B1DB1Normal84"/>
        <w:widowControl w:val="false"/>
        <w:spacing w:lineRule="auto" w:line="240" w:before="69" w:after="0"/>
        <w:ind w:left="283" w:right="0" w:hanging="0"/>
        <w:jc w:val="left"/>
        <w:rPr/>
      </w:pPr>
      <w:r>
        <w:rPr>
          <w:color w:val="BD1271"/>
        </w:rPr>
        <w:t xml:space="preserve">1. </w:t>
      </w:r>
      <w:r>
        <w:rPr>
          <w:color w:val="000000"/>
        </w:rPr>
        <w:t>Nekompromituokite socialinių teisių (visuomenės sveikatos, viešojo švietimo, darbo politikos).</w:t>
      </w:r>
    </w:p>
    <w:p>
      <w:pPr>
        <w:pStyle w:val="P68B1DB1Normal84"/>
        <w:widowControl w:val="false"/>
        <w:spacing w:lineRule="auto" w:line="240"/>
        <w:ind w:left="283" w:right="0" w:hanging="0"/>
        <w:jc w:val="left"/>
        <w:rPr/>
      </w:pPr>
      <w:r>
        <w:rPr>
          <w:color w:val="BD1271"/>
        </w:rPr>
        <w:t xml:space="preserve">2. </w:t>
      </w:r>
      <w:r>
        <w:rPr>
          <w:color w:val="000000"/>
        </w:rPr>
        <w:t>Konsoliduoti tai, kas buvo padaryta bendros valiutos ir mokėjimo sistemų bei telekomunikacijų sujungimo srityje.</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Tačiau šiandien visko, kas buvo padaryta praeityje, nebepakanka, o ateities Europa turi žengti lemiamą žingsnį integracijos tarp valstybių narių srityje, laikydamasi vidaus vizijos, grindžiamos ne konkurencija, o bendradarbiavimu, užtikrinant, kad kiekvienas Europos pilietis galėtų naudotis vienodomis garantijų ir galimybių sistemomis visose Sąjungos valstybėse narėse.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REKOMENDACIJOS TRUMPAI </w:t>
      </w:r>
    </w:p>
    <w:p>
      <w:pPr>
        <w:pStyle w:val="P68B1DB1Normal84"/>
        <w:widowControl w:val="false"/>
        <w:spacing w:lineRule="auto" w:line="240" w:before="72" w:after="0"/>
        <w:ind w:left="283" w:right="0" w:hanging="0"/>
        <w:jc w:val="left"/>
        <w:rPr/>
      </w:pPr>
      <w:r>
        <w:rPr>
          <w:color w:val="BD1271"/>
        </w:rPr>
        <w:t xml:space="preserve">1. </w:t>
      </w:r>
      <w:r>
        <w:rPr>
          <w:color w:val="000000"/>
        </w:rPr>
        <w:t>Peržengkite valstybių savanaudiškumą ir polinkį siekti individualios naudos kitų sąskaita.</w:t>
      </w:r>
    </w:p>
    <w:p>
      <w:pPr>
        <w:pStyle w:val="P68B1DB1Normal84"/>
        <w:widowControl w:val="false"/>
        <w:spacing w:lineRule="auto" w:line="240"/>
        <w:ind w:left="283" w:right="0" w:hanging="0"/>
        <w:jc w:val="left"/>
        <w:rPr/>
      </w:pPr>
      <w:r>
        <w:rPr>
          <w:color w:val="BD1271"/>
        </w:rPr>
        <w:t xml:space="preserve">2. </w:t>
      </w:r>
      <w:r>
        <w:rPr>
          <w:color w:val="000000"/>
        </w:rPr>
        <w:t>Sukurti sistemą su tais pačiais įstatymais, mokesčių sistemomis, teisėmis ir pareigomis visose šalyse.</w:t>
      </w:r>
    </w:p>
    <w:p>
      <w:pPr>
        <w:pStyle w:val="P68B1DB1Normal84"/>
        <w:widowControl w:val="false"/>
        <w:spacing w:lineRule="auto" w:line="240"/>
        <w:ind w:left="283" w:right="0" w:hanging="0"/>
        <w:jc w:val="left"/>
        <w:rPr/>
      </w:pPr>
      <w:r>
        <w:rPr>
          <w:color w:val="BD1271"/>
        </w:rPr>
        <w:t xml:space="preserve">3. </w:t>
      </w:r>
      <w:r>
        <w:rPr>
          <w:color w:val="000000"/>
        </w:rPr>
        <w:t>Suderinti skirtingų valstybių mokesčių režimai, visų pirma susiję su įmonėmis (ne laisvos zonos arba maži mokesčiai).</w:t>
      </w:r>
    </w:p>
    <w:p>
      <w:pPr>
        <w:pStyle w:val="P68B1DB1Normal84"/>
        <w:widowControl w:val="false"/>
        <w:spacing w:lineRule="auto" w:line="240"/>
        <w:ind w:left="283" w:right="416" w:hanging="0"/>
        <w:jc w:val="left"/>
        <w:rPr/>
      </w:pPr>
      <w:r>
        <w:rPr>
          <w:color w:val="BD1271"/>
        </w:rPr>
        <w:t xml:space="preserve">4. </w:t>
      </w:r>
      <w:r>
        <w:rPr>
          <w:color w:val="000000"/>
        </w:rPr>
        <w:t>Nuoseklios produktų kainos ir vienodos perkamosios galios užtikrinimas skirtingose valstybėse.</w:t>
      </w:r>
    </w:p>
    <w:p>
      <w:pPr>
        <w:pStyle w:val="P68B1DB1Normal84"/>
        <w:widowControl w:val="false"/>
        <w:spacing w:lineRule="auto" w:line="240"/>
        <w:ind w:left="283" w:right="416" w:hanging="0"/>
        <w:jc w:val="left"/>
        <w:rPr/>
      </w:pPr>
      <w:r>
        <w:rPr>
          <w:color w:val="BD1271"/>
        </w:rPr>
        <w:t xml:space="preserve">5. </w:t>
      </w:r>
      <w:r>
        <w:rPr>
          <w:color w:val="000000"/>
        </w:rPr>
        <w:t>Sumažinti darbo užmokesčio skirtumus tarp skirtingų valstybių ir geografinių regionų toje pačioje šalyje.</w:t>
      </w:r>
    </w:p>
    <w:p>
      <w:pPr>
        <w:pStyle w:val="P68B1DB1Normal84"/>
        <w:widowControl w:val="false"/>
        <w:spacing w:lineRule="auto" w:line="240"/>
        <w:ind w:left="283" w:right="416" w:hanging="0"/>
        <w:jc w:val="left"/>
        <w:rPr/>
      </w:pPr>
      <w:r>
        <w:rPr>
          <w:color w:val="BD1271"/>
        </w:rPr>
        <w:t xml:space="preserve">6. </w:t>
      </w:r>
      <w:r>
        <w:rPr>
          <w:color w:val="000000"/>
        </w:rPr>
        <w:t>Kelių valstybių narių skola tampa bendra atsakomybe.</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Įtraukties politika </w:t>
      </w:r>
    </w:p>
    <w:p>
      <w:pPr>
        <w:pStyle w:val="P68B1DB1Normal76"/>
        <w:widowControl w:val="false"/>
        <w:spacing w:lineRule="auto" w:line="240" w:before="88" w:after="0"/>
        <w:ind w:left="0" w:right="0" w:hanging="0"/>
        <w:jc w:val="both"/>
        <w:rPr/>
      </w:pPr>
      <w:r>
        <w:rPr/>
        <w:t xml:space="preserve">Teisinga Europa, galinti pasiūlyti savo piliečiams laimę, yra įtrauki Europa, kuri visada daug dėmesio skiria kovai su nelygybe. Rekomendacijose nustatytas būdas siekti ilgalaikių tikslų (pvz., lyčių lygybės) ir nustatyti nauji reikalavimai, susiję su šiuolaikinės visuomenės kultūrinėmis transformacijomis (skaitmeninė nelygybė ir teisė gyventi sveikoje aplinkoje).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REKOMENDACIJOS TRUMPAI </w:t>
      </w:r>
    </w:p>
    <w:p>
      <w:pPr>
        <w:pStyle w:val="P68B1DB1Normal84"/>
        <w:widowControl w:val="false"/>
        <w:spacing w:lineRule="auto" w:line="240" w:before="69" w:after="0"/>
        <w:ind w:left="283" w:right="0" w:hanging="0"/>
        <w:jc w:val="left"/>
        <w:rPr/>
      </w:pPr>
      <w:r>
        <w:rPr>
          <w:color w:val="BD1271"/>
        </w:rPr>
        <w:t xml:space="preserve">1. </w:t>
      </w:r>
      <w:r>
        <w:rPr>
          <w:color w:val="000000"/>
        </w:rPr>
        <w:t>Užtikrinti visapusišką lyčių lygybę, be kita ko, stiprinant tėvystės atostogas ir vaikų priežiūros įstaigas.</w:t>
      </w:r>
    </w:p>
    <w:p>
      <w:pPr>
        <w:pStyle w:val="P68B1DB1Normal84"/>
        <w:widowControl w:val="false"/>
        <w:spacing w:lineRule="auto" w:line="240"/>
        <w:ind w:left="283" w:right="0" w:hanging="0"/>
        <w:jc w:val="left"/>
        <w:rPr/>
      </w:pPr>
      <w:r>
        <w:rPr>
          <w:color w:val="BD1271"/>
        </w:rPr>
        <w:t xml:space="preserve">2. </w:t>
      </w:r>
      <w:r>
        <w:rPr>
          <w:color w:val="000000"/>
        </w:rPr>
        <w:t>Kova su skaitmenine nelygybe.</w:t>
      </w:r>
    </w:p>
    <w:p>
      <w:pPr>
        <w:pStyle w:val="P68B1DB1Normal84"/>
        <w:widowControl w:val="false"/>
        <w:spacing w:lineRule="auto" w:line="240"/>
        <w:ind w:left="283" w:right="0" w:hanging="0"/>
        <w:jc w:val="left"/>
        <w:rPr/>
      </w:pPr>
      <w:r>
        <w:rPr>
          <w:color w:val="BD1271"/>
        </w:rPr>
        <w:t xml:space="preserve">3. </w:t>
      </w:r>
      <w:r>
        <w:rPr>
          <w:color w:val="000000"/>
        </w:rPr>
        <w:t>Užtikrinti, kad visi Europos piliečiai galėtų gyventi sveikoje ir tvarioje aplinkoje.</w:t>
      </w:r>
    </w:p>
    <w:p>
      <w:pPr>
        <w:pStyle w:val="P68B1DB1Normal84"/>
        <w:widowControl w:val="false"/>
        <w:spacing w:lineRule="auto" w:line="240"/>
        <w:ind w:left="283" w:right="0" w:hanging="0"/>
        <w:jc w:val="left"/>
        <w:rPr/>
      </w:pPr>
      <w:r>
        <w:rPr>
          <w:color w:val="BD1271"/>
        </w:rPr>
        <w:t xml:space="preserve">4. </w:t>
      </w:r>
      <w:r>
        <w:rPr>
          <w:color w:val="000000"/>
        </w:rPr>
        <w:t>Užtikrinti socialinio judumo galimybes ir todėl turėti visas asmeninio tobulėjimo ir apsisprendimo galimybes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Skatinti kartų atsinaujinimą visais lygmenimis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Proporcingai valdyti pabėgėlių ir migrantų priėmimą skirtingose valstybėse.</w:t>
      </w:r>
    </w:p>
    <w:p>
      <w:pPr>
        <w:pStyle w:val="P68B1DB1Normal76"/>
        <w:widowControl w:val="false"/>
        <w:spacing w:lineRule="auto" w:line="240" w:before="106" w:after="0"/>
        <w:ind w:left="0" w:right="0" w:hanging="0"/>
        <w:jc w:val="both"/>
        <w:rPr/>
      </w:pPr>
      <w:r>
        <w:rPr/>
        <w:t xml:space="preserve">Vėlgi atrodo, kad mokyklų ir švietimo politikos vaidmuo yra labai svarbus ne tik suteikiant jaunimui įgūdžių, kurių jiems reikia norint patekti į darbo rinką, bet ir kuriant Europos kultūrą. Sukūrus institucijų Europą, būtina sukurti tautų Europą. Šiuo atžvilgiu ypatingas dėmesys skiriamas bendros kalbos svarbai, kad būtų sudarytos sąlygos įvairių šalių piliečių dialogui ir lygioms galimybėms naudotis paslaugomis. Kai esperanto svajonė žlugo, JK išstojimas iš Europos Sąjungos sukėlė abejonių dėl galimybės anglų kalbą priimti kaip bendrą kalbą, pagrindinę tarptautinių santykių kalbą ir mokslo bei ekonomikos sistemą.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REKOMENDACIJOS TRUMPAI </w:t>
      </w:r>
    </w:p>
    <w:p>
      <w:pPr>
        <w:pStyle w:val="P68B1DB1Normal84"/>
        <w:widowControl w:val="false"/>
        <w:spacing w:lineRule="auto" w:line="240" w:before="72" w:after="0"/>
        <w:ind w:left="283" w:right="0" w:hanging="0"/>
        <w:jc w:val="left"/>
        <w:rPr/>
      </w:pPr>
      <w:r>
        <w:rPr>
          <w:color w:val="BD1271"/>
        </w:rPr>
        <w:t xml:space="preserve">1. </w:t>
      </w:r>
      <w:r>
        <w:rPr>
          <w:color w:val="000000"/>
        </w:rPr>
        <w:t>Skatinti priimti bendrą kalbą.</w:t>
      </w:r>
    </w:p>
    <w:p>
      <w:pPr>
        <w:pStyle w:val="P68B1DB1Normal84"/>
        <w:widowControl w:val="false"/>
        <w:spacing w:lineRule="auto" w:line="240"/>
        <w:ind w:left="283" w:right="0" w:hanging="0"/>
        <w:jc w:val="left"/>
        <w:rPr/>
      </w:pPr>
      <w:r>
        <w:rPr>
          <w:color w:val="BD1271"/>
        </w:rPr>
        <w:t xml:space="preserve">2. </w:t>
      </w:r>
      <w:r>
        <w:rPr>
          <w:color w:val="000000"/>
        </w:rPr>
        <w:t>Investuoti į Europos istorijos mokyklas ir mokymą, o ne į kiekvieną tautą, taip pat į politinės ekonomikos ir pilietinio ugdymo mokymą.</w:t>
      </w:r>
    </w:p>
    <w:p>
      <w:pPr>
        <w:pStyle w:val="P68B1DB1Normal84"/>
        <w:widowControl w:val="false"/>
        <w:spacing w:lineRule="auto" w:line="240"/>
        <w:ind w:left="283" w:right="417" w:hanging="0"/>
        <w:jc w:val="left"/>
        <w:rPr/>
      </w:pPr>
      <w:r>
        <w:rPr>
          <w:color w:val="BD1271"/>
        </w:rPr>
        <w:t xml:space="preserve">3. </w:t>
      </w:r>
      <w:r>
        <w:rPr>
          <w:color w:val="000000"/>
        </w:rPr>
        <w:t>Skirtingų valstybių narių studentų ir piliečių galimybės naudotis kultūra, švietimu ir mainais.</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Įtraukties politika atlieka svarbų vaidmenį užtikrinant, kad piliečiai galėtų naudotis galimybėmis. Šiuo atžvilgiu grupės dalyviai pabrėžė, kad Italija dažnai negali panaudoti šiam tikslui skirtų ES lėšų. Įtrauktis ir prieinamumas reiškia, kad Europos institucijos turi būti artimesnės savo piliečiams, o šios sąvokos neatsiejamos nuo daugiau informacijos ir informuotumo apie Europos piliečių teises. Šiuo požiūriu išryškėjo tiesioginių santykių tarp ES institucijų ir piliečių svarba, nebūtinai tarpininkaujant valstybėms narėms.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REKOMENDACIJOS TRUMPAI</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Skatinti naudoti ES lėšas nelygybės mažinimui</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Europos institucijų prieinamumas ir artumas piliečiams.</w:t>
      </w:r>
    </w:p>
    <w:p>
      <w:pPr>
        <w:pStyle w:val="P68B1DB1Normal84"/>
        <w:widowControl w:val="false"/>
        <w:spacing w:lineRule="auto" w:line="240"/>
        <w:ind w:left="283" w:right="416" w:hanging="0"/>
        <w:jc w:val="left"/>
        <w:rPr/>
      </w:pPr>
      <w:r>
        <w:rPr>
          <w:color w:val="BD1271"/>
        </w:rPr>
        <w:t xml:space="preserve">3. </w:t>
      </w:r>
      <w:r>
        <w:rPr>
          <w:color w:val="000000"/>
        </w:rPr>
        <w:t>Aiškiai informuoti piliečius apie jų teises ir galimybes ir skatinti tiesioginę piliečių prieigą prie jų.</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Užimtumas </w:t>
      </w:r>
    </w:p>
    <w:p>
      <w:pPr>
        <w:pStyle w:val="Normal"/>
        <w:widowControl w:val="false"/>
        <w:spacing w:lineRule="auto" w:line="240" w:before="97" w:after="0"/>
        <w:ind w:left="0" w:right="1" w:hanging="0"/>
        <w:jc w:val="both"/>
        <w:rPr/>
      </w:pPr>
      <w:r>
        <w:rPr>
          <w:color w:val="000000"/>
        </w:rPr>
        <w:t xml:space="preserve">Užimtumo klausimas nuolat keliamas kaip kompleksinis aspektas ir tiesioginis Europos Sąjungos gebėjimo reaguoti į jos rekomendacijas poveikis. Per diskusijas </w:t>
      </w:r>
      <w:r>
        <w:rPr>
          <w:color w:val="FF0000"/>
        </w:rPr>
        <w:t>tarp</w:t>
      </w:r>
      <w:r>
        <w:rPr>
          <w:color w:val="000000"/>
        </w:rPr>
        <w:t xml:space="preserve"> dalyvių buvo aišku, kad užimtumo klausimas yra piliečių gyvenimo pagrindas, tačiau jis susijęs su ekonominio ir socialinio teisingumo klausimų stiprinimu. Europos Sąjunga, kurioje aktyvi darbo politika išlieka pagrindinė ir vis labiau koordinuojama, yra labai laukiama.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REKOMENDACIJOS TRUMPAI</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Skatinti Europos darbuotojų prekybą pasitelkiant Europos užimtumo centrą.</w:t>
      </w:r>
    </w:p>
    <w:p>
      <w:pPr>
        <w:pStyle w:val="P68B1DB1Normal84"/>
        <w:widowControl w:val="false"/>
        <w:spacing w:lineRule="auto" w:line="240"/>
        <w:ind w:left="283" w:right="0" w:hanging="0"/>
        <w:jc w:val="left"/>
        <w:rPr/>
      </w:pPr>
      <w:r>
        <w:rPr>
          <w:color w:val="BD1271"/>
        </w:rPr>
        <w:t xml:space="preserve">2. </w:t>
      </w:r>
      <w:r>
        <w:rPr>
          <w:color w:val="000000"/>
        </w:rPr>
        <w:t>Integravo užimtumo politiką ES lygmeniu.</w:t>
      </w:r>
    </w:p>
    <w:p>
      <w:pPr>
        <w:pStyle w:val="P68B1DB1Normal84"/>
        <w:widowControl w:val="false"/>
        <w:spacing w:lineRule="auto" w:line="240"/>
        <w:ind w:left="283" w:right="0" w:hanging="0"/>
        <w:jc w:val="left"/>
        <w:rPr/>
      </w:pPr>
      <w:r>
        <w:rPr>
          <w:color w:val="BD1271"/>
        </w:rPr>
        <w:t xml:space="preserve">3. </w:t>
      </w:r>
      <w:r>
        <w:rPr>
          <w:color w:val="000000"/>
        </w:rPr>
        <w:t>Teikti paskatas įmonėms, kurios siūlo darbo vietas.</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Europa pasaulyje </w:t>
      </w:r>
    </w:p>
    <w:p>
      <w:pPr>
        <w:pStyle w:val="P68B1DB1Normal76"/>
        <w:widowControl w:val="false"/>
        <w:spacing w:lineRule="exact" w:line="380" w:before="143" w:after="0"/>
        <w:ind w:left="74" w:right="0" w:hanging="0"/>
        <w:jc w:val="both"/>
        <w:rPr/>
      </w:pPr>
      <w:r>
        <w:rPr/>
        <w:t xml:space="preserve">Pastarojo meto tarptautiniai įvykiai, ypač karas tarp Rusijos ir Ukrainos, turėjo didelę įtaką suvokimui, kokį vaidmenį Europa turės atlikti tarptautiniu lygmeniu. Surinktose rekomendacijose daugiausia dėmesio skirta ES stiprinimui (tiek tapatybės, tiek ekonominės galios požiūriu) ir jos kaip etalono ir atsigavimo modelio nustatymui santykiuose su kitomis šalimis.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a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0"/>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Europinės tapatybės stiprinimas</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Ekonomikos ir institucijų stiprinimas</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Bendradarbiavimas ir partnerystė</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Politinis ir kultūrinis atskaitos taškas</w:t>
                              </w:r>
                            </w:p>
                          </w:txbxContent>
                        </wps:txbx>
                        <wps:bodyPr lIns="90000" rIns="90000" tIns="45000" bIns="45000">
                          <a:noAutofit/>
                        </wps:bodyPr>
                      </wps:wsp>
                    </wpg:wgp>
                  </a:graphicData>
                </a:graphic>
              </wp:anchor>
            </w:drawing>
          </mc:Choice>
          <mc:Fallback>
            <w:pict>
              <v:group id="shape_0" alt="Forma7" style="position:absolute;margin-left:-13.1pt;margin-top:5.35pt;width:508.1pt;height:71.15pt" coordorigin="-262,107" coordsize="10162,1423">
                <v:shape id="shape_0" stroked="f" style="position:absolute;left:438;top:982;width:8699;height:548;rotation:180" type="shapetype_75">
                  <v:imagedata r:id="rId111"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Europinės tapatybės stiprinimas</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Ekonomikos ir institucijų stiprinimas</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Bendradarbiavimas ir partnerystė</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Politinis ir kultūrinis atskaitos taškas</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Europinės tapatybės stiprinimas</w:t>
      </w:r>
    </w:p>
    <w:p>
      <w:pPr>
        <w:pStyle w:val="P68B1DB1Normal76"/>
        <w:widowControl w:val="false"/>
        <w:spacing w:lineRule="auto" w:line="240" w:before="106" w:after="0"/>
        <w:ind w:left="74" w:right="0" w:hanging="0"/>
        <w:jc w:val="both"/>
        <w:rPr/>
      </w:pPr>
      <w:r>
        <w:rPr/>
        <w:t xml:space="preserve">Kad būtų pripažinta už savo ribų, Europos Sąjunga pirmiausia turi parodyti sanglaudą viduje, ne tik ekonominiu ir finansiniu, bet ir tapatybės bei vertybių požiūriu. Tapatumas, kuris sukuriamas ne patvirtinant, bet įvertinant vietos ypatumus bendrų esminių vertybių sistemoje. </w:t>
      </w:r>
    </w:p>
    <w:p>
      <w:pPr>
        <w:pStyle w:val="P68B1DB1Normal76"/>
        <w:widowControl w:val="false"/>
        <w:spacing w:lineRule="auto" w:line="240" w:before="78" w:after="0"/>
        <w:ind w:left="74" w:right="1" w:hanging="0"/>
        <w:jc w:val="both"/>
        <w:rPr/>
      </w:pPr>
      <w:r>
        <w:rPr/>
        <w:t xml:space="preserve">Svarstymai dėl galimo Sąjungos veiklos srities išplėtimo taip pat buvo atlikti atsižvelgiant į tai: pasak kai kurių grupės dalyvių, tai turėtų vykti ne nediferencijuotu būdu, o veikiau sutelkiant dėmesį į abipusį kultūros ir vertybių pripažinimą, o ne į ekonominius standartus.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REKOMENDACIJOS TRUMPAI</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Stiprinti Europos kultūros vertybes ir ypatumus, taip pat regionų ypatumus.</w:t>
      </w:r>
    </w:p>
    <w:p>
      <w:pPr>
        <w:pStyle w:val="P68B1DB1Normal84"/>
        <w:widowControl w:val="false"/>
        <w:spacing w:lineRule="auto" w:line="240"/>
        <w:ind w:left="358" w:right="0" w:hanging="0"/>
        <w:jc w:val="left"/>
        <w:rPr/>
      </w:pPr>
      <w:r>
        <w:rPr>
          <w:color w:val="BD1271"/>
        </w:rPr>
        <w:t xml:space="preserve">2. </w:t>
      </w:r>
      <w:r>
        <w:rPr>
          <w:color w:val="000000"/>
        </w:rPr>
        <w:t>Sukurti Europos kultūros institutą, siekiant skatinti skirtingų valstybių piliečių pagarbos ir tarpusavio praturtinimo kultūrą.</w:t>
      </w:r>
    </w:p>
    <w:p>
      <w:pPr>
        <w:pStyle w:val="P68B1DB1Normal84"/>
        <w:widowControl w:val="false"/>
        <w:spacing w:lineRule="auto" w:line="240"/>
        <w:ind w:left="418" w:right="418" w:hanging="0"/>
        <w:jc w:val="both"/>
        <w:rPr/>
      </w:pPr>
      <w:r>
        <w:rPr>
          <w:color w:val="BD1271"/>
        </w:rPr>
        <w:t xml:space="preserve">3. </w:t>
      </w:r>
      <w:r>
        <w:rPr>
          <w:color w:val="000000"/>
        </w:rPr>
        <w:t>Iš naujo apibrėžti priklausymo naujoms šalims kandidatėms principus, stiprinant tokius veiksnius kaip kultūrinis identitetas ir vertybės.</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Ekonomikos ir institucijų stiprinimas </w:t>
      </w:r>
    </w:p>
    <w:p>
      <w:pPr>
        <w:pStyle w:val="P68B1DB1Normal76"/>
        <w:widowControl w:val="false"/>
        <w:spacing w:lineRule="auto" w:line="240" w:before="109" w:after="0"/>
        <w:ind w:left="0" w:right="0" w:hanging="0"/>
        <w:jc w:val="both"/>
        <w:rPr/>
      </w:pPr>
      <w:r>
        <w:rPr/>
        <w:t xml:space="preserve">Tikimasi, kad rytojaus Europa vaidins pagrindinį vaidmenį tarptautiniu lygmeniu, kurį galima prisiimti tik su stipria ir nepriklausoma Sąjunga nuo kitų šalių. Plačiai pripažįstama, kad ES šalys turi mažai žaliavų, tačiau labai svarbu, kad ES galėtų užtikrinti didesnę energijos tiekimo, žemės ūkio ir technologinių produktų nepriklausomybę. </w:t>
      </w:r>
    </w:p>
    <w:p>
      <w:pPr>
        <w:pStyle w:val="P68B1DB1Normal76"/>
        <w:widowControl w:val="false"/>
        <w:spacing w:lineRule="auto" w:line="240" w:before="78" w:after="0"/>
        <w:ind w:left="0" w:right="1" w:hanging="0"/>
        <w:jc w:val="both"/>
        <w:rPr/>
      </w:pPr>
      <w:r>
        <w:rPr/>
        <w:t xml:space="preserve">Tam reikia konkrečių investicijų, kad būtų galima pasivyti technologijas (kuriose šiuo metu Europos Sąjunga, atrodo, neatlieka vadovaujančio vaidmens), taip pat maisto ir energetikos sektoriuose. </w:t>
      </w:r>
    </w:p>
    <w:p>
      <w:pPr>
        <w:pStyle w:val="P68B1DB1Normal76"/>
        <w:widowControl w:val="false"/>
        <w:spacing w:lineRule="auto" w:line="240" w:before="78" w:after="0"/>
        <w:ind w:left="0" w:right="2" w:hanging="0"/>
        <w:jc w:val="both"/>
        <w:rPr/>
      </w:pPr>
      <w:r>
        <w:rPr/>
        <w:t xml:space="preserve">Karas tarp Rusijos ir Ukrainos taip pat atkreipė dėmesį į integruotos Europos gynybos politikos, turinčios ypatingą tapatybę ir didesnę autonomiją nuo NATO, svarbą, nekvestionuojant jos narystės. </w:t>
      </w:r>
    </w:p>
    <w:p>
      <w:pPr>
        <w:pStyle w:val="P68B1DB1Normal76"/>
        <w:widowControl w:val="false"/>
        <w:spacing w:lineRule="auto" w:line="240" w:before="78" w:after="0"/>
        <w:ind w:left="0" w:right="1" w:hanging="0"/>
        <w:jc w:val="left"/>
        <w:rPr/>
      </w:pPr>
      <w:r>
        <w:rPr/>
        <w:t xml:space="preserve">Galiausiai tai reiškia aiškius sprendimus ateičiai, taip pat dideles investicijas į mokslą ir mokslinius tyrimus, siekiant pagerinti jaunų europiečių įgūdžius.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REKOMENDACIJOS TRUMPAI</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Vidaus gamybos pajėgumų stiprinimas: maisto grandinės (ypač kviečių) ir technologijos (mikroprocesoriai). </w:t>
      </w:r>
    </w:p>
    <w:p>
      <w:pPr>
        <w:pStyle w:val="P68B1DB1Normal84"/>
        <w:widowControl w:val="false"/>
        <w:spacing w:lineRule="auto" w:line="240"/>
        <w:ind w:left="283" w:right="0" w:hanging="0"/>
        <w:jc w:val="left"/>
        <w:rPr/>
      </w:pPr>
      <w:r>
        <w:rPr>
          <w:color w:val="BD1271"/>
        </w:rPr>
        <w:t xml:space="preserve">2. </w:t>
      </w:r>
      <w:r>
        <w:rPr>
          <w:color w:val="000000"/>
        </w:rPr>
        <w:t>Skatinti tipiškus regioninius ir europinius kūrinius.</w:t>
      </w:r>
    </w:p>
    <w:p>
      <w:pPr>
        <w:pStyle w:val="P68B1DB1Normal84"/>
        <w:widowControl w:val="false"/>
        <w:spacing w:lineRule="auto" w:line="240"/>
        <w:ind w:left="283" w:right="0" w:hanging="0"/>
        <w:jc w:val="left"/>
        <w:rPr/>
      </w:pPr>
      <w:r>
        <w:rPr>
          <w:color w:val="BD1271"/>
        </w:rPr>
        <w:t xml:space="preserve">3. </w:t>
      </w:r>
      <w:r>
        <w:rPr>
          <w:color w:val="000000"/>
        </w:rPr>
        <w:t>Stiprinti Europos pramonės klasterius (pvz., plieną).</w:t>
      </w:r>
    </w:p>
    <w:p>
      <w:pPr>
        <w:pStyle w:val="P68B1DB1Normal84"/>
        <w:widowControl w:val="false"/>
        <w:spacing w:lineRule="auto" w:line="240"/>
        <w:ind w:left="283" w:right="0" w:hanging="0"/>
        <w:jc w:val="left"/>
        <w:rPr/>
      </w:pPr>
      <w:r>
        <w:rPr>
          <w:color w:val="BD1271"/>
        </w:rPr>
        <w:t xml:space="preserve">4. </w:t>
      </w:r>
      <w:r>
        <w:rPr>
          <w:color w:val="000000"/>
        </w:rPr>
        <w:t>Stiprinti vietos energijos gamybą ekologiniu požiūriu (dujų, saulės, vėjo).</w:t>
      </w:r>
    </w:p>
    <w:p>
      <w:pPr>
        <w:pStyle w:val="P68B1DB1Normal84"/>
        <w:widowControl w:val="false"/>
        <w:spacing w:lineRule="auto" w:line="240"/>
        <w:ind w:left="283" w:right="0" w:hanging="0"/>
        <w:jc w:val="left"/>
        <w:rPr/>
      </w:pPr>
      <w:r>
        <w:rPr>
          <w:color w:val="BD1271"/>
        </w:rPr>
        <w:t xml:space="preserve">5. </w:t>
      </w:r>
      <w:r>
        <w:rPr>
          <w:color w:val="000000"/>
        </w:rPr>
        <w:t>Plėtoti aviacijos ir kosmoso technologijas.</w:t>
      </w:r>
    </w:p>
    <w:p>
      <w:pPr>
        <w:pStyle w:val="P68B1DB1Normal84"/>
        <w:widowControl w:val="false"/>
        <w:spacing w:lineRule="auto" w:line="240"/>
        <w:ind w:left="283" w:right="417" w:hanging="0"/>
        <w:jc w:val="left"/>
        <w:rPr/>
      </w:pPr>
      <w:r>
        <w:rPr>
          <w:color w:val="BD1271"/>
        </w:rPr>
        <w:t xml:space="preserve">6. </w:t>
      </w:r>
      <w:r>
        <w:rPr>
          <w:color w:val="000000"/>
        </w:rPr>
        <w:t>Europos mokslinių laboratorijų (Europos virusų banko) įsteigimas.</w:t>
      </w:r>
    </w:p>
    <w:p>
      <w:pPr>
        <w:pStyle w:val="P68B1DB1Normal84"/>
        <w:widowControl w:val="false"/>
        <w:spacing w:lineRule="auto" w:line="240"/>
        <w:ind w:left="283" w:right="417" w:hanging="0"/>
        <w:jc w:val="left"/>
        <w:rPr/>
      </w:pPr>
      <w:r>
        <w:rPr>
          <w:color w:val="BD1271"/>
        </w:rPr>
        <w:t xml:space="preserve">7. </w:t>
      </w:r>
      <w:r>
        <w:rPr>
          <w:color w:val="000000"/>
        </w:rPr>
        <w:t>Sukurti bendrą Europos kariuomenę, veikiančią NATO sistemoje, tačiau taip pat padedančią peržengti savo ribas.</w:t>
      </w:r>
    </w:p>
    <w:p>
      <w:pPr>
        <w:pStyle w:val="P68B1DB1Normal84"/>
        <w:widowControl w:val="false"/>
        <w:spacing w:lineRule="auto" w:line="240"/>
        <w:ind w:left="283" w:right="417" w:hanging="0"/>
        <w:jc w:val="left"/>
        <w:rPr/>
      </w:pPr>
      <w:r>
        <w:rPr>
          <w:color w:val="BD1271"/>
        </w:rPr>
        <w:t xml:space="preserve">8. </w:t>
      </w:r>
      <w:r>
        <w:rPr>
          <w:color w:val="000000"/>
        </w:rPr>
        <w:t>Investuoti į instruktorių mokymą (Europos mokytojų mainai, „Erasmus“ mokytojams).</w:t>
      </w:r>
    </w:p>
    <w:p>
      <w:pPr>
        <w:pStyle w:val="P68B1DB1Normal84"/>
        <w:widowControl w:val="false"/>
        <w:spacing w:lineRule="auto" w:line="240"/>
        <w:ind w:left="283" w:right="416" w:hanging="0"/>
        <w:jc w:val="left"/>
        <w:rPr/>
      </w:pPr>
      <w:r>
        <w:rPr>
          <w:color w:val="BD1271"/>
        </w:rPr>
        <w:t xml:space="preserve">9. </w:t>
      </w:r>
      <w:r>
        <w:rPr>
          <w:color w:val="000000"/>
        </w:rPr>
        <w:t>Didinti Europos mokslininkų judumą kuriant naujas Europos mokslo institucijas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Skatinti novatoriškų startuolių atsiradimą.</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Bendradarbiavimas ir partnerystė </w:t>
      </w:r>
    </w:p>
    <w:p>
      <w:pPr>
        <w:pStyle w:val="P68B1DB1Normal76"/>
        <w:widowControl w:val="false"/>
        <w:spacing w:lineRule="auto" w:line="240" w:before="109" w:after="0"/>
        <w:ind w:left="0" w:right="2" w:hanging="0"/>
        <w:jc w:val="both"/>
        <w:rPr/>
      </w:pPr>
      <w:r>
        <w:rPr/>
        <w:t xml:space="preserve">Rytojaus Europos vizija yra ne tvirtovė, ginanti savo turtus, bet pagrindinė veikėja tarptautinėje arenoje, galinti palaikyti dialogą su visomis pasaulio šalimis. Dialogas, kuris prasideda nuo prekybos galios ir kuriuo turėtų būti siekiama ekonominės lyderystės ir kuris gali būti stiprinamas kuriant plataus masto tarptautines partnerystes ir projektus. </w:t>
      </w:r>
    </w:p>
    <w:p>
      <w:pPr>
        <w:pStyle w:val="P68B1DB1Normal76"/>
        <w:widowControl w:val="false"/>
        <w:spacing w:lineRule="auto" w:line="240" w:before="78" w:after="0"/>
        <w:ind w:left="0" w:right="0" w:hanging="0"/>
        <w:jc w:val="both"/>
        <w:rPr/>
      </w:pPr>
      <w:r>
        <w:rPr/>
        <w:t xml:space="preserve">Visa tai, atsižvelgiant į bendradarbiavimą ir dėmesį pažeidžiamiausiems pasaulio regionams, vykdant ad hoc projektus, kuriais siekiama atkreipti dėmesį į neturtingiausias šalis, taip pat kultūrinius ir ekonominius mainus su Rytų šalimis. </w:t>
      </w:r>
    </w:p>
    <w:p>
      <w:pPr>
        <w:pStyle w:val="P68B1DB1Normal76"/>
        <w:widowControl w:val="false"/>
        <w:spacing w:lineRule="auto" w:line="240" w:before="78" w:after="0"/>
        <w:ind w:left="0" w:right="3" w:hanging="0"/>
        <w:jc w:val="both"/>
        <w:rPr/>
      </w:pPr>
      <w:r>
        <w:rPr/>
        <w:t xml:space="preserve">Ypatingas dėmesys taip pat skiriamas migracijos temai, geriau koordinuojant šalių veiksmus ir taikant bendras prašymų ir asmenų valdymo procedūras.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REKOMENDACIJOS TRUMPAI</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Eksporto skatinimas.</w:t>
      </w:r>
    </w:p>
    <w:p>
      <w:pPr>
        <w:pStyle w:val="P68B1DB1Normal84"/>
        <w:widowControl w:val="false"/>
        <w:spacing w:lineRule="auto" w:line="240"/>
        <w:ind w:left="283" w:right="0" w:hanging="0"/>
        <w:jc w:val="left"/>
        <w:rPr/>
      </w:pPr>
      <w:r>
        <w:rPr>
          <w:color w:val="BD1271"/>
        </w:rPr>
        <w:t xml:space="preserve">2. </w:t>
      </w:r>
      <w:r>
        <w:rPr>
          <w:color w:val="000000"/>
        </w:rPr>
        <w:t>Skatinti tarptautinius Europos turizmo maršrutus.</w:t>
      </w:r>
    </w:p>
    <w:p>
      <w:pPr>
        <w:pStyle w:val="P68B1DB1Normal84"/>
        <w:widowControl w:val="false"/>
        <w:spacing w:lineRule="auto" w:line="240"/>
        <w:ind w:left="283" w:right="0" w:hanging="0"/>
        <w:jc w:val="left"/>
        <w:rPr/>
      </w:pPr>
      <w:r>
        <w:rPr>
          <w:color w:val="BD1271"/>
        </w:rPr>
        <w:t xml:space="preserve">3. </w:t>
      </w:r>
      <w:r>
        <w:rPr>
          <w:color w:val="000000"/>
        </w:rPr>
        <w:t>Sukurti Europos lygmens derybų prekybos sistemą (ne kaip atskiras valstybes ar bendroves, bet kaip Sąjungą), kad ji turėtų didesnę derybinę galią, bet turėtų suvaržymus, susijusius su pagarba žmogaus teisėms.</w:t>
      </w:r>
    </w:p>
    <w:p>
      <w:pPr>
        <w:pStyle w:val="P68B1DB1Normal84"/>
        <w:widowControl w:val="false"/>
        <w:spacing w:lineRule="auto" w:line="240"/>
        <w:ind w:left="283" w:right="417" w:hanging="0"/>
        <w:jc w:val="left"/>
        <w:rPr/>
      </w:pPr>
      <w:r>
        <w:rPr>
          <w:color w:val="BD1271"/>
        </w:rPr>
        <w:t xml:space="preserve">4. </w:t>
      </w:r>
      <w:r>
        <w:rPr>
          <w:color w:val="000000"/>
        </w:rPr>
        <w:t>Pagrindiniai tarptautiniai projektai, tokie kaip Tarptautinė kosminė stotis.</w:t>
      </w:r>
    </w:p>
    <w:p>
      <w:pPr>
        <w:pStyle w:val="P68B1DB1Normal84"/>
        <w:widowControl w:val="false"/>
        <w:spacing w:lineRule="auto" w:line="240"/>
        <w:ind w:left="283" w:right="417" w:hanging="0"/>
        <w:jc w:val="left"/>
        <w:rPr/>
      </w:pPr>
      <w:r>
        <w:rPr>
          <w:color w:val="BD1271"/>
        </w:rPr>
        <w:t xml:space="preserve">5. </w:t>
      </w:r>
      <w:r>
        <w:rPr>
          <w:color w:val="000000"/>
        </w:rPr>
        <w:t>Finansuoti projektus Afrikoje, siekiant statyti mokyklas ir ligonines, nesilaikant kolonijinio požiūrio, bet daugiausia dėmesio skiriant Europos vertybių ir teisių laikymuisi.</w:t>
      </w:r>
    </w:p>
    <w:p>
      <w:pPr>
        <w:pStyle w:val="P68B1DB1Normal84"/>
        <w:widowControl w:val="false"/>
        <w:spacing w:lineRule="auto" w:line="240"/>
        <w:ind w:left="283" w:right="417" w:hanging="0"/>
        <w:jc w:val="left"/>
        <w:rPr/>
      </w:pPr>
      <w:r>
        <w:rPr>
          <w:color w:val="BD1271"/>
        </w:rPr>
        <w:t xml:space="preserve">6. </w:t>
      </w:r>
      <w:r>
        <w:rPr>
          <w:color w:val="000000"/>
        </w:rPr>
        <w:t>Investuoti į mokymą vietoje (ypač moterų) skurdžiausiose šalyse.</w:t>
      </w:r>
    </w:p>
    <w:p>
      <w:pPr>
        <w:pStyle w:val="P68B1DB1Normal84"/>
        <w:widowControl w:val="false"/>
        <w:spacing w:lineRule="auto" w:line="240"/>
        <w:ind w:left="283" w:right="0" w:hanging="0"/>
        <w:jc w:val="left"/>
        <w:rPr/>
      </w:pPr>
      <w:r>
        <w:rPr>
          <w:color w:val="BD1271"/>
        </w:rPr>
        <w:t xml:space="preserve">7. </w:t>
      </w:r>
      <w:r>
        <w:rPr>
          <w:color w:val="000000"/>
        </w:rPr>
        <w:t>Skatinti technikų ir instruktorių mainus.</w:t>
      </w:r>
    </w:p>
    <w:p>
      <w:pPr>
        <w:pStyle w:val="P68B1DB1Normal84"/>
        <w:widowControl w:val="false"/>
        <w:spacing w:lineRule="auto" w:line="240"/>
        <w:ind w:left="283" w:right="0" w:hanging="0"/>
        <w:jc w:val="left"/>
        <w:rPr/>
      </w:pPr>
      <w:r>
        <w:rPr>
          <w:color w:val="BD1271"/>
        </w:rPr>
        <w:t xml:space="preserve">8. </w:t>
      </w:r>
      <w:r>
        <w:rPr>
          <w:color w:val="000000"/>
        </w:rPr>
        <w:t>Sukurti bendrų migrantų patekimo į šalį taisyklių sistemą, kurioje būtų numatyti skirtingi humanitarinės ir ekonominės migracijos procesai ir teisingas paskirstymas tarp skirtingų valstybių, tačiau būtų nustatytos bendros taisyklės (surašymas ir elgesio bei užimtumo kontrolė).</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Politinis ir kultūrinis orientyras </w:t>
      </w:r>
    </w:p>
    <w:p>
      <w:pPr>
        <w:pStyle w:val="P68B1DB1Normal76"/>
        <w:widowControl w:val="false"/>
        <w:spacing w:lineRule="auto" w:line="240" w:before="106" w:after="0"/>
        <w:ind w:left="0" w:right="145" w:hanging="0"/>
        <w:jc w:val="both"/>
        <w:rPr/>
      </w:pPr>
      <w:r>
        <w:rPr/>
        <w:t xml:space="preserve">Pagal pirmiau aprašytą scenarijų tikimasi, kad Europa pateiks aiškų politinį ir kultūrinį orientyrą pasauliniu lygmeniu teisių ir etikos požiūriu, parodydama pavyzdį priimant sprendimus, kad būtų užtikrinta sveika aplinka, pagarba žmonių teisėms ir Rytų bei Vakarų dialogas.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REKOMENDACIJOS TRUMPAI</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Pirmaukite kaip žaliasis žemynas, pasieksite nulinį išmetamųjų teršalų kiekį prieš kitus ir padidinkite švarios energijos gamybą (vėjas ir saulės energija).</w:t>
      </w:r>
    </w:p>
    <w:p>
      <w:pPr>
        <w:pStyle w:val="P68B1DB1Normal84"/>
        <w:widowControl w:val="false"/>
        <w:spacing w:lineRule="auto" w:line="240"/>
        <w:ind w:left="283" w:right="0" w:hanging="0"/>
        <w:jc w:val="left"/>
        <w:rPr/>
      </w:pPr>
      <w:r>
        <w:rPr>
          <w:color w:val="BD1271"/>
        </w:rPr>
        <w:t xml:space="preserve">2. </w:t>
      </w:r>
      <w:r>
        <w:rPr>
          <w:color w:val="000000"/>
        </w:rPr>
        <w:t>Eksportuoti technologijas, kad būtų gaminamos nulinio poveikio prekės.</w:t>
      </w:r>
    </w:p>
    <w:p>
      <w:pPr>
        <w:pStyle w:val="P68B1DB1Normal84"/>
        <w:widowControl w:val="false"/>
        <w:spacing w:lineRule="auto" w:line="240"/>
        <w:ind w:left="283" w:right="0" w:hanging="0"/>
        <w:jc w:val="left"/>
        <w:rPr/>
      </w:pPr>
      <w:r>
        <w:rPr>
          <w:color w:val="BD1271"/>
        </w:rPr>
        <w:t xml:space="preserve">3. </w:t>
      </w:r>
      <w:r>
        <w:rPr>
          <w:color w:val="000000"/>
        </w:rPr>
        <w:t>Tarnauti kaip santaka (viešoji vieta, agora) tarp Rytų ir Vakarų, skatinant kultūrinius mainus ir bendras kultūrines iniciatyvas (pvz., Pasaulines meno dienas, kurios turi būti organizuojamos įvairiose Europos sostinėse su menine programa, kurioje dalyvauja Vakarų ir Rytų menininkai).</w:t>
      </w:r>
    </w:p>
    <w:p>
      <w:pPr>
        <w:pStyle w:val="P68B1DB1Normal84"/>
        <w:widowControl w:val="false"/>
        <w:spacing w:lineRule="auto" w:line="240"/>
        <w:ind w:left="283" w:right="560" w:hanging="0"/>
        <w:jc w:val="left"/>
        <w:rPr/>
      </w:pPr>
      <w:r>
        <w:rPr>
          <w:color w:val="BD1271"/>
        </w:rPr>
        <w:t xml:space="preserve">4. </w:t>
      </w:r>
      <w:r>
        <w:rPr>
          <w:color w:val="000000"/>
        </w:rPr>
        <w:t>Sukurti Europos etinį migracijos procesų valdymo modelį, kuriuo būtų galima dalytis tarptautiniu mastu.</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Galutinis dalyvių vertinimas </w:t>
      </w:r>
    </w:p>
    <w:p>
      <w:pPr>
        <w:pStyle w:val="P68B1DB1Normal76"/>
        <w:widowControl w:val="false"/>
        <w:spacing w:lineRule="auto" w:line="240" w:before="106" w:after="0"/>
        <w:ind w:left="0" w:right="0" w:hanging="0"/>
        <w:jc w:val="both"/>
        <w:rPr/>
      </w:pPr>
      <w:r>
        <w:rPr/>
        <w:t xml:space="preserve">Pasibaigus dviem darbo dienoms, visų dalyvių buvo paprašyta užpildyti trumpą klausimyną, kad būtų įvertinta jų patirtis. Vertinimo klausimynas išsiųstas praėjus dviem dienoms po komisijos veiklos pabaigos, kad visi dalyviai turėtų laiko atsilikti nuo patirties ir galėtų pateikti objektyvius atsakymus. </w:t>
      </w:r>
    </w:p>
    <w:p>
      <w:pPr>
        <w:pStyle w:val="Normal"/>
        <w:widowControl w:val="false"/>
        <w:spacing w:lineRule="auto" w:line="240" w:before="78" w:after="0"/>
        <w:ind w:left="0" w:right="2" w:hanging="0"/>
        <w:jc w:val="left"/>
        <w:rPr/>
      </w:pPr>
      <w:r>
        <w:rPr>
          <w:color w:val="000000"/>
        </w:rPr>
        <w:t xml:space="preserve">Surinkti rezultatai rodo ypač didelį pasitenkinimą tiek susidomėjimo, tiek dalyvavimo paprastumo požiūriu, taip pat klausymo ir įtraukties pojūčiu.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8 forma"/>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2"/>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Pasitenkinimas dalyvavimu grupėje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Bendras pasitenkinimas patirtimi</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Dalyvių įnašų kokybė</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Pateiktų rekomendacijų ir diskusijų nuoseklumas</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Platformos naudojimo paprastumas</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Pagarba nuomonių įvairovei</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Moderatorių gebėjimas išsakyti savo nuomonę dalyviams ir klausytis jų intervencijų</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Domėjimasis nagrinėjamomis temomis</w:t>
                              </w:r>
                            </w:p>
                          </w:txbxContent>
                        </wps:txbx>
                        <wps:bodyPr lIns="90000" rIns="90000" tIns="45000" bIns="45000">
                          <a:noAutofit/>
                        </wps:bodyPr>
                      </wps:wsp>
                    </wpg:wgp>
                  </a:graphicData>
                </a:graphic>
              </wp:anchor>
            </w:drawing>
          </mc:Choice>
          <mc:Fallback>
            <w:pict>
              <v:group id="shape_0" alt="8 forma" style="position:absolute;margin-left:0.05pt;margin-top:3.95pt;width:472.1pt;height:238.2pt" coordorigin="1,79" coordsize="9442,4764">
                <v:shape id="shape_0" stroked="f" style="position:absolute;left:3991;top:846;width:5321;height:3996" type="shapetype_75">
                  <v:imagedata r:id="rId112"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Pasitenkinimas dalyvavimu grupėje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Bendras pasitenkinimas patirtimi</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Dalyvių įnašų kokybė</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Pateiktų rekomendacijų ir diskusijų nuoseklumas</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Platformos naudojimo paprastumas</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Pagarba nuomonių įvairovei</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Moderatorių gebėjimas išsakyti savo nuomonę dalyviams ir klausytis jų intervencijų</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Domėjimasis nagrinėjamomis temomis</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Nors iš pradžių dalyviai turėjo skirtingą patirtį, įgūdžius ir motyvaciją, jie jautėsi tvirti: 98 proc. vertinimo klausimyno respondentų manė, kad jie aktyviai dalyvavo ir teigiamai prisidėjo prie diskusijų.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Apskritai, šios patirties, kuri visų pirma buvo suvokiama kaip galimybė aktyviai dalyvauti ir kuri suteikė didesnį artumą Europos institucijoms, naudingumas buvo labai jaučiamas. Dėl to beveik visi respondentai paprašė, kad tokios rūšies iniciatyvos būtų kartojamos laikui bėgant.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a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3"/>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„ITALIJOS KONFERENCIJOS DĖL EUROPOS ATEITIES“ INTERESŲ VERTINIMAS</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Turėtų vykti dažniau</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Yra naudingas siekiant, kad Europos institucijose būtų išgirstas piliečių balsas</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Gali teigiamai prisidėti prie Europos ateities gerinimo</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Priartinti Europos institucijas prie piliečių</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Tai buvo laiko švaistymas</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Visiškai sutinku</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Verčiau sutikčiau.</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Nėra susitarimo ir jokio susitarimo</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Aš nesutinku.</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Aš visiškai nesutinku.</w:t>
                              </w:r>
                            </w:p>
                          </w:txbxContent>
                        </wps:txbx>
                        <wps:bodyPr lIns="90000" rIns="90000" tIns="45000" bIns="45000">
                          <a:noAutofit/>
                        </wps:bodyPr>
                      </wps:wsp>
                    </wpg:wgp>
                  </a:graphicData>
                </a:graphic>
              </wp:anchor>
            </w:drawing>
          </mc:Choice>
          <mc:Fallback>
            <w:pict>
              <v:group id="shape_0" alt="Forma 9" style="position:absolute;margin-left:0pt;margin-top:5.6pt;width:476.15pt;height:248.3pt" coordorigin="0,112" coordsize="9523,4966">
                <v:shape id="shape_0" stroked="f" style="position:absolute;left:430;top:675;width:9092;height:4095" type="shapetype_75">
                  <v:imagedata r:id="rId113"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„ITALIJOS KONFERENCIJOS DĖL EUROPOS ATEITIES“ INTERESŲ VERTINIMAS</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Turėtų vykti dažniau</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Yra naudingas siekiant, kad Europos institucijose būtų išgirstas piliečių balsas</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Gali teigiamai prisidėti prie Europos ateities gerinimo</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Priartinti Europos institucijas prie piliečių</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Tai buvo laiko švaistymas</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Visiškai sutinku</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Verčiau sutikčiau.</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Nėra susitarimo ir jokio susitarimo</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Aš nesutinku.</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Aš visiškai nesutinku.</w:t>
                        </w:r>
                      </w:p>
                    </w:txbxContent>
                  </v:textbox>
                  <w10:wrap type="square"/>
                  <v:fill o:detectmouseclick="t" on="false"/>
                  <v:stroke color="#3465a4" joinstyle="round" endcap="flat"/>
                </v:rect>
              </v:group>
            </w:pict>
          </mc:Fallback>
        </mc:AlternateContent>
      </w:r>
      <w:r>
        <w:rPr>
          <w:color w:val="000000"/>
        </w:rPr>
        <w:t>Visi dalyviai nurodė, kad jei tokia iniciatyva vėl būtų organizuojama, jie ne tik norėtų dalyvauti, bet ir rekomenduotų savo draugams dalyvauti.</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nacionalinės grupės: Lietuva</w:t>
      </w:r>
    </w:p>
    <w:p>
      <w:pPr>
        <w:pStyle w:val="P68B1DB1Normal95"/>
        <w:widowControl w:val="false"/>
        <w:spacing w:lineRule="exact" w:line="393"/>
        <w:ind w:left="0" w:right="0" w:hanging="0"/>
        <w:jc w:val="left"/>
        <w:rPr>
          <w:rFonts w:ascii="Arial" w:hAnsi="Arial"/>
          <w:color w:val="5A5A5A"/>
          <w:sz w:val="28"/>
        </w:rPr>
      </w:pPr>
      <w:r>
        <w:rPr/>
        <w:t xml:space="preserve">Lietuvos piliečių forumas dėl Europos ateities </w:t>
      </w:r>
    </w:p>
    <w:p>
      <w:pPr>
        <w:pStyle w:val="P68B1DB1Normal95"/>
        <w:widowControl w:val="false"/>
        <w:spacing w:lineRule="exact" w:line="460"/>
        <w:ind w:left="4320" w:right="0" w:hanging="0"/>
        <w:jc w:val="left"/>
        <w:rPr>
          <w:rFonts w:ascii="Arial" w:hAnsi="Arial"/>
          <w:color w:val="5A5A5A"/>
          <w:sz w:val="28"/>
        </w:rPr>
      </w:pPr>
      <w:r>
        <w:rPr/>
        <w:t xml:space="preserve">Pranešimas </w:t>
      </w:r>
    </w:p>
    <w:p>
      <w:pPr>
        <w:pStyle w:val="P68B1DB1Normal76"/>
        <w:widowControl w:val="false"/>
        <w:spacing w:lineRule="exact" w:line="227" w:before="87" w:after="0"/>
        <w:ind w:left="0" w:right="2" w:hanging="0"/>
        <w:jc w:val="both"/>
        <w:rPr/>
      </w:pPr>
      <w:r>
        <w:rPr/>
        <w:t xml:space="preserve">Šią ataskaitą sudaro keturios dalys. Pirmasis trumpai supažindina su renginio eiga. Antrojoje išdėstomos rekomendacijos, kurias pateikė Piliečių forumo ES ir Lietuvos politikai dalyviai. Trečioje dalyje pateikiama trumpa diskusijų grupėse ir pagrindinių forumo rezultatų analizė. Ketvirtasis lygina Piliečių forumo rezultatus su Lietuvos piliečių apklausų apie Europos valstybę ir ateitį rezultatais.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Nacionalinio piliečių forumo elgesys</w:t>
      </w:r>
    </w:p>
    <w:p>
      <w:pPr>
        <w:pStyle w:val="Normal"/>
        <w:widowControl w:val="false"/>
        <w:spacing w:lineRule="exact" w:line="253" w:before="95" w:after="0"/>
        <w:ind w:left="0" w:right="0" w:hanging="0"/>
        <w:jc w:val="both"/>
        <w:rPr/>
      </w:pPr>
      <w:r>
        <w:rPr>
          <w:color w:val="000000"/>
        </w:rPr>
        <w:t>Vadovaudamasis Konferencijos dėl Europos ateities nacionalinių piliečių grupių organizavimo gairėmis, 2021 m. gruodžio mėn. Kantar TNS LT tyrimo institutas Užsienio reikalų ministerijos (MAE) prašymu parengė Lietuvos gyventojų reprezentatyvios imties stratifikuotą atsitiktinės atrankos metodiką, pagal kurią Kantar TNS atrinko 25 18–65 metų Lietuvos piliečius, atstovaujančius skirtingoms socialinėms ir ekonominėms grupėms bei visiems Lietuvos geografiniams regionams</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Sausio 4 d. atrinkti piliečiai buvo pakviesti į virtualią įžanginę sesiją, kurios metu buvo pristatyta Nacionalinio piliečių forumo idėja ir pasikeista aktualiausiomis su Europos ateitimi susijusiomis temomis. Renginio pabaigoje dalyviai gavo informacinį dokumentą su išsamiu aptartų temų aprašymu ir informacijos šaltiniais. </w:t>
      </w:r>
    </w:p>
    <w:p>
      <w:pPr>
        <w:pStyle w:val="P68B1DB1Normal76"/>
        <w:widowControl w:val="false"/>
        <w:spacing w:lineRule="exact" w:line="253"/>
        <w:ind w:left="0" w:right="2" w:hanging="0"/>
        <w:jc w:val="both"/>
        <w:rPr/>
      </w:pPr>
      <w:r>
        <w:rPr/>
        <w:t xml:space="preserve">Sausio 15 d. EAO Rytų Europos studijų centro (RESC) ir Kantar TNS LT rinkimų instituto organizuotame EAO Rytų Europos studijų centre (angl.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Dalyviai aptarė du su ES politika susijusius klausimus: </w:t>
      </w:r>
      <w:r>
        <w:rPr>
          <w:b/>
        </w:rPr>
        <w:t>ES vaidmuo ir kompetencija užsienio politikoje</w:t>
      </w:r>
      <w:r>
        <w:rPr/>
        <w:t xml:space="preserve">, taip pat </w:t>
      </w:r>
      <w:r>
        <w:rPr>
          <w:b/>
        </w:rPr>
        <w:t>ES ekonominis vaidmuo</w:t>
      </w:r>
      <w:r>
        <w:rPr/>
        <w:t>.</w:t>
      </w:r>
      <w:r>
        <w:rPr>
          <w:b/>
        </w:rPr>
        <w:t xml:space="preserve"> </w:t>
      </w:r>
      <w:r>
        <w:rPr/>
        <w:t xml:space="preserve">Šiame renginyje buvo surengta atskira sesija, kurios pradžioje ES politikos ekspertai Linas Kojala (RESC) ir Ramūnas Vilpišauskas trumpai supažindino piliečius su sesijos tematika ir klausimais. Diskusijos metu piliečiai galėjo užduoti klausimus ir pasidalyti savo nuomonėmis. Po ekspertų pristatymų dalyviai buvo suskirstyti į tris mažesnes reprezentacines grupes, kad kiekviena svarstytų kitą su sesijos tema susijusį klausimą. Aptarti šie užsienio politikos klausimai: </w:t>
      </w:r>
    </w:p>
    <w:p>
      <w:pPr>
        <w:pStyle w:val="P68B1DB1Normal76"/>
        <w:widowControl w:val="false"/>
        <w:spacing w:lineRule="exact" w:line="253"/>
        <w:ind w:left="720" w:right="1" w:hanging="0"/>
        <w:jc w:val="left"/>
        <w:rPr/>
      </w:pPr>
      <w:r>
        <w:rPr>
          <w:b/>
        </w:rPr>
        <w:t>1.1.</w:t>
      </w:r>
      <w:r>
        <w:rPr/>
        <w:t xml:space="preserve"> Ar reikia savarankiškos ES gynybos ir užsienio politikos?</w:t>
      </w:r>
    </w:p>
    <w:p>
      <w:pPr>
        <w:pStyle w:val="P68B1DB1Normal76"/>
        <w:widowControl w:val="false"/>
        <w:spacing w:lineRule="exact" w:line="253"/>
        <w:ind w:left="720" w:right="1" w:hanging="0"/>
        <w:jc w:val="left"/>
        <w:rPr/>
      </w:pPr>
      <w:r>
        <w:rPr>
          <w:b/>
        </w:rPr>
        <w:t>1.2.</w:t>
      </w:r>
      <w:r>
        <w:rPr/>
        <w:t xml:space="preserve"> Kokie turėtų būti ES santykiai su kaimyninėmis Rytų Europos šalimis, Šiaurės Afrika ir Turkija? </w:t>
      </w:r>
    </w:p>
    <w:p>
      <w:pPr>
        <w:pStyle w:val="P68B1DB1Normal76"/>
        <w:widowControl w:val="false"/>
        <w:spacing w:lineRule="exact" w:line="379"/>
        <w:ind w:left="720" w:right="0" w:hanging="0"/>
        <w:jc w:val="left"/>
        <w:rPr/>
      </w:pPr>
      <w:r>
        <w:rPr>
          <w:b/>
        </w:rPr>
        <w:t>1.3.</w:t>
      </w:r>
      <w:r>
        <w:rPr/>
        <w:t xml:space="preserve"> Kokia turėtų būti ES migracijos politika? </w:t>
      </w:r>
    </w:p>
    <w:p>
      <w:pPr>
        <w:pStyle w:val="P68B1DB1Normal76"/>
        <w:widowControl w:val="false"/>
        <w:spacing w:lineRule="exact" w:line="254"/>
        <w:ind w:left="0" w:right="0" w:hanging="0"/>
        <w:jc w:val="left"/>
        <w:rPr/>
      </w:pPr>
      <w:r>
        <w:rPr/>
        <w:t xml:space="preserve">Sesijoje dėl ES ekonominio vaidmens buvo svarstomi šie klausimai: </w:t>
      </w:r>
    </w:p>
    <w:p>
      <w:pPr>
        <w:pStyle w:val="P68B1DB1Normal76"/>
        <w:widowControl w:val="false"/>
        <w:spacing w:lineRule="exact" w:line="254"/>
        <w:ind w:left="720" w:right="0" w:hanging="0"/>
        <w:jc w:val="left"/>
        <w:rPr/>
      </w:pPr>
      <w:r>
        <w:rPr>
          <w:b/>
        </w:rPr>
        <w:t xml:space="preserve">2.1. </w:t>
      </w:r>
      <w:r>
        <w:rPr/>
        <w:t xml:space="preserve">Ar reikia labiau perskirstyti ES biudžeto lėšas iš ES bendros skolos? </w:t>
      </w:r>
    </w:p>
    <w:p>
      <w:pPr>
        <w:pStyle w:val="P68B1DB1Normal76"/>
        <w:widowControl w:val="false"/>
        <w:spacing w:lineRule="exact" w:line="379"/>
        <w:ind w:left="720" w:right="0" w:hanging="0"/>
        <w:jc w:val="left"/>
        <w:rPr/>
      </w:pPr>
      <w:r>
        <w:rPr>
          <w:b/>
        </w:rPr>
        <w:t xml:space="preserve">2.2. </w:t>
      </w:r>
      <w:r>
        <w:rPr/>
        <w:t>Ar socialiniai standartai turėtų būti reglamentuojami ES lygmeniu?</w:t>
      </w:r>
      <w:r>
        <w:rPr>
          <w:b/>
        </w:rPr>
        <w:t xml:space="preserve"> </w:t>
      </w:r>
    </w:p>
    <w:p>
      <w:pPr>
        <w:pStyle w:val="P68B1DB1Normal76"/>
        <w:widowControl w:val="false"/>
        <w:spacing w:lineRule="exact" w:line="379"/>
        <w:ind w:left="720" w:right="0" w:hanging="0"/>
        <w:jc w:val="left"/>
        <w:rPr/>
      </w:pPr>
      <w:r>
        <w:rPr>
          <w:b/>
        </w:rPr>
        <w:t>2.3.</w:t>
      </w:r>
      <w:r>
        <w:rPr/>
        <w:t xml:space="preserve"> Kaip sustiprinti ES ekonomiką? </w:t>
      </w:r>
    </w:p>
    <w:p>
      <w:pPr>
        <w:pStyle w:val="P68B1DB1Normal76"/>
        <w:widowControl w:val="false"/>
        <w:spacing w:lineRule="auto" w:line="240"/>
        <w:ind w:left="0" w:right="0" w:hanging="0"/>
        <w:jc w:val="both"/>
        <w:rPr/>
      </w:pPr>
      <w:r>
        <w:rPr/>
        <w:t xml:space="preserve">Sesijos pabaigoje kiekviena grupė turėjo suformuluoti pagrindines diskusijų išvadas, pateikti principinius pareiškimus arba konkrečius pasiūlymus dėl ES politikos klausimų. Diskusijų su visa grupe metu kiekvienos grupės atstovas pristatė šias išvadas kitiems dalyviams. Tie, kurie buvo kitose grupėse, galėjo užduoti klausimus ir papildyti pasiūlymus savo idėjomis. Po pristatymų ir diskusijų piliečiai balsavo po du iš šių išvadų, balsuodami už svarbiausią pasiūlymą ar deklaraciją dėl Lietuvos vaidmens stiprinant ES ir ES sėkmę net visoje Europoje; kitas balsavimas už pareiškimą ar pasiūlymą atrodo svarbiausias jų, kaip ES gyventojų, interesams. Po šio balsavimo grupėje vyko diskusijos ir aptartos pagrindinės diskusijų metu kilusios idėjos. </w:t>
      </w:r>
    </w:p>
    <w:p>
      <w:pPr>
        <w:pStyle w:val="P68B1DB1Normal76"/>
        <w:widowControl w:val="false"/>
        <w:spacing w:lineRule="auto" w:line="240"/>
        <w:ind w:left="0" w:right="0" w:hanging="0"/>
        <w:jc w:val="both"/>
        <w:rPr/>
      </w:pPr>
      <w:r>
        <w:rPr/>
        <w:t xml:space="preserve">Kitą savaitę po renginio ekspertai išnagrinėjo diskusijų turinį ir atskleidė piliečių pasiūlytų idėjų esmę. Sausio 25 d. surengta virtuali apibendrinamoji sesija, kurioje piliečiams buvo pateiktos jų diskusijų turinio rekomendacijos. Piliečiams buvo suteikta galimybė pasakyti, ar jie pritarė rekomendacijoms, papildyti jas dėl esmės ir jas įvertinti. Visi dalyviai šią galimybę vėl turėjo praėjus savaitei po sumuojamosios sesijos, raštu išsiųsdami savo nuomones ir pastabas grupės organizatoriams.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Nacionalinio piliečių forumo rezultatai</w:t>
      </w:r>
      <w:r>
        <w:rPr/>
        <w:t xml:space="preserve"> </w:t>
      </w:r>
    </w:p>
    <w:p>
      <w:pPr>
        <w:pStyle w:val="P68B1DB1Normal76"/>
        <w:widowControl w:val="false"/>
        <w:spacing w:lineRule="auto" w:line="240" w:before="70" w:after="0"/>
        <w:ind w:left="0" w:right="1" w:hanging="0"/>
        <w:jc w:val="both"/>
        <w:rPr/>
      </w:pPr>
      <w:r>
        <w:rPr/>
        <w:t xml:space="preserve">Šioje ataskaitos dalyje pateikiami Piliečių forumo rezultatai su darbo grupių dalyvių pateiktomis rekomendacijomis ir jų pozicija dėl ES vaidmens užsienio politikoje ir ekonomikoje.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Pirmoji sesija:</w:t>
      </w:r>
      <w:r>
        <w:rPr/>
        <w:t xml:space="preserve"> </w:t>
      </w:r>
      <w:r>
        <w:rPr>
          <w:b/>
        </w:rPr>
        <w:t>ES vaidmuo ir kompetencija užsienio politikoje</w:t>
      </w:r>
    </w:p>
    <w:p>
      <w:pPr>
        <w:pStyle w:val="P68B1DB1Normal99"/>
        <w:widowControl w:val="false"/>
        <w:spacing w:lineRule="auto" w:line="240" w:before="39" w:after="0"/>
        <w:ind w:left="468" w:right="0" w:hanging="0"/>
        <w:jc w:val="left"/>
        <w:rPr/>
      </w:pPr>
      <w:r>
        <w:rPr/>
        <w:t xml:space="preserve">1. Raginame ES parengti veiksmingesnę politiką Kinijos atžvilgiu. Lietuva turi būti remiama ryžtingiau, tačiau ji taip pat turėtų geriau suderinti savo poziciją su ES partnerių pozicija. Siekdami užtikrinti geresnę interesų pusiausvyrą ES ir kad Kinijos atžvilgiu būtų vykdoma tik viena politika, taip pat kitais užsienio politikos klausimais, rekomenduojame apsvarstyti galimybę įsteigti ES užsienio reikalų ministrą. </w:t>
      </w:r>
    </w:p>
    <w:p>
      <w:pPr>
        <w:pStyle w:val="P68B1DB1Normal99"/>
        <w:widowControl w:val="false"/>
        <w:spacing w:lineRule="auto" w:line="240" w:before="78" w:after="0"/>
        <w:ind w:left="468" w:right="341" w:hanging="0"/>
        <w:jc w:val="left"/>
        <w:rPr/>
      </w:pPr>
      <w:r>
        <w:rPr/>
        <w:t xml:space="preserve">2. Rekomenduojame į darbotvarkę įtraukti klausimą dėl migrantų kvotų ES lygmeniu. </w:t>
      </w:r>
    </w:p>
    <w:p>
      <w:pPr>
        <w:pStyle w:val="P68B1DB1Normal99"/>
        <w:widowControl w:val="false"/>
        <w:spacing w:lineRule="auto" w:line="240" w:before="78" w:after="0"/>
        <w:ind w:left="468" w:right="0" w:hanging="0"/>
        <w:jc w:val="left"/>
        <w:rPr/>
      </w:pPr>
      <w:r>
        <w:rPr/>
        <w:t>3. Rekomenduojame įsteigti specialų ES lygmens komitetą migracijos klausimams spręsti, kuris užtikrintų greitesnį atsaką į migracijos krizes ir valstybių narių teisę paaiškinti ir ginti savo nacionalinius interesus, taip pat parengti ir įgyvendinti bendras migracijos valdymo gaires.</w:t>
      </w:r>
    </w:p>
    <w:p>
      <w:pPr>
        <w:pStyle w:val="P68B1DB1Normal99"/>
        <w:widowControl w:val="false"/>
        <w:spacing w:lineRule="auto" w:line="240" w:before="78" w:after="0"/>
        <w:ind w:left="468" w:right="0" w:hanging="0"/>
        <w:jc w:val="left"/>
        <w:rPr/>
      </w:pPr>
      <w:r>
        <w:rPr/>
        <w:t xml:space="preserve">4. Rekomenduojame stiprinti ekonominius ir humanitarinius ryšius su Šiaurės Afrikos šalimis, nepamirštant politinių realijų, ypač siekiant sumažinti Kinijos, Rusijos ir kitų regiono valstybių įtaką. </w:t>
      </w:r>
    </w:p>
    <w:p>
      <w:pPr>
        <w:pStyle w:val="P68B1DB1Normal99"/>
        <w:widowControl w:val="false"/>
        <w:spacing w:lineRule="auto" w:line="240" w:before="78" w:after="0"/>
        <w:ind w:left="468" w:right="466" w:hanging="0"/>
        <w:jc w:val="left"/>
        <w:rPr/>
      </w:pPr>
      <w:r>
        <w:rPr/>
        <w:t xml:space="preserve">5. Rekomenduojame stiprinti ryšius su Rytų Europa ir skatinti ekonomines priemones asmeniniame lygmenyje. </w:t>
      </w:r>
    </w:p>
    <w:p>
      <w:pPr>
        <w:pStyle w:val="P68B1DB1Normal99"/>
        <w:widowControl w:val="false"/>
        <w:spacing w:lineRule="auto" w:line="240" w:before="78" w:after="0"/>
        <w:ind w:left="468" w:right="286" w:hanging="0"/>
        <w:jc w:val="left"/>
        <w:rPr/>
      </w:pPr>
      <w:r>
        <w:rPr/>
        <w:t xml:space="preserve">6. Primygtinai reikalaujame, kad ES užsienio subjektams taikomos sankcijos būtų griežtesnės, tikslingesnės ir susijusios su svarbiais valstybės, kuriai taikomos sankcijos, veikėjais (pvz., politiniais lyderiais). </w:t>
      </w:r>
    </w:p>
    <w:p>
      <w:pPr>
        <w:pStyle w:val="P68B1DB1Normal99"/>
        <w:widowControl w:val="false"/>
        <w:spacing w:lineRule="auto" w:line="240" w:before="78" w:after="0"/>
        <w:ind w:left="466" w:right="295" w:hanging="0"/>
        <w:jc w:val="left"/>
        <w:rPr/>
      </w:pPr>
      <w:r>
        <w:rPr/>
        <w:t>7. Primygtinai reikalaujame, kad ES bendra užsienio ir saugumo politika būtų grindžiama pagrindiniu įvairių ES valstybių narių ir įvairių Europos regionų bei visuomenių solidarumo principu.</w:t>
      </w:r>
    </w:p>
    <w:p>
      <w:pPr>
        <w:pStyle w:val="P68B1DB1Normal99"/>
        <w:widowControl w:val="false"/>
        <w:spacing w:lineRule="auto" w:line="240" w:before="78" w:after="0"/>
        <w:ind w:left="466" w:right="295" w:hanging="0"/>
        <w:jc w:val="left"/>
        <w:rPr/>
      </w:pPr>
      <w:r>
        <w:rPr/>
        <w:t xml:space="preserve">8. Rekomenduojame, kad ES iki šiol peržiūrėtų atvirumo politiką migracijos srityje, dėl kurios kyla saugumo problemų, didėja nusikalstamumas ir bendruomeniškumas visuomenėje. </w:t>
      </w:r>
    </w:p>
    <w:p>
      <w:pPr>
        <w:pStyle w:val="P68B1DB1Normal99"/>
        <w:widowControl w:val="false"/>
        <w:spacing w:lineRule="auto" w:line="240" w:before="78" w:after="0"/>
        <w:ind w:left="468" w:right="0" w:hanging="0"/>
        <w:jc w:val="left"/>
        <w:rPr/>
      </w:pPr>
      <w:r>
        <w:rPr/>
        <w:t xml:space="preserve">9. Kviečiame Lietuvą aktyviau kalbėti migracijos politikos klausimais ir pradėti diskusijas su migracija susijusiais klausimais. </w:t>
      </w:r>
    </w:p>
    <w:p>
      <w:pPr>
        <w:pStyle w:val="P68B1DB1Normal99"/>
        <w:widowControl w:val="false"/>
        <w:spacing w:lineRule="auto" w:line="240" w:before="78" w:after="0"/>
        <w:ind w:left="468" w:right="0" w:hanging="0"/>
        <w:jc w:val="left"/>
        <w:rPr>
          <w:rFonts w:ascii="Arial" w:hAnsi="Arial"/>
          <w:color w:val="000000"/>
          <w:sz w:val="20"/>
        </w:rPr>
      </w:pPr>
      <w:r>
        <w:rPr/>
        <w:t xml:space="preserve">10. Rekomenduojame, kad ES vykdytų aktyvią ir griežtą politiką valstybių, kurios naudoja migracijos srautus kaip ginklą hibridinių išpuolių atveju, atžvilgiu: viena vertus, taikant griežtesnes sankcijas ir, kita vertus, palaikant dialogą su jomis siekiant deeskalavimo.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Antroji sesija: ES ekonominis vaidmuo </w:t>
      </w:r>
    </w:p>
    <w:p>
      <w:pPr>
        <w:pStyle w:val="P68B1DB1Normal99"/>
        <w:widowControl w:val="false"/>
        <w:spacing w:lineRule="auto" w:line="240"/>
        <w:ind w:left="828" w:right="142" w:hanging="359"/>
        <w:jc w:val="both"/>
        <w:rPr/>
      </w:pPr>
      <w:r>
        <w:rPr/>
        <w:t xml:space="preserve">1. Rekomenduojame, kad ES sustiprintų būtiniausių prekių tiekimo saugumą įvairiomis priemonėmis: teikti pirmenybę ES vidaus prekybai, skatinti pažangių technologijų gamybą ir toliau įvairinti importo šaltinius. Taip pat rekomenduojame tyrinėti naujas eksporto rinkas. </w:t>
      </w:r>
    </w:p>
    <w:p>
      <w:pPr>
        <w:pStyle w:val="P68B1DB1Normal99"/>
        <w:widowControl w:val="false"/>
        <w:spacing w:lineRule="auto" w:line="240" w:before="83" w:after="0"/>
        <w:ind w:left="828" w:right="143" w:hanging="359"/>
        <w:jc w:val="both"/>
        <w:rPr/>
      </w:pPr>
      <w:r>
        <w:rPr/>
        <w:t xml:space="preserve">2. Rekomenduojame peržiūrėti derybų dėl gamtinių dujų sutarčių praktiką, atsižvelgiant į trumpalaikes ir ilgalaikes sutartis. Rekomenduojame toliau įvairinti energijos tiekimo šaltinius. </w:t>
      </w:r>
    </w:p>
    <w:p>
      <w:pPr>
        <w:pStyle w:val="P68B1DB1Normal99"/>
        <w:widowControl w:val="false"/>
        <w:spacing w:lineRule="auto" w:line="240" w:before="83" w:after="0"/>
        <w:ind w:left="828" w:right="143" w:hanging="359"/>
        <w:jc w:val="both"/>
        <w:rPr/>
      </w:pPr>
      <w:r>
        <w:rPr/>
        <w:t xml:space="preserve">3. Rekomenduojame, kad žaliojo kurso priemonės ir jų įgyvendinimas būtų vertinami atsižvelgiant į galimą neigiamą socialinį ir ekonominį poveikį. Siekiant įgyvendinti žaliojo kurso tikslus, rekomenduojame ne tik naudoti atsinaujinančiuosius energijos išteklius, bet ir naudoti branduolinę energiją ir gamtines dujas. </w:t>
      </w:r>
    </w:p>
    <w:p>
      <w:pPr>
        <w:pStyle w:val="P68B1DB1Normal99"/>
        <w:widowControl w:val="false"/>
        <w:spacing w:lineRule="auto" w:line="240" w:before="83" w:after="0"/>
        <w:ind w:left="828" w:right="143" w:hanging="359"/>
        <w:jc w:val="both"/>
        <w:rPr/>
      </w:pPr>
      <w:r>
        <w:rPr/>
        <w:t xml:space="preserve">4. Pabrėžiame, jog ypač svarbu, kad visos valstybės narės laikytųsi ES teisės viršenybės principo. Pavyzdžiui, prašome, kad Lietuva šiuo klausimu turėtų aiškią principinę poziciją. </w:t>
      </w:r>
    </w:p>
    <w:p>
      <w:pPr>
        <w:pStyle w:val="P68B1DB1Normal99"/>
        <w:widowControl w:val="false"/>
        <w:spacing w:lineRule="auto" w:line="240" w:before="83" w:after="0"/>
        <w:ind w:left="828" w:right="142" w:hanging="359"/>
        <w:jc w:val="both"/>
        <w:rPr/>
      </w:pPr>
      <w:r>
        <w:rPr/>
        <w:t>5. Rekomenduojame Lietuvai aktyviau naudotis ES šalių gerąja patirtimi siekiant aukštesnių socialinių standartų, ekonominės plėtros ir subalansuotos bei tvarios plėtros.</w:t>
      </w:r>
    </w:p>
    <w:p>
      <w:pPr>
        <w:pStyle w:val="P68B1DB1Normal99"/>
        <w:widowControl w:val="false"/>
        <w:spacing w:lineRule="auto" w:line="240" w:before="83" w:after="0"/>
        <w:ind w:left="828" w:right="142" w:hanging="359"/>
        <w:jc w:val="both"/>
        <w:rPr/>
      </w:pPr>
      <w:r>
        <w:rPr/>
        <w:t xml:space="preserve">6. Rekomenduojame daugiau dėmesio skirti kibernetinio saugumo stiprinimui, taip pat duomenų ir infrastruktūros apsaugai. </w:t>
      </w:r>
    </w:p>
    <w:p>
      <w:pPr>
        <w:pStyle w:val="P68B1DB1Normal99"/>
        <w:widowControl w:val="false"/>
        <w:spacing w:lineRule="auto" w:line="240" w:before="83" w:after="0"/>
        <w:ind w:left="821" w:right="143" w:hanging="354"/>
        <w:jc w:val="both"/>
        <w:rPr/>
      </w:pPr>
      <w:r>
        <w:rPr/>
        <w:t xml:space="preserve">7. Rekomenduojame, kad ES ir valstybės narės pirmenybę teiktų piliečių pagrindinių ekonominių žinių plėtojimui, švietimui ir informacijos sklaidai. </w:t>
      </w:r>
    </w:p>
    <w:p>
      <w:pPr>
        <w:pStyle w:val="P68B1DB1Normal99"/>
        <w:widowControl w:val="false"/>
        <w:spacing w:lineRule="auto" w:line="240" w:before="45" w:after="0"/>
        <w:ind w:left="821" w:right="143" w:hanging="354"/>
        <w:jc w:val="both"/>
        <w:rPr/>
      </w:pPr>
      <w:r>
        <w:rPr/>
        <w:t xml:space="preserve">8. Rekomenduojame į naujus ES prekybos susitarimus įtraukti plataus užmojo socialinius, darbo ir sveikatos standartus. Rekomenduojame ES lygmeniu parengti gaires dėl to, ką daryti, o ką daryti, bet neturi teisės daryti socialinės žiniasklaidos platformų, kurios tvarko vartotojų asmens duomenis ir informaciją apie juos. </w:t>
      </w:r>
    </w:p>
    <w:p>
      <w:pPr>
        <w:pStyle w:val="P68B1DB1Normal99"/>
        <w:widowControl w:val="false"/>
        <w:spacing w:lineRule="auto" w:line="240" w:before="42" w:after="0"/>
        <w:ind w:left="821" w:right="143" w:hanging="354"/>
        <w:jc w:val="both"/>
        <w:rPr/>
      </w:pPr>
      <w:r>
        <w:rPr/>
        <w:t>9. Rekomenduojame toliau svarstyti galimybę bendrai skolintis ES lygmeniu, kad būtų sudarytos kuo geresnės skolinimosi sąlygos. Taip pat rekomenduojame parengti finansiškai patikimą ir atsakingą politiką, kad būtų sumažintas valstybių narių įsiskolinimo poreikis.</w:t>
      </w:r>
    </w:p>
    <w:p>
      <w:pPr>
        <w:pStyle w:val="P68B1DB1Normal99"/>
        <w:widowControl w:val="false"/>
        <w:spacing w:lineRule="auto" w:line="240" w:before="42" w:after="0"/>
        <w:ind w:left="821" w:right="143" w:hanging="354"/>
        <w:jc w:val="both"/>
        <w:rPr/>
      </w:pPr>
      <w:r>
        <w:rPr/>
        <w:t>10. Rekomenduojame stiprinti ES lėšų įsisavinimo ir naudojimo stebėseną, padedant vietos valdžios institucijoms nustatyti tikrą lėšų panaudojimo koregavimo praktiką. Kadangi gali pasikeisti objektyvi ES lėšų gavėjų padėtis, skaidrumo ir lankstumo reikalavimų susiejimas yra ypač svarbus.</w:t>
      </w:r>
    </w:p>
    <w:p>
      <w:pPr>
        <w:pStyle w:val="P68B1DB1Normal99"/>
        <w:widowControl w:val="false"/>
        <w:spacing w:lineRule="auto" w:line="240" w:before="42" w:after="0"/>
        <w:ind w:left="821" w:right="143" w:hanging="354"/>
        <w:jc w:val="both"/>
        <w:rPr/>
      </w:pPr>
      <w:r>
        <w:rPr/>
        <w:t xml:space="preserve">11. Rekomenduojame Lietuvai toliau aktyviai skatinti ekonominę plėtrą ir investicijas šalies regionuose.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Diskusijos Nacionalinėje piliečių grupėje ir rezultatų analizė </w:t>
      </w:r>
    </w:p>
    <w:p>
      <w:pPr>
        <w:pStyle w:val="P68B1DB1Normal76"/>
        <w:widowControl w:val="false"/>
        <w:spacing w:lineRule="auto" w:line="240" w:before="46" w:after="0"/>
        <w:ind w:left="0" w:right="29" w:hanging="0"/>
        <w:jc w:val="both"/>
        <w:rPr/>
      </w:pPr>
      <w:r>
        <w:rPr/>
        <w:t xml:space="preserve">Nacionalinio piliečių forumo dalyviai aptarė aktualiausius Lietuvai aktualiausius klausimus (dažniausiai aptartus nacionaliniu lygmeniu politinėje ir žiniasklaidos arenoje) ir kaip juos spręsti. Bendras balsavimas dėl pagrindinių komisijos išvadų parodė, kad beveik 45 proc. visų per dvi sesijas atiduotų balsų buvo skirti pasiūlymams dviem temomis: santykiai su Kinija ir migracijos srautų kontrolė (žr. toliau pateiktą lentelę). Daug dėmesio sulaukė ir energetikos politikos tema. Dėl jo buvo pateiktas tik vienas pasiūlymas, tačiau už jį balsavo beveik 10 proc. dalyvių. Šių balsų rezultatai rodo, kad piliečių suvokimas apie Europos ateitį galėtų būti lemiamas šiandienos politiniams klausimams ir naujienoms (nacionaliniu lygmeniu).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Rekomendacijos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Balsavimas</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Pirmoji sesija: ES vaidmuo ir kompetencija užsienio politikoje</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Raginame ES parengti veiksmingesnę politiką Kinijos atžvilgiu. Dabartinės paramos Lietuvai nepakanka, tačiau Lietuva taip pat nepakankamai suderino savo poziciją su ES partnerių pozicija. Siekdami užtikrinti geresnę interesų pusiausvyrą ES ir kad Kinijos atžvilgiu būtų vykdoma tik viena politika, taip pat kitais užsienio politikos klausimais, rekomenduojame apsvarstyti galimybę įsteigti ES užsienio reikalų ministrą.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proc.) svarbi visai Europai: 8. asmeniškai: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Rekomenduojame į darbotvarkę įtraukti klausimą dėl migrantų kvotų ES lygmeniu.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proc.) svarbi visai Europai: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Rekomenduojame įsteigti specialų ES lygmens komitetą migracijos klausimams spręsti, kuris užtikrintų greitesnį atsaką į migracijos krizes ir valstybių narių teisę paaiškinti ir ginti savo nacionalinius interesus, taip pat parengti ir įgyvendinti bendras migracijos valdymo gaires.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proc.) svarbi visai Europai: 3. asmeniškai: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Rekomenduojame stiprinti ekonominius ir humanitarinius ryšius su Šiaurės Afrikos šalimis, nepamirštant politinių realijų, ypač siekiant sumažinti Kinijos, Rusijos ir kitų regiono valstybių įtaką.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proc.) svarbi asmeninėms reikmėms: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Rekomenduojame stiprinti ryšius su Rytų Europa ir taikyti ekonomines priemones žmonių lygmeniu.</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proc.) asmeniškai svarbūs: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Antroji sesija: ES ekonominis vaidmuo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Rekomenduojame, kad ES imtųsi įvairių veiksmų būtiniausių prekių tiekimo saugumui didinti: teikti pirmenybę ES vidaus prekybai, skatinti pažangių technologijų gamybą ES ir toliau įvairinti importo šaltinius. Taip pat rekomenduojame tyrinėti naujas eksporto rinkas.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proc.) svarbi visai Europai: 3. asmeniškai: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Rekomenduojame peržiūrėti derybų dėl gamtinių dujų sutarčių praktiką, atsižvelgiant į trumpalaikes ir ilgalaikes sutartis. Rekomenduojame toliau įvairinti energijos tiekimo šaltinius.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proc.) svarbi visai Europai: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Rekomenduojame, kad žaliojo kurso priemonės ir jų įgyvendinimas būtų vertinami atsižvelgiant į galimą neigiamą socialinį ir ekonominį poveikį. Siekiant įgyvendinti žaliojo kurso tikslus, rekomenduojame ne tik naudoti atsinaujinančiuosius energijos išteklius, bet ir naudoti branduolinę energiją ir gamtines dujas.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proc.) svarbi asmeninėms reikmėms: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Pabrėžiame, jog svarbu, kad visos valstybės narės laikytųsi ES teisės viršenybės principo. Pavyzdžiui, prašome, kad Lietuva šiuo klausimu turėtų aiškią principinę poziciją.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proc.) svarbus visai Europai: 2. asmeniškai: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Be to, piliečiams svarbiausi klausimai, t. y. santykiai su Kinija, migracija ar energetika, yra laikini: jų rezoliucija turės esminį poveikį ilgalaikei Europos ateičiai. Todėl tikimybė, kad piliečiai, galvojantys apie ateitį, teiks pirmenybę tam, kas šiuo metu svarbu, nėra problemiška. Kadangi ateities kūrimas šiandien prasideda nuo daugybės nedidelių žingsnių, piliečių lūkesčių suvokimas trumpuoju laikotarpiu yra esminė sąlyga siekiant užtikrinti tvirtą ilgalaikę procesų kontrolę ir problemų sprendimą. Toliau pateikta nacionalinių piliečių grupės pagrindinių rezultatų analizė grindžiama šia pastaba.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Didžiausią balsų skaičių (11 arba beveik 12 proc.) surinkusi rezoliucija rodo</w:t>
      </w:r>
      <w:r>
        <w:rPr>
          <w:b/>
        </w:rPr>
        <w:t>, kad ES reikia veiksmingesnės politikos Kinijos atžvilgiu</w:t>
      </w:r>
      <w:r>
        <w:rPr/>
        <w:t xml:space="preserve">. Ši bendra išvada apėmė keletą konkretesnių pareiškimų. Pirma, dalyviai pabrėžė, kad šiame etape ES parama Lietuvai, atsižvelgiant į Kinijos ekonominį spaudimą, nebuvo pakankama. Antra, grupės atstovai, pateikę išvadą, pabrėžė, kad pati Lietuva turėtų dėti daugiau pastangų, kad suderintų savo politiką Kinijos atžvilgiu su ES partnerių politika, visų pirma todėl, kad svarbu, jog visa ES toliau vykdytų prekybą su Kinija. Trečia, piliečiai iškėlė mintį, kad pozicijų koordinavimas ir bendros politikos Kinijos atžvilgiu plėtojimas galėtų būti veiksmingesnis, jei būtų įsteigtas ES užsienio reikalų ministras. Aštuoni dalyviai pareiškė, kad ši išvada yra ypač svarbi visai Europai, o kiti trys pareiškė, kad tai svarbu jiems asmeniškai.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Santykių su Kinija klausimas yra glaudžiai susijęs su kitais dviem pasiūlymais, kuriuose yra daug piliečių balsų. Devyni dalyviai balsavo už antrojoje sesijoje padarytą išvadą, kad </w:t>
      </w:r>
      <w:r>
        <w:rPr>
          <w:b/>
        </w:rPr>
        <w:t>ES turi stiprinti tiekimo saugumą</w:t>
      </w:r>
      <w:r>
        <w:rPr/>
        <w:t xml:space="preserve"> (trys dalyviai nurodė, kad tai ypač svarbu visai Europai, o šeši kiti nurodė, kad tai yra jiems asmeniškai). Į šią išvadą taip pat įtraukti keli aspektai. Pirma, piliečiai pabrėžė, kad pirmenybę reikia teikti ES rinkoms, kurioms būdingi patikimi tiekėjai ir griežtus standartus atitinkantys produktai. Antra, dalyviai pabrėžė būtinybę skatinti aukštųjų technologijų gamybos pajėgumus pačioje Europoje. Trečia, piliečiai išreiškė paramą didesniam importo šaltinių įvairinimui. Formuluodami šias rekomendacijas, diskusijų dalyviai nuosekliai rėmėsi Kinijos veiksniu: saugumo grėsmės, susijusios su Kinijos prekėmis, priklausomybė nuo Kinijos žaliavų, reikalingų pažangioms technologijoms gaminti, taip pat Kinijos praktika kopijuoti ir pavogti technologijas iš jos rinkoje veikiančių Vakarų įmonių. Pasiūlymas</w:t>
      </w:r>
      <w:r>
        <w:rPr>
          <w:b/>
        </w:rPr>
        <w:t xml:space="preserve"> plėtoti ES ekonominį ir humanitarinį bendradarbiavimą su Šiaurės Afrikos šalimis</w:t>
      </w:r>
      <w:r>
        <w:rPr/>
        <w:t xml:space="preserve"> taip pat gavo šešis balsus (svarbu asmeniškai), nes šiame regione svarbu sumažinti Kinijos, Rusijos ir kitų draugiškų valstybių įtaką.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Balsavimo rezultatai taip pat atspindėjo piliečių susirūpinimą migracijos klausimais. Dvi iš trijų svarbiausių užsienio politikos išvadų buvo skirtos migracijai. Devyni dalyviai balsavo už pasiūlymą, </w:t>
      </w:r>
      <w:r>
        <w:rPr>
          <w:b/>
        </w:rPr>
        <w:t>kad ES grįžtų prie privalomų migrantų priėmimo kvotų sistemos sukūrimo valstybėms narėms</w:t>
      </w:r>
      <w:r>
        <w:rPr/>
        <w:t xml:space="preserve"> (visi pabrėžė, kad šis pasiūlymas yra ypač svarbus visai Europai). Šią išvadą padarę dalyviai pareiškė pritariantys tam, kad nacionalinės kvotos būtų nustatomos atsižvelgiant į gyventojų skaičių ir kad ES bendras finansavimas atitiktų migrantų poreikius pagal šias kvotas. Septyni dalyviai vis dar balsavo už pasiūlymą </w:t>
      </w:r>
      <w:r>
        <w:rPr>
          <w:b/>
        </w:rPr>
        <w:t>ES lygmeniu įsteigti nuolatinę techninę komisiją migracijos klausimams spręsti, į kurią būtų komandiruoti valstybių narių atstovai</w:t>
      </w:r>
      <w:r>
        <w:rPr/>
        <w:t xml:space="preserve"> (trys dalyviai mano, kad šis pasiūlymas yra ypač svarbus visai Europai, o keturi mano, kad tai jiems svarbu atsižvelgiant į jų asmeninius gebėjimus). Dalyviai pabrėžė, kad toks organas galėtų padėti ES greičiau reaguoti į migracijos krizes, kartu užtikrinant pusiausvyrą tarp tinkamos pagarbos bendriesiems ES principams ir valstybių narių teisės ginti savo nacionalinius interesus ir saugumą.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Diskusijų dėl migracijos politikos metu dalyviai aptarė dvi skirtingas migracijos srautų valdymo krizes: 2016 m. migracijos krizė Viduržemio jūroje ir 2012 m. Baltarusijos hibridinis išpuolis prieš Lietuvą, Latviją ir Lenkiją, kurio metu Minskas panaudojo migrantus iš Artimųjų Rytų ir Afrikos. Keletas ekspertų grupės dalyvių teigė, kad 2016 m. krizė atrodė tolima ir nereikšminga tiek visai Lietuvai, tiek jiems asmeniškai, o pasiūlymas sukurti migrantų kvotų sistemą jiems neatrodo tinkamas. Pasak dalyvių, hibridinio išpuolio patirtis suartino migracijos klausimą Rytų Europoje ir priversta taikyti kvotas kaip pritaikytą, veiksmingą ir solidarumu grindžiamą migracijos politikos priemonę. Kai kurie dalyviai nurodė, kad 2021 m. krizės įkarštyje tapo sunku atskirti šalies teritorijoje esančius asmenis, pabėgėlius, migrantus ir grėsmę keliančius asmenis. Visi diskusijų dalyviai sutarė, kad dabartinė „atvira“ ES migracijos politika nepakankamai atsižvelgia į migracijos keliamas grėsmes, valstybių narių nacionalinius interesus, jų gebėjimą integruoti migrantus ir pan.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Apibendrinant galima teigti, kad du karščiausių Lietuvos naujienų 2021 m. elementai – santykiai su Kinija ir migracijos srautų valdymas – skatina Lietuvos piliečius reikalauti, kad ES aktyviau įsikištų ir turėtų veiksmingesnę bendrą politiką. Piliečiai nerimauja dėl Kinijos politikos ir didėjančios jos įtakos Europoje ir ES kaimyninėse šalyse. Reikia pripažinti, kad Kinijos ekonominė įtaka verčia Europą ieškoti tinkamų ir subalansuotų politikos priemonių. Piliečių nuomone, pagrindinis sprendimas – stiprinti ES bendros užsienio politikos priemones, pramonės politiką ir bendradarbiavimą su kaimyninėmis šalimis. Be to, piliečiai laikėsi nuomonės, kad bendri veiksmai ES lygmeniu ir galima nauja migracijos kvotų sistema tikriausiai yra tinkamiausias būdas išvengti migracijos keliamų grėsmių saugumui, taip pat greitai ir veiksmingai kontroliuoti migracijos srautus į Europą. Ekspertų grupės nuomone, geriausias atsakas į didėjantį Kinijos spaudimą ir į Baltarusijos hibridinę ataką būtų turėti tvirtą ir sustiprintą bendrą ES politiką.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Šią nuomonę dėl aptariamų krizių galima palyginti su ekspertų grupės narių pasiūlymais energetikos ir klimato klausimais. 2021 m. pabaigoje daugelis Lietuvos piliečių turėjo tiesiogiai spręsti kylančias šildymo kainas, o energijos kainų krizė greitai pasirodė esanti viena svarbiausių naujienų Lietuvai. Nuogąstavimai dėl energijos kainų taip pat atsispindi dalyvių balsavime: devyni piliečiai netgi balsavo už išvadą, kad šis klausimas yra svarbiausias visai Europai. Pagrindinė dalyvių rekomendacija buvo</w:t>
      </w:r>
      <w:r>
        <w:rPr>
          <w:b/>
        </w:rPr>
        <w:t xml:space="preserve"> peržiūrėti dabartinę valstybių narių praktiką sudarant energijos tiekimo sutartis su įvairiais tiekėjais ir stengiantis jas sudaryti tiek trumpuoju, tiek ilguoju laikotarpiu.</w:t>
      </w:r>
      <w:r>
        <w:rPr/>
        <w:t xml:space="preserve"> Kitaip tariant, piliečiai pritarė energijos tiekimo šaltinių įvairinimo politikai, tačiau nepateikė rekomendacijų dėl bendros ES politikos ir nerekomenduojo toliau integruoti energetikos politiką.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Kalbant </w:t>
      </w:r>
      <w:r>
        <w:rPr>
          <w:b/>
        </w:rPr>
        <w:t>apie klimato politiką, piliečiai rekomendavo įvertinti žaliojo kurso priemones, atsižvelgdami į numatomą socialinį ir ekonominį poveikį ir užmojus.</w:t>
      </w:r>
      <w:r>
        <w:rPr/>
        <w:t xml:space="preserve"> Šis pasiūlymas sulaukė šešių dalyvių nuomonės, iš kurių kiekvienas manė, kad tai svarbu asmeniškai. Kai kurie dalyviai išreiškė susirūpinimą dėl pernelyg spartaus vadinamojo perėjimo prie žaliosios ekonomikos tempo ir teigė, kad Lietuva turėtų atidžiau įvertinti, ar tokia politika pakenktų šalies ir jos piliečių interesams. Kai kurie dalyviai taip pat atgaivino poreikį naudoti ne tik atsinaujinančią energiją, bet ir branduolinę energiją bei gamtines dujas. Pagrįsdamos šią poziciją, jos nurodė Vokietijos sprendimą toliau naudoti gamtines dujas, taip pat naujos kartos „modulinių“ branduolinių reaktorių potencialą. Todėl klimato politikos srityje ekspertų grupė pirmenybę teikė valstybių narių politikai, atitinkančiai nacionalinius poreikius, o ne plataus užmojo bendrą ES klimato valdymo politiką.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Atsižvelgiant į palyginti nedidelį grupės dalyvių skaičių ir į tai, kad piliečiai skirtingai reaguoja į įvairias krizes (veiksmų vienybė arba didesnis lankstumas), būtų neteisinga čia svarstyti apibendrinamąsias ir plačiai taikomas priemones. Tačiau tokia nuomonių reiškimo dinamika gali paskatinti siūlyti Lietuvos piliečių būsimų nuomonių studijoms ES integracijos klausimais aktualias temas, kuriose reikėtų atsižvelgti į tai, ką piliečiai sako apie autonomišką ES politiką, institucinės tvarkos pokyčius ir skirtumus.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Piliečių forumo rezultatai platesniame viešosios nuomonės kontekste Lietuvoje </w:t>
      </w:r>
    </w:p>
    <w:p>
      <w:pPr>
        <w:pStyle w:val="Normal"/>
        <w:widowControl w:val="false"/>
        <w:spacing w:lineRule="auto" w:line="240"/>
        <w:ind w:left="0" w:right="1" w:hanging="0"/>
        <w:jc w:val="both"/>
        <w:rPr/>
      </w:pPr>
      <w:r>
        <w:rPr>
          <w:color w:val="000000"/>
        </w:rPr>
        <w:t xml:space="preserve">Siekiant kontekstualizuoti Nacionalinės piliečių grupės rezultatus, paskutinėje dalyje jie trumpai palyginami su dviejų dabartinių nuomonių apklausų rezultatais ir tarpiniais kitų parengiamųjų darbų, susijusių su Konferencija dėl Europos ateities, rezultatais. Pirmoji šios ataskaitos dalis susijusi su 2020 m. spalio ir lapkričio mėn. atlikta piliečių </w:t>
      </w:r>
      <w:hyperlink r:id="rId114">
        <w:r>
          <w:rPr>
            <w:rStyle w:val="LienInternet"/>
            <w:color w:val="0563C1"/>
          </w:rPr>
          <w:t>ES</w:t>
        </w:r>
      </w:hyperlink>
      <w:r>
        <w:rPr>
          <w:color w:val="000000"/>
        </w:rPr>
        <w:t>obarometro</w:t>
      </w:r>
      <w:hyperlink r:id="rId115">
        <w:r>
          <w:rPr>
            <w:color w:val="000000"/>
          </w:rPr>
          <w:t xml:space="preserve"> </w:t>
        </w:r>
      </w:hyperlink>
      <w:hyperlink r:id="rId116">
        <w:r>
          <w:rPr>
            <w:rStyle w:val="LienInternet"/>
            <w:color w:val="0563C1"/>
          </w:rPr>
          <w:t>apklausa</w:t>
        </w:r>
      </w:hyperlink>
      <w:r>
        <w:rPr>
          <w:color w:val="000000"/>
        </w:rPr>
        <w:t xml:space="preserve">dėl Konferencijos dėl Europos ateities; antrasis pagal naujausią </w:t>
      </w:r>
      <w:hyperlink r:id="rId117">
        <w:r>
          <w:rPr>
            <w:rStyle w:val="LienInternet"/>
            <w:color w:val="0563C1"/>
          </w:rPr>
          <w:t>standartinę „Eurobarometro“ apklausą</w:t>
        </w:r>
      </w:hyperlink>
      <w:r>
        <w:rPr>
          <w:color w:val="000000"/>
        </w:rPr>
        <w:t xml:space="preserve">, atliktas 2021 m. vasarą. Atsižvelgiant į tai, kad kai kuriuose šių tyrimų klausimuose daugiausia dėmesio skirta kitoms politinėms temoms ir piliečių lūkesčiams, susijusiems su pačia konferencija, toliau pateikiamas palyginimas su klausimais, kurie iš tikrųjų buvo nagrinėjami grupėje. Konferencijos dėl Europos ateities parengiamojo darbo rezultatai buvo nagrinėjami remiantis preliminaria šio darbo ataskaita, kurią parengė RESC, įskaitant piliečių, dalyvavusių darbe įvairiais ES politikos klausimais, pareiškimus.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w:t>
      </w:r>
      <w:r>
        <w:rPr/>
        <w:t xml:space="preserve">Eurobarometro“ apklausų rezultatai rodo, kad Piliečių forumo dalyvių diskusijos ir balsai gana gerai atspindi vyraujančias Lietuvos visuomenės nuomones. Grupės dalyvių rekomendacijos stiprinti bendrą užsienio ir migracijos politiką, dalyvaujant ES lygmens sprendimuose, atitinka platesnių viešosios nuomonės apklausų išvadas: </w:t>
      </w:r>
    </w:p>
    <w:p>
      <w:pPr>
        <w:pStyle w:val="P68B1DB1Normal76"/>
        <w:widowControl w:val="false"/>
        <w:spacing w:lineRule="auto" w:line="240"/>
        <w:ind w:left="361" w:right="1" w:hanging="0"/>
        <w:jc w:val="left"/>
        <w:rPr/>
      </w:pPr>
      <w:r>
        <w:rPr>
          <w:rFonts w:ascii="Garamond" w:hAnsi="Garamond"/>
        </w:rPr>
        <w:t>Lietuvos</w:t>
      </w:r>
      <w:r>
        <w:rPr/>
        <w:t xml:space="preserve"> piliečiai ES bendrą gynybos politiką remia daugiau nei ES vidurkis (90 proc., palyginti su 78 proc.); </w:t>
      </w:r>
    </w:p>
    <w:p>
      <w:pPr>
        <w:pStyle w:val="P68B1DB1Normal76"/>
        <w:widowControl w:val="false"/>
        <w:spacing w:lineRule="auto" w:line="240"/>
        <w:ind w:left="361" w:right="3" w:hanging="0"/>
        <w:jc w:val="left"/>
        <w:rPr/>
      </w:pPr>
      <w:r>
        <w:rPr>
          <w:rFonts w:ascii="Garamond" w:hAnsi="Garamond"/>
        </w:rPr>
        <w:t>Lietuvos</w:t>
      </w:r>
      <w:r>
        <w:rPr/>
        <w:t xml:space="preserve"> piliečiai pritaria ES bendrai migracijos politikai daugiau nei ES vidurkis (76 proc., palyginti su 71 proc.; šis skirtumas neviršija paklaidos ribos); </w:t>
      </w:r>
    </w:p>
    <w:p>
      <w:pPr>
        <w:pStyle w:val="P68B1DB1Normal76"/>
        <w:widowControl w:val="false"/>
        <w:spacing w:lineRule="auto" w:line="240"/>
        <w:ind w:left="360" w:right="2" w:hanging="0"/>
        <w:jc w:val="left"/>
        <w:rPr/>
      </w:pPr>
      <w:r>
        <w:rPr>
          <w:rFonts w:ascii="Garamond" w:hAnsi="Garamond"/>
        </w:rPr>
        <w:t>Lietuvos</w:t>
      </w:r>
      <w:r>
        <w:rPr/>
        <w:t xml:space="preserve"> piliečiai migraciją laiko viena iš dviejų pagrindinių ES problemų; </w:t>
      </w:r>
    </w:p>
    <w:p>
      <w:pPr>
        <w:pStyle w:val="P68B1DB1Normal76"/>
        <w:widowControl w:val="false"/>
        <w:spacing w:lineRule="auto" w:line="240"/>
        <w:ind w:left="360" w:right="3" w:hanging="0"/>
        <w:jc w:val="left"/>
        <w:rPr/>
      </w:pPr>
      <w:r>
        <w:rPr>
          <w:rFonts w:ascii="Garamond" w:hAnsi="Garamond"/>
        </w:rPr>
        <w:t>Lietuvos</w:t>
      </w:r>
      <w:r>
        <w:rPr/>
        <w:t xml:space="preserve"> piliečiai nori, kad daugiau problemų būtų išspręsta ES lygmeniu (49 proc., palyginti su 42 proc.). </w:t>
      </w:r>
    </w:p>
    <w:p>
      <w:pPr>
        <w:pStyle w:val="P68B1DB1Normal76"/>
        <w:widowControl w:val="false"/>
        <w:spacing w:lineRule="auto" w:line="240" w:before="83" w:after="0"/>
        <w:ind w:left="0" w:right="3" w:hanging="0"/>
        <w:jc w:val="both"/>
        <w:rPr/>
      </w:pPr>
      <w:r>
        <w:rPr/>
        <w:t xml:space="preserve">Lietuvos piliečiai, dalyvavę Konferencijos dėl Europos ateities parengiamuosiuose renginiuose, taip pat pabrėžė bendradarbiavimo gynybos srityje svarbą ir tai, kad ES bendra migracijos politika ir ES užsienio politika yra sritys, kuriose Lietuvai būtų naudinga didesnė ES intervencija.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w:t>
      </w:r>
      <w:r>
        <w:rPr/>
        <w:t xml:space="preserve">Eurobarometro“ duomenys galėtų atskleisti grupės dalyvių nuomonę apie santykius su Kinija ir energijos kainas: Lietuviai yra labiau už ES vidurkį susirūpinę dėl santykių tarp pasaulio šalių žlugimo ir dėl to augančios geopolitinės įtampos (33 %, palyginti su 18 %). Ekspertų grupės išvados dėl poreikio vykdyti platesnio užmojo politiką Kinijos atžvilgiu taip pat sutampa su šiais duomenimis, taip pat pirmiau minėta pozicija, kuria pritariama ES lygmens sprendimų priėmimui ir bendrai ES gynybos politikai. Kita vertus, grupės dalyvių rūpestis įvairiais sprendimais mažinti energijos kainas gali būti susijęs su tuo, kad lietuviai labiau nei ES vidurkis nerimauja dėl didėjančios infliacijos ir kainų kilimo (53 %, palyginti su 23 %). Jautrumą didėjančiai infliacijai lemia tai, kad kainų kilimo kontrolė atrodo svarbesnė už bendrą ES politikos formavimą ar kitus politikos tikslus.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w:t>
      </w:r>
      <w:r>
        <w:rPr/>
        <w:t xml:space="preserve">Eurobarometro“ duomenys taip pat rodo įdomų Lietuvos gyventojų požiūrį į migracijos problemą politiniu požiūriu. 2020 m. apklausoje Lietuvos gyventojai nurodė, kad migracija yra svarbus iššūkis ES ateičiai (16 proc., palyginti su 27 proc.), palyginti su ES vidurkiu; 2021 m. apklausoje 32 proc. Lietuvos respondentų laikė migraciją viena iš pagrindinių ES problemų (palyginti su vidutiniškai 25 proc. visoje ES). Nors šis požiūris gali pasikeisti dėl skirtingo klausimo formuluočių, jis sutampa su tuo, ką grupės dalyviai pasakė diskusijose apie jų nuomonių migracijos klausimais raidą.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Be to, piliečių grupės rezultatų palyginimas su „Eurobarometro“ duomenimis rodo, kad, viena vertus, palyginti atsargi grupės dalyvių nuomonė apie ES politiką ir, kita vertus, Lietuvos piliečių susirūpinimas klimato kaitos klausimais skiriasi. Nors grupės dalyviai ragino įvertinti, ar žaliasis kursas nėra pernelyg ambicingas ir nepakenks Lietuvos interesams, lietuviai, „Eurobarometro“ tyrimų duomenimis, nuosekliai nurodė, kad klimato kaita yra vienas iš pagrindinių ES iššūkių. 2020 m. apklausoje 47 proc. Lietuvos respondentų laikė klimatą vienu iš svarbiausių iššūkių Europos ateičiai (palyginti su 45 proc. vidutiniškai visoje ES). 2021 m. apklausoje taip pat dalyvavo 28 proc. Lietuvos respondentų (nuo vidutiniškai 25 proc. visoje ES). Pažymėtina, kad kituose parengiamuosiuose Konferencijos dėl Europos ateities renginiuose dalyvavę piliečiai klimato politiką taip pat nurodė kaip vieną iš sričių, kuriose Lietuva būtų labiausiai suinteresuota stipresne ES intervencija. Šį neatitikimą tikriausiai galima paaiškinti grupės dalyvių balsavimo motyvais: visi tie, kurie balsavo už rekomendaciją iš naujo įvertinti žaliojo kurso priemones, nurodė, kad tai jiems asmeniškai svarbu. Kitaip tariant, asmeninė opozicija neprieštarautų išvadai, kad klimato kaita yra vienas iš svarbiausių ES politikos uždavinių.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Nacionalinės kolegijos: Nyderlandai</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Vaizdas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Vaizdas46" descr=""/>
                    <pic:cNvPicPr>
                      <a:picLocks noChangeAspect="1" noChangeArrowheads="1"/>
                    </pic:cNvPicPr>
                  </pic:nvPicPr>
                  <pic:blipFill>
                    <a:blip r:embed="rId118"/>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M</w:t>
      </w:r>
      <w:r>
        <w:rPr>
          <w:rFonts w:ascii="Calibri" w:hAnsi="Calibri"/>
          <w:b/>
          <w:i/>
          <w:color w:val="000000"/>
          <w:sz w:val="48"/>
        </w:rPr>
        <w:t>ūsų Europos vizija</w:t>
      </w:r>
    </w:p>
    <w:p>
      <w:pPr>
        <w:pStyle w:val="P68B1DB1Normal103"/>
        <w:widowControl w:val="false"/>
        <w:spacing w:lineRule="exact" w:line="499" w:before="100" w:after="0"/>
        <w:ind w:left="0" w:right="0" w:hanging="0"/>
        <w:jc w:val="left"/>
        <w:rPr>
          <w:rFonts w:ascii="Calibri" w:hAnsi="Calibri"/>
          <w:i/>
          <w:i/>
          <w:color w:val="000000"/>
          <w:sz w:val="32"/>
        </w:rPr>
      </w:pPr>
      <w:r>
        <w:rPr/>
        <w:t xml:space="preserve">Nuomonės, idėjos ir rekomendacijos </w:t>
      </w:r>
    </w:p>
    <w:p>
      <w:pPr>
        <w:pStyle w:val="P68B1DB1Normal104"/>
        <w:widowControl w:val="false"/>
        <w:spacing w:lineRule="exact" w:line="339" w:before="101" w:after="0"/>
        <w:ind w:left="0" w:right="0" w:hanging="0"/>
        <w:jc w:val="left"/>
        <w:rPr>
          <w:rFonts w:ascii="Calibri" w:hAnsi="Calibri"/>
          <w:color w:val="000000"/>
          <w:sz w:val="21"/>
        </w:rPr>
      </w:pPr>
      <w:r>
        <w:rPr/>
        <w:t xml:space="preserve">Temos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Vertybės ir teisės, teisinė valstybė ir saugumas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Stipresnė ekonomika, socialinis teisingumas ir užimtumas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Europos demokratija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Skaitmeninė transformacija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Švietimas, kultūra, jaunimas ir sportas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2021 m. gruodžio 3 d. </w:t>
      </w:r>
    </w:p>
    <w:p>
      <w:pPr>
        <w:pStyle w:val="Normal"/>
        <w:widowControl w:val="false"/>
        <w:spacing w:lineRule="exact" w:line="282" w:before="1" w:after="0"/>
        <w:ind w:left="0" w:right="37" w:hanging="0"/>
        <w:jc w:val="left"/>
        <w:rPr/>
      </w:pPr>
      <w:r>
        <w:rPr>
          <w:rFonts w:ascii="Calibri" w:hAnsi="Calibri"/>
          <w:color w:val="000000"/>
          <w:sz w:val="21"/>
        </w:rPr>
        <w:t xml:space="preserve">Šis dokumentas yra pranešimo „Eleven kijk op Europa; Meningen, ideeėn en Aanbevelingen"(„Mūsų Europos vizija: nuomonės, idėjos ir rekomendacijos“, kuri 2021 m. gruodžio 3 d. paskelbta olandų kalba www.kijkopeuropa.nl. Šis vertimas yra supaprastinta ataskaitos versija, kurioje originalus pateikimas (iliustracijos ir kiti grafiniai elementai) buvo pakeistas vertimo tikslais.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Mūsų vizija...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Ataskaitos santrauka: visos rekomendacijos trumpai </w:t>
      </w:r>
    </w:p>
    <w:p>
      <w:pPr>
        <w:pStyle w:val="P68B1DB1Normal104"/>
        <w:widowControl w:val="false"/>
        <w:spacing w:lineRule="exact" w:line="282" w:before="185" w:after="0"/>
        <w:ind w:left="0" w:right="25" w:hanging="0"/>
        <w:jc w:val="left"/>
        <w:rPr/>
      </w:pPr>
      <w:r>
        <w:rPr/>
        <w:t xml:space="preserve">Per piliečių dialogą, surengtą tema „Europos vizija“, sulaukėme Nyderlandų piliečių nuomonių ir idėjų apie Europos ateitį. Todėl Europos Sąjungai buvo pateiktos šios rekomendacijos pirmosioms penkioms temoms.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Vertybės ir teisės, teisinė valstybė ir saugumas </w:t>
      </w:r>
    </w:p>
    <w:p>
      <w:pPr>
        <w:pStyle w:val="P68B1DB1Normal104"/>
        <w:widowControl w:val="false"/>
        <w:spacing w:lineRule="exact" w:line="282" w:before="178" w:after="0"/>
        <w:ind w:left="0" w:right="105" w:hanging="0"/>
        <w:jc w:val="left"/>
        <w:rPr/>
      </w:pPr>
      <w:r>
        <w:rPr/>
        <w:t xml:space="preserve">Svarbu, kad ES apsaugotų teisinę valstybę. Tuo pat metu olandai mano, kad reikėtų atkreipti dėmesį į Europoje egzistuojančių tradicijų ir kultūrų įvairovę. Bendradarbiavimas ES viduje gali būti naudingas įvairiais būdais, tačiau jis turi suteikti pridėtinės vertės visiems suinteresuotiesiems subjektams. Tai pasakytina ir apie dalijimąsi saugumo informacija. Dalijimasis visa informacija greitai daro bendradarbiavimą neveiksmingą.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Užtikrinti, kad visi jaustųsi laisvi ir saugūs</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Plėsti ES tik tuo atveju, jei ji duos pridėtinės vertės</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Bendradarbiavimas daugiausia kovos su tarptautiniu nusikalstamumu ir terorizmu srityje</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Stipresnė ekonomika, socialinis teisingumas ir užimtumas </w:t>
      </w:r>
    </w:p>
    <w:p>
      <w:pPr>
        <w:pStyle w:val="P68B1DB1Normal104"/>
        <w:widowControl w:val="false"/>
        <w:spacing w:lineRule="exact" w:line="282" w:before="178" w:after="0"/>
        <w:ind w:left="0" w:right="18" w:hanging="0"/>
        <w:jc w:val="left"/>
        <w:rPr/>
      </w:pPr>
      <w:r>
        <w:rPr/>
        <w:t xml:space="preserve">Olandai mano, kad yra daug galimybių sustiprinti Europos ekonomiką. Tačiau šalys ne visada gali būti lyginamos viena su kita. Visų pirma mokesčių sistema turėtų būti teisingesnė ir aiškesnė. Be to, Europoje turėtume daugiau dėmesio skirti savo stipriosioms pusėms, pavyzdžiui, kokybei ir įvairovei. Be to, ES šalys gali bendradarbiauti siekdamos užtikrinti lygias galimybes Europos darbo rinkoje.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Atsižvelgti į bendrumą ir skirtumus</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Geriau išnaudoti Europos stipriąsias puses</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Sukurti sąžiningą ir aiškią mokesčių sistemą</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Užtikrinti, kad kiekvienas galėtų dalyvauti </w:t>
      </w:r>
      <w:r>
        <w:rPr>
          <w:rFonts w:ascii="Calibri" w:hAnsi="Calibri"/>
          <w:b/>
          <w:i/>
          <w:sz w:val="24"/>
        </w:rPr>
        <w:t xml:space="preserve">Europos demokratijoje </w:t>
      </w:r>
    </w:p>
    <w:p>
      <w:pPr>
        <w:pStyle w:val="P68B1DB1Normal104"/>
        <w:widowControl w:val="false"/>
        <w:spacing w:lineRule="exact" w:line="282" w:before="178" w:after="0"/>
        <w:ind w:left="0" w:right="323" w:hanging="0"/>
        <w:jc w:val="both"/>
        <w:rPr/>
      </w:pPr>
      <w:r>
        <w:rPr/>
        <w:t xml:space="preserve">Olandams nereikia visko žinoti apie Europos Sąjungą, bet jie nori daugiau skaidrumo ir daugiau informacijos. Pavyzdžiui, kitų ES šalių nuomonių žinojimas gali padėti geriau apžvelgti padėtį. Be to, Nyderlandai mano, kad ES turėtų dažniau ir, pageidautina, nuolat bendradarbiauti su piliečiais. Šiuo atžvilgiu svarbu ne tik atsižvelgti į skirtingus interesus, bet ir greičiau nei šiuo metu priimti sprendimus.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Geriau apžvelgti Europą</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Rasti naujų būdų, kaip nuolat klausytis piliečių</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Didesnis priimtų sprendimų skaidrumas ir aiškumas</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Užtikrinti, kad keblias problemas būtų galima išspręsti greičiau</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Skaitmeninė transformacija </w:t>
      </w:r>
    </w:p>
    <w:p>
      <w:pPr>
        <w:pStyle w:val="P68B1DB1Normal104"/>
        <w:widowControl w:val="false"/>
        <w:spacing w:lineRule="exact" w:line="282" w:before="178" w:after="0"/>
        <w:ind w:left="0" w:right="54" w:hanging="0"/>
        <w:jc w:val="left"/>
        <w:rPr/>
      </w:pPr>
      <w:r>
        <w:rPr/>
        <w:t xml:space="preserve">Visuomenė vis labiau priklausoma nuo interneto, o didelės technologijų įmonės tampa vis galingesnės. Kartais tai kelia didelį nerimą olandams. Todėl ES naudinga parengti Europos (privatumo) taisykles ir standartus. Tačiau svarbu, kad visi galėtų suprasti ir taikyti šias taisykles ir standartus. Olandai pageidauja, kad nacionalinės valdžios institucijos gautų paramą ir informaciją savo gimtąja kalba.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Užtikrinti greitą, saugų ir stabilų internetą visur</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Nustatyti aiškias taisykles ir standartus interneto bendrovėms</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Privatumo taisyklių įgyvendinimo ir praktinių paaiškinimų įtraukimas</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Švietimas, kultūra, jaunimas ir sportas </w:t>
      </w:r>
    </w:p>
    <w:p>
      <w:pPr>
        <w:pStyle w:val="P68B1DB1Normal104"/>
        <w:widowControl w:val="false"/>
        <w:spacing w:lineRule="exact" w:line="282" w:before="178" w:after="0"/>
        <w:ind w:left="0" w:right="166" w:hanging="0"/>
        <w:jc w:val="left"/>
        <w:rPr/>
      </w:pPr>
      <w:r>
        <w:rPr/>
        <w:t>Užsienyje studijuojantys jaunuoliai turėtų turėti galimybę iš priimančiosios šalies mokytis daugiau nei</w:t>
      </w:r>
      <w:r>
        <w:rPr/>
        <w:commentReference w:id="21"/>
      </w:r>
      <w:r>
        <w:rPr/>
        <w:t xml:space="preserve"> dabar. Ir šalys, kurių žinių lygis žemesnis, neturėtų prarasti visų savo talentų, kurie vyksta į užsienį. Nyderlandai mano, kad tokios temos kaip kultūra ir piktnaudžiavimas sporte yra klausimai, už kuriuos turėtų būti atsakingos pačios valstybės narės. Ir jie mano, kad labai svarbu turėti savo nacionalinę kalbą. Apskritai Europoje kiekvienas žmogus visų pirma turi jaustis laisvas ir sugebėti būti savimi.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Skatinti studentus studijuoti užsienyje protingai</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Leisti valstybėms narėms sutelkti dėmesį į tokias temas kaip kultūra ir sportas.</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Užtikrinti, kad europiečiai geriau pažintų vienas kitą ir gerbtų vienas kitą</w:t>
      </w:r>
      <w:r>
        <w:rPr>
          <w:color w:val="000000"/>
          <w:sz w:val="21"/>
        </w:rPr>
        <w:t xml:space="preserve"> </w:t>
      </w:r>
      <w:r>
        <w:br w:type="page"/>
      </w:r>
    </w:p>
    <w:p>
      <w:pPr>
        <w:pStyle w:val="P68B1DB1Normal109"/>
        <w:rPr>
          <w:rFonts w:ascii="Calibri" w:hAnsi="Calibri"/>
          <w:b/>
          <w:b/>
          <w:i/>
          <w:i/>
          <w:color w:val="000000"/>
          <w:sz w:val="32"/>
        </w:rPr>
      </w:pPr>
      <w:r>
        <w:rPr/>
        <w:t xml:space="preserve">Įvadas </w:t>
      </w:r>
    </w:p>
    <w:p>
      <w:pPr>
        <w:pStyle w:val="P68B1DB1Normal110"/>
        <w:widowControl w:val="false"/>
        <w:spacing w:lineRule="exact" w:line="274" w:before="31" w:after="0"/>
        <w:ind w:left="0" w:right="113" w:hanging="0"/>
        <w:jc w:val="left"/>
        <w:rPr/>
      </w:pPr>
      <w:r>
        <w:rPr>
          <w:sz w:val="21"/>
        </w:rPr>
        <w:t xml:space="preserve">Per piliečių dialogą „Europos vizija“, vykusį nuo rugsėjo 1 d. iki lapkričio mėn. vidurio, visi olandai galėjo pareikšti savo nuomonę ir idėjas dėl Europos ateities. Nyderlandai pateikia Europos Sąjungai (ES) rekomendacijas, dėl kurių buvo vedamas dialogas, taip pat pareikštas idėjas ir nuomones. Šiame pranešime daugiausia dėmesio skiriame pirmosioms penkioms temoms. Kitos keturios temos bus aptartos būsimoje ataskaitoje 2022 m. pradžioje. </w:t>
      </w:r>
      <w:r>
        <w:rPr>
          <w:b/>
          <w:i/>
          <w:sz w:val="24"/>
        </w:rPr>
        <w:t>Dėl Europos vizijos</w:t>
      </w:r>
    </w:p>
    <w:p>
      <w:pPr>
        <w:pStyle w:val="P68B1DB1Normal104"/>
        <w:widowControl w:val="false"/>
        <w:spacing w:lineRule="exact" w:line="257" w:before="34" w:after="0"/>
        <w:ind w:left="0" w:right="200" w:hanging="0"/>
        <w:jc w:val="left"/>
        <w:rPr/>
      </w:pPr>
      <w:r>
        <w:rPr/>
        <w:t xml:space="preserve">Europos Sąjunga nori, kad jos piliečiai dalytųsi tuo, ką galvoja apie Europą. Todėl ES rengia konferenciją dėl Europos ateities. Tada visos Europos Sąjungos piliečių nuomonės ir idėjos bus įtrauktos į Europos ateities planus. Konferencijos metu Nyderlandai nacionaliniu lygmeniu surengė piliečių dialogą „Europos vizija“.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Dialogas dėl Europos vizijos prasidėjo rugsėjo 1 d. internetu renkant nuomones ir idėjas per reprezentacinės grupės apklausą. Siekdami pagilinti pradinius grupės apklausos rezultatus ir pateikti konkrečių rekomendacijų, surengėme teminius dialogus internetu. Kiekvienas, kuris nori dalyvauti, gali dalyvauti. Taip pat keliavome į šalį, kur diskutavome su jaunimu ir kitomis grupėmis (sunku pasiekti). </w:t>
      </w:r>
    </w:p>
    <w:p>
      <w:pPr>
        <w:pStyle w:val="P68B1DB1Normal111"/>
        <w:widowControl w:val="false"/>
        <w:spacing w:lineRule="exact" w:line="269" w:before="28" w:after="0"/>
        <w:ind w:left="0" w:right="113" w:hanging="0"/>
        <w:jc w:val="left"/>
        <w:rPr/>
      </w:pPr>
      <w:r>
        <w:rPr/>
        <w:t xml:space="preserve">Nuo moksleivių, profesinių mokyklų mokinių ir studentų iki ministro, ūkininkų ir migrantų </w:t>
      </w:r>
    </w:p>
    <w:p>
      <w:pPr>
        <w:pStyle w:val="P68B1DB1Normal104"/>
        <w:widowControl w:val="false"/>
        <w:spacing w:lineRule="exact" w:line="257" w:before="26" w:after="0"/>
        <w:ind w:left="0" w:right="44" w:hanging="0"/>
        <w:jc w:val="left"/>
        <w:rPr/>
      </w:pPr>
      <w:r>
        <w:rPr/>
        <w:t xml:space="preserve">Spalio ir lapkričio mėn. iš viso įvyko aštuoni internetiniai teminiai dialogai, kurių viename posėdyje vidutiniškai dalyvavo 30 dalyvių. Mes taip pat surengėme internetinį teminį dialogą ir septynis teminius dialogus vietoje su įvairiomis Nyderlandų piliečių grupėmis. Mes kalbėjomės su turkų bendruomene Schiedame ir buvome pakviesti Piėzo fondo savanorių į Zoetermeer. Pastaruoju metu užsienio reikalų ministras Benas Knapenas taip pat dalyvavo dialogo pabaigoje. Ministras diskutavo su dalyviais apie dialogą ir pareikštas nuomones dėl Europos ateities. Galiausiai surengėme šešis susitikimus su įvairiomis jaunimo grupėmis. Pavyzdžiui, mus pasveikino Helmondo vidurinė mokykla, Doetinchemo profesinė vidurinė mokykla ir Leideno universitetas.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Visada norėčiau išreikšti savo nuomonę priešais kavos aparatą. Todėl maniau, kad turiu dalyvauti. </w:t>
      </w:r>
    </w:p>
    <w:p>
      <w:pPr>
        <w:pStyle w:val="P68B1DB1Normal110"/>
        <w:widowControl w:val="false"/>
        <w:spacing w:lineRule="exact" w:line="346" w:before="41" w:after="0"/>
        <w:ind w:left="0" w:right="6639" w:hanging="0"/>
        <w:jc w:val="left"/>
        <w:rPr/>
      </w:pPr>
      <w:r>
        <w:rPr>
          <w:sz w:val="21"/>
        </w:rPr>
        <w:t xml:space="preserve">Teminio </w:t>
      </w:r>
      <w:r>
        <w:rPr>
          <w:b/>
          <w:i/>
          <w:sz w:val="24"/>
        </w:rPr>
        <w:t xml:space="preserve">dialogo dalyvis Apie šią ataskaitą </w:t>
      </w:r>
    </w:p>
    <w:p>
      <w:pPr>
        <w:pStyle w:val="P68B1DB1Normal104"/>
        <w:widowControl w:val="false"/>
        <w:spacing w:lineRule="exact" w:line="257" w:before="178" w:after="0"/>
        <w:ind w:left="0" w:right="56" w:hanging="0"/>
        <w:jc w:val="left"/>
        <w:rPr/>
      </w:pPr>
      <w:r>
        <w:rPr/>
        <w:t xml:space="preserve">Remdamiesi pastaraisiais mėnesiais surinktomis idėjomis ir nuomonėmis, parengėme keletą rekomendacijų, kurias Nyderlandų piliečiai teikia Europos Sąjungai. Nyderlandų piliečių diskusijų metu vyko įdomūs pasikeitimai nuomonėmis ir pasiūlytos novatoriškos idėjos. Pasiūlymai taip pat buvo pateikti per ekspertų grupę ir visuomenės tyrimą. Kai kurios iš šių idėjų buvo įtrauktos į šį pranešimą. Todėl šios ataskaitos turinys yra Nyderlandų balsas: mūsų Europos vizija.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Lygiai taip pat, kaip skiriasi šalių ir Europos piliečių nuomonės, mes taip pat ne visada sutinkame vieni su kitais Nyderlanduose. Būtent šie nuomonių skirtumai yra vertingi: tai svarbus demokratijos bruožas. Rekomendacijos parengtos remiantis dažniausiai išsakytomis Europos vizijos apklausos dalyvių idėjomis ir nuomonėmis. Mes taip pat aprašome susirūpinimą keliančius klausimus, idėjas ir jausmus, kurie gali būti mažiau paplitę, tačiau kurie patraukė mūsų dėmesį per dialogus ir internetinę apklausą. </w:t>
      </w:r>
      <w:r>
        <w:br w:type="page"/>
      </w:r>
    </w:p>
    <w:p>
      <w:pPr>
        <w:pStyle w:val="P68B1DB1Normal113"/>
        <w:spacing w:lineRule="auto" w:line="240"/>
        <w:rPr/>
      </w:pPr>
      <w:r>
        <w:rPr/>
        <w:t xml:space="preserve">Buvo malonu kalbėti mažose grupėse su rėmėjais ir oponentais. Tai labai skiriasi nuo to, kaip diskusijos paprastai vyksta socialiniuose tinkluose. </w:t>
      </w:r>
    </w:p>
    <w:p>
      <w:pPr>
        <w:pStyle w:val="P68B1DB1Normal76"/>
        <w:widowControl w:val="false"/>
        <w:spacing w:lineRule="auto" w:line="240" w:before="267" w:after="0"/>
        <w:ind w:left="0" w:right="0" w:hanging="0"/>
        <w:jc w:val="left"/>
        <w:rPr/>
      </w:pPr>
      <w:r>
        <w:rPr>
          <w:rFonts w:ascii="Calibri" w:hAnsi="Calibri"/>
          <w:sz w:val="21"/>
        </w:rPr>
        <w:t>Teminio dialogo dalyvis</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Konferencijoje dėl Europos ateities buvo nustatytos devynios temos. Šios temos taip pat yra Europos vizijos dialogo su Nyderlandų piliečiais pagrindas. Spalio mėn. paskelbėme tarpinę ataskaitą, kurioje pateikėme pradinę rezultatų apžvalgą ir papildomus klausimus, pagrįstus grupės apklausa. Šioje antrojoje ataskaitoje išdėstome nuomones, idėjas ir rekomendacijas pirmosiomis penkiomis gruodžio mėn. vyksiančios Konferencijos dėl Europos ateities plenarinio posėdžio temomis. Toliau pateikta ataskaita, kurioje bus nagrinėjamos likusios keturios temos, bus paskelbta sausio viduryje. </w:t>
      </w:r>
    </w:p>
    <w:p>
      <w:pPr>
        <w:pStyle w:val="Normal"/>
        <w:rPr/>
      </w:pPr>
      <w:r>
        <w:rPr/>
        <w:t xml:space="preserve">Dabartinė ataskaita – 2021 m. gruodžio mėn.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Vertybės ir teisės, teisinė valstybė ir saugumas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Stipresnė ekonomika, socialinis teisingumas ir užimtumas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Europos demokratija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Skaitmeninė transformacija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Švietimas, kultūra, jaunimas ir sportas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Kita ataskaita – 2022 m. sausio mėn.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Klimato kaita ir aplinka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Migracija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Sveikata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ES pasaulyje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Tolesni žingsniai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Konferencija dėl Europos ateities sujungia visų ES piliečių idėjas, nuomones ir rekomendacijas. Susitikimai bus skirti ne tik visų piliečių dialogų nacionaliniu lygmeniu rezultatams, bet ir kitų konferencijoje pradėtų iniciatyvų rezultatams. Pavyzdžiui, yra ir Europos piliečių grupių, o visi ES piliečiai (įskaitant Nyderlandų piliečius) gali naudotis Europos skaitmenine platforma. </w:t>
      </w:r>
    </w:p>
    <w:p>
      <w:pPr>
        <w:pStyle w:val="P68B1DB1Normal113"/>
        <w:widowControl w:val="false"/>
        <w:spacing w:lineRule="auto" w:line="240" w:before="203" w:after="0"/>
        <w:ind w:left="1080" w:right="1083" w:hanging="0"/>
        <w:jc w:val="center"/>
        <w:rPr/>
      </w:pPr>
      <w:r>
        <w:rPr/>
        <w:t>„</w:t>
      </w:r>
      <w:r>
        <w:rPr/>
        <w:t xml:space="preserve">Gera, kad ES imasi šios iniciatyvos. Tikiuosi, kad į rezultatus tikrai bus atsižvelgta. </w:t>
      </w:r>
    </w:p>
    <w:p>
      <w:pPr>
        <w:pStyle w:val="P68B1DB1Normal104"/>
        <w:widowControl w:val="false"/>
        <w:spacing w:lineRule="auto" w:line="240" w:before="307" w:after="0"/>
        <w:ind w:left="0" w:right="0" w:hanging="0"/>
        <w:jc w:val="left"/>
        <w:rPr>
          <w:rFonts w:ascii="Calibri" w:hAnsi="Calibri"/>
          <w:color w:val="000000"/>
          <w:sz w:val="21"/>
        </w:rPr>
      </w:pPr>
      <w:r>
        <w:rPr/>
        <w:t xml:space="preserve">Teminio dialogo dalyvis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Konferencija baigsis 2022 m. pavasarį. Tada Nyderlandai parengs galutinę piliečių dialogo ataskaitą: šios ataskaitos ir toliau pateikiamos ataskaitos (įskaitant kitas temas) rinkinys. Po konferencijos bus pateiktos rekomendacijos Konferencijos pirmininkui: Europos Parlamento, Ministrų Tarybos ir Europos Komisijos pirmininkai. Jie įsipareigojo ieškoti būdų ir priemonių rekomendacijoms įgyvendinti. Nyderlandų vyriausybei rezultatai taip pat yra vertingas indėlis plėtojant Nyderlandų Europos politiką.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Apibendrinant, procesas iki 2022 m. pavasario bus organizuojamas taip: </w:t>
      </w:r>
      <w:r>
        <w:br w:type="page"/>
      </w:r>
    </w:p>
    <w:p>
      <w:pPr>
        <w:pStyle w:val="P68B1DB1Normal107"/>
        <w:spacing w:lineRule="auto" w:line="240"/>
        <w:rPr/>
      </w:pPr>
      <w:r>
        <w:rPr/>
        <w:t xml:space="preserve">Chronologija </w:t>
      </w:r>
    </w:p>
    <w:p>
      <w:pPr>
        <w:pStyle w:val="P68B1DB1Normal114"/>
        <w:spacing w:lineRule="auto" w:line="240"/>
        <w:rPr/>
      </w:pPr>
      <w:r>
        <w:rPr/>
        <w:t xml:space="preserve">Europos vizija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Pirmieji septyni.</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Spalio 12 d.</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Spalio 22–23 d.</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Lapkričio 15 d.</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Gruodžio 17–18 d.</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Sausio 21–22 d.</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Balandžio 22–24 d.</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Idėjų rinkimas internete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Teminiai dialogai</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Tarpiniai rezultatai (tarpinė ataskaita)</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Tarpinė ataskaita „Ekonomika“ ir „Demokratija“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Tarpinė ataskaita „Klimato kaita“ ir „ES pasaulyje“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Galutinė ataskaita „Mūsų vizija Europai“</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C) SĄVOKA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C) SĄVOKA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C) SĄVOKA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C) SĄVOKA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Konferencijos susitikimas</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Konferencijos susitikimas</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Konferencijos susitikimas</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Konferencijos uždarymas</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Rekomendacijos prezidentams </w:t>
              <w:br/>
              <w:t xml:space="preserve">• Europos Parlamentas </w:t>
              <w:br/>
              <w:t xml:space="preserve">• Europos Komisija </w:t>
              <w:br/>
              <w:t>• Ministrų Taryba</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Daugiau nuomonių ir idėjų apie Europos ateitį:</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Dialogai su piliečiais</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Europos piliečių forumai</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Europos skaitmeninė platforma (taip pat skirta Nyderlandų piliečiams)</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Paaiškinimai, palengvinantys skaitymą </w:t>
      </w:r>
    </w:p>
    <w:p>
      <w:pPr>
        <w:pStyle w:val="P68B1DB1Normal104"/>
        <w:widowControl w:val="false"/>
        <w:spacing w:lineRule="auto" w:line="240" w:before="125" w:after="0"/>
        <w:ind w:left="0" w:right="0" w:hanging="0"/>
        <w:jc w:val="left"/>
        <w:rPr/>
      </w:pPr>
      <w:r>
        <w:rPr/>
        <w:t xml:space="preserve">Šiame pranešime aptarėme penkias temas. Kiekvienai temai mes iš eilės įtraukėme: </w:t>
      </w:r>
    </w:p>
    <w:p>
      <w:pPr>
        <w:pStyle w:val="P68B1DB1Normal104"/>
        <w:widowControl w:val="false"/>
        <w:spacing w:lineRule="auto" w:line="240"/>
        <w:ind w:left="0" w:right="0" w:hanging="0"/>
        <w:jc w:val="left"/>
        <w:rPr>
          <w:rFonts w:ascii="Calibri" w:hAnsi="Calibri"/>
          <w:color w:val="000000"/>
          <w:sz w:val="21"/>
        </w:rPr>
      </w:pPr>
      <w:r>
        <w:rPr/>
        <w:t xml:space="preserve">rekomendacijos, grindžiamos visais piliečių dialogo aspektais; </w:t>
      </w:r>
    </w:p>
    <w:p>
      <w:pPr>
        <w:pStyle w:val="P68B1DB1Normal104"/>
        <w:widowControl w:val="false"/>
        <w:spacing w:lineRule="auto" w:line="240" w:before="1" w:after="0"/>
        <w:ind w:left="0" w:right="0" w:hanging="0"/>
        <w:jc w:val="left"/>
        <w:rPr/>
      </w:pPr>
      <w:r>
        <w:rPr/>
        <w:t xml:space="preserve">nuomonių, idėjų ir nuomonių, kuriomis pasikeista (internetu ir fiziškai dalyvaujant) per teminius dialogus ir internetinės apklausos pasiūlymus, apžvalga žodžiais ir vaizdais.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Tyrime naudotos metodikos aprašymą galima rasti šios ataskaitos pabaigoje.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Vertybės ir teisės, teisinė valstybė ir saugumas </w:t>
      </w:r>
    </w:p>
    <w:p>
      <w:pPr>
        <w:pStyle w:val="P68B1DB1Normal104"/>
        <w:widowControl w:val="false"/>
        <w:spacing w:lineRule="auto" w:line="240" w:before="36" w:after="0"/>
        <w:ind w:left="0" w:right="0" w:hanging="0"/>
        <w:jc w:val="both"/>
        <w:rPr/>
      </w:pPr>
      <w:r>
        <w:rPr/>
        <w:t xml:space="preserve">ES stebi teisinės valstybės principo laikymąsi visose ES šalyse ir stengiasi mažinti nelygybę ES viduje. ES taip pat nori apsaugoti visus europiečius nuo terorizmo ir nusikalstamumo. Siekdama šio tikslo, ES taiko priemones ir taisykles, o ES šalys intensyviai bendradarbiauja.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Kokia yra Nyderlandų vizija apie tai?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Rekomendacijos. Mūsų saugumo ir teisinės valstybės vizija </w:t>
      </w:r>
    </w:p>
    <w:p>
      <w:pPr>
        <w:pStyle w:val="P68B1DB1Normal69"/>
        <w:widowControl w:val="false"/>
        <w:spacing w:lineRule="auto" w:line="240" w:before="41" w:after="0"/>
        <w:ind w:left="0" w:right="0" w:hanging="0"/>
        <w:jc w:val="left"/>
        <w:rPr/>
      </w:pPr>
      <w:r>
        <w:rPr/>
        <w:t xml:space="preserve">68 proc. olandų mano, kad saugumas ir teisinė valstybė yra svarbus klausimas ir kad ES turi įsikišti šioje srityje.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Užtikrinti, kad visi jaustųsi laisvi ir saugūs </w:t>
      </w:r>
    </w:p>
    <w:p>
      <w:pPr>
        <w:pStyle w:val="P68B1DB1Normal104"/>
        <w:widowControl w:val="false"/>
        <w:spacing w:lineRule="auto" w:line="240" w:before="25" w:after="0"/>
        <w:ind w:left="0" w:right="0" w:hanging="0"/>
        <w:jc w:val="left"/>
        <w:rPr/>
      </w:pPr>
      <w:r>
        <w:rPr/>
        <w:t xml:space="preserve">78 proc. olandų mano, kad svarbu, jog ES apsaugotų teisinę valstybę ir mūsų pagrindines teises bei laisves. Taip pat daug dėmesio skiriame vartotojų teisių apsaugai: didžioji dauguma piliečių mano, kad gerai, jog ES reikalauja, kad gamintojai visose šalyse pateiktų tą pačią informaciją etiketėse. Tačiau daug olandų mano, kad ES turi atkreipti dėmesį į (valdymo) tradicijų ir kultūrų skirtumus Europoje. Ir tai, be kita ko, nes kitaip būtų sunku veiksmingai bendradarbiauti. Manome, kad ypač svarbu, kad Europoje visi jaustųsi laisvi ir saugūs. Tai apima stogą virš galvos, bet ir švietimą ir priežiūrą. Ir tai taip pat susiję su tuo, kad Europos parduotuvėse rasti produktai yra </w:t>
      </w:r>
    </w:p>
    <w:p>
      <w:pPr>
        <w:pStyle w:val="P68B1DB1Normal104"/>
        <w:widowControl w:val="false"/>
        <w:spacing w:lineRule="auto" w:line="240"/>
        <w:ind w:left="0" w:right="0" w:hanging="0"/>
        <w:jc w:val="left"/>
        <w:rPr>
          <w:rFonts w:ascii="Calibri" w:hAnsi="Calibri"/>
          <w:color w:val="000000"/>
          <w:sz w:val="21"/>
        </w:rPr>
      </w:pPr>
      <w:r>
        <w:rPr/>
        <w:t xml:space="preserve">visada įsitikinęs.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Plėsti ES tik tuo atveju, jei ji duos pridėtinės vertės </w:t>
      </w:r>
    </w:p>
    <w:p>
      <w:pPr>
        <w:pStyle w:val="P68B1DB1Normal104"/>
        <w:widowControl w:val="false"/>
        <w:spacing w:lineRule="auto" w:line="240" w:before="25" w:after="0"/>
        <w:ind w:left="0" w:right="0" w:hanging="0"/>
        <w:jc w:val="left"/>
        <w:rPr/>
      </w:pPr>
      <w:r>
        <w:rPr/>
        <w:t xml:space="preserve">44 proc. olandų nemano, kad ES turėtų plėstis į daugiau šalių. Kita vertus, 25 % pritaria plėtrai. Pažymime, kad tarp dabartinių valstybių narių jau vyksta daug diskusijų. Daugelis olandų mano, kad pirmiausia turime sutelkti dėmesį į šį klausimą. Ir jei į Sąjungą įstos naujos šalys, jos turi iš tikrųjų atitikti mūsų sąlygas. Šiandien ir ateityje. Daugelis olandų mano, kad dabartinės valstybės narės taip pat turi suvokti plėtros pridėtinę vertę. Mes taip pat manome, kad yra ir kitų galimybių dirbti kartu kaip saugumo ir stabilumo šalis. Pavyzdžiui, kartais esame susirūpinę dėl Rusijos įtakos šalims prie ES rytinės sienos. Svarbu, kad ES atkreiptų dėmesį.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Plėtra turėtų būti sutelkta ne į sąnaudas ir naudą, o į stabilumo viziją.“ </w:t>
      </w:r>
    </w:p>
    <w:p>
      <w:pPr>
        <w:pStyle w:val="P68B1DB1Normal111"/>
        <w:widowControl w:val="false"/>
        <w:spacing w:lineRule="auto" w:line="240" w:before="40" w:after="0"/>
        <w:ind w:left="0" w:right="0" w:hanging="0"/>
        <w:jc w:val="left"/>
        <w:rPr/>
      </w:pPr>
      <w:r>
        <w:rPr/>
        <w:t xml:space="preserve">3. Bendradarbiavimas daugiausia kovos su tarptautiniu nusikalstamumu ir terorizmu srityje </w:t>
      </w:r>
    </w:p>
    <w:p>
      <w:pPr>
        <w:pStyle w:val="P68B1DB1Normal104"/>
        <w:widowControl w:val="false"/>
        <w:spacing w:lineRule="auto" w:line="240" w:before="26" w:after="0"/>
        <w:ind w:left="0" w:right="0" w:hanging="0"/>
        <w:jc w:val="left"/>
        <w:rPr/>
      </w:pPr>
      <w:r>
        <w:rPr/>
        <w:t xml:space="preserve">68 proc. Nyderlandų gyventojų mano, kad ES saugumo tarnybos turėtų dalytis savo informacija. Tačiau manome, kad svarbu, jog šalys taip pat galėtų ir toliau iš dalies nuspręsti, kokią informaciją jos nori pateikti, ar ne. Dalijimasis visa informacija greitai daro bendradarbiavimą neveiksmingą. Ir šiandien ES yra tokia didelė, kad turime toliau kritiškai nagrinėti, kur gaunama ar tikėtina, kad bus neskelbtina informacija. Norime ir toliau tikėti, kad mūsų privatumas yra apsaugotas. Manome, kad visų pirma tikslinga bendradarbiauti kovojant su sunkiais tarptautiniais nusikaltimais, pavyzdžiui, elektroniniais nusikaltimais, prekyba narkotikais ir terorizmu. </w:t>
      </w:r>
    </w:p>
    <w:p>
      <w:pPr>
        <w:pStyle w:val="P68B1DB1Normal113"/>
        <w:widowControl w:val="false"/>
        <w:spacing w:lineRule="auto" w:line="240" w:before="28" w:after="0"/>
        <w:ind w:left="0" w:right="0" w:hanging="0"/>
        <w:jc w:val="center"/>
        <w:rPr/>
      </w:pPr>
      <w:r>
        <w:rPr/>
        <w:t xml:space="preserve">Jei deginate vieną kartą raudoną šviesą Nyderlanduose, tikrai nėra jokios priežasties, kad tai būtų žinoma Ispanijoje.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Diskusijos internetu ir vietoje bei idėjos </w:t>
      </w:r>
    </w:p>
    <w:p>
      <w:pPr>
        <w:pStyle w:val="P68B1DB1Normal118"/>
        <w:widowControl w:val="false"/>
        <w:spacing w:lineRule="auto" w:line="240" w:before="118" w:after="0"/>
        <w:ind w:left="0" w:right="0" w:hanging="0"/>
        <w:jc w:val="left"/>
        <w:rPr>
          <w:rFonts w:ascii="Calibri" w:hAnsi="Calibri"/>
          <w:i/>
          <w:i/>
          <w:color w:val="000000"/>
          <w:sz w:val="21"/>
        </w:rPr>
      </w:pPr>
      <w:r>
        <w:rPr/>
        <w:t xml:space="preserve">Jei taikote sankcijas šaliai, kuri nesilaiko taisyklių, pirmosios aukos yra skurdžiausi šios šalies gyventojai. Štai kodėl aš manau, kad geriau kalbėti nei sankcionuoti. </w:t>
      </w:r>
    </w:p>
    <w:p>
      <w:pPr>
        <w:pStyle w:val="P68B1DB1Normal118"/>
        <w:widowControl w:val="false"/>
        <w:spacing w:lineRule="auto" w:line="240" w:before="87" w:after="0"/>
        <w:ind w:left="0" w:right="0" w:hanging="0"/>
        <w:jc w:val="left"/>
        <w:rPr>
          <w:rFonts w:ascii="Calibri" w:hAnsi="Calibri"/>
          <w:i/>
          <w:i/>
          <w:color w:val="000000"/>
          <w:sz w:val="21"/>
        </w:rPr>
      </w:pPr>
      <w:r>
        <w:rPr/>
        <w:t xml:space="preserve">Pirmiausia turime užtikrinti stabilumą dabartiniame klube. Ir tik pagalvokime apie plėtrą. </w:t>
      </w:r>
    </w:p>
    <w:p>
      <w:pPr>
        <w:pStyle w:val="P68B1DB1Normal118"/>
        <w:widowControl w:val="false"/>
        <w:spacing w:lineRule="auto" w:line="240" w:before="85" w:after="0"/>
        <w:ind w:left="0" w:right="392" w:hanging="0"/>
        <w:jc w:val="left"/>
        <w:rPr/>
      </w:pPr>
      <w:r>
        <w:rPr/>
        <w:t xml:space="preserve">Taip pat turime kritiškai vertinti savo teisinę valstybę. Žinoma, yra vienas ar kitas gedimas. </w:t>
      </w:r>
    </w:p>
    <w:p>
      <w:pPr>
        <w:pStyle w:val="P68B1DB1Normal118"/>
        <w:widowControl w:val="false"/>
        <w:spacing w:lineRule="auto" w:line="240" w:before="85" w:after="0"/>
        <w:ind w:left="0" w:right="244" w:hanging="0"/>
        <w:jc w:val="left"/>
        <w:rPr/>
      </w:pPr>
      <w:r>
        <w:rPr/>
        <w:t xml:space="preserve">IDĖJA: „Nustatyti griežtas sąžiningumo taisykles politikams visoje Europoje, kad jiems nebūtų pernelyg lengvai daroma įtaka.“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IDĖJA: „Stiprinti ES šalių policijos ir teismų bendradarbiavimą.“ </w:t>
      </w:r>
    </w:p>
    <w:p>
      <w:pPr>
        <w:pStyle w:val="P68B1DB1Normal111"/>
        <w:widowControl w:val="false"/>
        <w:spacing w:lineRule="auto" w:line="240" w:before="84" w:after="0"/>
        <w:ind w:left="0" w:right="67" w:hanging="0"/>
        <w:jc w:val="left"/>
        <w:rPr/>
      </w:pPr>
      <w:r>
        <w:rPr/>
        <w:t xml:space="preserve">Doetinchem profesinių mokyklų moksleiviai: Tie, kurie nori būti ES dalimi, privalo laikytis taisyklių. </w:t>
      </w:r>
    </w:p>
    <w:p>
      <w:pPr>
        <w:pStyle w:val="P68B1DB1Normal104"/>
        <w:widowControl w:val="false"/>
        <w:spacing w:lineRule="auto" w:line="240" w:before="100" w:after="0"/>
        <w:ind w:left="0" w:right="0" w:hanging="0"/>
        <w:jc w:val="left"/>
        <w:rPr/>
      </w:pPr>
      <w:r>
        <w:rPr/>
        <w:t xml:space="preserve">Graafschap koledže Doetincheme apie 20 slaugos studentų diskutavo apie tai, kas, jų nuomone, buvo didžiausia ES nauda: laisvoji rinka, euras kaip bendra valiuta ir tai, kad kaip Europos valstybė gali lengvai įsikurti ir dirbti kitose ES šalyse. Ir tai, kad ES šalys gali remti viena kitą. Sąjunga yra stiprybė", – sakė vienas iš mokinių. Taip pat buvo aptarta taisyklių svarba. Jei šalys jų negerbia, dažnai sunku juos griežtai bausti. Pasak studentų, tai gali būti naudinga, kad tai taptų šiek tiek lengviau. Vienas iš jų taip pat paminėjo atgrasomąjį poveikį. Jei taikote griežtas sankcijas, kitos šalys mato, kas gali atsitikti, kai nesilaikysite taisyklių.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iš Surinamo į Utrechtą: Kartais trūksta pasitikėjimo teisine valstybe </w:t>
      </w:r>
    </w:p>
    <w:p>
      <w:pPr>
        <w:pStyle w:val="Normal"/>
        <w:widowControl w:val="false"/>
        <w:spacing w:lineRule="auto" w:line="240" w:before="97" w:after="0"/>
        <w:ind w:left="0" w:right="34" w:hanging="0"/>
        <w:jc w:val="left"/>
        <w:rPr/>
      </w:pPr>
      <w:r>
        <w:rPr>
          <w:rFonts w:ascii="Calibri" w:hAnsi="Calibri"/>
          <w:color w:val="000000"/>
          <w:sz w:val="21"/>
        </w:rPr>
        <w:t xml:space="preserve">Asha fondas yra hinduistų savanorių iš Surinamo organizacija Utrechto savivaldybėje. Teminio dialogo dalyviai visų pirma aptarė piliečių teisių svarbą: teisė turėti stogą virš galvos, taip pat, pavyzdžiui, teisė į nediskriminavimą. Pasak dalyvaujančių savanorių, turi būti nustatytos taisyklės, kuriomis būtų apsaugotos šios teisės visiems Europos piliečiams. Ne visada žinoma, kas šiuo metu reglamentuojama Nyderlanduose ir kas šiuo metu reglamentuojama Europos lygmeniu. Todėl kartais sunku pasitikėti valdžios institucijomis. Ypač dėl to, kad valdžios institucijose kartais būna tam tikrų sutrikimų. „Galite pasakyti, kad valdžios institucijos turi ginti mane, bet kartais joms pavyksta pasėti irkles, kaip ir su pašalpų byla“, – sakė vienas iš dalyvių. „ES turėtų užtikrinti, kad taisyklių būtų iš tikrųjų laikomasi“, – sakė kitas dalyvis. </w:t>
      </w:r>
      <w:r>
        <w:br w:type="page"/>
      </w:r>
    </w:p>
    <w:p>
      <w:pPr>
        <w:pStyle w:val="P68B1DB1Normal117"/>
        <w:spacing w:lineRule="auto" w:line="240"/>
        <w:ind w:left="0" w:right="0" w:hanging="0"/>
        <w:rPr>
          <w:rFonts w:ascii="Calibri" w:hAnsi="Calibri"/>
          <w:b/>
          <w:b/>
          <w:i/>
          <w:i/>
          <w:color w:val="000000"/>
          <w:sz w:val="28"/>
        </w:rPr>
      </w:pPr>
      <w:r>
        <w:rPr/>
        <w:t xml:space="preserve">Stipresnė ekonomika, socialinis teisingumas ir užimtumas </w:t>
      </w:r>
    </w:p>
    <w:p>
      <w:pPr>
        <w:pStyle w:val="P68B1DB1Normal104"/>
        <w:widowControl w:val="false"/>
        <w:spacing w:lineRule="auto" w:line="240" w:before="139" w:after="0"/>
        <w:ind w:left="0" w:right="0" w:hanging="0"/>
        <w:jc w:val="left"/>
        <w:rPr/>
      </w:pPr>
      <w:r>
        <w:rPr/>
        <w:t xml:space="preserve">Mažosios ir vidutinės įmonės yra Europos ekonomikos pagrindas. Todėl ES nori, kad ES šalys bendradarbiautų rengdamos ekonomikos gaivinimo planus, kurie po COVID-19 krizės taptų ekonomiškai stipresni. Ilguoju laikotarpiu ES tikslas – padaryti Europos ekonomiką sveikesnę, ekologiškesnę ir skaitmeninę. Kokia yra Nyderlandų vizija apie tai?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Rekomendacijos. Mūsų ekonomikos ir užimtumo vizija </w:t>
      </w:r>
    </w:p>
    <w:p>
      <w:pPr>
        <w:pStyle w:val="P68B1DB1Normal35"/>
        <w:widowControl w:val="false"/>
        <w:spacing w:lineRule="auto" w:line="240" w:before="123" w:after="0"/>
        <w:ind w:left="0" w:right="0" w:hanging="0"/>
        <w:jc w:val="left"/>
        <w:rPr/>
      </w:pPr>
      <w:r>
        <w:rPr>
          <w:rFonts w:ascii="Calibri" w:hAnsi="Calibri"/>
          <w:sz w:val="20"/>
        </w:rPr>
        <w:t>61 proc. olandų mano, kad ekonomika ir užimtumas yra svarbi tema ir kad ES turi imtis veiksmų šioje srityje.</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Atsižvelgti į bendrumą ir skirtumus </w:t>
      </w:r>
    </w:p>
    <w:p>
      <w:pPr>
        <w:pStyle w:val="P68B1DB1Normal104"/>
        <w:widowControl w:val="false"/>
        <w:spacing w:lineRule="auto" w:line="240" w:before="97" w:after="0"/>
        <w:ind w:left="0" w:right="0" w:hanging="0"/>
        <w:jc w:val="left"/>
        <w:rPr/>
      </w:pPr>
      <w:r>
        <w:rPr/>
        <w:t xml:space="preserve">71 proc. olandų mano, kad ES turėtų užtikrinti didesnį įmonių bendradarbiavimą ir taip sustiprinti Europos ekonomiką. Tačiau iš šių žmonių tik nedidelė dalis mano, kad ES turi mokėti daugiau pinigų įmonėms. Visų pirma manome, kad bendradarbiavimas gali būti veiksmingesnis. Šiandien matome, kad skirtingos įmonės investuoja į tas pačias naujas technologijas, kartais net iš viešųjų lėšų. Jei turėtume Europos ekonomikos viziją, galėtume veiksmingiau panaudoti šiuos pinigus. Tačiau tai darant ypatingas dėmesys turėtų būti skiriamas šalių skirtumams. </w:t>
      </w:r>
    </w:p>
    <w:p>
      <w:pPr>
        <w:pStyle w:val="P68B1DB1Normal113"/>
        <w:widowControl w:val="false"/>
        <w:spacing w:lineRule="auto" w:line="240" w:before="306" w:after="0"/>
        <w:ind w:left="0" w:right="0" w:hanging="0"/>
        <w:jc w:val="center"/>
        <w:rPr/>
      </w:pPr>
      <w:r>
        <w:rPr/>
        <w:t xml:space="preserve">Nyderlandų žemės ūkio sektorius yra modernus. Ne visada įmanoma ją palyginti su kitomis šalimis.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Geriau išnaudoti Europos stipriąsias puses </w:t>
      </w:r>
    </w:p>
    <w:p>
      <w:pPr>
        <w:pStyle w:val="P68B1DB1Normal104"/>
        <w:widowControl w:val="false"/>
        <w:spacing w:lineRule="auto" w:line="240" w:before="97" w:after="0"/>
        <w:ind w:left="0" w:right="0" w:hanging="0"/>
        <w:jc w:val="left"/>
        <w:rPr/>
      </w:pPr>
      <w:r>
        <w:rPr/>
        <w:t>Olandai mano, kad yra daug galimybių sustiprinti Europos ekonomiką, tačiau reikia rinktis. Todėl manome, kad ES visų pirma turėtų sutelkti dėmesį į savo stipriąsias puses. Pavyzdžiui, mes manome, kad Europa yra gera</w:t>
      </w:r>
    </w:p>
    <w:p>
      <w:pPr>
        <w:pStyle w:val="P68B1DB1Normal104"/>
        <w:widowControl w:val="false"/>
        <w:spacing w:lineRule="auto" w:line="240"/>
        <w:ind w:left="0" w:right="0" w:hanging="0"/>
        <w:jc w:val="left"/>
        <w:rPr/>
      </w:pPr>
      <w:r>
        <w:rPr/>
        <w:t xml:space="preserve"> </w:t>
      </w:r>
      <w:r>
        <w:rPr/>
        <w:t xml:space="preserve">tokios sritys kaip skaitmeninė pertvarka, tvarumas ir infrastruktūra. O kas, ko gero, svarbiau: mes giname kokybę ir įvairovę. Būtent mūsų žemyno įvairovė, turinti skirtingas nuomones ir idėjas, turi daug daugiau išnaudoti kaip ekonominį pranašumą. Tai gali padėti Europai išsiskirti, pavyzdžiui, nuo Kinijos ekonomikos.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Sukurti sąžiningą ir aiškią mokesčių sistemą </w:t>
      </w:r>
    </w:p>
    <w:p>
      <w:pPr>
        <w:pStyle w:val="P68B1DB1Normal104"/>
        <w:widowControl w:val="false"/>
        <w:spacing w:lineRule="auto" w:line="240" w:before="95" w:after="0"/>
        <w:ind w:left="0" w:right="0" w:hanging="0"/>
        <w:jc w:val="left"/>
        <w:rPr/>
      </w:pPr>
      <w:r>
        <w:rPr/>
        <w:t xml:space="preserve">82 proc. olandų mano, kad ES šalys turi kolektyviai užtikrinti, kad visos ES įmonės mokėtų teisingus mokesčius. Tai apima labai dideles įmones. Šiandien jie kartais įsikuria kitose šalyse dėl paprastos priežasties, kad moka mažiau mokesčių. ES turėtų kovoti su šiuo reiškiniu, pavyzdžiui, nustatydama minimalų tarifą visoms šalims. Kita vertus, manome, kad apmokestinimas yra kompetencija, priklausanti šalims, kurios turi savo tikslus ir kontekstą. Mes manome, kad apmokestinimas paprastai yra sudėtingas klausimas. Būtent dėl šios priežasties norėtume geresnės mokesčių sistemos, kuri būtų sąžininga ir aiški visiems Europoje. </w:t>
      </w:r>
    </w:p>
    <w:p>
      <w:pPr>
        <w:pStyle w:val="P68B1DB1Normal113"/>
        <w:widowControl w:val="false"/>
        <w:spacing w:lineRule="auto" w:line="240" w:before="256" w:after="0"/>
        <w:ind w:left="0" w:right="0" w:hanging="0"/>
        <w:jc w:val="center"/>
        <w:rPr/>
      </w:pPr>
      <w:r>
        <w:rPr/>
        <w:t xml:space="preserve">Agurkai turi būti vienodos formos visur, tačiau mokesčių taisyklės yra skirtingos. Tai beprotiška, ar ne?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Užtikrinti, kad visi galėtų dalyvauti </w:t>
      </w:r>
    </w:p>
    <w:p>
      <w:pPr>
        <w:pStyle w:val="P68B1DB1Normal104"/>
        <w:widowControl w:val="false"/>
        <w:spacing w:lineRule="auto" w:line="240" w:before="97" w:after="0"/>
        <w:ind w:left="0" w:right="0" w:hanging="0"/>
        <w:jc w:val="left"/>
        <w:rPr/>
      </w:pPr>
      <w:r>
        <w:rPr/>
        <w:t xml:space="preserve">71 proc. olandų mano, kad ES turėtų padėti didinti užimtumą. Šiuo atžvilgiu manome, kad ypatingas dėmesys turėtų būti skiriamas tam tikroms grupėms, pvz., jaunimui ir nuo darbo rinkos nutolusiems asmenims. Tai galima padaryti nustatant taisykles arba subsidijas įmonėms, taip pat teikiant konkrečią paramą darbdaviams ir darbuotojams. Mes galvojame, pavyzdžiui, apie informuotumo didinimo veiklą arba labai praktinius klausimus. Gali būti, kad kai kuriais atvejais tokia parama gali būti veiksmingiau organizuojama ES lygmeniu, o kitais atvejais tai gali būti užduotis, o ne pačios valstybės narės. Galiausiai ES šalys turėtų bendradarbiauti, kad užtikrintų lygias galimybes Europos darbo rinkoje.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Diskusijos internetu ir vietoje bei idėjos </w:t>
      </w:r>
    </w:p>
    <w:p>
      <w:pPr>
        <w:pStyle w:val="P68B1DB1Normal118"/>
        <w:widowControl w:val="false"/>
        <w:spacing w:lineRule="auto" w:line="240" w:before="115" w:after="0"/>
        <w:ind w:left="0" w:right="0" w:hanging="0"/>
        <w:jc w:val="left"/>
        <w:rPr>
          <w:rFonts w:ascii="Calibri" w:hAnsi="Calibri"/>
          <w:i/>
          <w:i/>
          <w:color w:val="000000"/>
          <w:sz w:val="21"/>
        </w:rPr>
      </w:pPr>
      <w:r>
        <w:rPr/>
        <w:t xml:space="preserve">Paspartinti automatizavimą Europoje, kad prekės, kurios šiuo metu atvežamos iš Kinijos, vėl būtų gaminamos čia. </w:t>
      </w:r>
    </w:p>
    <w:p>
      <w:pPr>
        <w:pStyle w:val="P68B1DB1Normal118"/>
        <w:widowControl w:val="false"/>
        <w:spacing w:lineRule="auto" w:line="240" w:before="85" w:after="0"/>
        <w:ind w:left="0" w:right="0" w:hanging="0"/>
        <w:jc w:val="left"/>
        <w:rPr/>
      </w:pPr>
      <w:r>
        <w:rPr/>
        <w:t xml:space="preserve">Paimkite Bitcoin ir kitų kriptovaliutų revoliuciją rimtai. Žmonės, besidomintys juo, yra traktuojami kaip mokesčių sukčiai, o šio tipo blockchain technologija yra ateitis. </w:t>
      </w:r>
    </w:p>
    <w:p>
      <w:pPr>
        <w:pStyle w:val="P68B1DB1Normal118"/>
        <w:widowControl w:val="false"/>
        <w:spacing w:lineRule="auto" w:line="240" w:before="87" w:after="0"/>
        <w:ind w:left="0" w:right="0" w:hanging="0"/>
        <w:jc w:val="left"/>
        <w:rPr/>
      </w:pPr>
      <w:r>
        <w:rPr/>
        <w:t xml:space="preserve">Akcininkai nėra vieninteliai Europos ekonomikos dalyviai. Niekas neįmanoma be darbuotojų. "Europa turi padaryti daugiau žmonių su negalia. Šiandien jiems labai sunku rasti tinkamą darbą. </w:t>
      </w:r>
    </w:p>
    <w:p>
      <w:pPr>
        <w:pStyle w:val="P68B1DB1Normal118"/>
        <w:widowControl w:val="false"/>
        <w:spacing w:lineRule="auto" w:line="240" w:before="85" w:after="0"/>
        <w:ind w:left="0" w:right="0" w:hanging="0"/>
        <w:jc w:val="left"/>
        <w:rPr/>
      </w:pPr>
      <w:r>
        <w:rPr/>
        <w:t xml:space="preserve">Daugelis Europos taisyklių yra sudėtingos ir nuolat keičiasi. Todėl įmonėms sunku diegti naujoves. </w:t>
      </w:r>
    </w:p>
    <w:p>
      <w:pPr>
        <w:pStyle w:val="P68B1DB1Normal118"/>
        <w:widowControl w:val="false"/>
        <w:spacing w:lineRule="auto" w:line="240" w:before="85" w:after="0"/>
        <w:ind w:left="0" w:right="0" w:hanging="0"/>
        <w:jc w:val="both"/>
        <w:rPr/>
      </w:pPr>
      <w:r>
        <w:rPr/>
        <w:t xml:space="preserve">Jei mano įmonėje būtų atlikti pertvarkymo darbai, mano vietinis rangovas būtų galėjęs pradėti jau seniai. Tačiau pirmiausia turėjau paskelbti Europos konkursą. Gėda. </w:t>
      </w:r>
    </w:p>
    <w:p>
      <w:pPr>
        <w:pStyle w:val="P68B1DB1Normal111"/>
        <w:widowControl w:val="false"/>
        <w:spacing w:lineRule="auto" w:line="240" w:before="85" w:after="0"/>
        <w:ind w:left="0" w:right="0" w:hanging="0"/>
        <w:jc w:val="both"/>
        <w:rPr>
          <w:rFonts w:ascii="Calibri" w:hAnsi="Calibri"/>
          <w:b/>
          <w:b/>
          <w:color w:val="000000"/>
          <w:sz w:val="22"/>
        </w:rPr>
      </w:pPr>
      <w:r>
        <w:rPr/>
        <w:t xml:space="preserve">Dialogo internetu dalyviai: „Bendras mąstymas didelių įmonių klausimu“ </w:t>
      </w:r>
    </w:p>
    <w:p>
      <w:pPr>
        <w:pStyle w:val="P68B1DB1Normal104"/>
        <w:widowControl w:val="false"/>
        <w:spacing w:lineRule="auto" w:line="240" w:before="97" w:after="0"/>
        <w:ind w:left="0" w:right="0" w:hanging="0"/>
        <w:jc w:val="left"/>
        <w:rPr/>
      </w:pPr>
      <w:r>
        <w:rPr/>
        <w:t>Vieno iš internetinių teminių dialogų metu kilo diskusijos apie didėjančią didelių įmonių galią. Kai kurie dalyviai norėtų,</w:t>
      </w:r>
      <w:r>
        <w:rPr/>
        <w:commentReference w:id="22"/>
      </w:r>
      <w:r>
        <w:rPr/>
        <w:t xml:space="preserve"> kad ES imtųsi aktyvesnių veiksmų šioje srityje. Iš tiesų, kai kurios bendrovės kartais gauna didelį pelną, už kurį jos moka mažai mokesčių dėl sudėtingų susitarimų. Kiti dalyviai ragino pažvelgti į dalykus kaip visumą: šios bendrovės sukuria didelį užimtumo lygį ir yra naudingos nacionalinei ekonomikai. „Neturėtum jų persekioti“, – sakė kažkas. Kitas dalyvis manė, kad bet kuriuo atveju svarbu ES šalims kartu apsvarstyti šį klausimą. Didelės įmonės šiuo metu gali konkuruoti tarp šalių. Todėl turime pateikti vieningesnį frontą kaip ES. </w:t>
      </w:r>
    </w:p>
    <w:p>
      <w:pPr>
        <w:pStyle w:val="P68B1DB1Normal111"/>
        <w:widowControl w:val="false"/>
        <w:spacing w:lineRule="auto" w:line="240" w:before="97" w:after="0"/>
        <w:ind w:left="0" w:right="0" w:hanging="0"/>
        <w:jc w:val="left"/>
        <w:rPr>
          <w:rFonts w:ascii="Calibri" w:hAnsi="Calibri"/>
          <w:b/>
          <w:b/>
          <w:color w:val="000000"/>
          <w:sz w:val="22"/>
        </w:rPr>
      </w:pPr>
      <w:r>
        <w:rPr/>
        <w:t xml:space="preserve">Ūkininkai, kurie atsižvelgia į gamtą: „Nustatyti tikslus, o ne kvotas“ </w:t>
      </w:r>
    </w:p>
    <w:p>
      <w:pPr>
        <w:pStyle w:val="P68B1DB1Normal104"/>
        <w:widowControl w:val="false"/>
        <w:spacing w:lineRule="auto" w:line="240" w:before="95" w:after="0"/>
        <w:ind w:left="0" w:right="0" w:hanging="0"/>
        <w:jc w:val="left"/>
        <w:rPr/>
      </w:pPr>
      <w:r>
        <w:rPr/>
        <w:t xml:space="preserve">BoerenNatuur yra žemės ūkio grupių asociacija. Nedidelė grupė narių, be kita ko, aptarė ūkininkams taikomas ES taisykles. Viena vertus, jie mano, kad ES atneša daug teigiamų dalykų, pavyzdžiui, lengva eksportuoti į kitas šalis. Kita vertus, jie mano, kad politika dažnai gali būti dar aiškesnė. „Bet visi jau dirba vis daugiau ir daugiau ta pačia kryptimi“, – sakė kažkas apie tai. Visų pirma galima patobulinti procedūras: jie dažnai yra labai administraciniai ir daug laiko užimantys. Vieno dalyvio nuomone, taisyklės neturėtų būti pernelyg išsamios. Pirmenybė teikiama aiškiems tikslams, pavyzdžiui, švariam vandeniui. Tada mes galime apsispręsti dėl griovio pločio.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Europos demokratija </w:t>
      </w:r>
    </w:p>
    <w:p>
      <w:pPr>
        <w:pStyle w:val="P68B1DB1Normal104"/>
        <w:widowControl w:val="false"/>
        <w:spacing w:lineRule="auto" w:line="240"/>
        <w:ind w:left="0" w:right="0" w:hanging="0"/>
        <w:jc w:val="left"/>
        <w:rPr/>
      </w:pPr>
      <w:r>
        <w:rPr/>
        <w:t xml:space="preserve">ES ragina europiečius balsuoti ir taip pat nori įtraukti juos į Europos sprendimų priėmimo procesą ir politiką ne rinkimų laikotarpiu. ES taip pat imasi iniciatyvų demokratijai stiprinti, pavyzdžiui, rengdama veiksmų planą, kuriame daugiausia dėmesio skiriama laisviems ir sąžiningiems rinkimams ir spaudos laisvei. Kokia yra Nyderlandų vizija apie tai?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Rekomendacijos. Mūsų Europos demokratijos vizija </w:t>
      </w:r>
    </w:p>
    <w:p>
      <w:pPr>
        <w:pStyle w:val="P68B1DB1Normal69"/>
        <w:widowControl w:val="false"/>
        <w:spacing w:lineRule="auto" w:line="240"/>
        <w:ind w:left="0" w:right="0" w:hanging="0"/>
        <w:jc w:val="left"/>
        <w:rPr/>
      </w:pPr>
      <w:r>
        <w:rPr/>
        <w:t xml:space="preserve">60 proc. olandų mano, kad Europos demokratija yra svarbus klausimas ir kad ES turi įsikišti į šią sritį.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Geriau apžvelgti Europą </w:t>
      </w:r>
    </w:p>
    <w:p>
      <w:pPr>
        <w:pStyle w:val="P68B1DB1Normal104"/>
        <w:widowControl w:val="false"/>
        <w:spacing w:lineRule="auto" w:line="240"/>
        <w:ind w:left="0" w:right="0" w:hanging="0"/>
        <w:jc w:val="left"/>
        <w:rPr/>
      </w:pPr>
      <w:r>
        <w:rPr/>
        <w:t xml:space="preserve">Olandai atkreipia dėmesį į tai, kad dažnai žiniasklaidoje pasirodo Europa krizės atveju. Kita vertus, mes turime mažai informacijos apie kasdienius sprendimus. Mums, kaip piliečiams, nereikia visko žinoti, tačiau norint susidaryti gerą nuomonę, būtų gerai turėti geresnę apžvalgą. Pavyzdžiui, būtų įdomu dažniau išgirsti kitų šalių nuomonę apie ES. Šiuo atžvilgiu svarbus vaidmuo gali tekti žiniasklaidai ir švietimui. Tačiau žiniasklaida turi ir toliau priimti savo sprendimus. Olandai mano, kad spaudos laisvė yra labai svarbi mūsų demokratijai. </w:t>
      </w:r>
    </w:p>
    <w:p>
      <w:pPr>
        <w:pStyle w:val="P68B1DB1Normal113"/>
        <w:widowControl w:val="false"/>
        <w:spacing w:lineRule="auto" w:line="240" w:before="184" w:after="0"/>
        <w:ind w:left="0" w:right="0" w:hanging="0"/>
        <w:jc w:val="center"/>
        <w:rPr/>
      </w:pPr>
      <w:r>
        <w:rPr/>
        <w:t>„</w:t>
      </w:r>
      <w:r>
        <w:rPr/>
        <w:t xml:space="preserve">Dažniausiai girdime apie ES tik krizės atveju. Būtent dėl šios priežasties požiūris į Europą išlieka neigiamas.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Rasti naujų būdų, kaip nuolat klausytis piliečių </w:t>
      </w:r>
    </w:p>
    <w:p>
      <w:pPr>
        <w:pStyle w:val="P68B1DB1Normal104"/>
        <w:widowControl w:val="false"/>
        <w:spacing w:lineRule="auto" w:line="240"/>
        <w:ind w:left="0" w:right="0" w:hanging="0"/>
        <w:jc w:val="left"/>
        <w:rPr/>
      </w:pPr>
      <w:r>
        <w:rPr/>
        <w:t xml:space="preserve">51 proc. olandų mano, kad ES nepakankamai žino, kas vyksta visuomenėje. Siekdama pagerinti šią padėtį, ES turėtų dažniau ir, pageidautina, nuolat dalyvauti dialoge su piliečiais. Todėl daugelis olandų mano, kad Konferencija dėl Europos ateities yra gera iniciatyva. Referendumai taip pat gali būti vertinga priemonė, tačiau olandai šiuo klausimu laikosi skirtingų nuomonių. Kai kurioms temoms taip pat kartais reikia specialių žinių. Bet kuriuo atveju kalbėjimas su piliečiais neturėtų būti vien formalumas. Mes manome, kad svarbu, kad į mus būtų žiūrima rimtai.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Didesnis priimtų sprendimų skaidrumas ir aiškumas </w:t>
      </w:r>
    </w:p>
    <w:p>
      <w:pPr>
        <w:pStyle w:val="P68B1DB1Normal104"/>
        <w:widowControl w:val="false"/>
        <w:spacing w:lineRule="auto" w:line="240"/>
        <w:ind w:left="0" w:right="0" w:hanging="0"/>
        <w:jc w:val="left"/>
        <w:rPr/>
      </w:pPr>
      <w:r>
        <w:rPr/>
        <w:t xml:space="preserve">Olandams Europa kartais atrodo gana sudėtinga. Ne visi turi tą patį pagrindinių žinių lygį. ES turi labiau į tai atsižvelgti. Norime, kad ES taptų skaidresnė ir kad būtų lengviau ją atnaujinti. Nyderlandų valdžios institucijos taip pat turi atlikti tam tikrą vaidmenį šioje srityje. Daugelis olandų domisi Europos sprendimais, tačiau mano, kad oficialius kanalus per sunku rasti arba jie yra pernelyg sudėtingi. Be to, kiekvienas turi skirtingus interesus ir poreikius. Todėl reikėtų turėti galimybę pasirinkti temas, apie kurias norėtume sužinoti daugiau. Jaunimas dažnai domisi Europa, tačiau, pavyzdžiui, savo socialiniuose tinkluose jie mato mažai informacijos apie tai. </w:t>
      </w:r>
    </w:p>
    <w:p>
      <w:pPr>
        <w:pStyle w:val="P68B1DB1Normal113"/>
        <w:widowControl w:val="false"/>
        <w:spacing w:lineRule="auto" w:line="240" w:before="184" w:after="0"/>
        <w:ind w:left="0" w:right="0" w:hanging="0"/>
        <w:jc w:val="center"/>
        <w:rPr/>
      </w:pPr>
      <w:r>
        <w:rPr/>
        <w:t xml:space="preserve">Atostogaudamas Vengrijoje pamačiau didelį ženklą šalia naujos miško plantacijos, kurioje teigiama: „Ši plantacija buvo įmanoma ES dėka.“ Nors ir skeptiškai vertinu Europą, vis dar jaučiausi didžiuotis.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Užtikrinti, kad keblias problemas būtų galima išspręsti greičiau </w:t>
      </w:r>
    </w:p>
    <w:p>
      <w:pPr>
        <w:pStyle w:val="P68B1DB1Normal104"/>
        <w:widowControl w:val="false"/>
        <w:spacing w:lineRule="auto" w:line="240"/>
        <w:ind w:left="0" w:right="0" w:hanging="0"/>
        <w:jc w:val="left"/>
        <w:rPr/>
      </w:pPr>
      <w:r>
        <w:rPr/>
        <w:t>Olandams sunku suprasti, kaip veikia Europos demokratija, tačiau jiems atrodo, kad sprendimų priėmimas ES dažnai yra labai lėtas. Europos Parlamento rinkimuose visų pirma matome</w:t>
      </w:r>
      <w:r>
        <w:rPr/>
        <w:commentReference w:id="23"/>
      </w:r>
      <w:r>
        <w:rPr/>
        <w:t xml:space="preserve"> nacionalinių partijų aljansus. Taip pat gali būti ir kitų būdų, kaip atsižvelgti į Europos interesus. Maždaug trečdalis olandų mano, kad rinkimuose į Europos Parlamentą turėtų būti galima balsuoti už užsienio kandidatus. Beveik tiek pat piliečių mano, kad tai neturėtų būti įmanoma. Svarbiausia yra tai, kad būtų pakankamai atsižvelgta į skirtingus interesus. Tuo pačiu metu keblias problemas galima išspręsti greičiau nei dabar. </w:t>
      </w:r>
    </w:p>
    <w:p>
      <w:pPr>
        <w:pStyle w:val="P68B1DB1Normal113"/>
        <w:widowControl w:val="false"/>
        <w:spacing w:lineRule="auto" w:line="240" w:before="201" w:after="0"/>
        <w:ind w:left="0" w:right="0" w:hanging="0"/>
        <w:jc w:val="center"/>
        <w:rPr/>
      </w:pPr>
      <w:r>
        <w:rPr/>
        <w:t xml:space="preserve">Per rinkimus norėčiau susitapatinti su kuo nors ir žinoti, ką jis ar ji gina. Tai nebūtinai turi būti tėvynainis.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Diskusijos internetu ir vietoje bei idėjos </w:t>
      </w:r>
    </w:p>
    <w:p>
      <w:pPr>
        <w:pStyle w:val="P68B1DB1Normal118"/>
        <w:widowControl w:val="false"/>
        <w:spacing w:lineRule="auto" w:line="240" w:before="3" w:after="0"/>
        <w:ind w:left="0" w:right="0" w:hanging="0"/>
        <w:jc w:val="left"/>
        <w:rPr>
          <w:rFonts w:ascii="Calibri" w:hAnsi="Calibri"/>
          <w:i/>
          <w:i/>
          <w:color w:val="000000"/>
          <w:sz w:val="21"/>
        </w:rPr>
      </w:pPr>
      <w:r>
        <w:rPr/>
        <w:t xml:space="preserve">Pašalinkite šalių veto galią. Dauguma turi apsispręsti. </w:t>
      </w:r>
    </w:p>
    <w:p>
      <w:pPr>
        <w:pStyle w:val="Normal"/>
        <w:widowControl w:val="false"/>
        <w:spacing w:lineRule="auto" w:line="240" w:before="85" w:after="0"/>
        <w:ind w:left="0" w:right="0" w:hanging="0"/>
        <w:jc w:val="left"/>
        <w:rPr/>
      </w:pPr>
      <w:r>
        <w:rPr>
          <w:rFonts w:ascii="Calibri" w:hAnsi="Calibri"/>
          <w:i/>
          <w:color w:val="000000"/>
          <w:sz w:val="21"/>
        </w:rPr>
        <w:t xml:space="preserve">Dėl svarbių sprendimų įkurti diskusijų grupes, kurias </w:t>
      </w:r>
      <w:commentRangeStart w:id="24"/>
      <w:r>
        <w:rPr>
          <w:rFonts w:ascii="Calibri" w:hAnsi="Calibri"/>
          <w:i/>
          <w:color w:val="000000"/>
          <w:sz w:val="21"/>
        </w:rPr>
        <w:t xml:space="preserve">sudarytų </w:t>
      </w:r>
      <w:r>
        <w:rPr>
          <w:rFonts w:ascii="Calibri" w:hAnsi="Calibri"/>
          <w:i/>
          <w:color w:val="000000"/>
          <w:sz w:val="21"/>
        </w:rPr>
      </w:r>
      <w:commentRangeEnd w:id="24"/>
      <w:r>
        <w:commentReference w:id="24"/>
      </w:r>
      <w:r>
        <w:rPr>
          <w:rFonts w:ascii="Calibri" w:hAnsi="Calibri"/>
          <w:i/>
          <w:color w:val="000000"/>
          <w:sz w:val="21"/>
        </w:rPr>
        <w:t>piliečiai, galbūt (pusiau) privaloma tvarka, kaip tai daroma Jungtinių Amerikos Valstijų žiuri.</w:t>
      </w:r>
    </w:p>
    <w:p>
      <w:pPr>
        <w:pStyle w:val="P68B1DB1Normal118"/>
        <w:widowControl w:val="false"/>
        <w:spacing w:lineRule="auto" w:line="240" w:before="85" w:after="0"/>
        <w:ind w:left="0" w:right="0" w:hanging="0"/>
        <w:jc w:val="left"/>
        <w:rPr/>
      </w:pPr>
      <w:r>
        <w:rPr/>
        <w:t>„</w:t>
      </w:r>
      <w:r>
        <w:rPr/>
        <w:t xml:space="preserve">Užtikrinti, kad ES politikai ir pareigūnai reguliariai lankytųsi žemyne“ ir neliktų visiškai užsikimšę savo Briuselio burbule. </w:t>
      </w:r>
    </w:p>
    <w:p>
      <w:pPr>
        <w:pStyle w:val="P68B1DB1Normal118"/>
        <w:widowControl w:val="false"/>
        <w:spacing w:lineRule="auto" w:line="240" w:before="85" w:after="0"/>
        <w:ind w:left="0" w:right="0" w:hanging="0"/>
        <w:jc w:val="left"/>
        <w:rPr/>
      </w:pPr>
      <w:r>
        <w:rPr/>
        <w:t xml:space="preserve">IDĖJA: Tiesą sakant, TV naujienos turėtų skirti kelias minutes Europai kiekviename jos leidime. Arba galėtume išleisti kasdienį ar savaitinį laikraštį, skirtą Europai. </w:t>
      </w:r>
    </w:p>
    <w:p>
      <w:pPr>
        <w:pStyle w:val="P68B1DB1Normal118"/>
        <w:widowControl w:val="false"/>
        <w:spacing w:lineRule="auto" w:line="240" w:before="85" w:after="0"/>
        <w:ind w:left="0" w:right="0" w:hanging="0"/>
        <w:jc w:val="left"/>
        <w:rPr/>
      </w:pPr>
      <w:r>
        <w:rPr/>
        <w:t xml:space="preserve">IDĖJA: Galbūt Europos politikai turėtų dažniau dalyvauti televizijos programose. </w:t>
      </w:r>
    </w:p>
    <w:p>
      <w:pPr>
        <w:pStyle w:val="P68B1DB1Normal118"/>
        <w:widowControl w:val="false"/>
        <w:spacing w:lineRule="auto" w:line="240" w:before="85" w:after="0"/>
        <w:ind w:left="0" w:right="0" w:hanging="0"/>
        <w:jc w:val="left"/>
        <w:rPr/>
      </w:pPr>
      <w:r>
        <w:rPr/>
        <w:t xml:space="preserve">Kaip jaunas žmogus, beveik niekada nieko neskaičiau apie Europą. Tačiau man įdomu sužinoti daugiau, bet nereikia dėti per daug pastangų gauti informaciją. </w:t>
      </w:r>
    </w:p>
    <w:p>
      <w:pPr>
        <w:pStyle w:val="P68B1DB1Normal111"/>
        <w:widowControl w:val="false"/>
        <w:spacing w:lineRule="auto" w:line="240" w:before="84" w:after="0"/>
        <w:ind w:left="0" w:right="0" w:hanging="0"/>
        <w:jc w:val="left"/>
        <w:rPr>
          <w:rFonts w:ascii="Calibri" w:hAnsi="Calibri"/>
          <w:b/>
          <w:b/>
          <w:color w:val="000000"/>
          <w:sz w:val="22"/>
        </w:rPr>
      </w:pPr>
      <w:r>
        <w:rPr/>
        <w:t xml:space="preserve">Jaunieji Koalitie-Y nariai Utrechte: diskusija dėl referendumų naudojimo </w:t>
      </w:r>
    </w:p>
    <w:p>
      <w:pPr>
        <w:pStyle w:val="P68B1DB1Normal104"/>
        <w:widowControl w:val="false"/>
        <w:spacing w:lineRule="auto" w:line="240"/>
        <w:ind w:left="0" w:right="0" w:hanging="0"/>
        <w:jc w:val="left"/>
        <w:rPr/>
      </w:pPr>
      <w:r>
        <w:rPr/>
        <w:t>„</w:t>
      </w:r>
      <w:r>
        <w:rPr/>
        <w:t xml:space="preserve">Coalitie-Y“ – įvairių jaunimo organizacijų bendradarbiavimo – nariai aktyviai diskutavo apie referendumų naudojimą. Oponentai paminėjo diskusijų riziką, kai viskas yra juoda arba balta, o temos dažnai yra daug sudėtingesnės. Vienas iš dalyvių taip pat teigė: Mes galime balsuoti už ES ir būti kandidatais. Referendumai iš tikrųjų pažeidžia šį principą." Referendumo šalininkai teigė, kad politikos formuotojams naudinga žinoti, ką piliečiai galvoja konkrečia tema: tai galėtų padėti pateikti gaires. Referendumai taip pat galėtų padėti didinti visuomenės informuotumą apie visą ES: kokios temos yra darbotvarkėje ir ką pasirinkti?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Socialiniai savanoriai: Reikia geresnio šalių tarpusavio supratimo. </w:t>
      </w:r>
    </w:p>
    <w:p>
      <w:pPr>
        <w:pStyle w:val="Normal"/>
        <w:widowControl w:val="false"/>
        <w:spacing w:lineRule="auto" w:line="240"/>
        <w:ind w:left="0" w:right="0" w:hanging="0"/>
        <w:jc w:val="left"/>
        <w:rPr/>
      </w:pPr>
      <w:r>
        <w:rPr/>
        <w:t>Piėzo fondą</w:t>
      </w:r>
      <w:r>
        <w:rPr>
          <w:rFonts w:ascii="Calibri" w:hAnsi="Calibri"/>
          <w:color w:val="000000"/>
          <w:sz w:val="21"/>
        </w:rPr>
        <w:t xml:space="preserve">„Zoetermeer“ sudaro savanoriai, įvairiais būdais aktyviai veikiantys socialinio dalyvavimo srityje. Teminio dialogo dalyviai išreiškė susirūpinimą dėl didėjančio atotrūkio Europoje. Tai, pavyzdžiui, šalių požiūris į LGBTIQ bendruomenę. Jei šalys nesupranta savo nuomonės, bendradarbiauti sunku. „Dėl šios priežasties labai svarbu geriau pažinti vienas kitą“, – sakė vienas dalyvis. Šiandien mes tiesiog nežinome, ką žmonės galvoja kitose šalyse. Mes nepakankamai suprantame savo šalies kultūrą ir kontekstą. Tai labai svarbu, jei norime kartu priimti gerus sprendimus. </w:t>
      </w:r>
      <w:r>
        <w:br w:type="page"/>
      </w:r>
    </w:p>
    <w:p>
      <w:pPr>
        <w:pStyle w:val="P68B1DB1Normal117"/>
        <w:spacing w:lineRule="auto" w:line="240"/>
        <w:ind w:left="0" w:right="0" w:hanging="0"/>
        <w:rPr>
          <w:rFonts w:ascii="Calibri" w:hAnsi="Calibri"/>
          <w:b/>
          <w:b/>
          <w:i/>
          <w:i/>
          <w:color w:val="000000"/>
          <w:sz w:val="28"/>
        </w:rPr>
      </w:pPr>
      <w:r>
        <w:rPr/>
        <w:t xml:space="preserve">Skaitmeninė transformacija </w:t>
      </w:r>
    </w:p>
    <w:p>
      <w:pPr>
        <w:pStyle w:val="P68B1DB1Normal104"/>
        <w:widowControl w:val="false"/>
        <w:spacing w:lineRule="auto" w:line="240" w:before="62" w:after="0"/>
        <w:ind w:left="0" w:right="0" w:hanging="0"/>
        <w:jc w:val="left"/>
        <w:rPr/>
      </w:pPr>
      <w:r>
        <w:rPr/>
        <w:t xml:space="preserve">Virtualiame pasaulyje didėja interneto ryšio, saugumo ir privatumo reikalavimai. Šiuo atžvilgiu ES jaučiasi atsakinga ir yra įsipareigojusi užtikrinti, kad niekas nebūtų paliktas nuošalyje skaitmeninėje visuomenėje. Be to, ES investuoja į skaitmeninius visuomenės uždavinių sprendimus. Kokia yra Nyderlandų vizija apie tai?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Rekomendacijos – Mūsų virtuali pasaulėžiūra </w:t>
      </w:r>
    </w:p>
    <w:p>
      <w:pPr>
        <w:pStyle w:val="P68B1DB1Normal69"/>
        <w:widowControl w:val="false"/>
        <w:spacing w:lineRule="auto" w:line="240" w:before="65" w:after="0"/>
        <w:ind w:left="0" w:right="0" w:hanging="0"/>
        <w:jc w:val="left"/>
        <w:rPr/>
      </w:pPr>
      <w:r>
        <w:rPr/>
        <w:t xml:space="preserve">45 proc. olandų mano, kad virtualus pasaulis yra svarbi tema ir kad ES turi imtis veiksmų šioje srityje.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Užtikrinti greitą, saugų ir stabilų internetą visur </w:t>
      </w:r>
    </w:p>
    <w:p>
      <w:pPr>
        <w:pStyle w:val="P68B1DB1Normal104"/>
        <w:widowControl w:val="false"/>
        <w:spacing w:lineRule="auto" w:line="240" w:before="49" w:after="0"/>
        <w:ind w:left="0" w:right="0" w:hanging="0"/>
        <w:jc w:val="left"/>
        <w:rPr/>
      </w:pPr>
      <w:r>
        <w:rPr/>
        <w:t xml:space="preserve">61 proc. olandų mano, kad ES turėtų užtikrinti, kad kiekvienas asmuo Europoje turėtų prieigą prie spartaus ir stabilaus interneto. Mes visi matome, kad internetas vaidina vis svarbesnį vaidmenį mūsų gyvenime. Mūsų vaikai auga su skaitmeniniu švietimu. Bendravimas vis dažniau vyksta internetu tiek nacionaliniu, tiek tarptautiniu mastu. Kartais esame susirūpinę dėl didelės priklausomybės nuo interneto. Todėl daugelis olandų mano, kad ES gali geriausiai jai skirti lėšų, jei jos bus naudojamos veiksmingai. Mūsų nuomone, apsauga nuo nusikaltimų internete yra svarbiausias klausimas, kurį reikia spręsti Europos lygmeniu. Tačiau dėmesys taip pat turėtų būti skiriamas kovai su nusikaltimais internete nacionaliniu lygmeniu. </w:t>
      </w:r>
    </w:p>
    <w:p>
      <w:pPr>
        <w:pStyle w:val="P68B1DB1Normal113"/>
        <w:widowControl w:val="false"/>
        <w:spacing w:lineRule="auto" w:line="240" w:before="54" w:after="0"/>
        <w:ind w:left="0" w:right="0" w:hanging="0"/>
        <w:jc w:val="center"/>
        <w:rPr/>
      </w:pPr>
      <w:r>
        <w:rPr/>
        <w:t xml:space="preserve">Kibernetinės atakos prieš mūsų vandens apsaugos sistemą idėja verčia jaustis pažeidžiama.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Nustatyti aiškias taisykles ir standartus interneto bendrovėms </w:t>
      </w:r>
    </w:p>
    <w:p>
      <w:pPr>
        <w:pStyle w:val="P68B1DB1Normal104"/>
        <w:widowControl w:val="false"/>
        <w:spacing w:lineRule="auto" w:line="240" w:before="49" w:after="0"/>
        <w:ind w:left="0" w:right="0" w:hanging="0"/>
        <w:jc w:val="left"/>
        <w:rPr/>
      </w:pPr>
      <w:r>
        <w:rPr/>
        <w:t xml:space="preserve">75 % olandų mano, kad ES turėtų užtikrinti, kad perkant internetu būtų galima užtikrinti vienodą saugumo lygį visose ES šalyse. Mes visi perkame vis daugiau ir daugiau užsienyje ir tokiu būdu dalijamės neskelbtinais asmens duomenimis. Kartais tai atrodo pavojinga. Sunku nustatyti, kurios interneto svetainės yra patikimos. Gerai, kad ES rengia Europos privatumo taisykles ir standartus, kuriuos kiekvienas gali suprasti. Didžiųjų interneto kompanijų galia mums taip pat nuolat kelia susirūpinimą. Manome, kad mūsų pareiga yra atsargiai naudoti mūsų duomenis. Tačiau mes taip pat manome, kad ES gali atlikti tam tikrą vaidmenį šioje srityje. ES šalys turi bendradarbiauti siekdamos užtikrinti, kad tokios įmonės kaip „Google“ ir „Facebook“ neturėtų per daug galių. </w:t>
      </w:r>
    </w:p>
    <w:p>
      <w:pPr>
        <w:pStyle w:val="P68B1DB1Normal113"/>
        <w:widowControl w:val="false"/>
        <w:spacing w:lineRule="auto" w:line="240" w:before="54" w:after="0"/>
        <w:ind w:left="0" w:right="0" w:hanging="0"/>
        <w:jc w:val="center"/>
        <w:rPr/>
      </w:pPr>
      <w:r>
        <w:rPr/>
        <w:t xml:space="preserve">Susidūrę su tokiu pasauliniu žaidėju kaip „Facebook“, esame palyginti neturtingi kaip maža šalis. </w:t>
      </w:r>
    </w:p>
    <w:p>
      <w:pPr>
        <w:pStyle w:val="P68B1DB1Normal111"/>
        <w:widowControl w:val="false"/>
        <w:spacing w:lineRule="auto" w:line="240" w:before="71" w:after="0"/>
        <w:ind w:left="0" w:right="0" w:hanging="0"/>
        <w:jc w:val="left"/>
        <w:rPr/>
      </w:pPr>
      <w:r>
        <w:rPr/>
        <w:t xml:space="preserve">3. Privatumo taisyklių įgyvendinimo ir praktinių paaiškinimų įtraukimas </w:t>
      </w:r>
    </w:p>
    <w:p>
      <w:pPr>
        <w:pStyle w:val="Normal"/>
        <w:widowControl w:val="false"/>
        <w:spacing w:lineRule="auto" w:line="240" w:before="49" w:after="0"/>
        <w:ind w:left="0" w:right="0" w:hanging="0"/>
        <w:jc w:val="left"/>
        <w:rPr/>
      </w:pPr>
      <w:r>
        <w:rPr>
          <w:rFonts w:ascii="Calibri" w:hAnsi="Calibri"/>
          <w:color w:val="000000"/>
          <w:sz w:val="21"/>
        </w:rPr>
        <w:t xml:space="preserve">Priėmus Bendrąjį duomenų apsaugos reglamentą (BDAR), Nyderlandai žino, kad visos šalys privalo laikytis tų pačių privatumo įstatymų ir taisyklių. Mes manome, kad tai gerai, kad būtų galima pasikliauti tuo, nes privatumas yra svarbus klausimas. Tačiau kai kurie olandai mano, kad privatumo taisyklės kartais yra perdėtos arba nelogiškos. Be to, šis teisės aktas gali sukurti daug darbo verslininkams. Todėl manome, kad daugiau dėmesio reikėtų skirti praktiniam privatumo teisės aktų įgyvendinimui: parama ir informavimas tiek piliečiams, tiek įmonėms. Visų pirma manome, kad valstybės narės turi atlikti tam tikrą vaidmenį. Privatumo klausimus arba klausimus geriausiai tvarko mūsų nacionalinės valdžios institucijos savo kalba. </w:t>
      </w:r>
      <w:r>
        <w:br w:type="page"/>
      </w:r>
    </w:p>
    <w:p>
      <w:pPr>
        <w:pStyle w:val="P68B1DB1Normal108"/>
        <w:spacing w:lineRule="auto" w:line="240"/>
        <w:ind w:left="0" w:right="0" w:hanging="0"/>
        <w:rPr>
          <w:rFonts w:ascii="Calibri" w:hAnsi="Calibri"/>
          <w:b/>
          <w:b/>
          <w:i/>
          <w:i/>
          <w:color w:val="000000"/>
          <w:sz w:val="24"/>
        </w:rPr>
      </w:pPr>
      <w:r>
        <w:rPr/>
        <w:t xml:space="preserve">Diskusijos internetu ir vietoje bei idėjos </w:t>
      </w:r>
    </w:p>
    <w:p>
      <w:pPr>
        <w:pStyle w:val="P68B1DB1Normal118"/>
        <w:widowControl w:val="false"/>
        <w:spacing w:lineRule="auto" w:line="240" w:before="120" w:after="0"/>
        <w:ind w:left="0" w:right="889" w:hanging="0"/>
        <w:jc w:val="left"/>
        <w:rPr/>
      </w:pPr>
      <w:r>
        <w:rPr/>
        <w:t xml:space="preserve">IDĖJA: Nustatyti griežtesnius kriterijus programuotojams ir įmonėms uždraudžiant pavojingas programavimo kalbas. </w:t>
      </w:r>
    </w:p>
    <w:p>
      <w:pPr>
        <w:pStyle w:val="P68B1DB1Normal118"/>
        <w:widowControl w:val="false"/>
        <w:spacing w:lineRule="auto" w:line="240" w:before="87" w:after="0"/>
        <w:ind w:left="0" w:right="0" w:hanging="0"/>
        <w:jc w:val="left"/>
        <w:rPr>
          <w:rFonts w:ascii="Calibri" w:hAnsi="Calibri"/>
          <w:i/>
          <w:i/>
          <w:color w:val="000000"/>
          <w:sz w:val="21"/>
        </w:rPr>
      </w:pPr>
      <w:r>
        <w:rPr/>
        <w:t xml:space="preserve">Pasiūlyti nemokamą Europos antivirusinę programinę įrangą, kad būtų sukurta Europos užkarda. </w:t>
      </w:r>
    </w:p>
    <w:p>
      <w:pPr>
        <w:pStyle w:val="P68B1DB1Normal118"/>
        <w:widowControl w:val="false"/>
        <w:spacing w:lineRule="auto" w:line="240" w:before="85" w:after="0"/>
        <w:ind w:left="0" w:right="42" w:hanging="0"/>
        <w:jc w:val="left"/>
        <w:rPr/>
      </w:pPr>
      <w:r>
        <w:rPr/>
        <w:t xml:space="preserve">Kai aš kirstu sieną į Vokietiją, staiga nebeturiu tinklo savo mobiliajame telefone. Tai nebeturėtų įvykti, ar ne? </w:t>
      </w:r>
    </w:p>
    <w:p>
      <w:pPr>
        <w:pStyle w:val="P68B1DB1Normal118"/>
        <w:widowControl w:val="false"/>
        <w:spacing w:lineRule="auto" w:line="240" w:before="85" w:after="0"/>
        <w:ind w:left="0" w:right="959" w:hanging="0"/>
        <w:jc w:val="left"/>
        <w:rPr/>
      </w:pPr>
      <w:r>
        <w:rPr/>
        <w:t xml:space="preserve">Naudodami „iPhone“ galime stebėti visas savo keliones. Mes taip pat turime savo atsakomybės dalį. </w:t>
      </w:r>
    </w:p>
    <w:p>
      <w:pPr>
        <w:pStyle w:val="P68B1DB1Normal118"/>
        <w:widowControl w:val="false"/>
        <w:spacing w:lineRule="auto" w:line="240" w:before="83" w:after="0"/>
        <w:ind w:left="0" w:right="0" w:hanging="0"/>
        <w:jc w:val="left"/>
        <w:rPr/>
      </w:pPr>
      <w:r>
        <w:rPr/>
        <w:t xml:space="preserve">Nėra patogu kiekvienoje šalyje užpildyti kitokio tipo privatumo formą.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IDĖJA: Turime sukurti Europos kibernetinę policiją. Akivaizdu, kad tai yra kažkas ES. </w:t>
      </w:r>
    </w:p>
    <w:p>
      <w:pPr>
        <w:pStyle w:val="P68B1DB1Normal111"/>
        <w:widowControl w:val="false"/>
        <w:spacing w:lineRule="auto" w:line="240" w:before="84" w:after="0"/>
        <w:ind w:left="0" w:right="823" w:hanging="0"/>
        <w:jc w:val="left"/>
        <w:rPr/>
      </w:pPr>
      <w:r>
        <w:rPr/>
        <w:t xml:space="preserve">Dialogo internetu dalyviai: Turėti kokybišką interneto prieigą visur taip pat yra mūsų pačių interesas. </w:t>
      </w:r>
    </w:p>
    <w:p>
      <w:pPr>
        <w:pStyle w:val="P68B1DB1Normal104"/>
        <w:widowControl w:val="false"/>
        <w:spacing w:lineRule="auto" w:line="240" w:before="97" w:after="0"/>
        <w:ind w:left="0" w:right="236" w:hanging="0"/>
        <w:jc w:val="left"/>
        <w:rPr/>
      </w:pPr>
      <w:r>
        <w:rPr/>
        <w:t xml:space="preserve">Vieno iš internetinių teminių dialogų metu kilo įdomių diskusijų apie ES vaidmenį virtualiame pasaulyje. Visi dalyviai sutiko, kad gera ir svarbu turėti gerą interneto ryšį visoje Europoje. Tačiau ar ES turi spręsti šį klausimą? Keletas dalyvių nurodė, kad ši užduotis visų pirma tenka atskiroms valstybėms narėms. Kitas dalyvis pabrėžė, kad stabilus ir kokybiškas internetas užsienyje taip pat yra Nyderlandų turtas: Mes uždirbame milijardus dolerių iš prekybos su kitomis ES šalimis. Todėl mums svarbu, kad šios šalys veiktų gerai. </w:t>
      </w:r>
    </w:p>
    <w:p>
      <w:pPr>
        <w:pStyle w:val="P68B1DB1Normal111"/>
        <w:widowControl w:val="false"/>
        <w:spacing w:lineRule="auto" w:line="240" w:before="40" w:after="0"/>
        <w:ind w:left="0" w:right="0" w:hanging="0"/>
        <w:jc w:val="left"/>
        <w:rPr>
          <w:rFonts w:ascii="Calibri" w:hAnsi="Calibri"/>
          <w:b/>
          <w:b/>
          <w:color w:val="000000"/>
          <w:sz w:val="22"/>
        </w:rPr>
      </w:pPr>
      <w:r>
        <w:rPr/>
        <w:t xml:space="preserve">Studentai Helmonde: Vienodos taisyklės ir sankcijos kibernetiniams nusikaltėliams </w:t>
      </w:r>
    </w:p>
    <w:p>
      <w:pPr>
        <w:pStyle w:val="Normal"/>
        <w:widowControl w:val="false"/>
        <w:spacing w:lineRule="auto" w:line="240" w:before="95" w:after="0"/>
        <w:ind w:left="0" w:right="32" w:hanging="0"/>
        <w:jc w:val="left"/>
        <w:rPr/>
      </w:pPr>
      <w:r>
        <w:rPr>
          <w:rFonts w:ascii="Calibri" w:hAnsi="Calibri"/>
          <w:color w:val="000000"/>
          <w:sz w:val="21"/>
        </w:rPr>
        <w:t xml:space="preserve">Dr. Knippenbergo koledže Helmonde 15 ir 16 metų studentai aptarė internetinio nusikalstamumo problemą. Jie reguliariai girdi naujienas. Pavyzdžiui, kai įmonėje yra duomenų nutekėjimas. Arba kai tokia šalis kaip Rusija ar Kinija bando pavogti duomenis. Kadangi kibernetiniai nusikaltėliai dažnai dirba tarpvalstybiniu mastu, Europos šalims logiška bendradarbiauti. Atsižvelgiant į tai, jie svarsto ne tik taisyklių rengimą, bet ir sankcijų apibrėžtį. Jei Rusijos kibernetiniai piratai bandys įsilaužti į mūsų namus, ES turi imtis ryžtingų veiksmų, kad užkirstų jiems kelią. </w:t>
      </w:r>
      <w:r>
        <w:br w:type="page"/>
      </w:r>
    </w:p>
    <w:p>
      <w:pPr>
        <w:pStyle w:val="P68B1DB1Normal117"/>
        <w:spacing w:lineRule="auto" w:line="240"/>
        <w:ind w:left="0" w:right="0" w:hanging="0"/>
        <w:rPr>
          <w:rFonts w:ascii="Calibri" w:hAnsi="Calibri"/>
          <w:b/>
          <w:b/>
          <w:i/>
          <w:i/>
          <w:color w:val="000000"/>
          <w:sz w:val="28"/>
        </w:rPr>
      </w:pPr>
      <w:r>
        <w:rPr/>
        <w:t xml:space="preserve">Švietimas, kultūra, jaunimas ir sportas </w:t>
      </w:r>
    </w:p>
    <w:p>
      <w:pPr>
        <w:pStyle w:val="P68B1DB1Normal104"/>
        <w:widowControl w:val="false"/>
        <w:spacing w:lineRule="auto" w:line="240" w:before="93" w:after="0"/>
        <w:ind w:left="0" w:right="0" w:hanging="0"/>
        <w:jc w:val="left"/>
        <w:rPr/>
      </w:pPr>
      <w:r>
        <w:rPr/>
        <w:t xml:space="preserve">ES šalys yra tiesiogiai atsakingos už švietimą, kultūrą, jaunimą ir sportą. ES gali ir norėtų joms padėti šioje srityje, pavyzdžiui, skatindama kokybišką švietimą, daugiakalbystę, kultūros paveldo apsaugą ir paramą kultūros ir sporto sektoriams. Kokia yra Nyderlandų vizija apie tai?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Rekomendacijos – Mūsų švietimo, kultūros, jaunimo ir sporto vizija </w:t>
      </w:r>
    </w:p>
    <w:p>
      <w:pPr>
        <w:pStyle w:val="P68B1DB1Normal69"/>
        <w:widowControl w:val="false"/>
        <w:spacing w:lineRule="auto" w:line="240" w:before="123" w:after="0"/>
        <w:ind w:left="0" w:right="0" w:hanging="0"/>
        <w:jc w:val="left"/>
        <w:rPr/>
      </w:pPr>
      <w:r>
        <w:rPr/>
        <w:t xml:space="preserve">45 proc. olandų mano, kad švietimas yra svarbus klausimas ir kad ES turi imtis veiksmų šioje srityje. Jaunimo, kultūros ir sporto sektoriuose šis skaičius atitinkamai sudaro 39 proc., 23 proc. ir 19 proc.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Skatinti studentus studijuoti užsienyje protingai </w:t>
      </w:r>
    </w:p>
    <w:p>
      <w:pPr>
        <w:pStyle w:val="P68B1DB1Normal104"/>
        <w:widowControl w:val="false"/>
        <w:spacing w:lineRule="auto" w:line="240"/>
        <w:ind w:left="0" w:right="0" w:hanging="0"/>
        <w:jc w:val="left"/>
        <w:rPr/>
      </w:pPr>
      <w:r>
        <w:rPr/>
        <w:t xml:space="preserve">Daugelis olandų mano, kad studijos užsienyje turi teigiamą poveikį jaunimui. Tai prisideda prie asmeninio tobulėjimo. Be to, studijos užsienyje gali padėti europiečiams geriau suprasti vienas kitą. Ji taip pat gali prisidėti prie geresnės integracijos. Todėl daugelis olandų teigiamai vertina tai, kad yra programa „Erasmus“, kuri skatina studijuoti užsienyje. Tačiau manome, kad ES taip pat turėtų toliau kritiškai spręsti šį klausimą. Pavyzdžiui, praktiškai atrodo, kad tarptautiniai studentai dažniausiai lieka vieni su kitais ir ne visada daug sužino apie šalį, kurioje jie yra. ES taip pat turi užkirsti kelią šalims, kurių žinių lygis žemesnis, „trūkti“, nes visi talentai studijuos užsienyje. </w:t>
      </w:r>
    </w:p>
    <w:p>
      <w:pPr>
        <w:pStyle w:val="P68B1DB1Normal113"/>
        <w:widowControl w:val="false"/>
        <w:spacing w:lineRule="auto" w:line="240" w:before="167" w:after="0"/>
        <w:ind w:left="0" w:right="0" w:hanging="0"/>
        <w:jc w:val="center"/>
        <w:rPr/>
      </w:pPr>
      <w:r>
        <w:rPr/>
        <w:t>„</w:t>
      </w:r>
      <w:r>
        <w:rPr/>
        <w:t xml:space="preserve">Taip pat parengti mainų programas profesinio vidurinio ugdymo lygmeniu.“ </w:t>
      </w:r>
    </w:p>
    <w:p>
      <w:pPr>
        <w:pStyle w:val="Normal"/>
        <w:widowControl w:val="false"/>
        <w:spacing w:lineRule="auto" w:line="240" w:before="136" w:after="0"/>
        <w:ind w:left="0" w:right="0" w:hanging="0"/>
        <w:jc w:val="left"/>
        <w:rPr/>
      </w:pPr>
      <w:r>
        <w:rPr>
          <w:rFonts w:ascii="Calibri" w:hAnsi="Calibri"/>
          <w:b/>
          <w:color w:val="000000"/>
        </w:rPr>
        <w:t>2. Leisti valstybėms narėms sutelkti dėmesį į tokias temas kaip kultūra ir sportas.</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proc. olandų mano, kad ES turėtų geriau apsaugoti Europos kultūros paveldą. Mes galvojame, pavyzdžiui, apie šventyklą Graikijoje. Kita vertus, manome, kad vietos kultūra yra visų pirma pačių šalių atsakomybė. Tas pats pasakytina, pavyzdžiui, apie piktnaudžiavimą sportu. Manome, kad tai yra svarbus klausimas, bet ne pagrindinė ES misija. Europa būtinai turi nustatyti prioritetus, o kitiems klausimams spręsti reikia didelių finansinių išteklių. Kartais galime prisidėti finansiškai, tačiau kartais galime bendradarbiauti ir kitais būdais, pavyzdžiui, keisdamiesi žiniomis ir idėjomis. </w:t>
      </w:r>
    </w:p>
    <w:p>
      <w:pPr>
        <w:pStyle w:val="P68B1DB1Normal113"/>
        <w:widowControl w:val="false"/>
        <w:spacing w:lineRule="auto" w:line="240" w:before="167" w:after="0"/>
        <w:ind w:left="0" w:right="0" w:hanging="0"/>
        <w:jc w:val="center"/>
        <w:rPr/>
      </w:pPr>
      <w:r>
        <w:rPr/>
        <w:t xml:space="preserve">Kultūros apsauga priklauso nuo pačių šalių. Bet jei pasaulio paveldas bus ignoruojamas, manau, kad ES turi įsikišti.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Užtikrinti, kad europiečiai geriau pažintų vienas kitą ir gerbtų vienas kitą </w:t>
      </w:r>
    </w:p>
    <w:p>
      <w:pPr>
        <w:pStyle w:val="P68B1DB1Normal104"/>
        <w:widowControl w:val="false"/>
        <w:spacing w:lineRule="auto" w:line="240"/>
        <w:ind w:left="0" w:right="0" w:hanging="0"/>
        <w:jc w:val="left"/>
        <w:rPr/>
      </w:pPr>
      <w:r>
        <w:rPr/>
        <w:t xml:space="preserve">Olandai vertina tai, kad kiti europiečiai gerai kalba angliškai. Tai supaprastina dalykus, kai esame užsienyje. Ir kai, pavyzdžiui, norime bendrauti su darbuotojais migrantais Nyderlanduose. Tuo pačiu metu daugelis olandų mano, kad labai svarbu, kad mes ir toliau kalbėtume ir vertintume savo kalbą. Todėl norime, kad būtų atsižvelgta ir į kitus skirtumus Europoje. Nesvarbu, ar tai kultūra, švietimas ar sportas, kiekvienas žmogus turi jaustis laisvas ir sugebėti būti savimi. Skirtumai kartais gali sukelti įtampą, tačiau dėl jų ir Europos žemynas tampa turtingas. Daugelis olandų mano, kad šalims turėtų būti suteikta laiko susipažinti su savo atitinkamais įpročiais ir idėjomis. </w:t>
      </w:r>
    </w:p>
    <w:p>
      <w:pPr>
        <w:pStyle w:val="P68B1DB1Normal113"/>
        <w:widowControl w:val="false"/>
        <w:spacing w:lineRule="auto" w:line="240" w:before="167" w:after="0"/>
        <w:ind w:left="0" w:right="0" w:hanging="0"/>
        <w:jc w:val="center"/>
        <w:rPr/>
      </w:pPr>
      <w:r>
        <w:rPr/>
        <w:t xml:space="preserve">Man ES yra tarsi draugų grupė. Mes gerbiame savo skirtumus ir galiu paprašyti pagalbos, jei jų prireiktų.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Diskusijos internetu ir vietoje bei idėjos </w:t>
      </w:r>
    </w:p>
    <w:p>
      <w:pPr>
        <w:pStyle w:val="P68B1DB1Normal118"/>
        <w:widowControl w:val="false"/>
        <w:spacing w:lineRule="auto" w:line="240" w:before="120" w:after="0"/>
        <w:ind w:left="0" w:right="0" w:hanging="0"/>
        <w:jc w:val="left"/>
        <w:rPr/>
      </w:pPr>
      <w:r>
        <w:rPr/>
        <w:t xml:space="preserve">IDĖJA: Be vietos mokymo programos, visuose švietimo lygmenyse turėtų būti įdiegta bendra Europos mokymo programa.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IDĖJA: Be kultūros sostinės, taip pat turėtumėte kasmet pasirinkti sostinę (ar šalį) švietimo, jaunimo ir sporto srityse. </w:t>
      </w:r>
    </w:p>
    <w:p>
      <w:pPr>
        <w:pStyle w:val="P68B1DB1Normal118"/>
        <w:widowControl w:val="false"/>
        <w:spacing w:lineRule="auto" w:line="240" w:before="85" w:after="0"/>
        <w:ind w:left="0" w:right="0" w:hanging="0"/>
        <w:jc w:val="left"/>
        <w:rPr/>
      </w:pPr>
      <w:r>
        <w:rPr/>
        <w:t xml:space="preserve">Europos Sąjungoje mus vienija būtent tai, kad visi turime savo nacionalinę kultūrą. Ir todėl nesugebėjimas būti surinktas po vienos kultūros vėliava. </w:t>
      </w:r>
    </w:p>
    <w:p>
      <w:pPr>
        <w:pStyle w:val="P68B1DB1Normal118"/>
        <w:widowControl w:val="false"/>
        <w:spacing w:lineRule="auto" w:line="240" w:before="87" w:after="0"/>
        <w:ind w:left="0" w:right="0" w:hanging="0"/>
        <w:jc w:val="left"/>
        <w:rPr>
          <w:rFonts w:ascii="Calibri" w:hAnsi="Calibri"/>
          <w:i/>
          <w:i/>
          <w:color w:val="000000"/>
          <w:sz w:val="21"/>
        </w:rPr>
      </w:pPr>
      <w:r>
        <w:rPr/>
        <w:t xml:space="preserve">Vietoj to, kad pabrėžtumėte neigiamus dalykus, geriau pabandyti skatinti sportą. </w:t>
      </w:r>
    </w:p>
    <w:p>
      <w:pPr>
        <w:pStyle w:val="P68B1DB1Normal118"/>
        <w:widowControl w:val="false"/>
        <w:spacing w:lineRule="auto" w:line="240" w:before="85" w:after="0"/>
        <w:ind w:left="0" w:right="0" w:hanging="0"/>
        <w:jc w:val="left"/>
        <w:rPr/>
      </w:pPr>
      <w:r>
        <w:rPr/>
        <w:t xml:space="preserve">Esu čia integruotas, moku mokesčius, bet esu ir likau Lotynų amerikietis. Myliu savo liežuvį, muziką ir maistą. Tai ne apie Europą. </w:t>
      </w:r>
    </w:p>
    <w:p>
      <w:pPr>
        <w:pStyle w:val="P68B1DB1Normal118"/>
        <w:widowControl w:val="false"/>
        <w:spacing w:lineRule="auto" w:line="240" w:before="87" w:after="0"/>
        <w:ind w:left="0" w:right="0" w:hanging="0"/>
        <w:jc w:val="left"/>
        <w:rPr>
          <w:rFonts w:ascii="Calibri" w:hAnsi="Calibri"/>
          <w:i/>
          <w:i/>
          <w:color w:val="000000"/>
          <w:sz w:val="21"/>
        </w:rPr>
      </w:pPr>
      <w:r>
        <w:rPr/>
        <w:t xml:space="preserve">Mes per daug kalbame apie Europos ekonomiką. Ir per mažai gerovės. </w:t>
      </w:r>
    </w:p>
    <w:p>
      <w:pPr>
        <w:pStyle w:val="P68B1DB1Normal111"/>
        <w:widowControl w:val="false"/>
        <w:spacing w:lineRule="auto" w:line="240" w:before="84" w:after="0"/>
        <w:ind w:left="0" w:right="0" w:hanging="0"/>
        <w:jc w:val="left"/>
        <w:rPr>
          <w:rFonts w:ascii="Calibri" w:hAnsi="Calibri"/>
          <w:b/>
          <w:b/>
          <w:color w:val="000000"/>
          <w:sz w:val="22"/>
        </w:rPr>
      </w:pPr>
      <w:r>
        <w:rPr/>
        <w:t xml:space="preserve">Leideno universiteto studentai: Kalba yra svarbi, tačiau ji turi likti laisvas pasirinkimas </w:t>
      </w:r>
    </w:p>
    <w:p>
      <w:pPr>
        <w:pStyle w:val="P68B1DB1Normal104"/>
        <w:widowControl w:val="false"/>
        <w:spacing w:lineRule="auto" w:line="240" w:before="100" w:after="0"/>
        <w:ind w:left="0" w:right="0" w:hanging="0"/>
        <w:jc w:val="left"/>
        <w:rPr/>
      </w:pPr>
      <w:r>
        <w:rPr/>
        <w:t xml:space="preserve">Leideno universitete istorijos studentai kalbėjosi vieni su kitais. Jiems labai svarbu, kad žmonės kalbėtų keliomis kalbomis. Jie mano, kad kelių kalbų įvaldymas yra puikus asmeninis tobulėjimas ir naudingas prekybos ir politiniams santykiams ES. Tačiau jie mano, kad kalbos turėtų būti siūlomos mokykloje, o ne būti privalomos. Jie taip pat mano, kad antroji kalba nebūtinai turi būti Europos kalba. „Jei gyvenate Rytų Europoje ir pasirenkate mokytis rusų kalbos, tai yra jūsų teisė“, – sakė vienas iš dalyvių. </w:t>
      </w:r>
    </w:p>
    <w:p>
      <w:pPr>
        <w:pStyle w:val="P68B1DB1Normal110"/>
        <w:widowControl w:val="false"/>
        <w:spacing w:lineRule="auto" w:line="240" w:before="223" w:after="0"/>
        <w:ind w:left="0" w:right="0" w:hanging="0"/>
        <w:jc w:val="left"/>
        <w:rPr/>
      </w:pPr>
      <w:r>
        <w:rPr>
          <w:b/>
        </w:rPr>
        <w:t xml:space="preserve">Schiedamo turkų bendruomenė: </w:t>
      </w:r>
      <w:r>
        <w:rPr>
          <w:sz w:val="21"/>
        </w:rPr>
        <w:t xml:space="preserve">Hakder fonde Schiedame vietos turkų bendruomenė aptarė sąžiningo užimtumo galimybių svarbą visiems. Visi dalyviai sutiko, kad ES turėtų įpareigoti įmones siūlyti stažuotes ar darbą ribotomis perspektyvomis pasižyminčiam jaunimui. Jie nurodė, kad jauniems migrantams ypač sunku rasti stažuotę ar darbą. Kartais jie net nedrįsta eiti į GP, nes baiminasi, kad turės patys sumokėti už vizitą. Jau nekalbant apie drąsą kreiptis dėl stažuotės ar darbo", – sakė vienas iš dalyvių. „Įmonės turi būti dėmesingesnės ir ES gali jas paskatinti tai daryti.“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Atliekant tyrimą naudotos metodikos aprašymas</w:t>
      </w:r>
      <w:r>
        <w:rPr>
          <w:color w:val="365F91"/>
        </w:rPr>
        <w:t xml:space="preserve"> </w:t>
      </w:r>
    </w:p>
    <w:p>
      <w:pPr>
        <w:pStyle w:val="P68B1DB1Normal104"/>
        <w:widowControl w:val="false"/>
        <w:spacing w:lineRule="auto" w:line="240" w:before="137" w:after="0"/>
        <w:ind w:left="0" w:right="0" w:hanging="0"/>
        <w:jc w:val="left"/>
        <w:rPr/>
      </w:pPr>
      <w:r>
        <w:rPr/>
        <w:t xml:space="preserve">Apklausą „Europos vizija“ sudaro įvairių formų dialogas siekiant sužinoti Nyderlandų piliečių nuomonę ir idėjas apie Europos ir ES ateitį. Šiame skyriuje aprašoma metodika, naudojama siekiant užtikrinti, kad susijusios dialogo formos atitiktų nacionalinėms piliečių grupėms skirtas gaires Konferencijos dėl Europos ateities kontekste. </w:t>
      </w:r>
    </w:p>
    <w:p>
      <w:pPr>
        <w:pStyle w:val="P68B1DB1Normal110"/>
        <w:widowControl w:val="false"/>
        <w:spacing w:lineRule="auto" w:line="240" w:before="236" w:after="0"/>
        <w:ind w:left="0" w:right="0" w:hanging="0"/>
        <w:jc w:val="both"/>
        <w:rPr/>
      </w:pPr>
      <w:r>
        <w:rPr>
          <w:sz w:val="21"/>
        </w:rPr>
        <w:t>Susijusių</w:t>
      </w:r>
      <w:r>
        <w:rPr>
          <w:b/>
          <w:i/>
          <w:sz w:val="24"/>
        </w:rPr>
        <w:t xml:space="preserve">dialogo formų kūrimas </w:t>
      </w:r>
      <w:r>
        <w:rPr>
          <w:sz w:val="21"/>
        </w:rPr>
        <w:t xml:space="preserve">Naudojamos šios dialogo formos: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Ekspertų grupės apklausa</w:t>
      </w:r>
    </w:p>
    <w:p>
      <w:pPr>
        <w:pStyle w:val="P68B1DB1Normal104"/>
        <w:widowControl w:val="false"/>
        <w:spacing w:lineRule="auto" w:line="240"/>
        <w:ind w:left="0" w:right="0" w:hanging="0"/>
        <w:jc w:val="left"/>
        <w:rPr>
          <w:rFonts w:ascii="Calibri" w:hAnsi="Calibri"/>
          <w:color w:val="000000"/>
          <w:sz w:val="21"/>
        </w:rPr>
      </w:pPr>
      <w:r>
        <w:rPr/>
        <w:t xml:space="preserve">Nyderlandų gyventojų reprezentatyvios imties tyrimas.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Internetiniai teminiai dialogai gilinimui</w:t>
      </w:r>
    </w:p>
    <w:p>
      <w:pPr>
        <w:pStyle w:val="P68B1DB1Normal104"/>
        <w:widowControl w:val="false"/>
        <w:spacing w:lineRule="auto" w:line="240"/>
        <w:ind w:left="0" w:right="0" w:hanging="0"/>
        <w:jc w:val="left"/>
        <w:rPr/>
      </w:pPr>
      <w:r>
        <w:rPr/>
        <w:t xml:space="preserve">Kiekvieną kartą rengiami dialogai su Nyderlandų grupe, siekiant išsamiau išdėstyti pirmosios tarpinės ataskaitos „Mūsų vizija Europai“ (2021 m. spalio 8 d.) išvadas, kuriose pateikiama pradinė rezultatų apžvalga ir papildomi klausimai.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Dialogai su konkrečiomis grupėmis</w:t>
      </w:r>
    </w:p>
    <w:p>
      <w:pPr>
        <w:pStyle w:val="P68B1DB1Normal104"/>
        <w:widowControl w:val="false"/>
        <w:spacing w:lineRule="auto" w:line="240"/>
        <w:ind w:left="0" w:right="0" w:hanging="0"/>
        <w:jc w:val="left"/>
        <w:rPr>
          <w:rFonts w:ascii="Calibri" w:hAnsi="Calibri"/>
          <w:color w:val="000000"/>
          <w:sz w:val="21"/>
        </w:rPr>
      </w:pPr>
      <w:r>
        <w:rPr/>
        <w:t xml:space="preserve">Susitikimai su olandų, kurie nėra įpratę dalyvauti apklausose ir grupėse (internete).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Dialogai su jaunimu</w:t>
      </w:r>
    </w:p>
    <w:p>
      <w:pPr>
        <w:pStyle w:val="P68B1DB1Normal104"/>
        <w:widowControl w:val="false"/>
        <w:spacing w:lineRule="auto" w:line="240"/>
        <w:ind w:left="0" w:right="0" w:hanging="0"/>
        <w:jc w:val="left"/>
        <w:rPr>
          <w:rFonts w:ascii="Calibri" w:hAnsi="Calibri"/>
          <w:color w:val="000000"/>
          <w:sz w:val="21"/>
        </w:rPr>
      </w:pPr>
      <w:r>
        <w:rPr/>
        <w:t xml:space="preserve">Susitikimai, kuriuose daugiausia dėmesio skiriama jaunimui aktualiausioms Europos temoms.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Internetinė visuomenės apklausa: Klausimynas ir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Grupės apklausos klausimyną taip pat galėtų užpildyti visi Nyderlandai, įskaitant užsienyje gyvenančius asmenis. Šis klausimynas buvo prieinamas nuo 2021 m. rugsėjo 1 d. iki 2021 m. lapkričio 14 d. Be to, per tą patį laikotarpį kiekvienas olandas galėjo dalyvauti veiksmuose „Swipen naar de toekomst“ („Swiper to the Future“) – internetinėje priemonėje, kurioje pateikiama 20 pretenzijų.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Ekspertų grupės apklausa </w:t>
      </w:r>
    </w:p>
    <w:p>
      <w:pPr>
        <w:pStyle w:val="P68B1DB1Normal104"/>
        <w:widowControl w:val="false"/>
        <w:spacing w:lineRule="auto" w:line="240" w:before="118" w:after="0"/>
        <w:ind w:left="0" w:right="0" w:hanging="0"/>
        <w:jc w:val="left"/>
        <w:rPr/>
      </w:pPr>
      <w:r>
        <w:rPr/>
        <w:t xml:space="preserve">Nyderlandų piliečių dialogas „Europos vizija“ prasidėjo rugsėjo 1 d. Šiame tyrimo metodikos aprašyme trumpai paaiškiname šios apklausos struktūrą ir įgyvendinimą komisijai. </w:t>
      </w:r>
    </w:p>
    <w:p>
      <w:pPr>
        <w:pStyle w:val="P68B1DB1Normal107"/>
        <w:widowControl w:val="false"/>
        <w:spacing w:lineRule="auto" w:line="240" w:before="43" w:after="0"/>
        <w:ind w:left="0" w:right="0" w:hanging="0"/>
        <w:jc w:val="left"/>
        <w:rPr>
          <w:rFonts w:ascii="Calibri" w:hAnsi="Calibri"/>
          <w:i/>
          <w:i/>
          <w:color w:val="000000"/>
          <w:sz w:val="24"/>
        </w:rPr>
      </w:pPr>
      <w:r>
        <w:rPr/>
        <w:t xml:space="preserve">Tikslinė grupė ir tikslinė grupė </w:t>
      </w:r>
    </w:p>
    <w:p>
      <w:pPr>
        <w:pStyle w:val="Normal"/>
        <w:widowControl w:val="false"/>
        <w:spacing w:lineRule="auto" w:line="240" w:before="123" w:after="0"/>
        <w:ind w:left="0" w:right="0" w:hanging="0"/>
        <w:jc w:val="left"/>
        <w:rPr/>
      </w:pPr>
      <w:r>
        <w:rPr>
          <w:rFonts w:ascii="Calibri" w:hAnsi="Calibri"/>
          <w:color w:val="000000"/>
          <w:sz w:val="21"/>
        </w:rPr>
        <w:t>Apklausa „Europos vizija“ prasidėjo internetiniu klausimynu apie tai, kaip Nyderlandų žmonės mato Europos ateitį. Šis klausimynas buvo pateiktas reprezentacinei kolegijai ir jame taip pat gali dalyvauti visi Nyderlandai (įskaitant užsienyje gyvenančius asmenis). Be to, kiekvienas asmuo galėjo dalyvauti akcijoje „Swipen naar de toekomst“</w:t>
      </w:r>
      <w:commentRangeStart w:id="26"/>
      <w:r>
        <w:rPr>
          <w:rFonts w:ascii="Calibri" w:hAnsi="Calibri"/>
          <w:color w:val="000000"/>
          <w:sz w:val="21"/>
        </w:rPr>
        <w:t>(„Swiper to</w:t>
      </w:r>
      <w:r>
        <w:rPr>
          <w:rFonts w:ascii="Calibri" w:hAnsi="Calibri"/>
          <w:color w:val="000000"/>
          <w:sz w:val="21"/>
        </w:rPr>
      </w:r>
      <w:commentRangeEnd w:id="26"/>
      <w:r>
        <w:commentReference w:id="26"/>
      </w:r>
      <w:r>
        <w:rPr>
          <w:rFonts w:ascii="Calibri" w:hAnsi="Calibri"/>
          <w:color w:val="000000"/>
          <w:sz w:val="21"/>
        </w:rPr>
        <w:t xml:space="preserve"> the future“), internetinėje priemonėje, kurioje pateikiama 20 pretenzijų. Grupės apklausos rezultatais remtasi keliais teminiais dialogais, kurie buvo surengti vykdant tolesnę veiklą, susijusią su piliečių dialogo „Europos vizija“ procesu.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Tikslinė grupės tyrimo grupė apima visus 18 metų ir vyresnius Nyderlandų žmones, kurie tuo metu, kai buvo pradėtas darbas vietoje, buvo registruoti kaip gyventojai gyventojų registre. Nyderlandų nacionalinės statistikos tarnybos (Centraal Bureau voor de Statistiek – CBS) duomenimis, 2021 m. sausio 1 d. šioje tikslinėje grupėje buvo 14 190 874 žmonės. Apatinė 18 metų riba atitinka rinkėjų daugumą. Mes tai vadiname grupės apklausos gyventojais.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Lauko darbai </w:t>
      </w:r>
    </w:p>
    <w:p>
      <w:pPr>
        <w:pStyle w:val="P68B1DB1Normal104"/>
        <w:widowControl w:val="false"/>
        <w:spacing w:lineRule="auto" w:line="240" w:before="127" w:after="0"/>
        <w:ind w:left="0" w:right="0" w:hanging="0"/>
        <w:jc w:val="left"/>
        <w:rPr/>
      </w:pPr>
      <w:r>
        <w:rPr/>
        <w:t xml:space="preserve">Daugiau nei 100 000 dalyvių iš visos šalies (ISO sertifikuota, Tyrimų Keurmerk groep, Nederlandse marktonderzoek Associatie) buvo naudojama siekiant gauti skaitmeninį „Medium Dutch“ įvaizdį. Šie dalyviai buvo įtraukti į apklausos grupę, kad reguliariai pateiktų savo nuomonę įvairiomis temomis. Be jų vidinės motyvacijos prisidėti, jiems mokami atsakymai į klausimynus. Keli moksliniai tyrimai rodo, kad respondentai, gaunantys kompensaciją už klausimyno pildymą, nepateikia labai skirtingų atsakymų (šaltinis: Ar tyrimų paskatų naudojimas blogina duomenų kokybę?Cole,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Darbas vietoje pradėtas 2021 m. rugpjūčio 11 d. ir baigtas 2021 m. rugsėjo 19 d. Įgyvendinimo tikslais buvo naudojamas tik vienas duomenų rinkimo metodas, t. y. interneto tyrimas. Apklausos komisijos nariai gavo e. laišką su asmenine nuoroda į internetinį klausimyną. Po dviejų savaičių grupės dalyviai gavo priminimą. Kvietimai dalyvauti buvo išsiųsti grupėmis ir stratifikuoti (užtikrinant vienodą pogrupių pasiskirstymą), kol bus pasiektas reikiamas respondentų skaičius. </w:t>
      </w:r>
    </w:p>
    <w:p>
      <w:pPr>
        <w:pStyle w:val="P68B1DB1Normal107"/>
        <w:widowControl w:val="false"/>
        <w:spacing w:lineRule="auto" w:line="240" w:before="42" w:after="0"/>
        <w:ind w:left="0" w:right="0" w:hanging="0"/>
        <w:jc w:val="left"/>
        <w:rPr>
          <w:rFonts w:ascii="Calibri" w:hAnsi="Calibri"/>
          <w:i/>
          <w:i/>
          <w:color w:val="000000"/>
          <w:sz w:val="24"/>
        </w:rPr>
      </w:pPr>
      <w:r>
        <w:rPr/>
        <w:t xml:space="preserve">Mėginių ėmimas ir paskirstymas </w:t>
      </w:r>
    </w:p>
    <w:p>
      <w:pPr>
        <w:pStyle w:val="P68B1DB1Normal104"/>
        <w:widowControl w:val="false"/>
        <w:spacing w:lineRule="auto" w:line="240" w:before="123" w:after="0"/>
        <w:ind w:left="0" w:right="0" w:hanging="0"/>
        <w:jc w:val="left"/>
        <w:rPr/>
      </w:pPr>
      <w:r>
        <w:rPr/>
        <w:t xml:space="preserve">Tyrimo struktūra grindžiama principu, kad norint užtikrinti gerą statistinį patikimumą, tyrime turi dalyvauti ne mažiau kaip 3 600 respondentų. Be to, šis skaičius leidžia gerai paskirstyti skirtingas bendrąsias gyventojų charakteristikas. Nėra tik vieno olandiško žmogaus. Todėl iš anksto užtikrinome, kad imtis būtų gerai paskirstyta tam tikroms charakteristikoms. Nyderlandai yra palyginti maža šalis, tačiau nuomonės skirtinguose regionuose gali skirtis. Temų padėtis ir svarba gali būti (iš dalies) nustatoma pagal regioną, kuriame gyvenate. Pavyzdžiui, kaimo vietovėse gyvenantys žmonės gali suprasti tokią temą, kaip saugumas, kitaip nei miesto vietovėse. Nyderlandų socialinio ir kultūrinio planavimo biuro tyrimas taip pat rodo, kad aukštesnio lygio studijas turintys asmenys dažniau remia ES nei tie, kurių studijų lygis yra žemesnis, ir kad jaunimas labiau palaiko ES nei vyresnio amžiaus žmones (šaltinis: Wat willen Nederlanders van de Europese Unie?Nyderlandų socialinis ir kultūros biuras, Haga,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Todėl, siekdami užtikrinti imties reprezentatyvumą, anksčiau proporcingai priskyrėme šias tris charakteristikas: 1) gyvenamoji vieta COROP regionuose, 2) amžiaus ir 3) išsilavinimo lygis. Imties pasiskirstymas taip pat buvo pateiktas pagal šias bendrąsias charakteristikas: lytis, kilmė, pagrindinė profesija, politinė orientacija.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 regionai buvo kuriami remiantis mazgo principu (širdis su traukos zona arba regionine funkcija), pagrįstu į darbą vykstančių žmonių srautu. Buvo pripažinti keli mazgo principo pažeidimai, kad regionai laikytųsi provincijų ribų. Reorganizavus savivaldybes už COROP ribų, paskirstymas buvo pakoreguotas (šaltinis: Nyderlandų nacionalinė statistikos tarnyba). COROP regionuose užtikrinome gerą pasiskirstymą tarp amžiaus grupių, suskirstytą taip: 18–34 metų, 35–54 metų, 55–75 metų ir vyresnių nei 75 metų amžiaus.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Galiausiai užtikrinome reprezentatyvų švietimo lygių pasiskirstymą. Imtyje respondentų pasiskirstymas atitinka aukščiausio išsilavinimo lygio pasiskirstymą nacionaliniu lygmeniu, kuris yra toks: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Aukščiausias išsilavinimo lygis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Žemas: pradinis ugdymas, parengiamasis profesinis rengimas, 1-oji-trečioji bendrojo vidurinio ugdymo klasė/ikiuniversitetinis ugdymas, 1 vidurinis profesinis mokymas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Tarpinis: bendrojo vidurinio ugdymo/ikiuniversitetinio švietimo, vidurinio profesinio mokymo lygis 2–4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Aukštas: aukštasis profesinis išsilavinimas arba universitetinis išsilavinimas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Nežinomas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Atsako dažnis </w:t>
      </w:r>
    </w:p>
    <w:p>
      <w:pPr>
        <w:pStyle w:val="P68B1DB1Normal104"/>
        <w:widowControl w:val="false"/>
        <w:spacing w:lineRule="exact" w:line="283" w:before="87" w:after="0"/>
        <w:ind w:left="0" w:right="368" w:hanging="0"/>
        <w:jc w:val="left"/>
        <w:rPr/>
      </w:pPr>
      <w:r>
        <w:rPr/>
        <w:t xml:space="preserve">Apklausoje iš viso dalyvavo 4 086 žmonės. Todėl 3 600 užpildytų klausimynų tikslas yra pasiektas.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COROP regionų ir amžiaus atsakymai</w:t>
            </w:r>
          </w:p>
        </w:tc>
        <w:tc>
          <w:tcPr>
            <w:tcW w:w="1348" w:type="dxa"/>
            <w:tcBorders/>
            <w:shd w:fill="auto" w:val="clear"/>
            <w:vAlign w:val="bottom"/>
          </w:tcPr>
          <w:p>
            <w:pPr>
              <w:pStyle w:val="P68B1DB1Contenudetableau122"/>
              <w:spacing w:before="57" w:after="57"/>
              <w:jc w:val="left"/>
              <w:rPr>
                <w:b/>
                <w:b/>
                <w:color w:val="000000"/>
              </w:rPr>
            </w:pPr>
            <w:r>
              <w:rPr/>
              <w:t>Nuo 18 iki 34 metų</w:t>
            </w:r>
          </w:p>
        </w:tc>
        <w:tc>
          <w:tcPr>
            <w:tcW w:w="1348" w:type="dxa"/>
            <w:tcBorders/>
            <w:shd w:fill="auto" w:val="clear"/>
            <w:vAlign w:val="bottom"/>
          </w:tcPr>
          <w:p>
            <w:pPr>
              <w:pStyle w:val="P68B1DB1Contenudetableau122"/>
              <w:spacing w:before="57" w:after="57"/>
              <w:jc w:val="left"/>
              <w:rPr>
                <w:b/>
                <w:b/>
                <w:color w:val="000000"/>
              </w:rPr>
            </w:pPr>
            <w:r>
              <w:rPr/>
              <w:t>35–54 metų amžiaus</w:t>
            </w:r>
          </w:p>
        </w:tc>
        <w:tc>
          <w:tcPr>
            <w:tcW w:w="1574" w:type="dxa"/>
            <w:tcBorders/>
            <w:shd w:fill="auto" w:val="clear"/>
            <w:vAlign w:val="bottom"/>
          </w:tcPr>
          <w:p>
            <w:pPr>
              <w:pStyle w:val="P68B1DB1Contenudetableau122"/>
              <w:spacing w:before="57" w:after="57"/>
              <w:jc w:val="left"/>
              <w:rPr>
                <w:b/>
                <w:b/>
                <w:color w:val="000000"/>
              </w:rPr>
            </w:pPr>
            <w:r>
              <w:rPr/>
              <w:t>55–75 metų amžiaus</w:t>
            </w:r>
          </w:p>
        </w:tc>
        <w:tc>
          <w:tcPr>
            <w:tcW w:w="1352" w:type="dxa"/>
            <w:tcBorders/>
            <w:shd w:fill="auto" w:val="clear"/>
            <w:vAlign w:val="bottom"/>
          </w:tcPr>
          <w:p>
            <w:pPr>
              <w:pStyle w:val="P68B1DB1Contenudetableau122"/>
              <w:spacing w:before="57" w:after="57"/>
              <w:jc w:val="left"/>
              <w:rPr>
                <w:b/>
                <w:b/>
                <w:color w:val="000000"/>
              </w:rPr>
            </w:pPr>
            <w:r>
              <w:rPr/>
              <w:t xml:space="preserve"> </w:t>
            </w:r>
            <w:r>
              <w:rPr/>
              <w:t>daugiau kaip 75 metų</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Drentė</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pietryčius nuo Drentės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pietvakarius nuo Drentės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Frieslandas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pietryčius nuo Fryzijos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pietvakarius nuo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Pietvakarių Gelderlandas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Rytų Groningenas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Kiti Groningeno miestai</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Centrinis Limburgas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Limburgas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Pietų Limburgas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Brabanto centras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COROP regionų ir amžiaus atsakymai </w:t>
            </w:r>
          </w:p>
        </w:tc>
        <w:tc>
          <w:tcPr>
            <w:tcW w:w="1393" w:type="dxa"/>
            <w:tcBorders/>
            <w:shd w:fill="auto" w:val="clear"/>
            <w:vAlign w:val="bottom"/>
          </w:tcPr>
          <w:p>
            <w:pPr>
              <w:pStyle w:val="P68B1DB1Contenudetableau122"/>
              <w:spacing w:before="57" w:after="57"/>
              <w:jc w:val="left"/>
              <w:rPr>
                <w:b/>
                <w:b/>
                <w:color w:val="000000"/>
              </w:rPr>
            </w:pPr>
            <w:r>
              <w:rPr/>
              <w:t>Nuo 18 iki 34 metų</w:t>
            </w:r>
          </w:p>
        </w:tc>
        <w:tc>
          <w:tcPr>
            <w:tcW w:w="1393" w:type="dxa"/>
            <w:tcBorders/>
            <w:shd w:fill="auto" w:val="clear"/>
            <w:vAlign w:val="bottom"/>
          </w:tcPr>
          <w:p>
            <w:pPr>
              <w:pStyle w:val="P68B1DB1Contenudetableau122"/>
              <w:spacing w:before="57" w:after="57"/>
              <w:jc w:val="left"/>
              <w:rPr>
                <w:b/>
                <w:b/>
                <w:color w:val="000000"/>
              </w:rPr>
            </w:pPr>
            <w:r>
              <w:rPr/>
              <w:t>35–54 metų amžiaus</w:t>
            </w:r>
          </w:p>
        </w:tc>
        <w:tc>
          <w:tcPr>
            <w:tcW w:w="1370" w:type="dxa"/>
            <w:tcBorders/>
            <w:shd w:fill="auto" w:val="clear"/>
            <w:vAlign w:val="bottom"/>
          </w:tcPr>
          <w:p>
            <w:pPr>
              <w:pStyle w:val="P68B1DB1Contenudetableau122"/>
              <w:spacing w:before="57" w:after="57"/>
              <w:jc w:val="left"/>
              <w:rPr>
                <w:b/>
                <w:b/>
                <w:color w:val="000000"/>
              </w:rPr>
            </w:pPr>
            <w:r>
              <w:rPr/>
              <w:t>55–75 metų amžiaus</w:t>
            </w:r>
          </w:p>
        </w:tc>
        <w:tc>
          <w:tcPr>
            <w:tcW w:w="1376" w:type="dxa"/>
            <w:tcBorders/>
            <w:shd w:fill="auto" w:val="clear"/>
            <w:vAlign w:val="bottom"/>
          </w:tcPr>
          <w:p>
            <w:pPr>
              <w:pStyle w:val="P68B1DB1Contenudetableau122"/>
              <w:spacing w:before="57" w:after="57"/>
              <w:jc w:val="left"/>
              <w:rPr>
                <w:b/>
                <w:b/>
                <w:color w:val="000000"/>
              </w:rPr>
            </w:pPr>
            <w:r>
              <w:rPr/>
              <w:t>daugiau kaip 75 metų</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šiaurės rytus nuo Šiaurės Brabanto</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vakarus nuo Šiaurės Brabanto</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pietryčius nuo Šiaurės Brabanto</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aglomeracija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Alkmaras ir jo apylinkės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Didysis Amsterdamas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ir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Olandija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regionas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Overeiselis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pietvakarius nuo Overeiselio</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Likusi dalis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Zelandija Flandrija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Leideno aglomeracija ir svogūnėlių regionas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Hagos aglomeracija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Delftas ir Westlandas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rytus nuo Pietų Olandijos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Pietų Olandijos pietryčiai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Atsakymai pagal išsilavinimo lygį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Žemas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Tarpininkas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Aukštas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Nežinomas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Patikimumas ir reprezentatyvumas </w:t>
      </w:r>
    </w:p>
    <w:p>
      <w:pPr>
        <w:pStyle w:val="P68B1DB1Normal104"/>
        <w:widowControl w:val="false"/>
        <w:spacing w:lineRule="auto" w:line="240" w:before="87" w:after="0"/>
        <w:ind w:left="0" w:right="0" w:hanging="0"/>
        <w:jc w:val="left"/>
        <w:rPr/>
      </w:pPr>
      <w:r>
        <w:rPr/>
        <w:t xml:space="preserve">4 086 respondentų skaičius leidžia pateikti pastabas dėl visos tiriamosios visumos, esant 95 % patikimumo lygiui ir 1,53 % paklaidai. Rezultatų patikimumo lygis ir paklaida nustatomi pagal imties dydį. Kuo didesnė imtis, tuo patikimesni ir tikslesni rezultatai gali būti ekstrapoliuojami visai populiacijai.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Patikimumo lygis apibrėžiamas kaip 1 (100 %) atėmus prasmės lygį. Paprastai tai yra pagrįsta 5 % reikšmių lygiu. Mes kalbame apie 95 % pasitikėjimo lygį. Kitaip tariant, jei apklausa būtų pakartota tokiu pačiu būdu ir tomis pačiomis sąlygomis, 95 % atvejų rezultatai būtų tokie patys. </w:t>
      </w:r>
    </w:p>
    <w:p>
      <w:pPr>
        <w:pStyle w:val="P68B1DB1Normal104"/>
        <w:widowControl w:val="false"/>
        <w:spacing w:lineRule="auto" w:line="240"/>
        <w:ind w:left="0" w:right="0" w:hanging="0"/>
        <w:jc w:val="left"/>
        <w:rPr/>
      </w:pPr>
      <w:r>
        <w:rPr/>
        <w:t xml:space="preserve">Tikslumas (išreikštas paklaida) rodo verčių intervalą, kuriame yra faktinė tiriamosios visumos vertė. Kitaip tariant: koks būtų didžiausias imties rezultatų ir rezultatų, gautų iš visos tiriamosios visumos, skirtumas? 1,53 % paklaida reiškia, kad faktinė vertė bendroje populiacijoje gali būti 1,53 % didesnė arba mažesnė už imties vertę. Pavyzdžiui, jei žmonių imties tyrimas rodo, kad 50 % respondentų mano, jog tam tikra tema yra svarbi, faktinis procentas yra 1,53 % didesnis arba mažesnis nei tas 50 %, t. y. nuo 48,47 iki 51,53 %. Didžiausia 5 % paklaida yra įprasta ir visuotinai pripažįstama atliekant kiekybinius tyrimus (statistika). </w:t>
      </w:r>
    </w:p>
    <w:p>
      <w:pPr>
        <w:pStyle w:val="P68B1DB1Normal104"/>
        <w:widowControl w:val="false"/>
        <w:spacing w:lineRule="auto" w:line="240"/>
        <w:ind w:left="0" w:right="0" w:hanging="0"/>
        <w:jc w:val="left"/>
        <w:rPr/>
      </w:pPr>
      <w:r>
        <w:rPr/>
        <w:t xml:space="preserve">Svarbu ne tik patikimumas, bet ir imties reprezentatyvumas. Kadangi kvietimai dalyvauti buvo išsiųsti partijomis ir stratifikuoti, rezultatai yra reprezentatyvūs atsižvelgiant į COROP regiono ypatybes ir COROP regiono amžiaus grupes. Atsakymai taip pat yra reprezentatyvūs atsižvelgiant į švietimo lygį, palyginti su aukščiausiu nacionaliniu lygmeniu pasiektu išsilavinimo lygiu. </w:t>
      </w:r>
    </w:p>
    <w:p>
      <w:pPr>
        <w:pStyle w:val="P68B1DB1Normal107"/>
        <w:widowControl w:val="false"/>
        <w:spacing w:lineRule="auto" w:line="240"/>
        <w:ind w:left="0" w:right="0" w:hanging="0"/>
        <w:jc w:val="left"/>
        <w:rPr>
          <w:rFonts w:ascii="Calibri" w:hAnsi="Calibri"/>
          <w:i/>
          <w:i/>
          <w:color w:val="000000"/>
          <w:sz w:val="24"/>
        </w:rPr>
      </w:pPr>
      <w:r>
        <w:rPr/>
        <w:t xml:space="preserve">Kitos bendrosios charakteristikos </w:t>
      </w:r>
    </w:p>
    <w:p>
      <w:pPr>
        <w:pStyle w:val="P68B1DB1Normal104"/>
        <w:widowControl w:val="false"/>
        <w:spacing w:lineRule="auto" w:line="240" w:before="5" w:after="0"/>
        <w:ind w:left="0" w:right="0" w:hanging="0"/>
        <w:jc w:val="left"/>
        <w:rPr/>
      </w:pPr>
      <w:r>
        <w:rPr/>
        <w:t xml:space="preserve">Ekspertų grupė apklausos dalyviams uždavė keletą papildomų kontekstinių klausimų. Tai yra lytis, ES pozicija, kilmė, pagrindinė profesija ir politinė partija, už kurią asmuo balsuotų rinkimų atveju. </w:t>
      </w:r>
    </w:p>
    <w:p>
      <w:pPr>
        <w:pStyle w:val="P68B1DB1Normal104"/>
        <w:widowControl w:val="false"/>
        <w:spacing w:lineRule="auto" w:line="240"/>
        <w:ind w:left="0" w:right="0" w:hanging="0"/>
        <w:jc w:val="left"/>
        <w:rPr/>
      </w:pPr>
      <w:r>
        <w:rPr/>
        <w:t xml:space="preserve">49 proc. respondentų yra vyrai, 50 proc. – moterys, o 1 proc. nenori atsakyti į šį klausimą. </w:t>
      </w:r>
    </w:p>
    <w:p>
      <w:pPr>
        <w:pStyle w:val="Normal"/>
        <w:widowControl w:val="false"/>
        <w:spacing w:lineRule="auto" w:line="240"/>
        <w:ind w:left="0" w:right="0" w:hanging="0"/>
        <w:jc w:val="left"/>
        <w:rPr/>
      </w:pPr>
      <w:r>
        <w:rPr>
          <w:rFonts w:ascii="Calibri" w:hAnsi="Calibri"/>
          <w:color w:val="000000"/>
          <w:sz w:val="21"/>
        </w:rPr>
        <w:t xml:space="preserve">51 proc. respondentų mano, kad Nyderlandams gerai būti ES narėmis, 13 proc. mano, kad tai blogai, o 36 proc. yra neutralūs arba neturi nuomonės. </w:t>
      </w:r>
      <w:r>
        <w:br w:type="page"/>
      </w:r>
    </w:p>
    <w:p>
      <w:pPr>
        <w:pStyle w:val="P68B1DB1Normal104"/>
        <w:spacing w:lineRule="auto" w:line="240"/>
        <w:ind w:left="0" w:right="0" w:hanging="0"/>
        <w:rPr/>
      </w:pPr>
      <w:r>
        <w:rPr/>
        <w:t xml:space="preserve">95 proc. respondentų gimė Nyderlanduose. 89 proc. respondentų nurodė, kad abu tėvai gimė Nyderlanduose. 5 proc. buvo gimę dviem tėvams, gimusiems užsienyje.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Dabartinė respondentų politinė orientacija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Vakarėlis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(Liaudies laisvės ir demokratijos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(Laisvės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(socialistų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(demokratai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(krikščionių demokratų raginimas)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(Darbo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(gyvūnų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(Žalioji kairė)</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(krikščionių sąjunga)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(valstiečių judėjimas)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(Forumas už demokratiją)</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BLS (reformuota politinė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EL. PAŠTAS: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Kitos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Baltieji balsai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Aš nenorėčiau atsakyti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Aš nebalsuoju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Kokia šiuo metu jūsų pagrindinė profesija?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Okupacija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Studentas/studentas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 visą darbo dieną dirbantis darbuotojas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Visą darbo dieną dirbantis darbuotojas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Nepriklausomas rangovas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Žmogus namuose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Darbo ieškantis asmuo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Savanoris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Nedarbingumas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Išėjęs į pensiją</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Kitos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Aš nenorėčiau atsakyti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Klausimynas</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Klausimyną ir šią ataskaitą Užsienio reikalų ministerijos prašymu parengė nepriklausoma išorės organizacija. Klausimynas yra modulinė struktūra ir apima šiuos klausimus, atsižvelgiant į Konferencijai dėl Europos ateities nustatytas temas: Svarbios temos ir Europos vaidmuo </w:t>
      </w:r>
    </w:p>
    <w:p>
      <w:pPr>
        <w:pStyle w:val="P68B1DB1Normal104"/>
        <w:widowControl w:val="false"/>
        <w:spacing w:lineRule="auto" w:line="240" w:before="1" w:after="0"/>
        <w:ind w:left="0" w:right="0" w:hanging="0"/>
        <w:jc w:val="left"/>
        <w:rPr>
          <w:rFonts w:ascii="Calibri" w:hAnsi="Calibri"/>
          <w:color w:val="000000"/>
          <w:sz w:val="21"/>
        </w:rPr>
      </w:pPr>
      <w:r>
        <w:rPr/>
        <w:t xml:space="preserve">Klimato kaita ir aplinka </w:t>
      </w:r>
    </w:p>
    <w:p>
      <w:pPr>
        <w:pStyle w:val="P68B1DB1Normal104"/>
        <w:widowControl w:val="false"/>
        <w:spacing w:lineRule="auto" w:line="240"/>
        <w:ind w:left="0" w:right="0" w:hanging="0"/>
        <w:jc w:val="left"/>
        <w:rPr>
          <w:rFonts w:ascii="Calibri" w:hAnsi="Calibri"/>
          <w:color w:val="000000"/>
          <w:sz w:val="21"/>
        </w:rPr>
      </w:pPr>
      <w:r>
        <w:rPr/>
        <w:t xml:space="preserve">Sveikata </w:t>
      </w:r>
    </w:p>
    <w:p>
      <w:pPr>
        <w:pStyle w:val="P68B1DB1Normal104"/>
        <w:widowControl w:val="false"/>
        <w:spacing w:lineRule="auto" w:line="240" w:before="1" w:after="0"/>
        <w:ind w:left="0" w:right="0" w:hanging="0"/>
        <w:jc w:val="left"/>
        <w:rPr>
          <w:rFonts w:ascii="Calibri" w:hAnsi="Calibri"/>
          <w:color w:val="000000"/>
          <w:sz w:val="21"/>
        </w:rPr>
      </w:pPr>
      <w:r>
        <w:rPr/>
        <w:t xml:space="preserve">Ekonomika ir užimtumas </w:t>
      </w:r>
    </w:p>
    <w:p>
      <w:pPr>
        <w:pStyle w:val="P68B1DB1Normal104"/>
        <w:widowControl w:val="false"/>
        <w:spacing w:lineRule="auto" w:line="240"/>
        <w:ind w:left="0" w:right="0" w:hanging="0"/>
        <w:jc w:val="left"/>
        <w:rPr>
          <w:rFonts w:ascii="Calibri" w:hAnsi="Calibri"/>
          <w:color w:val="000000"/>
          <w:sz w:val="21"/>
        </w:rPr>
      </w:pPr>
      <w:r>
        <w:rPr/>
        <w:t xml:space="preserve">Europos Sąjungos vaidmuo pasaulyje </w:t>
      </w:r>
    </w:p>
    <w:p>
      <w:pPr>
        <w:pStyle w:val="P68B1DB1Normal104"/>
        <w:widowControl w:val="false"/>
        <w:spacing w:lineRule="auto" w:line="240" w:before="1" w:after="0"/>
        <w:ind w:left="0" w:right="0" w:hanging="0"/>
        <w:jc w:val="left"/>
        <w:rPr>
          <w:rFonts w:ascii="Calibri" w:hAnsi="Calibri"/>
          <w:color w:val="000000"/>
          <w:sz w:val="21"/>
        </w:rPr>
      </w:pPr>
      <w:r>
        <w:rPr/>
        <w:t xml:space="preserve">Saugumas ir teisinė valstybė </w:t>
      </w:r>
    </w:p>
    <w:p>
      <w:pPr>
        <w:pStyle w:val="P68B1DB1Normal104"/>
        <w:widowControl w:val="false"/>
        <w:spacing w:lineRule="auto" w:line="240"/>
        <w:ind w:left="0" w:right="0" w:hanging="0"/>
        <w:jc w:val="left"/>
        <w:rPr>
          <w:rFonts w:ascii="Calibri" w:hAnsi="Calibri"/>
          <w:color w:val="000000"/>
          <w:sz w:val="21"/>
        </w:rPr>
      </w:pPr>
      <w:r>
        <w:rPr/>
        <w:t xml:space="preserve">Virtualus pasaulis </w:t>
      </w:r>
    </w:p>
    <w:p>
      <w:pPr>
        <w:pStyle w:val="P68B1DB1Normal104"/>
        <w:widowControl w:val="false"/>
        <w:spacing w:lineRule="auto" w:line="240" w:before="1" w:after="0"/>
        <w:ind w:left="0" w:right="0" w:hanging="0"/>
        <w:jc w:val="left"/>
        <w:rPr>
          <w:rFonts w:ascii="Calibri" w:hAnsi="Calibri"/>
          <w:color w:val="000000"/>
          <w:sz w:val="21"/>
        </w:rPr>
      </w:pPr>
      <w:r>
        <w:rPr/>
        <w:t xml:space="preserve">Europos demokratija </w:t>
      </w:r>
    </w:p>
    <w:p>
      <w:pPr>
        <w:pStyle w:val="P68B1DB1Normal104"/>
        <w:widowControl w:val="false"/>
        <w:spacing w:lineRule="auto" w:line="240"/>
        <w:ind w:left="0" w:right="0" w:hanging="0"/>
        <w:jc w:val="left"/>
        <w:rPr>
          <w:rFonts w:ascii="Calibri" w:hAnsi="Calibri"/>
          <w:color w:val="000000"/>
          <w:sz w:val="21"/>
        </w:rPr>
      </w:pPr>
      <w:r>
        <w:rPr/>
        <w:t xml:space="preserve">Migracija ir pabėgėliai </w:t>
      </w:r>
    </w:p>
    <w:p>
      <w:pPr>
        <w:pStyle w:val="P68B1DB1Normal104"/>
        <w:widowControl w:val="false"/>
        <w:spacing w:lineRule="auto" w:line="240" w:before="1" w:after="0"/>
        <w:ind w:left="0" w:right="0" w:hanging="0"/>
        <w:jc w:val="left"/>
        <w:rPr>
          <w:rFonts w:ascii="Calibri" w:hAnsi="Calibri"/>
          <w:color w:val="000000"/>
          <w:sz w:val="21"/>
        </w:rPr>
      </w:pPr>
      <w:r>
        <w:rPr/>
        <w:t xml:space="preserve">Švietimas/kultūra/jaunimas/sportas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Rengiant klausimyną didelis dėmesys buvo skiriamas klausimų kokybei, patikimumui ir pagrįstumui. Dėl šios priežasties buvo ieškoma neutralios, nevadovaujamos klausimų, teiginių ir atsakymų parinkčių formuluotės ir buvo patikrinta, ar klausimai suformuluoti suprantama kalba (B1 lygis).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Klausimynas buvo tikrinamas per tiesioginius pokalbius su tikslinei grupei priklausančiais testų dalyviais. Tai leido mums ištirti, kaip klausimus supranta įvairių tipų respondentai. Jei klausimas, atrodo, atspindi pernelyg didelę (per sudėtingą) kognityvinę apkrovą, tai buvo tikslinga. </w:t>
      </w:r>
      <w:r>
        <w:br w:type="page"/>
      </w:r>
    </w:p>
    <w:p>
      <w:pPr>
        <w:pStyle w:val="P68B1DB1Normal107"/>
        <w:spacing w:lineRule="auto" w:line="240"/>
        <w:ind w:left="0" w:right="0" w:hanging="0"/>
        <w:rPr>
          <w:rFonts w:ascii="Calibri" w:hAnsi="Calibri"/>
          <w:i/>
          <w:i/>
          <w:color w:val="000000"/>
          <w:sz w:val="24"/>
        </w:rPr>
      </w:pPr>
      <w:r>
        <w:rPr/>
        <w:t xml:space="preserve">Analizės metodai </w:t>
      </w:r>
    </w:p>
    <w:p>
      <w:pPr>
        <w:pStyle w:val="P68B1DB1Normal104"/>
        <w:widowControl w:val="false"/>
        <w:spacing w:lineRule="auto" w:line="240" w:before="127" w:after="0"/>
        <w:ind w:left="0" w:right="0" w:hanging="0"/>
        <w:jc w:val="left"/>
        <w:rPr>
          <w:rFonts w:ascii="Calibri" w:hAnsi="Calibri"/>
          <w:color w:val="000000"/>
          <w:sz w:val="21"/>
        </w:rPr>
      </w:pPr>
      <w:r>
        <w:rPr/>
        <w:t xml:space="preserve">Šiame tyrime buvo naudojami du analizės metodai: </w:t>
      </w:r>
    </w:p>
    <w:p>
      <w:pPr>
        <w:pStyle w:val="P68B1DB1Normal111"/>
        <w:widowControl w:val="false"/>
        <w:spacing w:lineRule="auto" w:line="240" w:before="38" w:after="0"/>
        <w:ind w:left="0" w:right="0" w:hanging="0"/>
        <w:jc w:val="left"/>
        <w:rPr>
          <w:rFonts w:ascii="Calibri" w:hAnsi="Calibri"/>
          <w:b/>
          <w:b/>
          <w:color w:val="000000"/>
          <w:sz w:val="22"/>
        </w:rPr>
      </w:pPr>
      <w:r>
        <w:rPr/>
        <w:t xml:space="preserve">Univariato analizė </w:t>
      </w:r>
    </w:p>
    <w:p>
      <w:pPr>
        <w:pStyle w:val="P68B1DB1Normal104"/>
        <w:widowControl w:val="false"/>
        <w:spacing w:lineRule="auto" w:line="240" w:before="97" w:after="0"/>
        <w:ind w:left="0" w:right="0" w:hanging="0"/>
        <w:jc w:val="left"/>
        <w:rPr/>
      </w:pPr>
      <w:r>
        <w:rPr/>
        <w:t xml:space="preserve">Tyrimo kintamiesiems apibūdinti naudojami aprašomieji statistiniai duomenys. Šiame tyrime naudojami dažniai ir vidurkiai.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Bivariato analizė </w:t>
      </w:r>
    </w:p>
    <w:p>
      <w:pPr>
        <w:pStyle w:val="P68B1DB1Normal104"/>
        <w:widowControl w:val="false"/>
        <w:spacing w:lineRule="auto" w:line="240" w:before="95" w:after="0"/>
        <w:ind w:left="0" w:right="0" w:hanging="0"/>
        <w:jc w:val="left"/>
        <w:rPr/>
      </w:pPr>
      <w:r>
        <w:rPr/>
        <w:t xml:space="preserve">Dvilypė analizė leidžia išnagrinėti dviejų kintamųjų santykį, šiuo atveju – santykį tarp skirtingų temų svarbos ir klausimo, ar ES turėtų imtis veiksmų šioje srityje, ir bendrą amžiaus ypatumą. Buvo atlikta peržiūra siekiant nustatyti, ar skirtingos amžiaus grupės skirtingai vertina temą ir ar skiriasi nuomonės dėl to, kokiu mastu šie klausimai turėtų būti susiję su ES. </w:t>
      </w:r>
    </w:p>
    <w:p>
      <w:pPr>
        <w:pStyle w:val="P68B1DB1Normal107"/>
        <w:widowControl w:val="false"/>
        <w:spacing w:lineRule="auto" w:line="240" w:before="43" w:after="0"/>
        <w:ind w:left="0" w:right="0" w:hanging="0"/>
        <w:jc w:val="left"/>
        <w:rPr>
          <w:rFonts w:ascii="Calibri" w:hAnsi="Calibri"/>
          <w:i/>
          <w:i/>
          <w:color w:val="000000"/>
          <w:sz w:val="24"/>
        </w:rPr>
      </w:pPr>
      <w:r>
        <w:rPr/>
        <w:t xml:space="preserve">Informacijos skelbimas ir išsamumas </w:t>
      </w:r>
    </w:p>
    <w:p>
      <w:pPr>
        <w:pStyle w:val="P68B1DB1Normal104"/>
        <w:widowControl w:val="false"/>
        <w:spacing w:lineRule="auto" w:line="240" w:before="123" w:after="0"/>
        <w:ind w:left="0" w:right="0" w:hanging="0"/>
        <w:jc w:val="left"/>
        <w:rPr/>
      </w:pPr>
      <w:r>
        <w:rPr/>
        <w:t xml:space="preserve">Šioje ataskaitoje (vizualiai) pateikiami visų klausimų, užduotų apklausos grupės respondentams, rezultatai. Į kai kuriuos klausimus atsakovui buvo suteikta galimybė pateikti „atvirus“ (t. y. iš anksto nenustatytus) atsakymus. Tada atviri atsakymai buvo suskirstyti į kategorijas ir įtraukti į publikaciją. Nuomonės, kuriomis respondentai dalijasi laisvose pastabose, naudojamos įvairiuose teminiuose dialoguose, organizuojamuose tęsiant piliečių dialogo procesą „Europos vizija“.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Internetiniai teminiai dialogai gilinimui </w:t>
      </w:r>
    </w:p>
    <w:p>
      <w:pPr>
        <w:pStyle w:val="P68B1DB1Normal104"/>
        <w:widowControl w:val="false"/>
        <w:spacing w:lineRule="auto" w:line="240" w:before="17" w:after="0"/>
        <w:ind w:left="0" w:right="0" w:hanging="0"/>
        <w:jc w:val="left"/>
        <w:rPr/>
      </w:pPr>
      <w:r>
        <w:rPr/>
        <w:t xml:space="preserve">Konferencijos dėl Europos ateities pagrindinės temos buvo pagilintos per aštuonis internetinius teminius dialogus. Šių dialogų tikslas buvo išsiaiškinti išreikštų nuomonių priežastis, taip pat jų motyvus ir jausmus. Kokie yra suvokiami rūpesčiai ir galimybės? Diskusijų sesijos taip pat leido dalyviams suformuluoti pasiūlymus ir idėjas šiomis temomis, taip pat iškelti klausimus, kurie nėra konferencijos dalis, bet išlieka jiems svarbūs.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Teminiai dialogai vyko spalio 12–14 d. ir lapkričio 9–11 d. Spalio mėn. buvo surengti keturi internetiniai teminiai dialogai „Ekonomika“ ir „Demokratija“. Lapkričio mėn. buvo surengti keturi internetiniai teminiai dialogai tema „Klimato kaita“ ir „ES pasaulyje“. Kiekvienoje diskusijoje vidutiniškai dalyvavo 29 žmonės (iš viso 231). Dalyviai buvo įdarbinti iš grupės narių (žr. 1 punktą) ir socialiniuose tinkluose.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Dialogai su konkrečiomis grupėmis </w:t>
      </w:r>
    </w:p>
    <w:p>
      <w:pPr>
        <w:pStyle w:val="P68B1DB1Normal104"/>
        <w:widowControl w:val="false"/>
        <w:spacing w:lineRule="auto" w:line="240" w:before="12" w:after="0"/>
        <w:ind w:left="0" w:right="0" w:hanging="0"/>
        <w:jc w:val="left"/>
        <w:rPr/>
      </w:pPr>
      <w:r>
        <w:rPr/>
        <w:t xml:space="preserve">Kai kurios olandų grupės yra mažiau įpratę dalyvauti apklausose ir grupėse (internete). Siekiant gauti reprezentatyvią „Nyderlandų balso“ įvaizdį, buvo svarbu, kad šie piliečiai taip pat galėtų išreikšti savo idėjas ir nuomones. Todėl mes taip pat surengėme keletą dialogų vietoje dėl apklausos „Europos vizija“. Nuomonės ir idėjos, kurias galėjome surinkti, buvo naudojamos kaip pagrindas (be kita ko) formuluojant rekomendacijas.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Tikslinės grupės </w:t>
      </w:r>
    </w:p>
    <w:p>
      <w:pPr>
        <w:pStyle w:val="P68B1DB1Normal110"/>
        <w:widowControl w:val="false"/>
        <w:spacing w:lineRule="auto" w:line="240" w:before="22" w:after="0"/>
        <w:ind w:left="0" w:right="0" w:hanging="0"/>
        <w:jc w:val="left"/>
        <w:rPr/>
      </w:pPr>
      <w:r>
        <w:rPr>
          <w:sz w:val="21"/>
        </w:rPr>
        <w:t xml:space="preserve">Sunkiai pasiekiamos tikslinės grupės negali būti vienareikšmiškai apibrėžtos. Tyrimai ir patirtis leidžia mums žinoti, kad </w:t>
      </w:r>
      <w:r>
        <w:rPr>
          <w:b/>
          <w:sz w:val="21"/>
        </w:rPr>
        <w:t>ne Vakarų kilmės</w:t>
      </w:r>
      <w:r>
        <w:rPr>
          <w:sz w:val="21"/>
        </w:rPr>
        <w:t>olandų žmonės žymiai mažiau dalyvauja tyrimuose ir diskusijose. Kadangi tai yra didelė grupė (14 proc. visų</w:t>
      </w:r>
      <w:r>
        <w:rPr>
          <w:position w:val="6"/>
          <w:sz w:val="14"/>
        </w:rPr>
        <w:t>Nyderlandų</w:t>
      </w:r>
      <w:r>
        <w:rPr>
          <w:sz w:val="21"/>
        </w:rPr>
        <w:t xml:space="preserve">piliečių), jie buvo atrinkti dalyvauti Europos vizijos dialoge. Tie patys argumentai buvo taikomi ir </w:t>
      </w:r>
      <w:r>
        <w:rPr>
          <w:b/>
          <w:sz w:val="21"/>
        </w:rPr>
        <w:t>menkai išsilavinusiems asmenims</w:t>
      </w:r>
      <w:r>
        <w:rPr>
          <w:sz w:val="21"/>
        </w:rPr>
        <w:t>. Tai taip pat didelė grupė (2,5 mln. olandų</w:t>
      </w:r>
      <w:r>
        <w:rPr>
          <w:position w:val="6"/>
          <w:sz w:val="14"/>
        </w:rPr>
        <w:t>2</w:t>
      </w:r>
      <w:r>
        <w:rPr>
          <w:sz w:val="21"/>
        </w:rPr>
        <w:t xml:space="preserve">), kuri iš dalies sutampa su migrantų grupe (39 proc.). Galiausiai buvo surengtas dialogas su grupe žmonių, kurie retai dalyvauja apklausose ir diskusijose, </w:t>
      </w:r>
      <w:r>
        <w:rPr>
          <w:b/>
          <w:sz w:val="21"/>
        </w:rPr>
        <w:t>kurie kritiškai vertina Europą, tačiau kuriems Europa atlieka svarbų vaidmenį profesinėje srityje.</w:t>
      </w:r>
      <w:r>
        <w:rPr>
          <w:sz w:val="21"/>
        </w:rPr>
        <w:t xml:space="preserve"> Buvo atrinkti žemės ūkio sektoriaus verslininkai.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Į pirmiau minėtas grupes buvo kreiptasi per organizacijas, kurioms jos priklauso, pavyzdžiui, migrantų organizacijas, propagavimo asociacijas ir profesines organizacijas. Kadangi mes apribojome dialogų skaičių iki aštuonių, mes negalėjome būti visiškai „išsamūs“. Dėl to dalyvių pasirinkimas yra šiek tiek savavališkas. Norėdami tai padaryti, taip pat atsižvelgėme į entuziazmą dalyvauti ir padėti sutelkti savo bazę, taip pat į praktinius klausimus, tokius kaip prieinamumas pagal datas ir vietą.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Buvo surengti dialogai vietoje su šių organizacijų nariais: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fondas, Alevi bendruomenė,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fondas, hinduistų bendruomenė, Utrechtas (dvi diskusijos)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Piėzo, pilietinės visuomenės organizacija,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menkai išsilavinusių žmonių organizacija, Utrechtas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žemės ūkio grupių asociacija </w:t>
      </w:r>
    </w:p>
    <w:p>
      <w:pPr>
        <w:pStyle w:val="P68B1DB1Normal105"/>
        <w:widowControl w:val="false"/>
        <w:spacing w:lineRule="auto" w:line="240"/>
        <w:ind w:left="0" w:right="0" w:hanging="0"/>
        <w:jc w:val="left"/>
        <w:rPr/>
      </w:pPr>
      <w:r>
        <w:rPr>
          <w:rFonts w:ascii="Verdana" w:hAnsi="Verdana"/>
        </w:rPr>
        <w:t>Marokkanen</w:t>
      </w:r>
      <w:r>
        <w:rPr/>
        <w:t xml:space="preserve"> </w:t>
      </w:r>
      <w:r>
        <w:rPr>
          <w:rFonts w:ascii="Calibri" w:hAnsi="Calibri"/>
        </w:rPr>
        <w:t xml:space="preserve">Dialoog Overvecht, Maroko bendruomenė, Utrechtas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Moterys už laisvę, migrantų kilmės moterų propagavimo organizacija, Haga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Šiuose diskusijų susitikimuose iš viso dalyvavo 110 žmonių.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Dialogai su jaunimu </w:t>
      </w:r>
    </w:p>
    <w:p>
      <w:pPr>
        <w:pStyle w:val="P68B1DB1Normal104"/>
        <w:widowControl w:val="false"/>
        <w:spacing w:lineRule="auto" w:line="240" w:before="118" w:after="0"/>
        <w:ind w:left="0" w:right="0" w:hanging="0"/>
        <w:jc w:val="both"/>
        <w:rPr/>
      </w:pPr>
      <w:r>
        <w:rPr/>
        <w:t xml:space="preserve">Jaunimas yra Konferencijos dėl Europos ateities prioritetinė tikslinė grupė. Siekiant aktyviai skatinti juos dalyvauti piliečių dialoge „Europos vizija“ ir užtikrinti, kad šios grupės nuomonės ir idėjos būtų gerai išklausytos, buvo surengti penki specialiai jaunimui skirti fizinių diskusijų susitikimai. Šeštasis suplanuotas susitikimas su jaunimu negalėjo įvykti dėl su koronavirusu susijusių ribojamųjų priemonių.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Posėdžiai vyko šiose institucijose: </w:t>
      </w:r>
    </w:p>
    <w:p>
      <w:pPr>
        <w:pStyle w:val="P68B1DB1Normal104"/>
        <w:widowControl w:val="false"/>
        <w:spacing w:lineRule="auto" w:line="240"/>
        <w:ind w:left="0" w:right="0" w:hanging="0"/>
        <w:jc w:val="both"/>
        <w:rPr>
          <w:rFonts w:ascii="Calibri" w:hAnsi="Calibri"/>
          <w:color w:val="000000"/>
          <w:sz w:val="21"/>
        </w:rPr>
      </w:pPr>
      <w:r>
        <w:rPr/>
        <w:t xml:space="preserve">Leiden universiteto Istorijos studentų asociacija </w:t>
      </w:r>
    </w:p>
    <w:p>
      <w:pPr>
        <w:pStyle w:val="P68B1DB1Normal104"/>
        <w:widowControl w:val="false"/>
        <w:spacing w:lineRule="auto" w:line="240"/>
        <w:ind w:left="0" w:right="0" w:hanging="0"/>
        <w:jc w:val="both"/>
        <w:rPr>
          <w:rFonts w:ascii="Calibri" w:hAnsi="Calibri"/>
          <w:color w:val="000000"/>
          <w:sz w:val="21"/>
        </w:rPr>
      </w:pPr>
      <w:r>
        <w:rPr/>
        <w:t xml:space="preserve">Dr. Knippenbergo koledžas, Helmondo vidurinė mokykla </w:t>
      </w:r>
    </w:p>
    <w:p>
      <w:pPr>
        <w:pStyle w:val="P68B1DB1Normal104"/>
        <w:widowControl w:val="false"/>
        <w:spacing w:lineRule="auto" w:line="240" w:before="1" w:after="0"/>
        <w:ind w:left="0" w:right="0" w:hanging="0"/>
        <w:jc w:val="left"/>
        <w:rPr>
          <w:rFonts w:ascii="Calibri" w:hAnsi="Calibri"/>
          <w:color w:val="000000"/>
          <w:sz w:val="21"/>
        </w:rPr>
      </w:pPr>
      <w:r>
        <w:rPr/>
        <w:t xml:space="preserve">Europos ekonomikos ir socialinių reikalų tarybos jaunimo platforma „Coalitie-Y“ </w:t>
      </w:r>
    </w:p>
    <w:p>
      <w:pPr>
        <w:pStyle w:val="P68B1DB1Normal104"/>
        <w:widowControl w:val="false"/>
        <w:spacing w:lineRule="auto" w:line="240"/>
        <w:ind w:left="0" w:right="0" w:hanging="0"/>
        <w:jc w:val="left"/>
        <w:rPr>
          <w:rFonts w:ascii="Calibri" w:hAnsi="Calibri"/>
          <w:color w:val="000000"/>
          <w:sz w:val="21"/>
        </w:rPr>
      </w:pPr>
      <w:r>
        <w:rPr/>
        <w:t xml:space="preserve">Graafschap kolegija, Profesinis vidurinis ugdymas,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vidurinis išsilavinimas, kuriame daugiausia dėmesio skiriama technologiniams dalykams,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Diskusijų posėdžiuose iš viso dalyvavo 95 jaunuoliai. </w:t>
      </w:r>
      <w:r>
        <w:br w:type="page"/>
      </w:r>
    </w:p>
    <w:p>
      <w:pPr>
        <w:pStyle w:val="P68B1DB1Normal107"/>
        <w:spacing w:lineRule="auto" w:line="240"/>
        <w:ind w:left="0" w:right="0" w:hanging="0"/>
        <w:rPr>
          <w:rFonts w:ascii="Calibri" w:hAnsi="Calibri"/>
          <w:i/>
          <w:i/>
          <w:color w:val="000000"/>
          <w:sz w:val="24"/>
        </w:rPr>
      </w:pPr>
      <w:r>
        <w:rPr/>
        <w:t xml:space="preserve">Naudojami techninės priežiūros metodai </w:t>
      </w:r>
    </w:p>
    <w:p>
      <w:pPr>
        <w:pStyle w:val="P68B1DB1Normal104"/>
        <w:widowControl w:val="false"/>
        <w:spacing w:lineRule="auto" w:line="240" w:before="10" w:after="0"/>
        <w:ind w:left="0" w:right="0" w:hanging="0"/>
        <w:jc w:val="left"/>
        <w:rPr/>
      </w:pPr>
      <w:r>
        <w:rPr/>
        <w:t xml:space="preserve">Internetiniai teminiai dialogai, dialogai su konkrečiomis grupėmis ir dialogai su jaunimu buvo vedami vadinamuoju „sokratinio“ pokalbio metodu. Šis metodas daugelį metų buvo naudojamas Dialogo dieną, kai žmonės visoje Nyderlanduose bendrauja klausimais, kurie turi įtakos jiems. Taikydamas Sokratinės priežiūros metodą moderatorius atsižvelgia į šiuos principus: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Leiskite kitam papasakoti savo istoriją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Neatsakykite</w:t>
      </w:r>
      <w:r>
        <w:rPr/>
        <w:t xml:space="preserve"> </w:t>
      </w:r>
      <w:r>
        <w:rPr>
          <w:rFonts w:ascii="Calibri" w:hAnsi="Calibri"/>
        </w:rPr>
        <w:t xml:space="preserve">iš karto su kita istorija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Elgtis su pagarba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Kalbėkite apie savo požiūrį („radau“, o ne „jie sako“)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Prašyti pateikti daugiau paaiškinimų, jei pareikšta tik bendro pobūdžio nuomonė.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Vengti sprendimų ir juos analizuoti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Suteikti tylos akimirkų, jei žmonės turi galvoti apie akimirką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Dialogų metu naudojamas toks ritmas: skirtumai – konvergencija – skirtumai. Principas yra tas, kad pirmiausia turite skirtis (tiesiogiai išreikšti individualius jausmus ir nuomones), kad galėtumėte susilieti (aptarti galimus kelius) ir galiausiai vėl skirtis (pavyzdžiui, rinkti individualias rekomendacijas). Patirtis ir teorija rodo, kad šis ritmas užtikrina optimalų dialogo srautą.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Visus dialogus vykdė profesionalūs tarpininkai.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Internetinė visuomenės apklausa: Klausimynas ir „Swipen naar de toekomst“ (Swiper to the Future)</w:t>
      </w:r>
    </w:p>
    <w:p>
      <w:pPr>
        <w:pStyle w:val="P68B1DB1Normal104"/>
        <w:widowControl w:val="false"/>
        <w:spacing w:lineRule="auto" w:line="240" w:before="229" w:after="0"/>
        <w:ind w:left="0" w:right="0" w:hanging="0"/>
        <w:jc w:val="both"/>
        <w:rPr/>
      </w:pPr>
      <w:r>
        <w:rPr/>
        <w:t xml:space="preserve">Grupės apklausos klausimyne taip pat galėjo dalyvauti visi Nyderlandai, įskaitant užsienyje gyvenančius asmenis. Šis klausimynas buvo prieinamas nuo 2021 m. rugsėjo 1 d. iki 2021 m. lapkričio 14 d. Be to, per tą patį laikotarpį kiekvienas olandas galėjo dalyvauti veiksmuose „Swipen naar de toekomst“ („Swiper to the Future“) – internetinėje priemonėje, kurioje pateikiama 20 pretenzijų. </w:t>
      </w:r>
    </w:p>
    <w:p>
      <w:pPr>
        <w:pStyle w:val="P68B1DB1Normal107"/>
        <w:widowControl w:val="false"/>
        <w:spacing w:lineRule="auto" w:line="240" w:before="41" w:after="0"/>
        <w:ind w:left="0" w:right="0" w:hanging="0"/>
        <w:jc w:val="left"/>
        <w:rPr>
          <w:rFonts w:ascii="Calibri" w:hAnsi="Calibri"/>
          <w:i/>
          <w:i/>
          <w:color w:val="000000"/>
          <w:sz w:val="24"/>
        </w:rPr>
      </w:pPr>
      <w:r>
        <w:rPr/>
        <w:t xml:space="preserve">Atsakymai ir naudojimas </w:t>
      </w:r>
    </w:p>
    <w:p>
      <w:pPr>
        <w:pStyle w:val="P68B1DB1Normal104"/>
        <w:widowControl w:val="false"/>
        <w:spacing w:lineRule="auto" w:line="240" w:before="7" w:after="0"/>
        <w:ind w:left="0" w:right="0" w:hanging="0"/>
        <w:jc w:val="left"/>
        <w:rPr/>
      </w:pPr>
      <w:r>
        <w:rPr/>
        <w:t xml:space="preserve">Iš viso 1 967 dalyviai užpildė klausimyną, o 6 968 dalyviai buvo iki ekrano nuskaitymo priemonės pabaigos. Klausimynas ir ekrano nuskaitymo įrankis buvo atviri visiems: dalyvavimo sąlygų ar atrankos kriterijų nebuvo. Klausimyne buvo galima užduoti klausimus (nebuvo privalomų klausimų), siekiant kuo labiau padidinti atsakymų skaičių. Dalyviai pasirinko „Aš nenoriu atsakyti“ daug dažniau nei reprezentatyvioje apklausoje. </w:t>
      </w:r>
    </w:p>
    <w:p>
      <w:pPr>
        <w:pStyle w:val="P68B1DB1Normal104"/>
        <w:widowControl w:val="false"/>
        <w:spacing w:lineRule="auto" w:line="240"/>
        <w:ind w:left="0" w:right="0" w:hanging="0"/>
        <w:jc w:val="left"/>
        <w:rPr/>
      </w:pPr>
      <w:r>
        <w:rPr/>
        <w:t xml:space="preserve">Atviro klausimyno ir ekrano skenavimo priemonės dalyvių bendrosios charakteristikos keliais aspektais skiriasi nuo reprezentacinės grupės dalyvių savybių. Priešingai nei grupės apklausa, atviro klausimyno ir ekrano skenavimo priemonės rezultatai nėra reprezentatyvūs. Internetinės atviros apklausos rezultatai buvo panaudoti grupės apklausai papildyti. Juose apžvelgiami Nyderlanduose cirkuliuojantys jausmai ir idėjos. Įvesties laukeliuose paminėti tobulinimo pasiūlymai buvo panaudoti skyriuje „Diskusijos ir idėjos internete ir vietoje“. Ekrano nuskaitymo įrankis buvo naudojamas siekiant geriau suprasti kai kuriuos Nyderlanduose cirkuliuojančius jausmus. Į šiuos rezultatus buvo atsižvelgta rengiant rekomendacijas. Dėl reprezentatyvumo reikalavimo šioje ataskaitoje ribotai atsižvelgta į internetu pradėto tyrimo rezultatus.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Šią ataskaitą skelbia Užsienio reikalų ministerija. </w:t>
      </w:r>
      <w:hyperlink r:id="rId119">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Paveikslėlis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aveikslėlis47" descr=""/>
                    <pic:cNvPicPr>
                      <a:picLocks noChangeAspect="1" noChangeArrowheads="1"/>
                    </pic:cNvPicPr>
                  </pic:nvPicPr>
                  <pic:blipFill>
                    <a:blip r:embed="rId120"/>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Nyderlandų nacionalinė Vyriausybė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Mūsų Europos vizija </w:t>
      </w:r>
    </w:p>
    <w:p>
      <w:pPr>
        <w:pStyle w:val="Titre4"/>
        <w:numPr>
          <w:ilvl w:val="3"/>
          <w:numId w:val="2"/>
        </w:numPr>
        <w:rPr/>
      </w:pPr>
      <w:bookmarkStart w:id="237" w:name="__RefHeading___Toc298386_1346298689"/>
      <w:bookmarkEnd w:id="237"/>
      <w:r>
        <w:rPr/>
        <w:t>2022 m. sausio mėn. ataskaita</w:t>
      </w:r>
    </w:p>
    <w:p>
      <w:pPr>
        <w:pStyle w:val="P68B1DB1Normal20"/>
        <w:widowControl w:val="false"/>
        <w:spacing w:lineRule="auto" w:line="240" w:before="105" w:after="0"/>
        <w:ind w:left="0" w:right="0" w:hanging="0"/>
        <w:jc w:val="left"/>
        <w:rPr>
          <w:rFonts w:ascii="Calibri" w:hAnsi="Calibri"/>
          <w:color w:val="000000"/>
          <w:sz w:val="24"/>
        </w:rPr>
      </w:pPr>
      <w:r>
        <w:rPr/>
        <w:t xml:space="preserve">Nuomonės, idėjos ir rekomendacijos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Temos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Klimato kaita ir aplinka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Migracija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Sveikata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ES pasaulyje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2022 m. sausio 14 </w:t>
      </w:r>
      <w:r>
        <w:rPr/>
        <w:t>d.</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Šis dokumentas yra pranešimo „Elze kijk op Europa; Meningen, ideeėn en Aanbevelingen"(„Mūsų Europos vizija: nuomonės, idėjos ir rekomendacijos“, kuri buvo paskelbta 2022 m. sausio 14 d. olandų kalba www.kijkopeuropa.nl. Šis vertimas yra supaprastinta ataskaitos versija, kurioje originalus pateikimas (iliustracijos ir kiti grafiniai elementai) buvo pakeistas vertimo tikslais.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Mūsų vizija... </w:t>
      </w:r>
    </w:p>
    <w:p>
      <w:pPr>
        <w:pStyle w:val="P68B1DB1Normal126"/>
        <w:widowControl w:val="false"/>
        <w:spacing w:lineRule="auto" w:line="240" w:before="101" w:after="0"/>
        <w:ind w:left="0" w:right="0" w:hanging="0"/>
        <w:jc w:val="left"/>
        <w:rPr>
          <w:rFonts w:ascii="Calibri" w:hAnsi="Calibri"/>
          <w:color w:val="0070C0"/>
          <w:sz w:val="24"/>
        </w:rPr>
      </w:pPr>
      <w:r>
        <w:rPr/>
        <w:t xml:space="preserve">Ataskaitos santrauka: visos rekomendacijos trumpai </w:t>
      </w:r>
    </w:p>
    <w:p>
      <w:pPr>
        <w:pStyle w:val="P68B1DB1Normal104"/>
        <w:widowControl w:val="false"/>
        <w:spacing w:lineRule="auto" w:line="240" w:before="109" w:after="0"/>
        <w:ind w:left="0" w:right="0" w:hanging="0"/>
        <w:jc w:val="both"/>
        <w:rPr/>
      </w:pPr>
      <w:r>
        <w:rPr/>
        <w:t xml:space="preserve">Per piliečių dialogą, surengtą tema „Europos vizija“, sulaukėme Nyderlandų piliečių nuomonių ir idėjų apie Europos ateitį. Todėl Europos Sąjungai buvo pateiktos šios rekomendacijos dėl paskutinių keturių temų (iš devynių iš visų nustatytų temų). </w:t>
      </w:r>
    </w:p>
    <w:p>
      <w:pPr>
        <w:pStyle w:val="P68B1DB1Normal126"/>
        <w:widowControl w:val="false"/>
        <w:spacing w:lineRule="auto" w:line="240" w:before="108" w:after="0"/>
        <w:ind w:left="0" w:right="0" w:hanging="0"/>
        <w:jc w:val="left"/>
        <w:rPr>
          <w:rFonts w:ascii="Calibri" w:hAnsi="Calibri"/>
          <w:color w:val="0070C0"/>
          <w:sz w:val="24"/>
        </w:rPr>
      </w:pPr>
      <w:r>
        <w:rPr/>
        <w:t xml:space="preserve">Klimato kaita ir aplinka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Pasirinkite aiškią Europos požiūrio į klimato kaitą kryptį</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Užtikrinti, kad šalys ir įmonės glaudžiau bendradarbiautų siekdamos rasti tikslinius sprendimus 3.</w:t>
      </w:r>
      <w:r>
        <w:rPr/>
        <w:t xml:space="preserve"> </w:t>
      </w:r>
      <w:r>
        <w:rPr>
          <w:rFonts w:ascii="Calibri" w:hAnsi="Calibri"/>
        </w:rPr>
        <w:t>Sukurti sąžiningą ir praktiškai įgyvendinamą CO2 sistemą</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Aiškiau ir pozityviau informuoti apie požiūrį į klimatą</w:t>
      </w:r>
    </w:p>
    <w:p>
      <w:pPr>
        <w:pStyle w:val="P68B1DB1Normal104"/>
        <w:widowControl w:val="false"/>
        <w:spacing w:lineRule="auto" w:line="240" w:before="93" w:after="0"/>
        <w:ind w:left="0" w:right="0" w:hanging="0"/>
        <w:jc w:val="left"/>
        <w:rPr/>
      </w:pPr>
      <w:r>
        <w:rPr/>
        <w:t xml:space="preserve">Nyderlandai mano, kad ES turi atlikti pagrindinį vaidmenį kovojant su klimato kaita. Valstybės narės turi turėti galimybę pasirinkti, tačiau turi bendradarbiauti siekdamos tų pačių tikslų. Užuot nurodžiusios viena kitą, ES šalys turėtų skirti daugiau energijos žinių mainams ir bendrų sprendimų paieškai. CO2 išmetimo apmokestinimo sistema gali būti veiksminga, tačiau ji taip pat turi būti teisinga, praktiška ir aiški. Paprastai Nyderlandai mano, kad ES turėtų veiksmingiau ir pozityviau bendrauti klimato klausimais. </w:t>
      </w:r>
    </w:p>
    <w:p>
      <w:pPr>
        <w:pStyle w:val="P68B1DB1Normal126"/>
        <w:widowControl w:val="false"/>
        <w:spacing w:lineRule="auto" w:line="240" w:before="108" w:after="0"/>
        <w:ind w:left="0" w:right="0" w:hanging="0"/>
        <w:jc w:val="left"/>
        <w:rPr>
          <w:rFonts w:ascii="Calibri" w:hAnsi="Calibri"/>
          <w:color w:val="0070C0"/>
          <w:sz w:val="24"/>
        </w:rPr>
      </w:pPr>
      <w:r>
        <w:rPr/>
        <w:t xml:space="preserve">Migracija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Užkirsti kelią debatams pabėgėlių klausimu tapti mažiau niuansams</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Apibrėžti, kas yra teisingas ir praktiškas pabėgėlių paskirstymas</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Panaudoti įgytas žinias ir patirtį siekiant padėti regionams, iš kurių atvyksta pabėgėliai</w:t>
      </w:r>
    </w:p>
    <w:p>
      <w:pPr>
        <w:pStyle w:val="P68B1DB1Normal104"/>
        <w:widowControl w:val="false"/>
        <w:spacing w:lineRule="auto" w:line="240"/>
        <w:ind w:left="0" w:right="0" w:hanging="0"/>
        <w:jc w:val="left"/>
        <w:rPr/>
      </w:pPr>
      <w:r>
        <w:rPr/>
        <w:t xml:space="preserve">Olandai mano, kad svarbu atskirti žmones, bėgančius iš pavojingų vietovių, ir ekonominius pabėgėlius. Diskusijoms apie migraciją ir integraciją dažnai trūksta niuansų. Norint užtikrinti teisingą pabėgėlių paskirstymą Europoje, būtina ES viduje susitarti dėl aiškių kriterijų, pagal kuriuos būtų atsižvelgiama ir į valstybes nares, ir į pabėgusias valstybes nares. Galiausiai Nyderlandai siūlo ES remti regionus, iš kurių pabėgėliai atvyksta ne tik finansiškai, bet ir žiniomis. </w:t>
      </w:r>
    </w:p>
    <w:p>
      <w:pPr>
        <w:pStyle w:val="P68B1DB1Normal126"/>
        <w:widowControl w:val="false"/>
        <w:spacing w:lineRule="auto" w:line="240" w:before="108" w:after="0"/>
        <w:ind w:left="0" w:right="0" w:hanging="0"/>
        <w:jc w:val="left"/>
        <w:rPr>
          <w:rFonts w:ascii="Calibri" w:hAnsi="Calibri"/>
          <w:color w:val="0070C0"/>
          <w:sz w:val="24"/>
        </w:rPr>
      </w:pPr>
      <w:r>
        <w:rPr/>
        <w:t xml:space="preserve">Sveikata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Geriau kontroliuoti pandemijos valdymą</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Užtikrinti visiems prieinamų ir patikimų vaistų prieinamumą</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Šalys turi sutelkti dėmesį į savo sveikatos sistemų tobulinimą ir siekti, kad jos būtų teisingesnės.</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Nyderlandai mano, kad kovojant su pandemija ES šalys turi glaudžiau bendradarbiauti. Dėl koronaviruso krizės įveikimo kartais kyla painiavos. Taisyklės turėtų būti labiau suderintos viena su kita, o ne visur būti vienodos. Kalbant apie vakcinas ar vaistus, Nyderlandai nori, kad kainos išliktų kuo mažesnės, tačiau nori, kad būtų galima pasikliauti kokybiška ir atsakinga gamyba. Be to, manome, kad svarbu, jog didelės įmonės nepiktnaudžiautų savo galia, ir manome, kad sveikatos priežiūra ir toliau turi būti vykdoma nacionaliniu lygmeniu. </w:t>
      </w:r>
      <w:r>
        <w:br w:type="page"/>
      </w:r>
    </w:p>
    <w:p>
      <w:pPr>
        <w:pStyle w:val="P68B1DB1Normal126"/>
        <w:widowControl w:val="false"/>
        <w:spacing w:lineRule="auto" w:line="240"/>
        <w:ind w:left="0" w:right="0" w:hanging="0"/>
        <w:jc w:val="left"/>
        <w:rPr>
          <w:rFonts w:ascii="Calibri" w:hAnsi="Calibri"/>
          <w:color w:val="0070C0"/>
          <w:sz w:val="24"/>
        </w:rPr>
      </w:pPr>
      <w:r>
        <w:rPr/>
        <w:t xml:space="preserve">ES vaidmuo pasaulyje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ES stiprybės panaudojimas pagrindinėse tarptautinėse temose</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Europoje ir už jos ribų pasirinkite bendradarbiavimą, o ne kovą</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Apgalvotai siūlyti pagalbą konflikto atveju</w:t>
      </w:r>
    </w:p>
    <w:p>
      <w:pPr>
        <w:pStyle w:val="P68B1DB1Normal104"/>
        <w:widowControl w:val="false"/>
        <w:spacing w:lineRule="auto" w:line="240" w:before="84" w:after="0"/>
        <w:ind w:left="0" w:right="0" w:hanging="0"/>
        <w:jc w:val="left"/>
        <w:rPr/>
      </w:pPr>
      <w:r>
        <w:rPr/>
        <w:t xml:space="preserve">Nyderlandai mano, kad Europos bendradarbiavimas visų pirma turėtų būti sutelktas į pagrindinius bendrus interesus. ES bendradarbiavimas su trečiosiomis šalimis taip pat turi būti įtrauktas į šį požiūrį. Be klimato kaitos ir koronaviruso pandemijos, tai, pavyzdžiui, tarptautinis saugumas ir Europos ekonomikos apsauga nuo nesąžiningos prekybos praktikos. Europoje ir už jos ribų olandai pirmenybę teikia bendradarbiavimui, o ne kovai. Kalbant apie požiūrį į konfliktus, visada pageidautina juos išspręsti nenaudojant smurto. </w:t>
      </w:r>
    </w:p>
    <w:p>
      <w:pPr>
        <w:pStyle w:val="P68B1DB1Normal125"/>
        <w:widowControl w:val="false"/>
        <w:spacing w:lineRule="auto" w:line="240" w:before="96" w:after="0"/>
        <w:ind w:left="0" w:right="0" w:hanging="0"/>
        <w:jc w:val="left"/>
        <w:rPr>
          <w:rFonts w:ascii="Calibri" w:hAnsi="Calibri"/>
          <w:b/>
          <w:b/>
          <w:color w:val="0070C0"/>
          <w:sz w:val="32"/>
        </w:rPr>
      </w:pPr>
      <w:r>
        <w:rPr/>
        <w:t xml:space="preserve">Įvadas </w:t>
      </w:r>
    </w:p>
    <w:p>
      <w:pPr>
        <w:pStyle w:val="P68B1DB1Normal104"/>
        <w:widowControl w:val="false"/>
        <w:spacing w:lineRule="auto" w:line="240" w:before="183" w:after="0"/>
        <w:ind w:left="0" w:right="0" w:hanging="0"/>
        <w:jc w:val="left"/>
        <w:rPr/>
      </w:pPr>
      <w:r>
        <w:rPr/>
        <w:t xml:space="preserve">Per piliečių dialogą „Europos vizija“, vykusį nuo rugsėjo 1 d. iki lapkričio mėn. vidurio, visi olandai galėjo pareikšti savo nuomonę ir idėjas dėl Europos ateities. Nyderlandai pateikia Europos Sąjungai (ES) rekomendacijas, dėl kurių buvo vedamas dialogas, taip pat pareikštas idėjas ir nuomones. Šioje ataskaitoje aptariame keturias paskutines temas (iš visų devynių nustatytų temų). Pirmos penkios temos jau aptartos 2021 m. gruodžio 3 d. paskelbtoje ataskaitoje. </w:t>
      </w:r>
    </w:p>
    <w:p>
      <w:pPr>
        <w:pStyle w:val="P68B1DB1Normal126"/>
        <w:widowControl w:val="false"/>
        <w:spacing w:lineRule="auto" w:line="240" w:before="79" w:after="0"/>
        <w:ind w:left="0" w:right="0" w:hanging="0"/>
        <w:jc w:val="left"/>
        <w:rPr>
          <w:rFonts w:ascii="Calibri" w:hAnsi="Calibri"/>
          <w:color w:val="0070C0"/>
          <w:sz w:val="24"/>
        </w:rPr>
      </w:pPr>
      <w:r>
        <w:rPr/>
        <w:t xml:space="preserve">Dėl Europos vizijos </w:t>
      </w:r>
    </w:p>
    <w:p>
      <w:pPr>
        <w:pStyle w:val="P68B1DB1Normal104"/>
        <w:widowControl w:val="false"/>
        <w:spacing w:lineRule="auto" w:line="240" w:before="78" w:after="0"/>
        <w:ind w:left="0" w:right="0" w:hanging="0"/>
        <w:jc w:val="left"/>
        <w:rPr/>
      </w:pPr>
      <w:r>
        <w:rPr/>
        <w:t xml:space="preserve">Europos Sąjunga nori, kad jos piliečiai dalytųsi tuo, ką galvoja apie Europą. Todėl ES rengia konferenciją dėl Europos ateities. Tada visos Europos Sąjungos piliečių nuomonės ir idėjos bus įtrauktos į Europos ateities planus. Konferencijos metu Nyderlandai nacionaliniu lygmeniu surengė piliečių dialogą „Europos vizija“. </w:t>
      </w:r>
    </w:p>
    <w:p>
      <w:pPr>
        <w:pStyle w:val="P68B1DB1Normal104"/>
        <w:widowControl w:val="false"/>
        <w:spacing w:lineRule="auto" w:line="240"/>
        <w:ind w:left="0" w:right="0" w:hanging="0"/>
        <w:jc w:val="left"/>
        <w:rPr/>
      </w:pPr>
      <w:r>
        <w:rPr/>
        <w:t xml:space="preserve">Dialogas dėl Europos vizijos prasidėjo rugsėjo 1 d. internetu renkant nuomones ir idėjas per reprezentacinės grupės apklausą. Siekdami pagilinti pirmuosius grupės apklausos rezultatus ir pateikti konkrečių rekomendacijų, internetu surengėme teminius dialogus. Kiekvienas, kuris nori dalyvauti, gali dalyvauti. Taip pat keliavome į šalį, kur diskutavome su jaunimu ir kitomis grupėmis (sunku pasiekti).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Nuo moksleivių, profesinių mokyklų mokinių ir studentų iki ministro, ūkininkų ir migrantų </w:t>
      </w:r>
    </w:p>
    <w:p>
      <w:pPr>
        <w:pStyle w:val="P68B1DB1Normal104"/>
        <w:widowControl w:val="false"/>
        <w:spacing w:lineRule="auto" w:line="240" w:before="91" w:after="0"/>
        <w:ind w:left="0" w:right="0" w:hanging="0"/>
        <w:jc w:val="both"/>
        <w:rPr/>
      </w:pPr>
      <w:r>
        <w:rPr/>
        <w:t xml:space="preserve">Spalio ir lapkričio mėn. iš viso įvyko aštuoni internetiniai teminiai dialogai, kurių viename posėdyje vidutiniškai dalyvavo 30 dalyvių. Mes taip pat surengėme internetinį teminį dialogą ir septynis teminius dialogus vietoje su įvairiomis Nyderlandų piliečių grupėmis. Mes kalbėjomės su turkų bendruomene Schiedame ir buvome pakviesti Piėzo fondo savanorių į Zoetermeer. Pastaruoju metu užsienio reikalų ministras Benas Knapenas taip pat dalyvavo dialogo pabaigoje. Ministras diskutavo su dalyviais apie dialogą ir pareikštas nuomones dėl Europos ateities. Galiausiai surengėme šešis susitikimus su įvairiomis jaunimo grupėmis. Pavyzdžiui, mus pasveikino Helmondo vidurinė mokykla, Doetinchemo profesinė vidurinė mokykla ir Leideno universitetas. </w:t>
      </w:r>
    </w:p>
    <w:p>
      <w:pPr>
        <w:pStyle w:val="P68B1DB1Normal113"/>
        <w:widowControl w:val="false"/>
        <w:spacing w:lineRule="auto" w:line="240" w:before="160" w:after="0"/>
        <w:ind w:left="0" w:right="0" w:hanging="0"/>
        <w:jc w:val="center"/>
        <w:rPr/>
      </w:pPr>
      <w:r>
        <w:rPr/>
        <w:t xml:space="preserve">Tai mūsų vaikų ateitis. Todėl manau, kad svarbu dalyvauti. </w:t>
      </w:r>
    </w:p>
    <w:p>
      <w:pPr>
        <w:pStyle w:val="P68B1DB1Normal104"/>
        <w:widowControl w:val="false"/>
        <w:spacing w:lineRule="auto" w:line="240" w:before="127" w:after="0"/>
        <w:ind w:left="0" w:right="0" w:hanging="0"/>
        <w:jc w:val="left"/>
        <w:rPr>
          <w:rFonts w:ascii="Calibri" w:hAnsi="Calibri"/>
          <w:color w:val="000000"/>
          <w:sz w:val="21"/>
        </w:rPr>
      </w:pPr>
      <w:r>
        <w:rPr/>
        <w:t xml:space="preserve">Teminio dialogo dalyvis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Apie šią ataskaitą </w:t>
      </w:r>
    </w:p>
    <w:p>
      <w:pPr>
        <w:pStyle w:val="P68B1DB1Normal104"/>
        <w:widowControl w:val="false"/>
        <w:spacing w:lineRule="auto" w:line="240" w:before="88" w:after="0"/>
        <w:ind w:left="0" w:right="0" w:hanging="0"/>
        <w:jc w:val="left"/>
        <w:rPr/>
      </w:pPr>
      <w:r>
        <w:rPr/>
        <w:t xml:space="preserve">Remdamiesi pastaraisiais mėnesiais surinktomis idėjomis ir nuomonėmis, parengėme keletą rekomendacijų, kurias Nyderlandų piliečiai teikia Europos Sąjungai. Nyderlandų piliečių diskusijų metu vyko įdomūs pasikeitimai nuomonėmis, buvo pateiktos novatoriškos idėjos ir pasiūlymai. Kai kurios iš šių idėjų ir pasiūlymų buvo įtrauktos į šį pranešimą. Todėl šios ataskaitos turinys yra Nyderlandų balsas: mūsų Europos vizija.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Lygiai taip pat, kaip skiriasi šalių ir Europos piliečių nuomonės, mes taip pat ne visada sutinkame vieni su kitais Nyderlanduose. Būtent šie nuomonių skirtumai yra vertingi: tai svarbus demokratijos bruožas. Rekomendacijos parengtos remiantis dažniausiai išsakytomis Europos vizijos apklausos dalyvių idėjomis ir nuomonėmis. Mes taip pat aprašome susirūpinimą keliančius klausimus, idėjas ir jausmus, kurie gali būti mažiau paplitę, tačiau kurie patraukė mūsų dėmesį per dialogus ir internetinę apklausą. </w:t>
      </w:r>
    </w:p>
    <w:p>
      <w:pPr>
        <w:pStyle w:val="P68B1DB1Normal113"/>
        <w:widowControl w:val="false"/>
        <w:spacing w:lineRule="auto" w:line="240" w:before="181" w:after="0"/>
        <w:ind w:left="0" w:right="0" w:hanging="0"/>
        <w:jc w:val="center"/>
        <w:rPr/>
      </w:pPr>
      <w:r>
        <w:rPr/>
        <w:t xml:space="preserve">Man patiko, kad galiu pateikti savo nuomonę temomis, kurios, mano manymu, yra svarbios. Ir turėjo jausmą, kad yra klausomasi. </w:t>
      </w:r>
    </w:p>
    <w:p>
      <w:pPr>
        <w:pStyle w:val="P68B1DB1Normal104"/>
        <w:widowControl w:val="false"/>
        <w:spacing w:lineRule="auto" w:line="240" w:before="300" w:after="0"/>
        <w:ind w:left="0" w:right="0" w:hanging="0"/>
        <w:jc w:val="left"/>
        <w:rPr>
          <w:rFonts w:ascii="Calibri" w:hAnsi="Calibri"/>
          <w:color w:val="000000"/>
          <w:sz w:val="21"/>
        </w:rPr>
      </w:pPr>
      <w:r>
        <w:rPr/>
        <w:t xml:space="preserve">Teminio dialogo dalyvis </w:t>
      </w:r>
    </w:p>
    <w:p>
      <w:pPr>
        <w:pStyle w:val="P68B1DB1Normal104"/>
        <w:widowControl w:val="false"/>
        <w:spacing w:lineRule="auto" w:line="240"/>
        <w:ind w:left="0" w:right="0" w:hanging="0"/>
        <w:jc w:val="left"/>
        <w:rPr/>
      </w:pPr>
      <w:r>
        <w:rPr/>
        <w:t xml:space="preserve">Konferencijoje dėl Europos ateities buvo nustatytos devynios temos. Šios temos taip pat yra Europos vizijos dialogo su Nyderlandų piliečiais pagrindas. Spalio mėn. paskelbėme tarpinę ataskaitą, kurioje pateikėme pradinę rezultatų apžvalgą ir papildomus klausimus, pagrįstus grupės apklausa. Gruodžio pradžioje buvo paskelbta nauja ataskaita, kurioje išdėstytos nuomonės, idėjos ir rekomendacijos pirmosiomis penkiomis temomis. Šioje ataskaitoje nagrinėjamos likusios keturios temos.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Ankstesnė ataskaita – 2021 m. gruodžio mėn. </w:t>
      </w:r>
    </w:p>
    <w:p>
      <w:pPr>
        <w:pStyle w:val="P68B1DB1Normal104"/>
        <w:widowControl w:val="false"/>
        <w:spacing w:lineRule="auto" w:line="240"/>
        <w:ind w:left="0" w:right="0" w:hanging="0"/>
        <w:jc w:val="left"/>
        <w:rPr>
          <w:rFonts w:ascii="Calibri" w:hAnsi="Calibri"/>
          <w:color w:val="000000"/>
          <w:sz w:val="21"/>
        </w:rPr>
      </w:pPr>
      <w:r>
        <w:rPr/>
        <w:t xml:space="preserve">Vertybės ir teisės, teisinė valstybė ir saugumas </w:t>
      </w:r>
    </w:p>
    <w:p>
      <w:pPr>
        <w:pStyle w:val="P68B1DB1Normal104"/>
        <w:widowControl w:val="false"/>
        <w:spacing w:lineRule="auto" w:line="240"/>
        <w:ind w:left="0" w:right="0" w:hanging="0"/>
        <w:jc w:val="left"/>
        <w:rPr/>
      </w:pPr>
      <w:r>
        <w:rPr/>
        <w:t xml:space="preserve">Stipresnė ekonomika, socialinis teisingumas ir užimtumas Europos demokratija </w:t>
      </w:r>
    </w:p>
    <w:p>
      <w:pPr>
        <w:pStyle w:val="P68B1DB1Normal104"/>
        <w:widowControl w:val="false"/>
        <w:spacing w:lineRule="auto" w:line="240"/>
        <w:ind w:left="0" w:right="0" w:hanging="0"/>
        <w:jc w:val="left"/>
        <w:rPr>
          <w:rFonts w:ascii="Calibri" w:hAnsi="Calibri"/>
          <w:color w:val="000000"/>
          <w:sz w:val="21"/>
        </w:rPr>
      </w:pPr>
      <w:r>
        <w:rPr/>
        <w:t xml:space="preserve">Skaitmeninė transformacija </w:t>
      </w:r>
    </w:p>
    <w:p>
      <w:pPr>
        <w:pStyle w:val="P68B1DB1Normal104"/>
        <w:widowControl w:val="false"/>
        <w:spacing w:lineRule="auto" w:line="240"/>
        <w:ind w:left="0" w:right="0" w:hanging="0"/>
        <w:jc w:val="left"/>
        <w:rPr>
          <w:rFonts w:ascii="Calibri" w:hAnsi="Calibri"/>
          <w:color w:val="000000"/>
          <w:sz w:val="21"/>
        </w:rPr>
      </w:pPr>
      <w:r>
        <w:rPr/>
        <w:t xml:space="preserve">Švietimas, kultūra, jaunimas ir sportas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Dabartinė ataskaita – 2022 m. sausio mėn.</w:t>
      </w:r>
    </w:p>
    <w:p>
      <w:pPr>
        <w:pStyle w:val="P68B1DB1Normal104"/>
        <w:widowControl w:val="false"/>
        <w:spacing w:lineRule="auto" w:line="240"/>
        <w:ind w:left="0" w:right="0" w:hanging="0"/>
        <w:jc w:val="left"/>
        <w:rPr/>
      </w:pPr>
      <w:r>
        <w:rPr/>
        <w:t xml:space="preserve">Klimato kaita ir aplinka </w:t>
      </w:r>
    </w:p>
    <w:p>
      <w:pPr>
        <w:pStyle w:val="P68B1DB1Normal104"/>
        <w:widowControl w:val="false"/>
        <w:spacing w:lineRule="auto" w:line="240"/>
        <w:ind w:left="0" w:right="0" w:hanging="0"/>
        <w:jc w:val="left"/>
        <w:rPr>
          <w:rFonts w:ascii="Calibri" w:hAnsi="Calibri"/>
          <w:color w:val="000000"/>
          <w:sz w:val="21"/>
        </w:rPr>
      </w:pPr>
      <w:r>
        <w:rPr/>
        <w:t xml:space="preserve">Migracija </w:t>
      </w:r>
    </w:p>
    <w:p>
      <w:pPr>
        <w:pStyle w:val="P68B1DB1Normal104"/>
        <w:widowControl w:val="false"/>
        <w:spacing w:lineRule="auto" w:line="240"/>
        <w:ind w:left="0" w:right="0" w:hanging="0"/>
        <w:jc w:val="left"/>
        <w:rPr>
          <w:rFonts w:ascii="Calibri" w:hAnsi="Calibri"/>
          <w:color w:val="000000"/>
          <w:sz w:val="21"/>
        </w:rPr>
      </w:pPr>
      <w:r>
        <w:rPr/>
        <w:t xml:space="preserve">Sveikata </w:t>
      </w:r>
    </w:p>
    <w:p>
      <w:pPr>
        <w:pStyle w:val="P68B1DB1Normal104"/>
        <w:widowControl w:val="false"/>
        <w:spacing w:lineRule="auto" w:line="240"/>
        <w:ind w:left="0" w:right="0" w:hanging="0"/>
        <w:jc w:val="left"/>
        <w:rPr>
          <w:rFonts w:ascii="Calibri" w:hAnsi="Calibri"/>
          <w:color w:val="000000"/>
          <w:sz w:val="21"/>
        </w:rPr>
      </w:pPr>
      <w:r>
        <w:rPr/>
        <w:t xml:space="preserve">ES pasaulyje </w:t>
      </w:r>
    </w:p>
    <w:p>
      <w:pPr>
        <w:pStyle w:val="P68B1DB1Normal126"/>
        <w:widowControl w:val="false"/>
        <w:spacing w:lineRule="auto" w:line="240" w:before="105" w:after="0"/>
        <w:ind w:left="0" w:right="0" w:hanging="0"/>
        <w:jc w:val="left"/>
        <w:rPr>
          <w:rFonts w:ascii="Calibri" w:hAnsi="Calibri"/>
          <w:color w:val="0070C0"/>
          <w:sz w:val="24"/>
        </w:rPr>
      </w:pPr>
      <w:r>
        <w:rPr/>
        <w:t xml:space="preserve">Tolesni žingsniai </w:t>
      </w:r>
    </w:p>
    <w:p>
      <w:pPr>
        <w:pStyle w:val="Normal"/>
        <w:widowControl w:val="false"/>
        <w:spacing w:lineRule="auto" w:line="240" w:before="107" w:after="0"/>
        <w:ind w:left="0" w:right="0" w:hanging="0"/>
        <w:jc w:val="left"/>
        <w:rPr/>
      </w:pPr>
      <w:r>
        <w:rPr>
          <w:rFonts w:ascii="Calibri" w:hAnsi="Calibri"/>
          <w:color w:val="000000"/>
          <w:sz w:val="21"/>
        </w:rPr>
        <w:t xml:space="preserve">Konferencijoje dėl Europos ateities pateikiamos visų ES piliečių idėjos, nuomonės ir rekomendacijos. Susitikimai bus skirti ne tik visų piliečių dialogų nacionaliniu lygmeniu rezultatams, bet ir kitų konferencijoje pradėtų iniciatyvų rezultatams. Pavyzdžiui, yra ir Europos piliečių grupių, o visi ES piliečiai (įskaitant Nyderlandų piliečius) gali naudotis Europos skaitmenine platforma.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Tikiuosi, kad ES vadovai atsižvelgs į mano nuomonę. Ir tai padės jiems priimti teisingus sprendimus. </w:t>
      </w:r>
    </w:p>
    <w:p>
      <w:pPr>
        <w:pStyle w:val="P68B1DB1Normal104"/>
        <w:widowControl w:val="false"/>
        <w:spacing w:lineRule="auto" w:line="240" w:before="300" w:after="0"/>
        <w:ind w:left="0" w:right="0" w:hanging="0"/>
        <w:jc w:val="left"/>
        <w:rPr>
          <w:rFonts w:ascii="Calibri" w:hAnsi="Calibri"/>
          <w:color w:val="000000"/>
          <w:sz w:val="21"/>
        </w:rPr>
      </w:pPr>
      <w:r>
        <w:rPr/>
        <w:t xml:space="preserve">Teminio dialogo dalyvis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Konferencija baigsis 2022 m. pavasarį. Tada Nyderlandai parengs galutinę piliečių dialogo ataskaitą: šios ataskaitos ir ankstesnės ataskaitos rinkinys, įskaitant rekomendacijas dėl visų devynių temų. Po konferencijos bus pateiktos rekomendacijos Konferencijos pirmininkui: Europos Parlamento, Ministrų Tarybos ir Europos Komisijos pirmininkai. Jie įsipareigojo ieškoti būdų ir priemonių rekomendacijoms įgyvendinti. Nyderlandų vyriausybei rezultatai taip pat yra vertingas indėlis plėtojant Nyderlandų Europos politiką.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Apibendrinant, procesas iki 2022 m. pavasario bus organizuojamas taip: </w:t>
      </w:r>
      <w:r>
        <w:br w:type="page"/>
      </w:r>
    </w:p>
    <w:p>
      <w:pPr>
        <w:pStyle w:val="P68B1DB1Normal127"/>
        <w:widowControl w:val="false"/>
        <w:spacing w:lineRule="auto" w:line="240" w:before="0" w:after="0"/>
        <w:ind w:left="0" w:right="0" w:hanging="0"/>
        <w:jc w:val="left"/>
        <w:rPr/>
      </w:pPr>
      <w:r>
        <w:rPr>
          <w:color w:val="0070C0"/>
          <w:sz w:val="24"/>
        </w:rPr>
        <w:t>Chronologija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Europos vizija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Rugsėjo 1 d.</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Spalio 12 d.</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Spalio 22–23 d.</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Lapkričio 15 d.</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Gruodžio 3 d.</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Sausio 14 d.</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Sausio 21–22 d.</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Vasario mėn.</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Vasario 18–19 d.</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Kovo 11–12 d.</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Balandžio 22–24 d.</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Idėjų rinkimas internete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Teminiai dialogai</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Tarpiniai rezultatai (tarpinė ataskaita)</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Tarpinė ataskaita „Ekonomika“ ir „Demokratija“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Tarpinė ataskaita „Klimato kaita“ ir „ES pasaulyje“</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Galutinė ataskaita „Mūsų vizija Europai“</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C) SĄVOKA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C) SĄVOKA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C) SĄVOKA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C) SĄVOKA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C) SĄVOKA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Konferencijos susitikimas</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Konferencijos susitikimas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Susitikimas </w:t>
              <w:br/>
              <w:t>konferencija</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(galbūt) konferencijos posėdis</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Baigiamasis konferencijos renginys</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Rekomendacijos prezidentams </w:t>
            </w:r>
          </w:p>
          <w:p>
            <w:pPr>
              <w:pStyle w:val="P68B1DB1Contenudetableau128"/>
              <w:spacing w:before="57" w:after="57"/>
              <w:jc w:val="left"/>
              <w:rPr>
                <w:color w:val="000000"/>
                <w:sz w:val="14"/>
              </w:rPr>
            </w:pPr>
            <w:r>
              <w:rPr/>
              <w:t xml:space="preserve">• </w:t>
            </w:r>
            <w:r>
              <w:rPr/>
              <w:t xml:space="preserve">Europos Parlamentas </w:t>
              <w:br/>
              <w:t xml:space="preserve">• Europos Komisija </w:t>
              <w:br/>
              <w:t>• Ministrų Taryba</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Daugiau nuomonių ir idėjų apie Europos ateitį:</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Dialogai su piliečiais</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Europos piliečių forumai</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Europos skaitmeninė platforma (taip pat skirta Nyderlandų piliečiams)</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Paaiškinimai, palengvinantys skaitymą </w:t>
      </w:r>
    </w:p>
    <w:p>
      <w:pPr>
        <w:pStyle w:val="P68B1DB1Normal104"/>
        <w:widowControl w:val="false"/>
        <w:spacing w:lineRule="exact" w:line="281" w:before="116" w:after="0"/>
        <w:ind w:left="0" w:right="772" w:hanging="0"/>
        <w:jc w:val="left"/>
        <w:rPr/>
      </w:pPr>
      <w:r>
        <w:rPr/>
        <w:t xml:space="preserve">Šiame pranešime aptarėme keturias temas. Kiekvienai temai mes iš eilės įtraukėme: </w:t>
      </w:r>
    </w:p>
    <w:p>
      <w:pPr>
        <w:pStyle w:val="P68B1DB1Normal104"/>
        <w:widowControl w:val="false"/>
        <w:spacing w:lineRule="exact" w:line="339" w:before="1" w:after="0"/>
        <w:ind w:left="0" w:right="0" w:hanging="0"/>
        <w:jc w:val="left"/>
        <w:rPr>
          <w:rFonts w:ascii="Calibri" w:hAnsi="Calibri"/>
          <w:color w:val="000000"/>
          <w:sz w:val="21"/>
        </w:rPr>
      </w:pPr>
      <w:r>
        <w:rPr/>
        <w:t xml:space="preserve">rekomendacijos, grindžiamos visais piliečių dialogo aspektais; </w:t>
      </w:r>
    </w:p>
    <w:p>
      <w:pPr>
        <w:pStyle w:val="P68B1DB1Normal104"/>
        <w:widowControl w:val="false"/>
        <w:spacing w:lineRule="exact" w:line="283"/>
        <w:ind w:left="0" w:right="137" w:hanging="0"/>
        <w:jc w:val="left"/>
        <w:rPr/>
      </w:pPr>
      <w:r>
        <w:rPr/>
        <w:t xml:space="preserve">diskusijos internetu ir vietoje bei idėjos: nuomonių, idėjų ir nuomonių, kuriomis pasikeista (internetu ir fiziškai dalyvaujant) teminiuose dialoguose, apžvalga.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Tyrime naudotos metodikos aprašymą galima rasti šios ataskaitos pabaigoje.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Klimato kaita ir aplinka </w:t>
      </w:r>
    </w:p>
    <w:p>
      <w:pPr>
        <w:pStyle w:val="P68B1DB1Normal126"/>
        <w:widowControl w:val="false"/>
        <w:spacing w:lineRule="auto" w:line="240" w:before="48" w:after="0"/>
        <w:ind w:left="0" w:right="0" w:hanging="0"/>
        <w:jc w:val="left"/>
        <w:rPr>
          <w:rFonts w:ascii="Calibri" w:hAnsi="Calibri"/>
          <w:color w:val="0070C0"/>
          <w:sz w:val="24"/>
        </w:rPr>
      </w:pPr>
      <w:r>
        <w:rPr/>
        <w:t xml:space="preserve">Rekomendacijos. Mūsų klimato kaitos ir aplinkos vizija </w:t>
      </w:r>
    </w:p>
    <w:p>
      <w:pPr>
        <w:pStyle w:val="P68B1DB1Normal120"/>
        <w:widowControl w:val="false"/>
        <w:spacing w:lineRule="auto" w:line="240" w:before="61" w:after="0"/>
        <w:ind w:left="0" w:right="0" w:hanging="0"/>
        <w:jc w:val="left"/>
        <w:rPr/>
      </w:pPr>
      <w:r>
        <w:rPr/>
        <w:t xml:space="preserve">71 proc. olandų mano, kad klimato kaita ir aplinka yra svarbus klausimas ir kad ES turi imtis veiksmų šioje srityje. </w:t>
      </w:r>
    </w:p>
    <w:p>
      <w:pPr>
        <w:pStyle w:val="P68B1DB1Normal110"/>
        <w:widowControl w:val="false"/>
        <w:spacing w:lineRule="auto" w:line="240" w:before="57" w:after="0"/>
        <w:ind w:left="0" w:right="0" w:hanging="0"/>
        <w:jc w:val="left"/>
        <w:rPr/>
      </w:pPr>
      <w:r>
        <w:rPr>
          <w:b/>
        </w:rPr>
        <w:t xml:space="preserve">1. Pasirinkus aiškią Europos požiūrio į klimato kaitą kryptį, </w:t>
      </w:r>
      <w:r>
        <w:rPr>
          <w:sz w:val="21"/>
        </w:rPr>
        <w:t xml:space="preserve">68 proc. olandų mano, kad ES turi atlikti pagrindinį vaidmenį kovojant su klimato kaita. Globalinis atšilimas yra problema ir nė viena šalis negali jos išspręsti viena. Net jei ne visi olandai sutaria dėl klimato kaitos, manome, kad ES vis tiek turi turėti aiškesnę ateities viziją. Nepaisant žaliojo kurso, šiuo metu matome, kad valstybės narės dažnai nėra suderintos. Nors šalys turi turėti galimybę ir toliau rinktis, jos turi bendradarbiauti, kad pasiektų tuos pačius tikslus. Mes taip pat manome, kad mes, piliečiai, taip pat turime savo atsakomybės dalį, pavyzdžiui, už mūsų vartojimo įpročių pritaikymą. </w:t>
      </w:r>
    </w:p>
    <w:p>
      <w:pPr>
        <w:pStyle w:val="P68B1DB1Normal113"/>
        <w:widowControl w:val="false"/>
        <w:spacing w:lineRule="auto" w:line="240" w:before="135" w:after="0"/>
        <w:ind w:left="0" w:right="0" w:hanging="0"/>
        <w:jc w:val="center"/>
        <w:rPr/>
      </w:pPr>
      <w:r>
        <w:rPr/>
        <w:t xml:space="preserve">Nyderlandai nori atsisakyti gamtinių dujų, o Vokietijoje būtent skatinama jas naudoti. Kartais tai nereiškia nieko nesuprasti. </w:t>
      </w:r>
    </w:p>
    <w:p>
      <w:pPr>
        <w:pStyle w:val="P68B1DB1Normal111"/>
        <w:widowControl w:val="false"/>
        <w:spacing w:lineRule="auto" w:line="240" w:before="109" w:after="0"/>
        <w:ind w:left="0" w:right="0" w:hanging="0"/>
        <w:jc w:val="left"/>
        <w:rPr/>
      </w:pPr>
      <w:r>
        <w:rPr/>
        <w:t xml:space="preserve">2. Užtikrinti, kad šalys ir įmonės glaudžiau bendradarbiautų siekdamos rasti tikslinius sprendimus </w:t>
      </w:r>
    </w:p>
    <w:p>
      <w:pPr>
        <w:pStyle w:val="P68B1DB1Normal104"/>
        <w:widowControl w:val="false"/>
        <w:spacing w:lineRule="auto" w:line="240"/>
        <w:ind w:left="0" w:right="0" w:hanging="0"/>
        <w:jc w:val="left"/>
        <w:rPr/>
      </w:pPr>
      <w:r>
        <w:rPr/>
        <w:t xml:space="preserve">Kalbant apie klimato kaitą ir aplinką, olandai mano, kad šalys dažnai rodo pirštais. Dažnai daugiausia dėmesio skiriama skirtumams, pvz., tarp neturtingų ir turtingų ES šalių. Arba tarp labai išsivysčiusių arba silpnai pramoninių šalių. Mes norėtume pabandyti pasiekti susitarimus. Pavyzdžiui, panašios įmonės skirtingose šalyse galėtų keistis žiniomis ir kartu galvoti apie sprendimus. Jei tai būtų padaryta, skurdesnės šalys galėtų aktyviau dalyvauti įgyvendinant požiūrį į klimato kaitą. Jie galėtų dalyvauti svarstyme ir pasinaudoti bendrais sprendimais. </w:t>
      </w:r>
    </w:p>
    <w:p>
      <w:pPr>
        <w:pStyle w:val="P68B1DB1Normal113"/>
        <w:widowControl w:val="false"/>
        <w:spacing w:lineRule="auto" w:line="240" w:before="143" w:after="0"/>
        <w:ind w:left="0" w:right="0" w:hanging="0"/>
        <w:jc w:val="center"/>
        <w:rPr/>
      </w:pPr>
      <w:r>
        <w:rPr/>
        <w:t xml:space="preserve">Požiūris į klimato kaitą turėtų būti ne rasė, o bendradarbiavimas.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Sukurti sąžiningą ir praktiškai įgyvendinamą CO2 sistemą </w:t>
      </w:r>
    </w:p>
    <w:p>
      <w:pPr>
        <w:pStyle w:val="P68B1DB1Normal104"/>
        <w:widowControl w:val="false"/>
        <w:spacing w:lineRule="auto" w:line="240"/>
        <w:ind w:left="0" w:right="0" w:hanging="0"/>
        <w:jc w:val="left"/>
        <w:rPr/>
      </w:pPr>
      <w:r>
        <w:rPr/>
        <w:t xml:space="preserve">ES požiūris į klimato kaitą daug dėmesio skiria išmetamo CO2 kiekio mažinimui. Nyderlandai mano, kad šiuo tikslu reikalinga geresnė sistema, kuri leistų teisingai apmokestinti tiek gamintojus, tiek vartotojus. Olandai nesutaria, ar šalys, kuriose gyvena daugiausiai gyventojų, turi teisę išmesti daugiau CO2. Pavyzdžiui, kai kurios šalys turi labai teršiančią pramonę. Kita vertus, kitos šalys turi daug galimybių gaminti ekologišką energiją. Reikėtų atsižvelgti į šiuos skirtumus. Tai netaptų pernelyg sudėtinga, nes sistema turi būti suprantama visiems. </w:t>
      </w:r>
    </w:p>
    <w:p>
      <w:pPr>
        <w:pStyle w:val="P68B1DB1Normal129"/>
        <w:widowControl w:val="false"/>
        <w:spacing w:lineRule="auto" w:line="240" w:before="135" w:after="0"/>
        <w:ind w:left="0" w:right="0" w:hanging="0"/>
        <w:jc w:val="center"/>
        <w:rPr/>
      </w:pPr>
      <w:r>
        <w:rPr>
          <w:sz w:val="26"/>
        </w:rPr>
        <w:t>Pramoninės šalys eksportuoja daug. Ar dėl to jie turi mokėti</w:t>
      </w:r>
      <w:r>
        <w:rPr>
          <w:position w:val="0"/>
          <w:sz w:val="17"/>
        </w:rPr>
        <w:t>tik</w:t>
      </w:r>
      <w:r>
        <w:rPr>
          <w:sz w:val="26"/>
        </w:rPr>
        <w:t xml:space="preserve"> CO2 mokestį? Manau, kad vartotojas taip pat turėtų mokėti.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w:t>
      </w:r>
      <w:r>
        <w:rPr>
          <w:sz w:val="21"/>
        </w:rPr>
        <w:t xml:space="preserve">Nyderlandų žmonės daug girdi apie klimato kaitą ir daug apie tai skaito. Tačiau tai yra abstraktus ir sudėtingas dalykas daugeliui žmonių. Tai dažnai suvokiama kaip kažkas, kas kainuoja daug pinigų, o požiūris į klimato kaitą taip pat suteikia galimybių. Mąstome, pavyzdžiui, apie vietos maisto gamybos skatinimą ir naujų bei tvarių technologijų kūrimą. ES galėtų dažniau ir veiksmingiau atskleisti šį aspektą. Taip pat manome, kad valstybių narių vyriausybių vadovai galėtų patys rodyti geresnį pavyzdį. Mažiau keliaujančių, pavyzdžiui, tarp Briuselio ir Strasbūro, ir dažnesnių susitikimų internetu galėtų, pavyzdžiui, prisidėti prie tvarumo rėmimo. </w:t>
      </w:r>
    </w:p>
    <w:p>
      <w:pPr>
        <w:pStyle w:val="P68B1DB1Normal113"/>
        <w:widowControl w:val="false"/>
        <w:spacing w:lineRule="auto" w:line="240" w:before="61" w:after="0"/>
        <w:ind w:left="0" w:right="0" w:hanging="0"/>
        <w:jc w:val="center"/>
        <w:rPr/>
      </w:pPr>
      <w:r>
        <w:rPr/>
        <w:t xml:space="preserve">Tvarumas vis dar pernelyg dažnai suvokiamas kaip kaina. Tai turėtų būti vertinama kaip galimybė, o ne grėsmė. </w:t>
      </w:r>
    </w:p>
    <w:p>
      <w:pPr>
        <w:pStyle w:val="P68B1DB1Normal126"/>
        <w:widowControl w:val="false"/>
        <w:spacing w:lineRule="auto" w:line="240" w:before="129" w:after="0"/>
        <w:ind w:left="0" w:right="0" w:hanging="0"/>
        <w:jc w:val="left"/>
        <w:rPr>
          <w:rFonts w:ascii="Calibri" w:hAnsi="Calibri"/>
          <w:color w:val="0070C0"/>
          <w:sz w:val="24"/>
        </w:rPr>
      </w:pPr>
      <w:r>
        <w:rPr/>
        <w:t xml:space="preserve">Diskusijos internetu ir vietoje bei idėjos </w:t>
      </w:r>
    </w:p>
    <w:p>
      <w:pPr>
        <w:pStyle w:val="P68B1DB1Normal129"/>
        <w:widowControl w:val="false"/>
        <w:spacing w:lineRule="auto" w:line="240" w:before="78" w:after="0"/>
        <w:ind w:left="0" w:right="0" w:hanging="0"/>
        <w:jc w:val="left"/>
        <w:rPr/>
      </w:pPr>
      <w:r>
        <w:rPr>
          <w:sz w:val="21"/>
        </w:rPr>
        <w:t>Mes neturėtume manyti, kad CO2 emisija</w:t>
      </w:r>
      <w:r>
        <w:rPr>
          <w:position w:val="0"/>
          <w:sz w:val="14"/>
        </w:rPr>
        <w:t>yra</w:t>
      </w:r>
      <w:r>
        <w:rPr>
          <w:sz w:val="21"/>
        </w:rPr>
        <w:t xml:space="preserve"> teisinga, o kaip nepatogi pasekmė.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Man susidaro įspūdis, kad Europoje daugiau laiko praleidžiame kalbėdami apie klimato kaitą, o ne imdamiesi realių veiksmų šiai problemai spręsti.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Griežtesnės klimato taisyklės galiausiai gali būti naudingos ir mums. Kaip žemynas, užsiimantis prekyba, turime stengtis įžvelgti galimybes.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Mes negalime laukti kitų žemynų. Mes neturime laiko laukti.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IDĖJA:</w:t>
      </w:r>
      <w:r>
        <w:rPr>
          <w:i/>
        </w:rPr>
        <w:t xml:space="preserve"> Atlyginti šalims finansiškai, jei jos įrodo, kad jų gamta ir biologinė įvairovė didėja.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IDĖJA:</w:t>
      </w:r>
      <w:r>
        <w:rPr>
          <w:i/>
        </w:rPr>
        <w:t xml:space="preserve"> „Skatinant gamtą tausojantį turizmą skurdžiuose ES regionuose.“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profesinių mokyklų moksleiviai: Tolimos kelionės turi būti prieinamos visiems.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Disertacija, kad skrydžiai ES viduje turėtų tapti brangesni, buvo pateikta studentams Graafschap koledže Doetincheme. Kai kurie studentai sutiko, kad brangesni bilietai paskatins žmones ieškoti pigesnių alternatyvų. Be to, buvo pabrėžta, kad tada ES turėtų užtikrinti ekologiškesnes galimybes, pavyzdžiui, geresnes geležinkelių jungtis. Kiti dalyviai nurodė, kad jie nepritarė didesnėms skrydžių kainoms. „Turtingi žmonės yra tie, kurie šiandien keliauja labiausiai, ir jie galės lengvai už tai sumokėti“, – sakė vienas dalyvis. Aukštos kainos nesutrukdys jiems keliauti. O tolimos atostogos taps neįmanomos „įprastiems“ piliečiams. </w:t>
      </w:r>
    </w:p>
    <w:p>
      <w:pPr>
        <w:pStyle w:val="P68B1DB1Normal118"/>
        <w:widowControl w:val="false"/>
        <w:spacing w:lineRule="auto" w:line="240"/>
        <w:ind w:left="0" w:right="0" w:hanging="0"/>
        <w:jc w:val="left"/>
        <w:rPr/>
      </w:pPr>
      <w:r>
        <w:rPr/>
        <w:t xml:space="preserve">Aplinkai nekenkiantys ūkininkai: „ES galėtų prisidėti skleidžiant žinias apie tvarius sprendimus.“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yra ūkininkų grupių asociacija. Teminio dialogo metu daugiausia dėmesio skirta klimato kaitai ir aplinkai. </w:t>
      </w:r>
    </w:p>
    <w:p>
      <w:pPr>
        <w:pStyle w:val="Normal"/>
        <w:widowControl w:val="false"/>
        <w:spacing w:lineRule="auto" w:line="240"/>
        <w:ind w:left="0" w:right="0" w:hanging="0"/>
        <w:jc w:val="left"/>
        <w:rPr/>
      </w:pPr>
      <w:r>
        <w:rPr>
          <w:rFonts w:ascii="Calibri" w:hAnsi="Calibri"/>
          <w:color w:val="000000"/>
          <w:sz w:val="21"/>
        </w:rPr>
        <w:t>Dalyvių nuomone, ES teisės aktų ir reglamentų taikymas skirtingose šalyse gali būti patobulintas. Azoto dokumentų rinkinys buvo nurodytas kaip pavyzdys. „ES teisės aktuose tik nustatyta, kad natūrali vietovė negali blogėti“. Tačiau Pietų Europoje ši sąvoka aiškinama kitaip nei Nyderlanduose." Dauguma tų, kurie šiuo metu sutinka, kad Europa turi vaidinti pagrindinį vaidmenį kovojant su klimato kaita. Ir mes neturime būti patenkinti kalba, turime pasiekti rezultatų. Ypač per žinių mainus, ūkininkai tiki. Žemės ūkio sektoriuje mes ieškome sprendimų, kaip</w:t>
      </w:r>
      <w:r>
        <w:rPr>
          <w:rFonts w:ascii="Calibri" w:hAnsi="Calibri"/>
          <w:color w:val="000000"/>
          <w:sz w:val="21"/>
        </w:rPr>
        <w:commentReference w:id="27"/>
      </w:r>
      <w:r>
        <w:rPr>
          <w:rFonts w:ascii="Calibri" w:hAnsi="Calibri"/>
          <w:color w:val="000000"/>
          <w:sz w:val="21"/>
        </w:rPr>
        <w:t xml:space="preserve"> pasiekti švaresnį žemės ūkį. ES turi padėti greitai skleisti žinias šioje srityje.“ </w:t>
      </w:r>
      <w:r>
        <w:br w:type="page"/>
      </w:r>
    </w:p>
    <w:p>
      <w:pPr>
        <w:pStyle w:val="P68B1DB1Normal127"/>
        <w:widowControl w:val="false"/>
        <w:spacing w:lineRule="auto" w:line="240"/>
        <w:ind w:left="0" w:right="0" w:hanging="0"/>
        <w:jc w:val="left"/>
        <w:rPr/>
      </w:pPr>
      <w:r>
        <w:rPr>
          <w:b/>
          <w:color w:val="0070C0"/>
          <w:sz w:val="32"/>
        </w:rPr>
        <w:t>Migracija</w:t>
      </w:r>
      <w:r>
        <w:rPr>
          <w:color w:val="365F91"/>
          <w:sz w:val="28"/>
        </w:rPr>
        <w:t xml:space="preserve"> </w:t>
      </w:r>
      <w:r>
        <w:rPr>
          <w:color w:val="0070C0"/>
          <w:sz w:val="21"/>
        </w:rPr>
        <w:t xml:space="preserve">(migracija ir pabėgėliai)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Sienos tarp ES valstybių narių yra atviros. Todėl ES bendradarbiaujama, pavyzdžiui, išorės sienų valdymo ir kovos su neteisėtu migrantų gabenimu srityje. Taip pat diskutuojama dėl teisingo pabėgėlių paskirstymo tarp skirtingų ES valstybių narių. Kokia Nyderlandų nuomonė šiuo klausimu? </w:t>
      </w:r>
    </w:p>
    <w:p>
      <w:pPr>
        <w:pStyle w:val="P68B1DB1Normal126"/>
        <w:widowControl w:val="false"/>
        <w:spacing w:lineRule="auto" w:line="240" w:before="93" w:after="0"/>
        <w:ind w:left="0" w:right="0" w:hanging="0"/>
        <w:jc w:val="left"/>
        <w:rPr>
          <w:rFonts w:ascii="Calibri" w:hAnsi="Calibri"/>
          <w:color w:val="0070C0"/>
          <w:sz w:val="24"/>
        </w:rPr>
      </w:pPr>
      <w:r>
        <w:rPr/>
        <w:t xml:space="preserve">Rekomendacijos. Mūsų vizija dėl migracijos ir pabėgėlių </w:t>
      </w:r>
    </w:p>
    <w:p>
      <w:pPr>
        <w:pStyle w:val="P68B1DB1Normal120"/>
        <w:widowControl w:val="false"/>
        <w:spacing w:lineRule="auto" w:line="240" w:before="90" w:after="0"/>
        <w:ind w:left="0" w:right="0" w:hanging="0"/>
        <w:jc w:val="left"/>
        <w:rPr/>
      </w:pPr>
      <w:r>
        <w:rPr/>
        <w:t xml:space="preserve">65 proc. olandų mano, kad migracija ir pabėgėliai yra svarbus klausimas ir kad ES turi imtis veiksmų šioje srityje.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Venkite, kad diskusijos pabėgėlių klausimu būtų per mažai niuansuotos </w:t>
      </w:r>
    </w:p>
    <w:p>
      <w:pPr>
        <w:pStyle w:val="P68B1DB1Normal104"/>
        <w:widowControl w:val="false"/>
        <w:spacing w:lineRule="auto" w:line="240"/>
        <w:ind w:left="0" w:right="0" w:hanging="0"/>
        <w:jc w:val="left"/>
        <w:rPr/>
      </w:pPr>
      <w:r>
        <w:rPr/>
        <w:t xml:space="preserve">70 proc. olandų mano, kad reikia geriau apsaugoti Europos išorės sienas. Iš jų 72 proc. mano, kad tai reiškia, kad reikia grąžinti daugiau pabėgėlių į nesaugias šalis. Olandai mano, kad daugiau dėmesio reikėtų skirti priežastims, dėl kurių žmonės bėga iš nesaugios šalies. Šios priežastys kartais yra susijusios su klimato kaita, kartais su karais. Šie kontekstai dažnai minimi tik ribotai diskutuojant pabėgėlių klausimu. Taip pat retai atsižvelgiama į pridėtinę vertę, kurią šie pabėgėliai teikia šaliai. Galiausiai manome, kad ES turi aiškiau atskirti žmones iš nesaugių regionų, kurie atvyksta prie sienų, ir ekonominius pabėgėlius. Apibendrinant matome, kad diskusijose dėl migracijos ir pabėgėlių paprastai trūksta konteksto ir niuansų. Europos politikai galėtų ištaisyti šią padėtį rodydami pavyzdį. </w:t>
      </w:r>
    </w:p>
    <w:p>
      <w:pPr>
        <w:pStyle w:val="P68B1DB1Normal113"/>
        <w:widowControl w:val="false"/>
        <w:spacing w:lineRule="auto" w:line="240" w:before="173" w:after="0"/>
        <w:ind w:left="0" w:right="0" w:hanging="0"/>
        <w:jc w:val="center"/>
        <w:rPr/>
      </w:pPr>
      <w:r>
        <w:rPr/>
        <w:t xml:space="preserve">Pirmiausia turime laikyti pabėgėlius savo bendrapiliečiais. Nes beveik niekas nepaliks nelaimėje atsidūrusio žmogaus.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Apibrėžti, kas yra teisingas ir praktiškas pabėgėlių paskirstymas </w:t>
      </w:r>
    </w:p>
    <w:p>
      <w:pPr>
        <w:pStyle w:val="P68B1DB1Normal104"/>
        <w:widowControl w:val="false"/>
        <w:spacing w:lineRule="auto" w:line="240"/>
        <w:ind w:left="0" w:right="0" w:hanging="0"/>
        <w:jc w:val="both"/>
        <w:rPr/>
      </w:pPr>
      <w:r>
        <w:rPr/>
        <w:t xml:space="preserve">Europos imigracijos tarnyba turėtų užtikrinti, kad pabėgėliai būtų teisingai paskirstyti tarp ES valstybių narių. Nyderlandai taip pat mano, kad turėtų būti nustatyti aiškūs kriterijai, pagal kuriuos būtų apibrėžiama, kas yra teisingas paskirstymas. Gera socialinė sistema gali, pavyzdžiui, padaryti šalį patrauklią pabėgėliams, tačiau ir pabėgėliams, ir atitinkamai šaliai svarbūs ir kiti veiksniai. Nyderlanduose susiduriame su būsto trūkumu, o kai kurioms šalims ar sektoriams tiesiog reikia daugiau darbuotojų migrantų. Manome, kad svarbu, jog ES į tai atsižvelgtų skirdama pabėgėlius. Aiškiais mechanizmais ne tik užtikrinamas skaidrumas, bet ir mažiau ginčų, o tai galiausiai naudinga visiems. </w:t>
      </w:r>
    </w:p>
    <w:p>
      <w:pPr>
        <w:pStyle w:val="P68B1DB1Normal113"/>
        <w:widowControl w:val="false"/>
        <w:spacing w:lineRule="auto" w:line="240" w:before="173" w:after="0"/>
        <w:ind w:left="0" w:right="0" w:hanging="0"/>
        <w:jc w:val="center"/>
        <w:rPr/>
      </w:pPr>
      <w:r>
        <w:rPr/>
        <w:t xml:space="preserve">Pabėgėliai taip pat turi sugebėti išreikšti savo talentus paskirties šalyje.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Remiantis žiniomis ir patirtimi, įgyta siekiant padėti pabėgėlių kilmės regionams </w:t>
      </w:r>
    </w:p>
    <w:p>
      <w:pPr>
        <w:pStyle w:val="P68B1DB1Normal104"/>
        <w:widowControl w:val="false"/>
        <w:spacing w:lineRule="auto" w:line="240" w:before="86" w:after="0"/>
        <w:ind w:left="0" w:right="0" w:hanging="0"/>
        <w:jc w:val="left"/>
        <w:rPr/>
      </w:pPr>
      <w:r>
        <w:rPr/>
        <w:t xml:space="preserve">67 proc. olandų mano, kad ES turi toliau padėti nesaugiems regionams, kad sustabdytų pabėgėlių srautus. Mes suprantame, kad pabėgėliai nepalieka savo šalies paprastu pasirinkimu. Taigi turime pažvelgti į priežastis, pvz., klimato kaitą ar konfliktus, dėl kurių regionai tampa nesaugūs arba neįgyvendinami. ES gali padėti pabėgėlių regionams ne tik teikdama finansinę paramą, bet ir naudodamasi žiniomis. Pavyzdžiui, Nyderlanduose turime stiprių įgūdžių žemės ūkio srityje. Šiuolaikiniais ūkininkavimo metodais galime padėti kitoms šalims geriau įveikti sausras ir druskėjimą. Prieglaudą Europoje paėmę asmenys gali dalyvauti mokymuose vienoje iš Europos šalių ir patys padėti savo kilmės šaliai.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Diskusijos internetu ir vietoje bei idėjos </w:t>
      </w:r>
    </w:p>
    <w:p>
      <w:pPr>
        <w:pStyle w:val="P68B1DB1Normal118"/>
        <w:widowControl w:val="false"/>
        <w:spacing w:lineRule="auto" w:line="240" w:before="85" w:after="0"/>
        <w:ind w:left="0" w:right="0" w:hanging="0"/>
        <w:jc w:val="left"/>
        <w:rPr/>
      </w:pPr>
      <w:r>
        <w:rPr/>
        <w:t>„</w:t>
      </w:r>
      <w:r>
        <w:rPr/>
        <w:t xml:space="preserve">ES turi įdiegti greitesnes prieglobsčio procedūras. Taigi bus daugiau vietos žmonėms, kuriems to tikrai reikia. </w:t>
      </w:r>
    </w:p>
    <w:p>
      <w:pPr>
        <w:pStyle w:val="P68B1DB1Normal118"/>
        <w:widowControl w:val="false"/>
        <w:spacing w:lineRule="auto" w:line="240"/>
        <w:ind w:left="0" w:right="0" w:hanging="0"/>
        <w:jc w:val="left"/>
        <w:rPr/>
      </w:pPr>
      <w:r>
        <w:rPr/>
        <w:t xml:space="preserve">Pažįstu daug aplink mane esančių jaunų žmonių, kurie nori nusipirkti namą, bet neranda nieko įperkamo, o pabėgėliai mato save siūlantys būstą. Man sunku priimti. </w:t>
      </w:r>
    </w:p>
    <w:p>
      <w:pPr>
        <w:pStyle w:val="P68B1DB1Normal118"/>
        <w:widowControl w:val="false"/>
        <w:spacing w:lineRule="auto" w:line="240"/>
        <w:ind w:left="0" w:right="0" w:hanging="0"/>
        <w:jc w:val="left"/>
        <w:rPr/>
      </w:pPr>
      <w:r>
        <w:rPr/>
        <w:t xml:space="preserve">Klimato kaita vis tiek lems gyventojų perkėlimą. Mes negalime sustabdyti šių srautų, bet mes tikriausiai galime juos geriau reguliuoti. </w:t>
      </w:r>
    </w:p>
    <w:p>
      <w:pPr>
        <w:pStyle w:val="P68B1DB1Normal118"/>
        <w:widowControl w:val="false"/>
        <w:spacing w:lineRule="auto" w:line="240"/>
        <w:ind w:left="0" w:right="0" w:hanging="0"/>
        <w:jc w:val="left"/>
        <w:rPr/>
      </w:pPr>
      <w:r>
        <w:rPr/>
        <w:t xml:space="preserve">Aš gyvenu Betuwe. Kriaušių ir obuolių sezono metu mums tiesiog reikia daug migrantų darbuotojų. </w:t>
      </w:r>
    </w:p>
    <w:p>
      <w:pPr>
        <w:pStyle w:val="P68B1DB1Normal118"/>
        <w:widowControl w:val="false"/>
        <w:spacing w:lineRule="auto" w:line="240"/>
        <w:ind w:left="0" w:right="0" w:hanging="0"/>
        <w:jc w:val="left"/>
        <w:rPr/>
      </w:pPr>
      <w:r>
        <w:rPr/>
        <w:t xml:space="preserve">Nesaugūs regionai nėra saugūs dėl nieko, valdžios institucijos dažnai yra nepatikimos. Kaip sužinoti, kur eina mūsų pagalba ir pinigai? </w:t>
      </w:r>
    </w:p>
    <w:p>
      <w:pPr>
        <w:pStyle w:val="P68B1DB1Normal104"/>
        <w:widowControl w:val="false"/>
        <w:spacing w:lineRule="auto" w:line="240"/>
        <w:ind w:left="0" w:right="0" w:hanging="0"/>
        <w:jc w:val="left"/>
        <w:rPr/>
      </w:pPr>
      <w:r>
        <w:rPr/>
        <w:t xml:space="preserve">IDĖJA: </w:t>
      </w:r>
      <w:r>
        <w:rPr>
          <w:i/>
        </w:rPr>
        <w:t>Taip pat apsvarstyti vietos strategijas, pavyzdžiui, piliečių dalyvavimą priimant pabėgėlius vietoje ir vietos integracijos iniciatyvų finansavimą.</w:t>
      </w:r>
    </w:p>
    <w:p>
      <w:pPr>
        <w:pStyle w:val="P68B1DB1Normal104"/>
        <w:widowControl w:val="false"/>
        <w:spacing w:lineRule="auto" w:line="240"/>
        <w:ind w:left="0" w:right="0" w:hanging="0"/>
        <w:jc w:val="left"/>
        <w:rPr/>
      </w:pPr>
      <w:r>
        <w:rPr/>
        <w:t>IDĖJA:</w:t>
      </w:r>
      <w:r>
        <w:rPr>
          <w:i/>
        </w:rPr>
        <w:t xml:space="preserve"> Įkurti mini namus miestuose, į kuriuos atvykę pabėgėliai galėtų gyventi. Tai palengvintų spaudimą būsto rinkai ir padidintų visuomenės paramą šių žmonių priėmimui. </w:t>
      </w:r>
    </w:p>
    <w:p>
      <w:pPr>
        <w:pStyle w:val="P68B1DB1Normal118"/>
        <w:widowControl w:val="false"/>
        <w:spacing w:lineRule="auto" w:line="240"/>
        <w:ind w:left="0" w:right="0" w:hanging="0"/>
        <w:jc w:val="left"/>
        <w:rPr/>
      </w:pPr>
      <w:r>
        <w:rPr/>
        <w:t xml:space="preserve">Savanoriai, kurie patys buvo pabėgėliai: Europoje žmonės dažnai būna atokiau vienas nuo kito.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yra savanorių organizacija, užtikrinanti, kad naujieji Utrechto alofonų gyventojai galėtų dalyvauti visuomenės gyvenime. Teminiame dialoge su šia organizacija daugiausia dėmesio skirta ne tik migracijai, bet ir visų pirma integracijai. Keli dalyviai patys atvyko į Nyderlandus kaip pabėgėliai, įskaitant vieną iš Sirijos. Po septynerių metų aš vis dar nesijaučiu olandiškas. Aš taip pat neradau darbo, nors turiu magistro laipsnį. Pažymiu, kad Europos šalys visų pirma rūpinasi savimi ir nėra labai atviros kitoms šalims ir kultūroms." Kitas dalyvis pažymėjo, kad europiečiai dažnai lieka toli vienas nuo kito. Dauguma žmonių yra vieni; visi lieka savo kampe. Savo ruožtu radau, kad reikia kalbėtis vienas su kitu ir kad galima mokytis vieni iš kitų.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Jaunimas iš Nacionalinės jaunimo tarybos: Jūs turėtumėte leisti žmonėms tik tuo atveju, jei galite jais rūpintis. </w:t>
      </w:r>
    </w:p>
    <w:p>
      <w:pPr>
        <w:pStyle w:val="P68B1DB1Normal104"/>
        <w:widowControl w:val="false"/>
        <w:spacing w:lineRule="auto" w:line="240"/>
        <w:ind w:left="0" w:right="0" w:hanging="0"/>
        <w:jc w:val="both"/>
        <w:rPr/>
      </w:pPr>
      <w:r>
        <w:rPr/>
        <w:t xml:space="preserve">Utrechte įvairių Nacionalinės jaunimo tarybos (CNJ) darbo grupių nariai surengė diskusijas. Dalyviai (16–23 metų) mano, kad paskirstant pabėgėlius Europoje reikia atsižvelgti į keletą aspektų, pavyzdžiui, gyventojų skaičių, šalies dydį, gerovę ir prieglobsčio prašytojų centrų skaičių. „Pabėgėliai turėtų būti įleidžiami į šalį tik tuo atveju, jei jais gali būti pasirūpinta“, – sakė vienas iš jų. </w:t>
      </w:r>
    </w:p>
    <w:p>
      <w:pPr>
        <w:pStyle w:val="Normal"/>
        <w:widowControl w:val="false"/>
        <w:spacing w:lineRule="auto" w:line="240"/>
        <w:ind w:left="0" w:right="0" w:hanging="0"/>
        <w:jc w:val="left"/>
        <w:rPr/>
      </w:pPr>
      <w:r>
        <w:rPr>
          <w:rFonts w:ascii="Calibri" w:hAnsi="Calibri"/>
          <w:color w:val="000000"/>
          <w:sz w:val="21"/>
        </w:rPr>
        <w:t xml:space="preserve">Jaunimas taip pat mano, kad turi būti pasekmių, kai šalys nevykdo savo įsipareigojimų priimti pabėgėlius. Pavyzdžiui, jie turi būti nubausti. „Ir pabėgėliams taip pat reikia pasakyti, kur jie ketina eiti“, – sakė kažkas. Pavyzdžiui, jei jie jau turi šeimą kažkur, mes negalime siųsti jų kur nors kitur.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Sveikata </w:t>
      </w:r>
    </w:p>
    <w:p>
      <w:pPr>
        <w:pStyle w:val="P68B1DB1Normal130"/>
        <w:widowControl w:val="false"/>
        <w:spacing w:lineRule="auto" w:line="240"/>
        <w:ind w:left="0" w:right="0" w:hanging="0"/>
        <w:jc w:val="left"/>
        <w:rPr>
          <w:rFonts w:ascii="Calibri" w:hAnsi="Calibri"/>
          <w:color w:val="0070C0"/>
          <w:sz w:val="21"/>
        </w:rPr>
      </w:pPr>
      <w:r>
        <w:rPr/>
        <w:t xml:space="preserve">(Sveikatos priežiūra) </w:t>
      </w:r>
    </w:p>
    <w:p>
      <w:pPr>
        <w:pStyle w:val="P68B1DB1Normal104"/>
        <w:widowControl w:val="false"/>
        <w:spacing w:lineRule="auto" w:line="240"/>
        <w:ind w:left="0" w:right="0" w:hanging="0"/>
        <w:jc w:val="left"/>
        <w:rPr/>
      </w:pPr>
      <w:r>
        <w:rPr/>
        <w:t xml:space="preserve">Nors už sveikatos priežiūrą visų pirma atsako atskiros šalys, ji gali būti remiama ir stiprinama ES politikos priemonėmis, pavyzdžiui, reaguojant į COVID-19 pandemiją ar kitas (ateisias) sveikatos krizes, arba vykdant partnerystės tyrimus sunkių ligų srityje. Kokia Nyderlandų nuomonė šiuo klausimu? </w:t>
      </w:r>
    </w:p>
    <w:p>
      <w:pPr>
        <w:pStyle w:val="P68B1DB1Normal126"/>
        <w:widowControl w:val="false"/>
        <w:spacing w:lineRule="auto" w:line="240" w:before="14" w:after="0"/>
        <w:ind w:left="0" w:right="0" w:hanging="0"/>
        <w:jc w:val="left"/>
        <w:rPr>
          <w:rFonts w:ascii="Calibri" w:hAnsi="Calibri"/>
          <w:color w:val="0070C0"/>
          <w:sz w:val="24"/>
        </w:rPr>
      </w:pPr>
      <w:r>
        <w:rPr/>
        <w:t xml:space="preserve">Rekomendacijos – Mūsų sveikatos priežiūros vizija </w:t>
      </w:r>
    </w:p>
    <w:p>
      <w:pPr>
        <w:pStyle w:val="P68B1DB1Normal120"/>
        <w:widowControl w:val="false"/>
        <w:spacing w:lineRule="auto" w:line="240"/>
        <w:ind w:left="0" w:right="0" w:hanging="0"/>
        <w:jc w:val="left"/>
        <w:rPr/>
      </w:pPr>
      <w:r>
        <w:rPr/>
        <w:t xml:space="preserve">64 proc. olandų mano, kad sveikatos priežiūra yra svarbus klausimas ir kad ES turi imtis veiksmų šioje srityje. </w:t>
      </w:r>
    </w:p>
    <w:p>
      <w:pPr>
        <w:pStyle w:val="P68B1DB1Normal111"/>
        <w:widowControl w:val="false"/>
        <w:spacing w:lineRule="auto" w:line="240" w:before="2" w:after="0"/>
        <w:ind w:left="0" w:right="0" w:hanging="0"/>
        <w:jc w:val="left"/>
        <w:rPr>
          <w:rFonts w:ascii="Calibri" w:hAnsi="Calibri"/>
          <w:b/>
          <w:b/>
          <w:color w:val="000000"/>
          <w:sz w:val="22"/>
        </w:rPr>
      </w:pPr>
      <w:r>
        <w:rPr/>
        <w:t xml:space="preserve">1. Geriau kontroliuoti pandemijos valdymą </w:t>
      </w:r>
    </w:p>
    <w:p>
      <w:pPr>
        <w:pStyle w:val="P68B1DB1Normal104"/>
        <w:widowControl w:val="false"/>
        <w:spacing w:lineRule="auto" w:line="240"/>
        <w:ind w:left="0" w:right="0" w:hanging="0"/>
        <w:jc w:val="left"/>
        <w:rPr/>
      </w:pPr>
      <w:r>
        <w:rPr/>
        <w:t xml:space="preserve">83 proc. olandų mano, kad ES šalys turi glaudžiau bendradarbiauti, kad užkrečiama liga neišplistų visame pasaulyje. Virusas nežino sienų. Tai matome dabartinės pandemijos metu. ES politika kartais painiojama. Tai nėra naudinga taisyklių laikymuisi. Manome, kad kovos su viruso plitimu Europoje taisyklės turi būti geriau koordinuojamos ir nebūtinai visur vienodos. Vietos pasirinkimui turi būti vietos. Ne tik dėl to, kad užteršimo skaičius gali skirtis, bet ir dėl to, kad Europoje yra skirtingos kultūros. Kai kurios priemonės kai kuriose šalyse veikia geriau nei kitose. </w:t>
      </w:r>
    </w:p>
    <w:p>
      <w:pPr>
        <w:pStyle w:val="P68B1DB1Normal113"/>
        <w:widowControl w:val="false"/>
        <w:spacing w:lineRule="auto" w:line="240" w:before="164" w:after="0"/>
        <w:ind w:left="0" w:right="0" w:hanging="0"/>
        <w:jc w:val="center"/>
        <w:rPr/>
      </w:pPr>
      <w:r>
        <w:rPr/>
        <w:t xml:space="preserve">Gyvenu Nyderlanduose, pasienyje su Vokietija. Įvairios priemonės, kurių ėmėsi abi šalys kovodamos su koronavirusu, verčia mane išprotėti.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Užtikrinti visiems prieinamų ir patikimų vaistų prieinamumą</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proc. olandų mano, kad ES turi užtikrinti, kad vaistų kūrimui, gamybai ir pristatymui mums reikia mažiau trečiųjų šalių. Bet jei tai reiškia, kad reikia ilgiau laukti vaistų, nuomonės yra padalintos. Nyderlandai mano, kad vaistų gamyba ir platinimas yra sudėtinga problema. Viena vertus, Nyderlanduose smarkiai didėja sveikatos priežiūros išlaidos, todėl manome, kad svarbu išlaikyti jas žemiausiu įmanomu lygiu. Kita vertus, mes norime turėti galimybę pasitikėti narkotikais, net jei jie ateina iš toli. Jie turi būti ne tik kokybiški, bet ir pagaminti tvariai ir etiškai atsakingai. Apskritai manome, kad svarbūs vaistai turi būti prieinami visiems, įskaitant skurdesnes šalis. </w:t>
      </w:r>
    </w:p>
    <w:p>
      <w:pPr>
        <w:pStyle w:val="P68B1DB1Normal113"/>
        <w:widowControl w:val="false"/>
        <w:spacing w:lineRule="auto" w:line="240" w:before="167" w:after="0"/>
        <w:ind w:left="0" w:right="0" w:hanging="0"/>
        <w:jc w:val="both"/>
        <w:rPr/>
      </w:pPr>
      <w:r>
        <w:rPr/>
        <w:t>Sveikatos priežiūros išlaidos jau yra neįperkamos. Taigi, mes taip pat turime pabandyti pirkti naujus narkotikus už mažiausią įmanomą kainą.</w:t>
      </w:r>
      <w:r>
        <w:rPr>
          <w:b/>
        </w:rPr>
        <w:t xml:space="preserve"> </w:t>
      </w:r>
    </w:p>
    <w:p>
      <w:pPr>
        <w:pStyle w:val="P68B1DB1Normal111"/>
        <w:widowControl w:val="false"/>
        <w:spacing w:lineRule="auto" w:line="240" w:before="131" w:after="0"/>
        <w:ind w:left="0" w:right="0" w:hanging="0"/>
        <w:jc w:val="left"/>
        <w:rPr/>
      </w:pPr>
      <w:r>
        <w:rPr/>
        <w:t xml:space="preserve">3. Šalys turi sutelkti dėmesį į savo sveikatos sistemų tobulinimą ir siekti, kad jos būtų teisingesnės. </w:t>
      </w:r>
    </w:p>
    <w:p>
      <w:pPr>
        <w:pStyle w:val="P68B1DB1Normal104"/>
        <w:widowControl w:val="false"/>
        <w:spacing w:lineRule="auto" w:line="240" w:before="85" w:after="0"/>
        <w:ind w:left="0" w:right="0" w:hanging="0"/>
        <w:jc w:val="left"/>
        <w:rPr/>
      </w:pPr>
      <w:r>
        <w:rPr/>
        <w:t xml:space="preserve">Nyderlandai daug rūpinasi sveikatos priežiūra, ir šis susirūpinimas apima ne tik COVID-19 pandemijos poveikį. Mes žinome, pavyzdžiui, struktūrinių pajėgumų problemų ligoninėse. Kai kurie olandai nepasitiki rinkos jėgų poveikiu sveikatos priežiūros sektoriuje. Mes suprantame, kad farmacijos įmonės turi susigrąžinti savo investicijas ir kad sveikatos draudimo fondai nori pigios sveikatos priežiūros, tačiau didelės įmonės neturėtų piktnaudžiauti savo galia. Šiuo klausimu ES turėtų priimti taisykles. Mes taip pat manome, kad sveikatos priežiūra visų pirma yra nacionalinė problema. Šalys geriau žino, kokios problemos ir prioritetai yra vietos lygmeniu. Tačiau mums svarbu, kad Europos šalys galėtų mokytis viena iš kitos, kad pagerintų sveikatos priežiūrą.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Diskusijos internetu ir vietoje bei idėjos </w:t>
      </w:r>
    </w:p>
    <w:p>
      <w:pPr>
        <w:pStyle w:val="P68B1DB1Normal118"/>
        <w:widowControl w:val="false"/>
        <w:spacing w:lineRule="auto" w:line="240" w:before="95" w:after="0"/>
        <w:ind w:left="0" w:right="0" w:hanging="0"/>
        <w:jc w:val="left"/>
        <w:rPr/>
      </w:pPr>
      <w:r>
        <w:rPr/>
        <w:t xml:space="preserve">Kalbant apie vaistų prieinamumą Europoje, taip pat galėtume būti šiek tiek ekonomiškesni. Šiandien mes per daug to išmetame.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Labai gerai, kad Vokietija priėmė COVID-19 sergančius pacientus iš Nyderlandų. Norėčiau, kad Europoje būtų daugiau solidarumo.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Kad ir kur gyventumėte ES ir ar esate turtingas, ar vargšas, kiekvienas turi teisę į kokybišką priežiūrą.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Pirkdami narkotikus, turite atsižvelgti ne tik į išlaidas, bet ir į etiką. Tai reiškia, kad, pavyzdžiui, vaikų darbas neturėtų būti naudojamas.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IDĖJA:</w:t>
      </w:r>
      <w:r>
        <w:rPr>
          <w:i/>
        </w:rPr>
        <w:t xml:space="preserve"> „Gerinti europiečių sveikatą užtikrinant, kad jie patirtų mažiau streso. Pavyzdžiui, sutrumpinti darbo savaitės trukmę.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IDĖJA:</w:t>
      </w:r>
      <w:r>
        <w:rPr>
          <w:i/>
        </w:rPr>
        <w:t xml:space="preserve"> Sudaryti sąlygas jaunimui priimti sveikesnius sprendimus per rimtus papildytos realybės žaidimus.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Maroko kilmės Utrechto gyventojai: Sveikata gali turėti tam tikrą kainą.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Marokkaans Dialoog Overvecht fondas (MDO) (Marokkaans Dialoog Overvecht) yra skirtas Maroko bendruomenės dalyvavimui Utrechto Overvecht rajone. Šiuo tikslu ji skatina dialogą kaimyninėse šalyse ir taip kovoja su nelygybe. Teminio dialogo pagal Europos viziją dalyviai mano, kad Europos bendradarbiavimas yra labai naudingas. Tačiau kai kurie mano, kad Nyderlandai kartais yra pernelyg priklausomi nuo kitų šalių. Šiuo atžvilgiu kaip pavyzdys buvo nurodytas COVID-19 krizės valdymas. Dalyvių teigimu, daugelis konsultacijų Europoje lėmė tai, kad Nyderlandai skiepijimą nuo COVID-19 pradėjo per vėlai. „Galbūt tai kainuos daugiau, jei Nyderlandai norės nuspręsti daugiau savarankiškai“, – sakė kažkas. Bet tai apie sveikatą, tai gali kainuoti šiek tiek daugiau.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Iš Helmondo mokinių: Geriau protingai mokytis vieni iš kitų, nei laikytis to paties požiūrio.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Dr. Knippenbergo koledže Helmonde maždaug 16 metų studentai aptarė COVID-19 pandemijos valdymą Europoje. Kai kurie mano, kad ES valstybės narės turėjo kartu apibrėžti skiepijimo programą. Dauguma dalyvių manė, kad pačios šalys turėjo geresnį supratimą apie tai, ko reikia ir kas veikia. Todėl, pasak jų, jie gali geriau nuspręsti, kas tinka gyventojams. Jie geriau žino, pavyzdžiui, kuriems sektoriams pirmiausia reikia skiepytis ir kurie gali laukti. „Paprastai labai gerai, kad šalys konsultuotųsi viena su kita“, – sakė vienas iš studentų. Jei daugelis šalių turi savo požiūrį, jos gali stebėti, ką daro kitos ir mokytis viena iš kitos.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ES vaidmuo pasaulyje </w:t>
      </w:r>
    </w:p>
    <w:p>
      <w:pPr>
        <w:pStyle w:val="P68B1DB1Normal104"/>
        <w:widowControl w:val="false"/>
        <w:spacing w:lineRule="auto" w:line="240" w:before="126" w:after="0"/>
        <w:ind w:left="0" w:right="0" w:hanging="0"/>
        <w:jc w:val="left"/>
        <w:rPr/>
      </w:pPr>
      <w:r>
        <w:rPr/>
        <w:t xml:space="preserve">Pasaulis susiduria su dideliais iššūkiais. ES yra įsitikinusi, kad tokie klausimai kaip klimato kaita ir pandemijos gali būti sprendžiami tik bendradarbiaujant pasauliniu mastu. Šiuo klausimu ES nori, kad jos balsas būtų išgirstas pasaulio arenoje, pavyzdžiui, kartu su JAV ir Kinija. Kokia Nyderlandų nuomonė šiuo klausimu? </w:t>
      </w:r>
    </w:p>
    <w:p>
      <w:pPr>
        <w:pStyle w:val="P68B1DB1Normal126"/>
        <w:widowControl w:val="false"/>
        <w:spacing w:lineRule="auto" w:line="240" w:before="125" w:after="0"/>
        <w:ind w:left="0" w:right="0" w:hanging="0"/>
        <w:jc w:val="left"/>
        <w:rPr>
          <w:rFonts w:ascii="Calibri" w:hAnsi="Calibri"/>
          <w:color w:val="0070C0"/>
          <w:sz w:val="24"/>
        </w:rPr>
      </w:pPr>
      <w:r>
        <w:rPr/>
        <w:t xml:space="preserve">Rekomendacijos. Mūsų vizija apie ES vaidmenį pasaulyje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proc. olandų mano, kad ES vaidmuo pasaulyje yra svarbi tema ir kad ES turi imtis veiksmų šioje srityje.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ES galios išnaudojimas daugiausia pagrindinių tarptautinių temų kontekste </w:t>
      </w:r>
    </w:p>
    <w:p>
      <w:pPr>
        <w:pStyle w:val="P68B1DB1Normal104"/>
        <w:widowControl w:val="false"/>
        <w:spacing w:lineRule="auto" w:line="240"/>
        <w:ind w:left="0" w:right="0" w:hanging="0"/>
        <w:jc w:val="left"/>
        <w:rPr/>
      </w:pPr>
      <w:r>
        <w:rPr/>
        <w:t xml:space="preserve">Tai, kad jos sukūrimas padėjo europiečiams daugiau kaip 75 metus gyventi taikiai, daugelio olandų nuomone, yra pagrindinė ES pridėtinė vertė. Nyderlandai taip pat mano, kad ES galia priklauso nuo bendro pagrindinių tarptautinių iššūkių valdymo. Mąstome, pavyzdžiui, apie klimato kaitą, COVID-19 pandemiją ir pabėgėlių krizę. ES valstybės narės taip pat gali daryti didesnį poveikį trečiosioms šalims kolektyviai sudarydamos ES tarptautinius susitarimus. Mes tikime, kad mūsų šalis yra per maža, kad vien tik šiose srityse. Tačiau olandai nori, kad Nyderlandai ir toliau rinktųsi pagal savo kultūrą ir interesus. Todėl bendradarbiavimas Europoje visų pirma turi užtikrinti veiksmingumą ir politinę galią. </w:t>
      </w:r>
    </w:p>
    <w:p>
      <w:pPr>
        <w:pStyle w:val="P68B1DB1Normal113"/>
        <w:widowControl w:val="false"/>
        <w:spacing w:lineRule="auto" w:line="240" w:before="200" w:after="0"/>
        <w:ind w:left="0" w:right="0" w:hanging="0"/>
        <w:jc w:val="center"/>
        <w:rPr/>
      </w:pPr>
      <w:r>
        <w:rPr/>
        <w:t xml:space="preserve">Lengviau sudaryti bendradarbiavimo susitarimus ES nei kaip izoliuota šalis.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Europoje ir už jos ribų pasirinkite bendradarbiavimą, o ne kovą </w:t>
      </w:r>
    </w:p>
    <w:p>
      <w:pPr>
        <w:pStyle w:val="P68B1DB1Normal104"/>
        <w:widowControl w:val="false"/>
        <w:spacing w:lineRule="auto" w:line="240" w:before="1" w:after="0"/>
        <w:ind w:left="0" w:right="0" w:hanging="0"/>
        <w:jc w:val="left"/>
        <w:rPr/>
      </w:pPr>
      <w:r>
        <w:rPr/>
        <w:t xml:space="preserve">66 % olandų mano, kad ES turi suformuoti stipresnį bloką prieš kitus tarptautinius blokus. Mes matome pusiausvyros silpnėjimą pasaulyje. Tokios šalys kaip Kinija ir Rusija nuolat plečia savo galią įvairiose srityse. Tai mums kelia daug rūpesčių. Todėl ES turi skirti daugiau dėmesio, pavyzdžiui, tarptautiniam saugumui ir Europos ekonomikos apsaugai nuo nesąžiningos prekybos praktikos. Manome, kad šiuo atžvilgiu svarbu, kad valstybės narės geriau ir greičiau koordinuotų veiksmus. Tai leis mums aiškiau išgirsti savo balsą. Tai, kad esame stipresni kartu kaip Europos šalys, nereiškia, kad norime eiti į konfliktą. Taip pat norime, kiek įmanoma, gero bendradarbiavimo su trečiosiomis šalimis. </w:t>
      </w:r>
    </w:p>
    <w:p>
      <w:pPr>
        <w:pStyle w:val="P68B1DB1Normal113"/>
        <w:widowControl w:val="false"/>
        <w:spacing w:lineRule="auto" w:line="240" w:before="200" w:after="0"/>
        <w:ind w:left="0" w:right="0" w:hanging="0"/>
        <w:jc w:val="center"/>
        <w:rPr/>
      </w:pPr>
      <w:r>
        <w:rPr/>
        <w:t>„</w:t>
      </w:r>
      <w:r>
        <w:rPr/>
        <w:t xml:space="preserve">Vidaus ginčų ir konfliktų mažinimas padidins ES prestižą ir įtaką pasaulinėje arenoje.“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Apgalvotai siūlyti pagalbą konflikto atveju </w:t>
      </w:r>
    </w:p>
    <w:p>
      <w:pPr>
        <w:pStyle w:val="Normal"/>
        <w:widowControl w:val="false"/>
        <w:spacing w:lineRule="auto" w:line="240"/>
        <w:ind w:left="0" w:right="0" w:hanging="0"/>
        <w:jc w:val="left"/>
        <w:rPr/>
      </w:pPr>
      <w:r>
        <w:rPr>
          <w:rFonts w:ascii="Calibri" w:hAnsi="Calibri"/>
          <w:color w:val="000000"/>
          <w:sz w:val="21"/>
        </w:rPr>
        <w:t xml:space="preserve">Stiprinant ES vaidmenį tarptautinėje arenoje 50 proc. olandų mano, kad požiūris į konfliktus pasaulyje yra svarbi tema. Geriausias būdas reaguoti į konfliktus, pasak jų, sunku nustatyti. Praeitis parodė, kad karinė intervencija šalyje ne visada yra naudinga. Pavyzdžiui, dėl to gali atsirasti nenumatytų didelių išlaidų ir atsirasti papildomų pabėgėlių srautų. Šalys, atsižvelgdamos į šį vietos poveikį, turėtų pačios nuspręsti, ar dalyvauti kare. Mus iš esmės domina glaudesnis Europos armijų bendradarbiavimas: manome, kad svarbu, jog Europa galėtų gerai apsiginti. Bet mes visada linkę spręsti konfliktus nesinaudodami smurtu. </w:t>
      </w:r>
      <w:r>
        <w:br w:type="page"/>
      </w:r>
    </w:p>
    <w:p>
      <w:pPr>
        <w:pStyle w:val="P68B1DB1Normal113"/>
        <w:widowControl w:val="false"/>
        <w:spacing w:lineRule="auto" w:line="240"/>
        <w:ind w:left="0" w:right="0" w:hanging="0"/>
        <w:jc w:val="left"/>
        <w:rPr/>
      </w:pPr>
      <w:r>
        <w:rPr/>
        <w:t xml:space="preserve">Afganistano evakuacijos metu kiekviena šalis veikė savo kampe. Gal būtume galėję padaryti geriau, ar ne? </w:t>
      </w:r>
    </w:p>
    <w:p>
      <w:pPr>
        <w:pStyle w:val="P68B1DB1Normal126"/>
        <w:widowControl w:val="false"/>
        <w:spacing w:lineRule="auto" w:line="240" w:before="85" w:after="0"/>
        <w:ind w:left="0" w:right="0" w:hanging="0"/>
        <w:jc w:val="left"/>
        <w:rPr>
          <w:rFonts w:ascii="Calibri" w:hAnsi="Calibri"/>
          <w:color w:val="0070C0"/>
          <w:sz w:val="24"/>
        </w:rPr>
      </w:pPr>
      <w:r>
        <w:rPr/>
        <w:t xml:space="preserve">Diskusijos internetu ir vietoje bei idėjos </w:t>
      </w:r>
    </w:p>
    <w:p>
      <w:pPr>
        <w:pStyle w:val="P68B1DB1Normal118"/>
        <w:widowControl w:val="false"/>
        <w:spacing w:lineRule="auto" w:line="240" w:before="78" w:after="0"/>
        <w:ind w:left="0" w:right="0" w:hanging="0"/>
        <w:jc w:val="left"/>
        <w:rPr>
          <w:rFonts w:ascii="Calibri" w:hAnsi="Calibri"/>
          <w:i/>
          <w:i/>
          <w:color w:val="000000"/>
          <w:sz w:val="21"/>
        </w:rPr>
      </w:pPr>
      <w:r>
        <w:rPr/>
        <w:t xml:space="preserve">ES pirmiausia turi sutvarkyti savo reikalus prieš susidūrusi su kitais.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Masiškai pirkdami Kinijos produktus kaip europiečiai, mes palaikome pačią Kiniją.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Jungtinės Valstijos ir toliau atlieka labai svarbų vaidmenį ginant Europą.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Būti ES nare taip pat reiškia sėdėti prie derybų stalo. Tai leidžia aptarti svarbius sprendimus.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ES turi nustoti save laikyti izoliuotu subjektu, nes taip nėra. Ji yra Europos valstybių narių asociacija ir turėtų elgtis kaip tokia.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IDĖJA:</w:t>
      </w:r>
      <w:r>
        <w:rPr>
          <w:i/>
        </w:rPr>
        <w:t xml:space="preserve"> Kaip ir reguliari pasaulinė klimato kaitos konferencija, taip pat turėtų būti surengta konferencija žmogaus teisių klausimais.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IDĖJA: </w:t>
      </w:r>
      <w:r>
        <w:rPr>
          <w:i/>
        </w:rPr>
        <w:t>„Padaryti Europos kariuomenes veiksmingesnes, pavyzdžiui, dažniau naudojantis kolektyviniu įrangos pirkimu.“</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Olandų ir Maroko moterys: Žmogaus teisių propagavimas.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Moterys už</w:t>
      </w:r>
      <w:r>
        <w:rPr>
          <w:rFonts w:ascii="Calibri" w:hAnsi="Calibri"/>
          <w:color w:val="000000"/>
          <w:sz w:val="21"/>
        </w:rPr>
      </w:r>
      <w:commentRangeEnd w:id="28"/>
      <w:r>
        <w:commentReference w:id="28"/>
      </w:r>
      <w:r>
        <w:rPr>
          <w:rFonts w:ascii="Calibri" w:hAnsi="Calibri"/>
          <w:color w:val="000000"/>
          <w:sz w:val="21"/>
        </w:rPr>
        <w:t xml:space="preserve">laisvę“ yra Nyderlandų fondas, kovojantis su priverstinėmis santuokomis, seksualine priespauda ir finansine prievarta prieš mergaites ir dvikultūrės kilmės moteris. Bendradarbiaujant su šiuo fondu buvo surengtas susitikimas su grupe olandų ir Maroko moterų. Dalyviai mano, kad šiuo metu ES yra pernelyg priklausoma nuo Rusijos ir Kinijos. „Mes manome, kad ES apskritai drįsta nieko nesiūlyti, bijodama sankcijų“, – sakė vienas iš jų. Narkotikų gamyba, kuri dažnai gali būti daug pigesnė, buvo nurodyta kaip pavyzdys. „Konflikto atveju Kinija gali uždaryti čiaupą, ir mes nieko neturėsime“, – sakė vienas dalyvis. Taip pat buvo iškeltas žmogaus teisių klausimas. „Mes visi elgiamės taip, tarsi manome, kad tai labai svarbu, bet užmerkiame akis į tai, ką Kinija daro uigūrams“, – sako kažkas.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Studentai iš Alkmaro technikos: Nėra bendros armijos.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Savo teminiame dialoge studentai iš Technasium Jan Arentz Alkmaar aptarė bendros Europos armijos privalumus ir trūkumus. Dalyviai nurodė, kad jie to nepalaiko. Kai ES šalis ginčijasi su trečiąja šalimi, mums turėtų būti suteikta galimybė automatiškai dalyvauti kare. Manau, kad šalys turi sugebėti apsispręsti savarankiškai", – sakė kažkas. Taip pat buvo aptarta trečiojo pasaulinio karo galimybė. Studentai mano, kad ši galimybė nėra labai didelė, tačiau jie mano, kad jei mes ten patektume, sprendimą vis tiek būtų galima rasti greitai. Kariuomenė taip pat gali gerai bendradarbiauti. Mano nuomone, nebūtina, kad būtų Europos kariuomenė.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Atliekant tyrimą naudota metodika </w:t>
      </w:r>
    </w:p>
    <w:p>
      <w:pPr>
        <w:pStyle w:val="P68B1DB1Normal104"/>
        <w:widowControl w:val="false"/>
        <w:spacing w:lineRule="auto" w:line="240" w:before="150" w:after="0"/>
        <w:ind w:left="0" w:right="0" w:hanging="0"/>
        <w:jc w:val="left"/>
        <w:rPr/>
      </w:pPr>
      <w:r>
        <w:rPr/>
        <w:t xml:space="preserve">Europos viziją sudaro įvairių formų tarpusavyje susiję dialogai, kuriuose renkama Nyderlandų piliečių nuomonė ir idėjos apie Europos ir ES ateitį. Šiame skyriuje aprašoma, kaip šie glaudžiai susiję dialogai vedami pagal gaires, taikomas nacionalinėms piliečių grupėms Konferencijos dėl Europos ateities kontekste. </w:t>
      </w:r>
    </w:p>
    <w:p>
      <w:pPr>
        <w:pStyle w:val="P68B1DB1Normal126"/>
        <w:widowControl w:val="false"/>
        <w:spacing w:lineRule="auto" w:line="240" w:before="43" w:after="0"/>
        <w:ind w:left="0" w:right="0" w:hanging="0"/>
        <w:jc w:val="left"/>
        <w:rPr>
          <w:rFonts w:ascii="Calibri" w:hAnsi="Calibri"/>
          <w:color w:val="0070C0"/>
          <w:sz w:val="24"/>
        </w:rPr>
      </w:pPr>
      <w:r>
        <w:rPr/>
        <w:t xml:space="preserve">Glaudžiai susijusių dialogų struktūra </w:t>
      </w:r>
    </w:p>
    <w:p>
      <w:pPr>
        <w:pStyle w:val="P68B1DB1Normal104"/>
        <w:widowControl w:val="false"/>
        <w:spacing w:lineRule="auto" w:line="240" w:before="114" w:after="0"/>
        <w:ind w:left="0" w:right="0" w:hanging="0"/>
        <w:jc w:val="left"/>
        <w:rPr>
          <w:rFonts w:ascii="Calibri" w:hAnsi="Calibri"/>
          <w:color w:val="000000"/>
          <w:sz w:val="21"/>
        </w:rPr>
      </w:pPr>
      <w:r>
        <w:rPr/>
        <w:t xml:space="preserve">Organizuojamos šios dialogo formos: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Ekspertų grupės apklausa</w:t>
      </w:r>
    </w:p>
    <w:p>
      <w:pPr>
        <w:pStyle w:val="P68B1DB1Normal104"/>
        <w:widowControl w:val="false"/>
        <w:spacing w:lineRule="auto" w:line="240"/>
        <w:ind w:left="0" w:right="0" w:hanging="0"/>
        <w:jc w:val="left"/>
        <w:rPr>
          <w:rFonts w:ascii="Calibri" w:hAnsi="Calibri"/>
          <w:color w:val="000000"/>
          <w:sz w:val="21"/>
        </w:rPr>
      </w:pPr>
      <w:r>
        <w:rPr/>
        <w:t xml:space="preserve">Internetinė reprezentatyvios Nyderlandų gyventojų dalies apklausa.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Internetiniai teminiai dialogai gilinimui</w:t>
      </w:r>
    </w:p>
    <w:p>
      <w:pPr>
        <w:pStyle w:val="P68B1DB1Normal104"/>
        <w:widowControl w:val="false"/>
        <w:spacing w:lineRule="auto" w:line="240"/>
        <w:ind w:left="0" w:right="0" w:hanging="0"/>
        <w:jc w:val="left"/>
        <w:rPr/>
      </w:pPr>
      <w:r>
        <w:rPr/>
        <w:t xml:space="preserve">Dialogai, kurių metu buvo pateikti pirmosios tarpinės ataskaitos „Mūsų Europos vizija: nuomonės, idėjos ir rekomendacijos“ (2021 m. spalio 8 d.) išsamiai aptariamos su grupe olandų.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Dialogai su konkrečiomis grupėmis</w:t>
      </w:r>
    </w:p>
    <w:p>
      <w:pPr>
        <w:pStyle w:val="P68B1DB1Normal104"/>
        <w:widowControl w:val="false"/>
        <w:spacing w:lineRule="auto" w:line="240"/>
        <w:ind w:left="0" w:right="0" w:hanging="0"/>
        <w:jc w:val="left"/>
        <w:rPr>
          <w:rFonts w:ascii="Calibri" w:hAnsi="Calibri"/>
          <w:color w:val="000000"/>
          <w:sz w:val="21"/>
        </w:rPr>
      </w:pPr>
      <w:r>
        <w:rPr/>
        <w:t xml:space="preserve">Susitikimai su Nyderlandų žmonėmis, kurie nėra įpratę dalyvauti apklausose ar grupėse (internete).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Dialogai su jaunimu</w:t>
      </w:r>
    </w:p>
    <w:p>
      <w:pPr>
        <w:pStyle w:val="P68B1DB1Normal104"/>
        <w:widowControl w:val="false"/>
        <w:spacing w:lineRule="auto" w:line="240"/>
        <w:ind w:left="0" w:right="0" w:hanging="0"/>
        <w:jc w:val="left"/>
        <w:rPr>
          <w:rFonts w:ascii="Calibri" w:hAnsi="Calibri"/>
          <w:color w:val="000000"/>
          <w:sz w:val="21"/>
        </w:rPr>
      </w:pPr>
      <w:r>
        <w:rPr/>
        <w:t xml:space="preserve">Susitikimai, kuriuose aptariamos šiems jaunuoliams aktualiausios Europos temos.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Internetinė visuomenės apklausa: Klausimynas ir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Grupės apklausos klausimyną taip pat galėtų užpildyti visi Nyderlandai, įskaitant užsienyje gyvenančius asmenis. Šis klausimynas buvo prieinamas nuo 2021 m. rugsėjo 1 d. iki 2021 m. lapkričio 14 d. Be to, per tą patį laikotarpį kiekvienas olandas galėjo dalyvauti veiksmuose „Swipen naar de toekomst“ („Swiper to the Future“) – internetinėje priemonėje, kurioje pateikiama 20 pretenzijų.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Ekspertų grupės apklausa </w:t>
      </w:r>
    </w:p>
    <w:p>
      <w:pPr>
        <w:pStyle w:val="P68B1DB1Normal104"/>
        <w:widowControl w:val="false"/>
        <w:spacing w:lineRule="auto" w:line="240" w:before="150" w:after="0"/>
        <w:ind w:left="0" w:right="0" w:hanging="0"/>
        <w:jc w:val="left"/>
        <w:rPr/>
      </w:pPr>
      <w:r>
        <w:rPr/>
        <w:t xml:space="preserve">Nyderlandų piliečių dialogas „Europos vizija“ prasidėjo rugsėjo 1 d. Šiame tyrimo metodikos aprašyme trumpai paaiškiname šios apklausos struktūrą ir įgyvendinimą komisijai. </w:t>
      </w:r>
    </w:p>
    <w:p>
      <w:pPr>
        <w:pStyle w:val="P68B1DB1Normal126"/>
        <w:widowControl w:val="false"/>
        <w:spacing w:lineRule="auto" w:line="240" w:before="43" w:after="0"/>
        <w:ind w:left="0" w:right="0" w:hanging="0"/>
        <w:jc w:val="left"/>
        <w:rPr>
          <w:rFonts w:ascii="Calibri" w:hAnsi="Calibri"/>
          <w:color w:val="0070C0"/>
          <w:sz w:val="24"/>
        </w:rPr>
      </w:pPr>
      <w:r>
        <w:rPr/>
        <w:t xml:space="preserve">Tikslinė grupė ir tikslinė grupė </w:t>
      </w:r>
    </w:p>
    <w:p>
      <w:pPr>
        <w:pStyle w:val="Normal"/>
        <w:widowControl w:val="false"/>
        <w:spacing w:lineRule="auto" w:line="240" w:before="114" w:after="0"/>
        <w:ind w:left="0" w:right="0" w:hanging="0"/>
        <w:jc w:val="left"/>
        <w:rPr/>
      </w:pPr>
      <w:r>
        <w:rPr>
          <w:rFonts w:ascii="Calibri" w:hAnsi="Calibri"/>
          <w:color w:val="000000"/>
          <w:sz w:val="21"/>
        </w:rPr>
        <w:t>Apklausa „Europos vizija“ prasidėjo internetiniu klausimynu apie tai, kaip Nyderlandų žmonės mato Europos ateitį. Šis klausimynas buvo pateiktas reprezentacinei kolegijai ir jame taip pat gali dalyvauti visi Nyderlandai (įskaitant užsienyje gyvenančius asmenis). Be to, kiekvienas asmuo galėjo dalyvauti akcijoje „Swipen naar de toekomst“</w:t>
      </w:r>
      <w:commentRangeStart w:id="30"/>
      <w:r>
        <w:rPr>
          <w:rFonts w:ascii="Calibri" w:hAnsi="Calibri"/>
          <w:color w:val="000000"/>
          <w:sz w:val="21"/>
        </w:rPr>
        <w:t>(„Swiper to</w:t>
      </w:r>
      <w:r>
        <w:rPr>
          <w:rFonts w:ascii="Calibri" w:hAnsi="Calibri"/>
          <w:color w:val="000000"/>
          <w:sz w:val="21"/>
        </w:rPr>
      </w:r>
      <w:commentRangeEnd w:id="30"/>
      <w:r>
        <w:commentReference w:id="30"/>
      </w:r>
      <w:r>
        <w:rPr>
          <w:rFonts w:ascii="Calibri" w:hAnsi="Calibri"/>
          <w:color w:val="000000"/>
          <w:sz w:val="21"/>
        </w:rPr>
        <w:t xml:space="preserve"> the future“), internetinėje priemonėje, kurioje pateikiama 20 pretenzijų. Grupės apklausos rezultatais remtasi keliais teminiais dialogais, kurie buvo surengti vykdant tolesnę veiklą, susijusią su piliečių dialogo „Europos vizija“ procesu.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Tikslinė grupės tyrimo grupė apima visus 18 metų ir vyresnius Nyderlandų žmones, kurie tuo metu, kai buvo pradėtas darbas vietoje, buvo registruoti kaip gyventojai gyventojų registre. Nyderlandų nacionalinės statistikos tarnybos (Centraal Bureau voor de Statistiek – CBS) duomenimis, 2021 m. sausio 1 d. šioje tikslinėje grupėje buvo 14 190 874 žmonės. Apatinė 18 metų riba atitinka rinkėjų daugumą. Mes tai vadiname grupės apklausos gyventojais.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Lauko darbai </w:t>
      </w:r>
    </w:p>
    <w:p>
      <w:pPr>
        <w:pStyle w:val="P68B1DB1Normal104"/>
        <w:widowControl w:val="false"/>
        <w:spacing w:lineRule="auto" w:line="240" w:before="116" w:after="0"/>
        <w:ind w:left="0" w:right="0" w:hanging="0"/>
        <w:jc w:val="left"/>
        <w:rPr/>
      </w:pPr>
      <w:r>
        <w:rPr/>
        <w:t xml:space="preserve">Daugiau nei 100 000 dalyvių iš visos šalies (ISO sertifikuota, Tyrimų Keurmerk groep, Nederlandse marktonderzoek Associatie) buvo naudojama siekiant gauti skaitmeninį „Medium Dutch“ įvaizdį. Šie dalyviai buvo įtraukti į apklausos grupę, kad reguliariai pateiktų savo nuomonę įvairiomis temomis. Be jų vidinės motyvacijos prisidėti, jiems mokami atsakymai į klausimynus. Keli moksliniai tyrimai rodo, kad respondentai, gaunantys kompensaciją už klausimyno pildymą, nepateikia labai skirtingų atsakymų (šaltinis: </w:t>
      </w:r>
      <w:r>
        <w:rPr>
          <w:i/>
        </w:rPr>
        <w:t>Ar tyrimo paskatų naudojimas blogina duomenų kokybę?</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Darbas vietoje pradėtas 2021 m. rugpjūčio 11 d. ir baigtas 2021 m. rugsėjo 19 d. Įgyvendinimo tikslais buvo naudojamas tik vienas duomenų rinkimo metodas, t. y. interneto tyrimas. Apklausos komisijos nariai gavo e. laišką su asmenine nuoroda į internetinį klausimyną. Po dviejų savaičių grupės dalyviai gavo priminimą. Kvietimai dalyvauti buvo išsiųsti grupėmis ir stratifikuoti (užtikrinant vienodą pogrupių pasiskirstymą), kol bus pasiektas reikiamas respondentų skaičius. </w:t>
      </w:r>
    </w:p>
    <w:p>
      <w:pPr>
        <w:pStyle w:val="P68B1DB1Normal126"/>
        <w:widowControl w:val="false"/>
        <w:spacing w:lineRule="auto" w:line="240" w:before="42" w:after="0"/>
        <w:ind w:left="0" w:right="0" w:hanging="0"/>
        <w:jc w:val="left"/>
        <w:rPr>
          <w:rFonts w:ascii="Calibri" w:hAnsi="Calibri"/>
          <w:color w:val="0070C0"/>
          <w:sz w:val="24"/>
        </w:rPr>
      </w:pPr>
      <w:r>
        <w:rPr/>
        <w:t xml:space="preserve">Mėginių ėmimas ir paskirstymas </w:t>
      </w:r>
    </w:p>
    <w:p>
      <w:pPr>
        <w:pStyle w:val="P68B1DB1Normal104"/>
        <w:widowControl w:val="false"/>
        <w:spacing w:lineRule="auto" w:line="240" w:before="114" w:after="0"/>
        <w:ind w:left="0" w:right="0" w:hanging="0"/>
        <w:jc w:val="left"/>
        <w:rPr/>
      </w:pPr>
      <w:r>
        <w:rPr/>
        <w:t xml:space="preserve">Tyrimo struktūra grindžiama principu, kad norint užtikrinti gerą statistinį patikimumą, tyrime turi dalyvauti ne mažiau kaip 3 600 respondentų. Be to, šis skaičius leidžia gerai paskirstyti skirtingas bendrąsias gyventojų charakteristikas. Nėra tik vieno olandiško žmogaus. Todėl iš anksto užtikrinome, kad imtis būtų gerai paskirstyta tam tikroms charakteristikoms. Nyderlandai yra palyginti maža šalis, tačiau nuomonės skirtinguose regionuose gali skirtis. Temų padėtis ir svarba gali būti (iš dalies) nustatoma pagal regioną, kuriame gyvenate. Pavyzdžiui, kaimo vietovėse gyvenantys žmonės gali suprasti tokią temą, kaip saugumas, kitaip nei miesto vietovėse. Nyderlandų socialinio ir kultūrinio planavimo biuro tyrimas taip pat rodo, kad aukštesnio lygio studijas turintys asmenys dažniau remia ES nei tie, kurių studijų lygis yra žemesnis, ir kad jaunimas labiau palaiko ES nei vyresnio amžiaus žmones (šaltinis: </w:t>
      </w:r>
      <w:r>
        <w:rPr>
          <w:i/>
        </w:rPr>
        <w:t>Wat willen Nederlanders van de Europese Unie?</w:t>
      </w:r>
      <w:r>
        <w:rPr/>
        <w:t xml:space="preserve">, Nyderlandų socialinio ir kultūrinio planavimo biuras, Haga,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Todėl, siekdami užtikrinti imties reprezentatyvumą, anksčiau proporcingai priskyrėme šias tris charakteristikas: 1) gyvenamoji vieta COROP regionuose, 2) amžiaus ir 3) išsilavinimo lygis. Imties pasiskirstymas taip pat buvo pateiktas pagal šias bendrąsias charakteristikas: lytis, kilmė, pagrindinė profesija, politinė orientacija.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 regionai buvo kuriami remiantis mazgo principu (širdis su traukos zona arba regionine funkcija), pagrįstu į darbą vykstančių žmonių srautu. Buvo pripažinti keli mazgo principo pažeidimai, kad regionai laikytųsi provincijų ribų. Reorganizavus savivaldybes už COROP ribų, paskirstymas buvo pakoreguotas (šaltinis: Nyderlandų nacionalinė statistikos tarnyba). COROP regionuose užtikrinome gerą pasiskirstymą tarp amžiaus grupių, suskirstytą taip: 18–34 metų, 35–54 metų, 55–75 metų ir vyresnių nei 75 metų amžiaus.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Galiausiai užtikrinome reprezentatyvų švietimo lygių pasiskirstymą. Imtyje respondentų pasiskirstymas atitinka aukščiausio išsilavinimo lygio pasiskirstymą nacionaliniu lygmeniu, kuris yra toks: </w:t>
      </w:r>
      <w:r>
        <w:br w:type="page"/>
      </w:r>
    </w:p>
    <w:p>
      <w:pPr>
        <w:pStyle w:val="P68B1DB1Normal120"/>
        <w:spacing w:lineRule="auto" w:line="240"/>
        <w:ind w:left="0" w:right="0" w:hanging="0"/>
        <w:rPr>
          <w:rFonts w:ascii="Calibri" w:hAnsi="Calibri"/>
          <w:b/>
          <w:b/>
          <w:color w:val="000000"/>
          <w:sz w:val="21"/>
        </w:rPr>
      </w:pPr>
      <w:r>
        <w:rPr/>
        <w:t xml:space="preserve">Aukščiausias išsilavinimo lygis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Žemas: pradinis ugdymas, parengiamasis profesinis rengimas, 1-oji-trečioji bendrojo vidurinio ugdymo klasė/ikiuniversitetinis ugdymas, 1 vidurinis profesinis mokymas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Tarpinis: bendrojo vidurinio ugdymo/ikiuniversitetinio švietimo, vidurinio profesinio mokymo lygis 2–4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Aukštas: aukštasis profesinis išsilavinimas arba universitetinis išsilavinimas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Nežinomas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Atsako dažnis </w:t>
      </w:r>
    </w:p>
    <w:p>
      <w:pPr>
        <w:pStyle w:val="P68B1DB1Normal104"/>
        <w:widowControl w:val="false"/>
        <w:spacing w:lineRule="exact" w:line="386" w:before="116" w:after="0"/>
        <w:ind w:left="0" w:right="368" w:hanging="0"/>
        <w:jc w:val="left"/>
        <w:rPr/>
      </w:pPr>
      <w:r>
        <w:rPr/>
        <w:t xml:space="preserve">Apklausoje iš viso dalyvavo 4 086 žmonės. Todėl 3 600 užpildytų klausimynų tikslas yra pasiektas.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COROP regionų ir amžiaus atsakymai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Nuo 18 iki 34 metų</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35–54 metų amžiaus</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55–75 metų amžiaus</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daugiau kaip 75 metų</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Drentė</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pietryčius nuo Drentės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pietvakarius nuo Drentės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Flevolandas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Frieslandas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pietryčius nuo Fryzijos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pietvakarius nuo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Pietvakarių Gelderlandas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Rytų Groningenas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Kiti Groningeno miestai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Centrinis Limburgas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Limburgas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Pietų Limburgas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Brabanto centras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šiaurės rytus nuo Šiaurės Brabanto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vakarus nuo Šiaurės Brabanto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pietryčius nuo Šiaurės Brabanto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aglomeracija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Alkmaras ir jo apylinkės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Didysis Amsterdamas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ir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Olandija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regionas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Šiaurės Overeiselis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pietvakarius nuo Overeiselio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Likusi dalis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Zelandija Flandrija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Leideno aglomeracija ir svogūnėlių regionas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Hagos aglomeracija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Delftas ir Westlandas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Į rytus nuo Pietų Olandijos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Pietų Olandijos pietryčiai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Atsakymai pagal išsilavinimo lygį</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Žemas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Tarpininkas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Aukštas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Nežinomas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Patikimumas ir reprezentatyvumas </w:t>
      </w:r>
    </w:p>
    <w:p>
      <w:pPr>
        <w:pStyle w:val="P68B1DB1Normal104"/>
        <w:widowControl w:val="false"/>
        <w:spacing w:lineRule="auto" w:line="240" w:before="119" w:after="0"/>
        <w:ind w:left="0" w:right="0" w:hanging="0"/>
        <w:jc w:val="left"/>
        <w:rPr/>
      </w:pPr>
      <w:r>
        <w:rPr/>
        <w:t xml:space="preserve">4 086 respondentų skaičius leidžia pateikti pastabas dėl visos tiriamosios visumos, esant 95 % patikimumo lygiui ir 1,53 % paklaidai. Rezultatų patikimumo lygis ir paklaida nustatomi pagal imties dydį. Kuo didesnė imtis, tuo patikimesni ir tikslesni rezultatai gali būti ekstrapoliuojami visai populiacijai.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Patikimumo lygis apibrėžiamas kaip 1 (100 %) atėmus prasmės lygį. Paprastai tai yra pagrįsta 5 % reikšmių lygiu. Mes kalbame apie 95 % pasitikėjimo lygį. Kitaip tariant, jei apklausa būtų pakartota tokiu pačiu būdu ir tomis pačiomis sąlygomis, 95 % atvejų rezultatai būtų tokie patys. </w:t>
      </w:r>
    </w:p>
    <w:p>
      <w:pPr>
        <w:pStyle w:val="P68B1DB1Normal104"/>
        <w:widowControl w:val="false"/>
        <w:spacing w:lineRule="auto" w:line="240"/>
        <w:ind w:left="0" w:right="0" w:hanging="0"/>
        <w:jc w:val="left"/>
        <w:rPr/>
      </w:pPr>
      <w:r>
        <w:rPr/>
        <w:t xml:space="preserve">Tikslumas (išreikštas paklaida) rodo verčių intervalą, kuriame yra faktinė tiriamosios visumos vertė. Kitaip tariant: koks būtų didžiausias imties rezultatų ir rezultatų, gautų iš visos tiriamosios visumos, skirtumas? 1,53 % paklaida reiškia, kad faktinė vertė bendroje populiacijoje gali būti 1,53 % didesnė arba mažesnė už imties vertę. Pavyzdžiui, jei žmonių imties tyrimas rodo, kad 50 % respondentų mano, jog tam tikra tema yra svarbi, faktinis procentas yra 1,53 % didesnis arba mažesnis nei tas 50 %, t. y. nuo 48,47 iki 51,53 %. Didžiausia 5 % paklaida yra įprasta ir visuotinai pripažįstama atliekant kiekybinius tyrimus (statistika).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Svarbu ne tik patikimumas, bet ir imties reprezentatyvumas. Kadangi kvietimai dalyvauti buvo išsiųsti partijomis ir stratifikuoti, rezultatai yra reprezentatyvūs atsižvelgiant į COROP regiono ypatybes ir COROP regiono amžiaus grupes. Atsakymai taip pat yra reprezentatyvūs atsižvelgiant į švietimo lygį, palyginti su aukščiausiu nacionaliniu lygmeniu pasiektu išsilavinimo lygiu.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Kitos bendrosios charakteristikos </w:t>
      </w:r>
    </w:p>
    <w:p>
      <w:pPr>
        <w:pStyle w:val="P68B1DB1Normal104"/>
        <w:widowControl w:val="false"/>
        <w:spacing w:lineRule="auto" w:line="240"/>
        <w:ind w:left="0" w:right="0" w:hanging="0"/>
        <w:jc w:val="left"/>
        <w:rPr/>
      </w:pPr>
      <w:r>
        <w:rPr/>
        <w:t xml:space="preserve">Ekspertų grupė apklausos dalyviams uždavė keletą papildomų kontekstinių klausimų. Tai yra lytis, ES pozicija, kilmė, pagrindinė profesija ir politinė partija, už kurią asmuo balsuotų rinkimų atveju.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proc. respondentų yra vyrai, 50 proc. – moterys, o 1 proc. nenori atsakyti į šį klausimą.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proc. respondentų mano, kad Nyderlandams gerai būti ES narėmis, 13 proc. mano, kad tai blogai, o 36 proc. yra neutralūs arba neturi nuomonės.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proc. respondentų gimė Nyderlanduose. 89 proc. respondentų nurodė, kad abu tėvai gimė Nyderlanduose. 5 proc. buvo gimę dviem tėvams, gimusiems užsienyje.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Dabartinė respondentų politinė orientacija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Vakarėlis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(Liaudies laisvės ir demokratijos partija)</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(Laisvės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(socialistų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(demokratai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(krikščionių demokratų raginimas)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(Darbo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(gyvūnų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(Žalioji kairė)</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(krikščionių sąjunga)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(valstiečių judėjimas)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(Forumas už demokratiją)</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BLS (reformuota politinė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EL. PAŠTAS: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Kitos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Baltieji balsai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Aš nenorėčiau atsakyti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Aš nebalsuoju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Kokia šiuo metu jūsų pagrindinė profesija?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Okupacija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Studentas/studentas</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 visą darbo dieną dirbantis darbuotojas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Visą darbo dieną dirbantis darbuotojas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Nepriklausomas rangovas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Žmogus namuose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Darbo ieškantis asmuo</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Savanoris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Nedarbingumas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Išėjęs į pensiją</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Kitos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Aš nenorėčiau atsakyti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Klausimynas </w:t>
      </w:r>
    </w:p>
    <w:p>
      <w:pPr>
        <w:pStyle w:val="P68B1DB1Normal104"/>
        <w:widowControl w:val="false"/>
        <w:spacing w:lineRule="exact" w:line="339" w:before="1" w:after="0"/>
        <w:ind w:left="0" w:right="0" w:hanging="0"/>
        <w:jc w:val="left"/>
        <w:rPr/>
      </w:pPr>
      <w:r>
        <w:rPr/>
        <w:t xml:space="preserve">Klausimyną ir šią ataskaitą Užsienio reikalų ministerijos prašymu parengė nepriklausoma išorės organizacija. Klausimynas yra modulinė struktūra ir apima šiuos klausimus, atsižvelgiant į Konferencijai dėl Europos ateities nustatytas temas: </w:t>
      </w:r>
    </w:p>
    <w:p>
      <w:pPr>
        <w:pStyle w:val="P68B1DB1Normal105"/>
        <w:widowControl w:val="false"/>
        <w:spacing w:lineRule="exact" w:line="349" w:before="0" w:after="0"/>
        <w:ind w:left="0" w:right="0" w:hanging="0"/>
        <w:jc w:val="left"/>
        <w:rPr/>
      </w:pPr>
      <w:r>
        <w:rPr>
          <w:rFonts w:ascii="Verdana" w:hAnsi="Verdana"/>
        </w:rPr>
        <w:t>•</w:t>
      </w:r>
      <w:r>
        <w:rPr/>
        <w:t xml:space="preserve"> </w:t>
      </w:r>
      <w:r>
        <w:rPr/>
        <w:t xml:space="preserve">Svarbios temos ir Europos vaidmuo </w:t>
      </w:r>
      <w:r>
        <w:rPr>
          <w:rFonts w:ascii="Calibri" w:hAnsi="Calibri"/>
        </w:rPr>
        <w:t xml:space="preserv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Klimato kaita ir aplinka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Sveikata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Ekonomika ir užimtumas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Europos Sąjungos vaidmuo pasaulyje </w:t>
      </w:r>
    </w:p>
    <w:p>
      <w:pPr>
        <w:pStyle w:val="P68B1DB1Normal105"/>
        <w:widowControl w:val="false"/>
        <w:spacing w:lineRule="exact" w:line="349"/>
        <w:ind w:left="0" w:right="0" w:hanging="0"/>
        <w:jc w:val="left"/>
        <w:rPr/>
      </w:pPr>
      <w:r>
        <w:rPr>
          <w:rFonts w:ascii="Verdana" w:hAnsi="Verdana"/>
        </w:rPr>
        <w:t>•</w:t>
      </w:r>
      <w:r>
        <w:rPr/>
        <w:t xml:space="preserve"> </w:t>
      </w:r>
      <w:r>
        <w:rPr/>
        <w:t xml:space="preserve">Saugumas ir teisinė valstybė </w:t>
      </w:r>
      <w:r>
        <w:rPr>
          <w:rFonts w:ascii="Calibri" w:hAnsi="Calibri"/>
        </w:rPr>
        <w:t xml:space="preserv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Virtualus pasaulis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Europos demokratija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Migracija ir pabėgėliai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Švietimas/kultūra/jaunimas/sportas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Rengiant klausimyną didelis dėmesys buvo skiriamas klausimų kokybei, patikimumui ir pagrįstumui. Dėl šios priežasties buvo ieškoma neutralios, nevadovaujamos klausimų, teiginių ir atsakymų parinkčių formuluotės ir buvo patikrinta, ar klausimai suformuluoti suprantama kalba (B1 lygis).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Klausimynas buvo tikrinamas per tiesioginius pokalbius su tikslinei grupei priklausančiais testų dalyviais. Tai leido mums ištirti, kaip klausimus supranta įvairių tipų respondentai. Jei klausimas, atrodo, atspindi pernelyg didelę (per sudėtingą) kognityvinę apkrovą, tai buvo tikslinga. </w:t>
      </w:r>
    </w:p>
    <w:p>
      <w:pPr>
        <w:pStyle w:val="P68B1DB1Normal126"/>
        <w:widowControl w:val="false"/>
        <w:spacing w:lineRule="auto" w:line="240" w:before="333" w:after="0"/>
        <w:ind w:left="0" w:right="0" w:hanging="0"/>
        <w:jc w:val="left"/>
        <w:rPr>
          <w:rFonts w:ascii="Calibri" w:hAnsi="Calibri"/>
          <w:color w:val="0070C0"/>
          <w:sz w:val="24"/>
        </w:rPr>
      </w:pPr>
      <w:r>
        <w:rPr/>
        <w:t xml:space="preserve">Analizės metodai </w:t>
      </w:r>
    </w:p>
    <w:p>
      <w:pPr>
        <w:pStyle w:val="P68B1DB1Normal104"/>
        <w:widowControl w:val="false"/>
        <w:spacing w:lineRule="auto" w:line="240" w:before="80" w:after="0"/>
        <w:ind w:left="0" w:right="0" w:hanging="0"/>
        <w:jc w:val="left"/>
        <w:rPr>
          <w:rFonts w:ascii="Calibri" w:hAnsi="Calibri"/>
          <w:color w:val="000000"/>
          <w:sz w:val="21"/>
        </w:rPr>
      </w:pPr>
      <w:r>
        <w:rPr/>
        <w:t xml:space="preserve">Šiame tyrime buvo naudojami du analizės metodai: </w:t>
      </w:r>
    </w:p>
    <w:p>
      <w:pPr>
        <w:pStyle w:val="P68B1DB1Normal111"/>
        <w:widowControl w:val="false"/>
        <w:spacing w:lineRule="auto" w:line="240" w:before="48" w:after="0"/>
        <w:ind w:left="0" w:right="0" w:hanging="0"/>
        <w:jc w:val="left"/>
        <w:rPr>
          <w:rFonts w:ascii="Calibri" w:hAnsi="Calibri"/>
          <w:b/>
          <w:b/>
          <w:color w:val="000000"/>
          <w:sz w:val="22"/>
        </w:rPr>
      </w:pPr>
      <w:r>
        <w:rPr/>
        <w:t xml:space="preserve">Univariato analizė </w:t>
      </w:r>
    </w:p>
    <w:p>
      <w:pPr>
        <w:pStyle w:val="P68B1DB1Normal104"/>
        <w:widowControl w:val="false"/>
        <w:spacing w:lineRule="auto" w:line="240" w:before="6" w:after="0"/>
        <w:ind w:left="0" w:right="0" w:hanging="0"/>
        <w:jc w:val="left"/>
        <w:rPr>
          <w:rFonts w:ascii="Calibri" w:hAnsi="Calibri"/>
          <w:color w:val="000000"/>
          <w:sz w:val="21"/>
        </w:rPr>
      </w:pPr>
      <w:r>
        <w:rPr/>
        <w:t xml:space="preserve">Tyrimo kintamiesiems apibūdinti naudojami aprašomieji statistiniai duomenys. Šiame tyrime naudojami dažniai ir vidurkiai.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Bivariato analizė </w:t>
      </w:r>
    </w:p>
    <w:p>
      <w:pPr>
        <w:pStyle w:val="P68B1DB1Normal104"/>
        <w:widowControl w:val="false"/>
        <w:spacing w:lineRule="auto" w:line="240" w:before="6" w:after="0"/>
        <w:ind w:left="0" w:right="0" w:hanging="0"/>
        <w:jc w:val="left"/>
        <w:rPr/>
      </w:pPr>
      <w:r>
        <w:rPr/>
        <w:t xml:space="preserve">Dvilypė analizė leidžia išnagrinėti dviejų kintamųjų santykį, šiuo atveju – santykį tarp skirtingų temų svarbos ir klausimo, ar ES turėtų imtis veiksmų šioje srityje, ir bendrą amžiaus ypatumą. Buvo atlikta peržiūra siekiant nustatyti, ar skirtingos amžiaus grupės skirtingai vertina temą ir ar skiriasi nuomonės dėl to, kokiu mastu šie klausimai turėtų būti susiję su ES.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Informacijos skelbimas ir išsamumas </w:t>
      </w:r>
    </w:p>
    <w:p>
      <w:pPr>
        <w:pStyle w:val="P68B1DB1Normal76"/>
        <w:widowControl w:val="false"/>
        <w:spacing w:lineRule="auto" w:line="240" w:before="116" w:after="0"/>
        <w:ind w:left="0" w:right="0" w:hanging="0"/>
        <w:jc w:val="left"/>
        <w:rPr/>
      </w:pPr>
      <w:r>
        <w:rPr>
          <w:rFonts w:ascii="Calibri" w:hAnsi="Calibri"/>
          <w:sz w:val="21"/>
        </w:rPr>
        <w:t>Šioje ataskaitoje pateikiami visų klausimų, užduotų apklausos grupės respondentams, rezultatai. Į kai kuriuos klausimus atsakovui buvo suteikta galimybė pateikti „atvirus“ (t. y. iš anksto nenustatytus) atsakymus. Tada atviri atsakymai buvo suskirstyti į kategorijas ir įtraukti į publikaciją. Nuomonės, kuriomis respondentai dalijasi laisvose pastabose, naudojamos įvairiuose teminiuose dialoguose, organizuojamuose tęsiant piliečių dialogo procesą „Europos vizija“.</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Internetiniai teminiai dialogai gilinimui </w:t>
      </w:r>
    </w:p>
    <w:p>
      <w:pPr>
        <w:pStyle w:val="P68B1DB1Normal104"/>
        <w:widowControl w:val="false"/>
        <w:spacing w:lineRule="auto" w:line="240"/>
        <w:ind w:left="0" w:right="0" w:hanging="0"/>
        <w:jc w:val="left"/>
        <w:rPr/>
      </w:pPr>
      <w:r>
        <w:rPr/>
        <w:t xml:space="preserve">Konferencijos dėl Europos ateities pagrindinės temos buvo pagilintos per aštuonis internetinius teminius dialogus. Šių dialogų tikslas buvo išsiaiškinti išreikštų nuomonių </w:t>
      </w:r>
      <w:r>
        <w:rPr>
          <w:i/>
        </w:rPr>
        <w:t>priežastis</w:t>
      </w:r>
      <w:r>
        <w:rPr/>
        <w:t xml:space="preserve">, taip pat jų motyvus ir jausmus. Kokie yra suvokiami rūpesčiai ir galimybės? Diskusijų sesijos taip pat leido dalyviams suformuluoti pasiūlymus ir idėjas šiomis temomis, taip pat iškelti klausimus, kurie nėra konferencijos dalis, bet išlieka jiems svarbūs.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Teminiai dialogai vyko spalio 12–14 d. ir lapkričio 9–11 d. Spalio mėn. buvo surengti keturi internetiniai teminiai dialogai „Ekonomika“ ir „Demokratija“. </w:t>
      </w:r>
    </w:p>
    <w:p>
      <w:pPr>
        <w:pStyle w:val="Normal"/>
        <w:widowControl w:val="false"/>
        <w:spacing w:lineRule="auto" w:line="240" w:before="10" w:after="0"/>
        <w:ind w:left="0" w:right="0" w:hanging="0"/>
        <w:jc w:val="left"/>
        <w:rPr/>
      </w:pPr>
      <w:r>
        <w:rPr/>
        <w:t>Lapkričio mėn. buvo surengti</w:t>
      </w:r>
      <w:r>
        <w:rPr>
          <w:rFonts w:ascii="Calibri" w:hAnsi="Calibri"/>
          <w:color w:val="000000"/>
          <w:sz w:val="21"/>
        </w:rPr>
        <w:t xml:space="preserve">keturi internetiniai teminiai dialogai tema „Klimato kaita“ ir „ES pasaulyje“. Kiekvienoje diskusijoje vidutiniškai dalyvavo 29 žmonės (iš viso 231). Dalyviai buvo įdarbinti iš grupės narių (žr. 1 punktą) ir socialiniuose tinkluose. </w:t>
      </w:r>
      <w:r>
        <w:br w:type="page"/>
      </w:r>
    </w:p>
    <w:p>
      <w:pPr>
        <w:pStyle w:val="P68B1DB1Normal125"/>
        <w:spacing w:lineRule="auto" w:line="240"/>
        <w:ind w:left="0" w:right="0" w:hanging="0"/>
        <w:rPr>
          <w:rFonts w:ascii="Calibri" w:hAnsi="Calibri"/>
          <w:b/>
          <w:b/>
          <w:color w:val="0070C0"/>
          <w:sz w:val="32"/>
        </w:rPr>
      </w:pPr>
      <w:r>
        <w:rPr/>
        <w:t xml:space="preserve">3. Dialogai su konkrečiomis grupėmis </w:t>
      </w:r>
    </w:p>
    <w:p>
      <w:pPr>
        <w:pStyle w:val="P68B1DB1Normal104"/>
        <w:widowControl w:val="false"/>
        <w:spacing w:lineRule="auto" w:line="240" w:before="73" w:after="0"/>
        <w:ind w:left="0" w:right="0" w:hanging="0"/>
        <w:jc w:val="left"/>
        <w:rPr/>
      </w:pPr>
      <w:r>
        <w:rPr/>
        <w:t xml:space="preserve">Kai kurios olandų grupės yra mažiau įpratę dalyvauti apklausose ir grupėse (internete). Siekiant gauti reprezentatyvią „Nyderlandų balso“ įvaizdį, buvo svarbu, kad šie piliečiai taip pat galėtų išreikšti savo idėjas ir nuomones. Todėl mes taip pat surengėme keletą dialogų vietoje dėl apklausos „Europos vizija“. Nuomonės ir idėjos, kurias galėjome surinkti, buvo naudojamos kaip pagrindas (be kita ko) formuluojant rekomendacijas. </w:t>
      </w:r>
    </w:p>
    <w:p>
      <w:pPr>
        <w:pStyle w:val="P68B1DB1Normal126"/>
        <w:widowControl w:val="false"/>
        <w:spacing w:lineRule="auto" w:line="240" w:before="94" w:after="0"/>
        <w:ind w:left="0" w:right="0" w:hanging="0"/>
        <w:jc w:val="left"/>
        <w:rPr>
          <w:rFonts w:ascii="Calibri" w:hAnsi="Calibri"/>
          <w:color w:val="0070C0"/>
          <w:sz w:val="24"/>
        </w:rPr>
      </w:pPr>
      <w:r>
        <w:rPr/>
        <w:t xml:space="preserve">Tikslinės grupės </w:t>
      </w:r>
    </w:p>
    <w:p>
      <w:pPr>
        <w:pStyle w:val="P68B1DB1Normal110"/>
        <w:widowControl w:val="false"/>
        <w:spacing w:lineRule="auto" w:line="240" w:before="88" w:after="0"/>
        <w:ind w:left="0" w:right="0" w:hanging="0"/>
        <w:jc w:val="left"/>
        <w:rPr/>
      </w:pPr>
      <w:r>
        <w:rPr>
          <w:sz w:val="21"/>
        </w:rPr>
        <w:t xml:space="preserve">Sunkiai pasiekiamos tikslinės grupės negali būti vienareikšmiškai apibrėžtos. Tyrimai ir patirtis leidžia mums žinoti, kad </w:t>
      </w:r>
      <w:r>
        <w:rPr>
          <w:b/>
          <w:sz w:val="21"/>
        </w:rPr>
        <w:t>ne Vakarų kilmės</w:t>
      </w:r>
      <w:r>
        <w:rPr>
          <w:sz w:val="21"/>
        </w:rPr>
        <w:t>olandų žmonės žymiai mažiau dalyvauja tyrimuose ir diskusijose. Kadangi tai yra didelė grupė (14 proc. visų</w:t>
      </w:r>
      <w:r>
        <w:rPr>
          <w:b/>
          <w:position w:val="6"/>
          <w:sz w:val="14"/>
        </w:rPr>
        <w:t>Nyderlandų</w:t>
      </w:r>
      <w:r>
        <w:rPr>
          <w:sz w:val="21"/>
        </w:rPr>
        <w:t xml:space="preserve">piliečių), jie buvo atrinkti dalyvauti Europos vizijos dialoge. Tie patys argumentai buvo taikomi ir </w:t>
      </w:r>
      <w:r>
        <w:rPr>
          <w:b/>
          <w:sz w:val="21"/>
        </w:rPr>
        <w:t>menkai išsilavinusiems asmenims</w:t>
      </w:r>
      <w:r>
        <w:rPr>
          <w:sz w:val="21"/>
        </w:rPr>
        <w:t>. Tai taip pat didelė grupė (2,5 mln. olandų</w:t>
      </w:r>
      <w:r>
        <w:rPr>
          <w:position w:val="6"/>
          <w:sz w:val="14"/>
        </w:rPr>
        <w:t>2</w:t>
      </w:r>
      <w:r>
        <w:rPr>
          <w:sz w:val="21"/>
        </w:rPr>
        <w:t xml:space="preserve">), kuri iš dalies sutampa su migrantų grupe (39 proc.). Galiausiai buvo surengtas dialogas su grupe žmonių, kurie retai dalyvauja apklausose ir diskusijose, </w:t>
      </w:r>
      <w:r>
        <w:rPr>
          <w:b/>
          <w:sz w:val="21"/>
        </w:rPr>
        <w:t>kurie kritiškai vertina Europą, tačiau kuriems Europa atlieka svarbų vaidmenį profesinėje srityje.</w:t>
      </w:r>
      <w:r>
        <w:rPr>
          <w:sz w:val="21"/>
        </w:rPr>
        <w:t xml:space="preserve"> Buvo atrinkti žemės ūkio sektoriaus verslininkai.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Į pirmiau minėtas grupes buvo kreiptasi per organizacijas, kurioms jos priklauso, pavyzdžiui, migrantų organizacijas, propagavimo asociacijas ir profesines organizacijas. Kadangi mes apribojome dialogų skaičių iki aštuonių, mes negalėjome būti visiškai „išsamūs“. Dėl to dalyvių pasirinkimas yra šiek tiek savavališkas. Norėdami tai padaryti, taip pat atsižvelgėme į entuziazmą dalyvauti ir padėti sutelkti savo bazę, taip pat į praktinius klausimus, tokius kaip prieinamumas pagal datas ir vietą.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Buvo surengti dialogai vietoje su šių organizacijų nariais: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fondas, Alevi bendruomenė,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fondas, hinduistų bendruomenė, Utrechtas (dvi diskusijos)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Piėzo, pilietinės visuomenės organizacija,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menkai išsilavinusių žmonių organizacija, Utrechtas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žemės ūkio grupių asociacija </w:t>
      </w:r>
    </w:p>
    <w:p>
      <w:pPr>
        <w:pStyle w:val="P68B1DB1Normal105"/>
        <w:widowControl w:val="false"/>
        <w:spacing w:lineRule="auto" w:line="240"/>
        <w:ind w:left="0" w:right="0" w:hanging="0"/>
        <w:jc w:val="left"/>
        <w:rPr/>
      </w:pPr>
      <w:r>
        <w:rPr>
          <w:rFonts w:ascii="Verdana" w:hAnsi="Verdana"/>
        </w:rPr>
        <w:t>Marokkanen</w:t>
      </w:r>
      <w:r>
        <w:rPr/>
        <w:t xml:space="preserve"> </w:t>
      </w:r>
      <w:r>
        <w:rPr>
          <w:rFonts w:ascii="Calibri" w:hAnsi="Calibri"/>
        </w:rPr>
        <w:t xml:space="preserve">Dialoog Overvecht, Maroko bendruomenė, Utrechtas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Moterys už laisvę, migrantų kilmės moterų propagavimo organizacija, Haga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Šiuose diskusijų susitikimuose iš viso dalyvavo 110 žmonių.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Dialogai su jaunimu </w:t>
      </w:r>
    </w:p>
    <w:p>
      <w:pPr>
        <w:pStyle w:val="P68B1DB1Normal104"/>
        <w:widowControl w:val="false"/>
        <w:spacing w:lineRule="auto" w:line="240" w:before="145" w:after="0"/>
        <w:ind w:left="0" w:right="0" w:hanging="0"/>
        <w:jc w:val="both"/>
        <w:rPr/>
      </w:pPr>
      <w:r>
        <w:rPr/>
        <w:t xml:space="preserve">Jaunimas yra Konferencijos dėl Europos ateities prioritetinė tikslinė grupė. Siekiant aktyviai skatinti juos dalyvauti piliečių dialoge „Europos vizija“ ir užtikrinti, kad šios grupės nuomonės ir idėjos būtų gerai išklausytos, buvo surengti šeši specialiai jaunimui skirti fizinių diskusijų susitikimai.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Posėdžiai vyko šiose institucijose: </w:t>
      </w:r>
    </w:p>
    <w:p>
      <w:pPr>
        <w:pStyle w:val="P68B1DB1Normal105"/>
        <w:widowControl w:val="false"/>
        <w:spacing w:lineRule="auto" w:line="240"/>
        <w:ind w:left="0" w:right="0" w:hanging="0"/>
        <w:jc w:val="left"/>
        <w:rPr/>
      </w:pPr>
      <w:r>
        <w:rPr>
          <w:rFonts w:ascii="Verdana" w:hAnsi="Verdana"/>
        </w:rPr>
        <w:t>•</w:t>
      </w:r>
      <w:r>
        <w:rPr/>
        <w:t xml:space="preserve"> </w:t>
      </w:r>
      <w:r>
        <w:rPr/>
        <w:t xml:space="preserve">Leiden universiteto Istorijos studentų asociacija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koledžas, Helmondo vidurinė mokykla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Koalitie-Y, Ekonomikos ir socialinių reikalų tarybos jaunimo platforma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koledžas, profesinis vidurinis ugdymas,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vidurinis išsilavinimas, kuriame daugiausia dėmesio skiriama technologiniams dalykams,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Nacionalinė jaunimo taryba (posėdis vyko ne vietoje)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Diskusijų posėdžiuose iš viso dalyvavo 110 jaunuolių. </w:t>
      </w:r>
      <w:r>
        <w:br w:type="page"/>
      </w:r>
    </w:p>
    <w:p>
      <w:pPr>
        <w:pStyle w:val="P68B1DB1Normal126"/>
        <w:spacing w:lineRule="auto" w:line="240"/>
        <w:ind w:left="0" w:right="0" w:hanging="0"/>
        <w:rPr>
          <w:rFonts w:ascii="Calibri" w:hAnsi="Calibri"/>
          <w:color w:val="0070C0"/>
          <w:sz w:val="24"/>
        </w:rPr>
      </w:pPr>
      <w:r>
        <w:rPr/>
        <w:t xml:space="preserve">Naudojami techninės priežiūros metodai </w:t>
      </w:r>
    </w:p>
    <w:p>
      <w:pPr>
        <w:pStyle w:val="P68B1DB1Normal104"/>
        <w:widowControl w:val="false"/>
        <w:spacing w:lineRule="auto" w:line="240" w:before="92" w:after="0"/>
        <w:ind w:left="0" w:right="0" w:hanging="0"/>
        <w:jc w:val="left"/>
        <w:rPr/>
      </w:pPr>
      <w:r>
        <w:rPr/>
        <w:t xml:space="preserve">Internetiniai teminiai dialogai, dialogai su konkrečiomis grupėmis ir dialogai su jaunimu buvo vedami vadinamuoju „sokratinio“ pokalbio metodu. Šis metodas daugelį metų buvo naudojamas Dialogo dieną, kai žmonės visoje Nyderlanduose bendrauja klausimais, kurie turi įtakos jiems. Taikydamas Sokratinės priežiūros metodą moderatorius atsižvelgia į šiuos principus: </w:t>
      </w:r>
    </w:p>
    <w:p>
      <w:pPr>
        <w:pStyle w:val="P68B1DB1Normal105"/>
        <w:widowControl w:val="false"/>
        <w:spacing w:lineRule="auto" w:line="240"/>
        <w:ind w:left="0" w:right="0" w:hanging="0"/>
        <w:jc w:val="left"/>
        <w:rPr/>
      </w:pPr>
      <w:r>
        <w:rPr>
          <w:rFonts w:ascii="Verdana" w:hAnsi="Verdana"/>
        </w:rPr>
        <w:t>•</w:t>
      </w:r>
      <w:r>
        <w:rPr/>
        <w:t xml:space="preserve"> </w:t>
      </w:r>
      <w:r>
        <w:rPr/>
        <w:t xml:space="preserve">Leiskite kitam papasakoti savo istoriją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Neatsakykite</w:t>
      </w:r>
      <w:r>
        <w:rPr/>
        <w:t xml:space="preserve"> </w:t>
      </w:r>
      <w:r>
        <w:rPr>
          <w:rFonts w:ascii="Calibri" w:hAnsi="Calibri"/>
        </w:rPr>
        <w:t xml:space="preserve">iš karto su kita istorija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Elgtis su pagarba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Kalbėkite apie savo požiūrį („radau“, o ne „jie sako“)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Prašyti pateikti daugiau paaiškinimų, jei pareikšta tik bendro pobūdžio nuomonė.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Vengti sprendimų ir juos analizuoti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Suteikti tylos akimirkų, jei žmonės turi galvoti apie akimirką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Dialogų metu naudojamas toks ritmas: skirtumai – konvergencija – skirtumai. Principas yra tas, kad pirmiausia turite skirtis (tiesiogiai išreikšti individualius jausmus ir nuomones), kad galėtumėte susilieti (aptarti galimus kelius) ir galiausiai vėl skirtis (pavyzdžiui, rinkti individualias rekomendacijas). Patirtis ir teorija rodo, kad šis ritmas užtikrina optimalų dialogo srautą.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Visus dialogus vykdė profesionalūs tarpininkai. </w:t>
      </w:r>
    </w:p>
    <w:p>
      <w:pPr>
        <w:pStyle w:val="Normal"/>
        <w:widowControl w:val="false"/>
        <w:spacing w:lineRule="auto" w:line="240" w:before="197" w:after="0"/>
        <w:ind w:left="0" w:right="0" w:hanging="0"/>
        <w:jc w:val="left"/>
        <w:rPr/>
      </w:pPr>
      <w:r>
        <w:rPr>
          <w:rFonts w:ascii="Calibri" w:hAnsi="Calibri"/>
          <w:b/>
          <w:color w:val="0070C0"/>
          <w:sz w:val="32"/>
        </w:rPr>
        <w:t>5. Internetinė visuomenės apklausa: Klausimynas ir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Grupės apklausos klausimyne taip pat galėjo dalyvauti visi Nyderlandai, įskaitant užsienyje gyvenančius asmenis. Tas klausimynas buvo prieinamas nuo 2021 m. rugsėjo</w:t>
      </w:r>
      <w:r>
        <w:rPr>
          <w:position w:val="6"/>
          <w:sz w:val="14"/>
        </w:rPr>
        <w:t>1</w:t>
      </w:r>
      <w:r>
        <w:rPr>
          <w:sz w:val="21"/>
        </w:rPr>
        <w:t xml:space="preserve"> d. iki 2021 m. lapkričio 14 d.; Be to, per tą patį laikotarpį kiekvienas olandas galėjo dalyvauti veiksmuose „Swipen naar de toekomst“ („Swiper to the Future“) – internetinėje priemonėje, kurioje pateikiama 20 pretenzijų. </w:t>
      </w:r>
    </w:p>
    <w:p>
      <w:pPr>
        <w:pStyle w:val="P68B1DB1Normal126"/>
        <w:widowControl w:val="false"/>
        <w:spacing w:lineRule="auto" w:line="240" w:before="14" w:after="0"/>
        <w:ind w:left="0" w:right="0" w:hanging="0"/>
        <w:jc w:val="left"/>
        <w:rPr>
          <w:rFonts w:ascii="Calibri" w:hAnsi="Calibri"/>
          <w:color w:val="0070C0"/>
          <w:sz w:val="24"/>
        </w:rPr>
      </w:pPr>
      <w:r>
        <w:rPr/>
        <w:t xml:space="preserve">Atsakymai ir naudojimas </w:t>
      </w:r>
    </w:p>
    <w:p>
      <w:pPr>
        <w:pStyle w:val="P68B1DB1Normal104"/>
        <w:widowControl w:val="false"/>
        <w:spacing w:lineRule="auto" w:line="240"/>
        <w:ind w:left="0" w:right="0" w:hanging="0"/>
        <w:jc w:val="left"/>
        <w:rPr/>
      </w:pPr>
      <w:r>
        <w:rPr/>
        <w:t xml:space="preserve">Iš viso 1 967 dalyviai užpildė klausimyną, o 6 968 dalyviai buvo iki ekrano nuskaitymo priemonės pabaigos. Klausimynas ir ekrano nuskaitymo įrankis buvo atviri visiems: dalyvavimo sąlygų ar atrankos kriterijų nebuvo. Klausimyne buvo galima užduoti klausimus (nebuvo privalomų klausimų), siekiant kuo labiau padidinti atsakymų skaičių. Dalyviai pasirinko „Aš nenoriu atsakyti“ daug dažniau nei reprezentatyvioje apklausoje. </w:t>
      </w:r>
    </w:p>
    <w:p>
      <w:pPr>
        <w:pStyle w:val="P68B1DB1Normal104"/>
        <w:widowControl w:val="false"/>
        <w:spacing w:lineRule="auto" w:line="240"/>
        <w:ind w:left="0" w:right="0" w:hanging="0"/>
        <w:jc w:val="left"/>
        <w:rPr/>
      </w:pPr>
      <w:r>
        <w:rPr/>
        <w:t xml:space="preserve">Atviro klausimyno ir ekrano skenavimo priemonės dalyvių bendrosios charakteristikos keliais aspektais skiriasi nuo reprezentacinės grupės dalyvių savybių. Priešingai nei grupės apklausa, atviro klausimyno ir ekrano skenavimo priemonės rezultatai nėra reprezentatyvūs. Internetinės atviros apklausos rezultatai buvo panaudoti grupės apklausai papildyti. Juose apžvelgiami Nyderlanduose cirkuliuojantys jausmai ir idėjos. Įvesties laukeliuose paminėti tobulinimo pasiūlymai buvo panaudoti skyriuje „Diskusijos ir idėjos internete ir vietoje“. Ekrano nuskaitymo įrankis buvo naudojamas siekiant geriau suprasti kai kuriuos Nyderlanduose cirkuliuojančius jausmus. Į šiuos rezultatus buvo atsižvelgta rengiant rekomendacijas. Dėl reprezentatyvumo reikalavimo šioje ataskaitoje ribotai atsižvelgta į internetu pradėto tyrimo rezultatus.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Šią ataskaitą skelbia Užsienio reikalų ministerija.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Nuorodos į nacionalinių renginių rezultatus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Belgija</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Bulgarija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3">
        <w:r>
          <w:rPr>
            <w:rStyle w:val="LienInternet"/>
            <w:rFonts w:ascii="Times New Roman" w:hAnsi="Times New Roman"/>
            <w:b/>
            <w:color w:val="0000FF"/>
          </w:rPr>
          <w:t>Čekijos</w:t>
        </w:r>
      </w:hyperlink>
      <w:hyperlink r:id="rId124">
        <w:r>
          <w:rPr>
            <w:rStyle w:val="LienInternet"/>
            <w:rFonts w:ascii="Times New Roman" w:hAnsi="Times New Roman"/>
            <w:b/>
            <w:color w:val="0000FF"/>
          </w:rPr>
          <w:t>Respublika</w:t>
        </w:r>
      </w:hyperlink>
      <w:r>
        <w:rPr>
          <w:rFonts w:ascii="Times New Roman" w:hAnsi="Times New Roman"/>
          <w:color w:val="000000"/>
        </w:rPr>
        <w:t xml:space="preserve"> </w:t>
      </w:r>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Danija</w:t>
        </w:r>
      </w:hyperlink>
    </w:p>
    <w:p>
      <w:pPr>
        <w:pStyle w:val="Normal"/>
        <w:widowControl w:val="false"/>
        <w:spacing w:lineRule="auto" w:line="240"/>
        <w:ind w:left="360" w:right="7697" w:hanging="0"/>
        <w:jc w:val="both"/>
        <w:rPr/>
      </w:pPr>
      <w:hyperlink r:id="rId126">
        <w:r>
          <w:rPr>
            <w:rStyle w:val="LienInternet"/>
            <w:rFonts w:ascii="Times New Roman" w:hAnsi="Times New Roman"/>
            <w:b/>
            <w:color w:val="0000FF"/>
          </w:rPr>
          <w:t>•</w:t>
        </w:r>
      </w:hyperlink>
      <w:hyperlink r:id="rId127">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8">
        <w:r>
          <w:rPr>
            <w:rStyle w:val="LienInternet"/>
            <w:rFonts w:ascii="Times New Roman" w:hAnsi="Times New Roman"/>
            <w:b/>
            <w:color w:val="0000FF"/>
          </w:rPr>
          <w:t>Estija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Airija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Graikija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Ispanija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Prancūzija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Kroatija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Italija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Kipras</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Latvija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7">
        <w:r>
          <w:rPr>
            <w:rStyle w:val="LienInternet"/>
            <w:rFonts w:ascii="Times New Roman" w:hAnsi="Times New Roman"/>
            <w:b/>
            <w:color w:val="0000FF"/>
          </w:rPr>
          <w:t>Lietuva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Liuksemburgas</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9">
        <w:r>
          <w:rPr>
            <w:rStyle w:val="LienInternet"/>
            <w:rFonts w:ascii="Times New Roman" w:hAnsi="Times New Roman"/>
            <w:b/>
            <w:color w:val="0000FF"/>
          </w:rPr>
          <w:t>Vengrija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Nyderlandai</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Austrija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Lenkija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Portugalija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Rumunija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Slovėnija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Slovakija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Suomija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9">
        <w:r>
          <w:rPr>
            <w:rStyle w:val="LienInternet"/>
            <w:rFonts w:ascii="Times New Roman" w:hAnsi="Times New Roman"/>
            <w:b/>
            <w:color w:val="0000FF"/>
          </w:rPr>
          <w:t>Švedija</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Nuoroda į daugiakalbės skaitmeninės platformos ataskaitą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50">
        <w:r>
          <w:rPr>
            <w:rStyle w:val="LienInternet"/>
            <w:color w:val="0000FF"/>
            <w:sz w:val="24"/>
          </w:rPr>
          <w:t>PL</w:t>
        </w:r>
      </w:hyperlink>
      <w:hyperlink r:id="rId151">
        <w:r>
          <w:rPr>
            <w:rStyle w:val="LienInternet"/>
            <w:color w:val="0000FF"/>
            <w:sz w:val="24"/>
          </w:rPr>
          <w:t xml:space="preserve">Konferencijos dėl Europos ateitiesdaugiakalbėnumeforma –2022 m. vasario mėn. ataskaita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Paveikslėlis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aveikslėlis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Europos Sąjunga, 2022 m. leidžiama pakartotinai naudoti, nurodžius šaltinį.</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Šis terminas „europietis“ yra painiojamas.</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keista grupavimas</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keista grupavimas</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keista grupavimas</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kursyvu pradinėje ataskaitoje prancūzų kalba</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originalas buvo „draugas“.</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Aš pridėjau „s“ (daugiskaita suteikta su mokesčiais)</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Aš pridėjau brūkšnys</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pridėjo didžiąją raidę</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Aš pašalinau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originalas turėjo prietaisų skydelį; Nežinau, kas yra prietaisų skydelis; Todėl paprašiau, kad Google išverstų tekstą anglų kalba, kuriame būtų nurodyta „dashboard“, kuris yra suprantamas prancūzų kalba. „eTranslation“ taip pat nurodo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Užrašiau didžiąja raide.</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Aš pridėjau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Aš pridėjau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originalas turėjo „referendus“; kaip ir kitur yra „referendumas“ su akcentais, daugiskaita turi būti „referenda“, naudojant lotynišką deklinaciją.</w:t>
      </w:r>
    </w:p>
    <w:p>
      <w:r>
        <w:rPr>
          <w:rFonts w:ascii="Times New Roman" w:hAnsi="Times New Roman" w:eastAsia="Segoe UI" w:cs="Tahoma"/>
          <w:color w:val="auto"/>
          <w:kern w:val="0"/>
          <w:sz w:val="24"/>
          <w:szCs w:val="24"/>
          <w:lang w:val="en-US" w:eastAsia="en-US" w:bidi="en-US"/>
        </w:rPr>
        <w:t xml:space="preserve">Žiūrėti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taip pat buvo ir „referendų“.</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Originalas buvo „ant stalčiaus mechanizmų sąrašų“? Aš nesuprantu, todėl aš išverčiau iš angliškos versijos.</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Originalas prancūzų kalba buvo „Ombudsmeno svetainė yra gerai sukurta, bet nėra Europos prekės ženklo“. Terminas „prekės ženklas“ yra nesuprantamas. Versija anglų kalba yra "Ombudsmeno interneto svetainė yra gerai parengta, tačiau joje nėra tinkamo europinio „įvaizdžio“, todėl ją pakeisiu suprantamesniu tiesioginiu vertimu į anglų kalbą.</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originalas prancūzų kalba buvo „viešas“, kuris nebuvo suteiktas su „konsultacijomis“. Ar tai buvo viešos konsultacijos, ar viešos konsultacijos?</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buvo „kampų“</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pridėta didžiosiomis raidėmis (komerciniais pavadinimais)</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pakeisti „la“ į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pakeistas „imti“ į „imti“</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pašalinkite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pridėjo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Aš nesuprantu „švilpukas“</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pridėjo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pavadinimas dviem užsienio kalbomis: keista</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Piliečių rekomendacijos, kuriomis grindžiamas pasiūlymas: #3, #17, #18, #19</w:t>
      </w:r>
    </w:p>
  </w:endnote>
  <w:endnote w:id="3">
    <w:p>
      <w:pPr>
        <w:pStyle w:val="Notedefin"/>
        <w:suppressLineNumbers/>
        <w:spacing w:before="57" w:after="57"/>
        <w:ind w:left="339" w:right="0" w:hanging="339"/>
        <w:rPr/>
      </w:pPr>
      <w:r>
        <w:rPr>
          <w:rStyle w:val="Caractresdenotedefin"/>
        </w:rPr>
        <w:endnoteRef/>
      </w:r>
      <w:r>
        <w:rPr/>
        <w:tab/>
      </w:r>
      <w:r>
        <w:rPr/>
        <w:t># = Europos piliečių forumų rekomendacija.</w:t>
      </w:r>
    </w:p>
  </w:endnote>
  <w:endnote w:id="4">
    <w:p>
      <w:pPr>
        <w:pStyle w:val="Notedefin"/>
        <w:suppressLineNumbers/>
        <w:spacing w:before="57" w:after="57"/>
        <w:ind w:left="339" w:right="0" w:hanging="339"/>
        <w:rPr/>
      </w:pPr>
      <w:r>
        <w:rPr>
          <w:rStyle w:val="Caractresdenotedefin"/>
        </w:rPr>
        <w:endnoteRef/>
      </w:r>
      <w:r>
        <w:rPr/>
        <w:tab/>
      </w:r>
      <w:r>
        <w:rPr/>
        <w:t>Piliečių rekomendacijos, kuriomis grindžiamas pasiūlymas: #39, #40, #41, #42, #43, NL1, NL2, #51</w:t>
      </w:r>
    </w:p>
  </w:endnote>
  <w:endnote w:id="5">
    <w:p>
      <w:pPr>
        <w:pStyle w:val="Notedefin"/>
        <w:suppressLineNumbers/>
        <w:spacing w:before="57" w:after="57"/>
        <w:ind w:left="339" w:right="0" w:hanging="339"/>
        <w:rPr/>
      </w:pPr>
      <w:r>
        <w:rPr>
          <w:rStyle w:val="Caractresdenotedefin"/>
        </w:rPr>
        <w:endnoteRef/>
      </w:r>
      <w:r>
        <w:rPr/>
        <w:tab/>
      </w:r>
      <w:r>
        <w:rPr/>
        <w:t>Nacionalinio piliečių forumo rekomendacija</w:t>
      </w:r>
    </w:p>
  </w:endnote>
  <w:endnote w:id="6">
    <w:p>
      <w:pPr>
        <w:pStyle w:val="Notedefin"/>
        <w:suppressLineNumbers/>
        <w:spacing w:before="57" w:after="57"/>
        <w:ind w:left="339" w:right="0" w:hanging="339"/>
        <w:rPr/>
      </w:pPr>
      <w:r>
        <w:rPr>
          <w:rStyle w:val="Caractresdenotedefin"/>
        </w:rPr>
        <w:endnoteRef/>
      </w:r>
      <w:r>
        <w:rPr/>
        <w:tab/>
      </w:r>
      <w:r>
        <w:rPr/>
        <w:t>Piliečių rekomendacijos, kuriomis grindžiamas pasiūlymas: #44, #45, #46, #47, #50</w:t>
      </w:r>
    </w:p>
  </w:endnote>
  <w:endnote w:id="7">
    <w:p>
      <w:pPr>
        <w:pStyle w:val="Notedefin"/>
        <w:suppressLineNumbers/>
        <w:spacing w:before="57" w:after="57"/>
        <w:ind w:left="339" w:right="0" w:hanging="339"/>
        <w:rPr/>
      </w:pPr>
      <w:r>
        <w:rPr>
          <w:rStyle w:val="Caractresdenotedefin"/>
        </w:rPr>
        <w:endnoteRef/>
      </w:r>
      <w:r>
        <w:rPr/>
        <w:tab/>
      </w:r>
      <w:r>
        <w:rPr/>
        <w:t>Piliečių rekomendacijos, kuriomis grindžiamas pasiūlymas: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Nyderlandų piliečių forumo rekomendacijos skiriasi nuo Europos piliečių forumo rekomendacijų: jis teigia, kad sveikatos ir sveikatos priežiūra visų pirma turėtų būti nacionalinė atsakomybė [NL3].</w:t>
      </w:r>
    </w:p>
  </w:endnote>
  <w:endnote w:id="9">
    <w:p>
      <w:pPr>
        <w:pStyle w:val="Notedefin"/>
        <w:suppressLineNumbers/>
        <w:spacing w:before="57" w:after="57"/>
        <w:ind w:left="339" w:right="0" w:hanging="339"/>
        <w:rPr/>
      </w:pPr>
      <w:r>
        <w:rPr>
          <w:rStyle w:val="Caractresdenotedefin"/>
        </w:rPr>
        <w:endnoteRef/>
      </w:r>
      <w:r>
        <w:rPr/>
        <w:tab/>
      </w:r>
      <w:r>
        <w:rPr/>
        <w:t>Piliečių rekomendacijos, kuriomis grindžiamas pasiūlymas: 1-asis Europos piliečių forumas: 9, 10, 11, 12, 14; Olandija: 1. Italija: 1.1. Lietuva: 3, 8.</w:t>
      </w:r>
    </w:p>
  </w:endnote>
  <w:endnote w:id="10">
    <w:p>
      <w:pPr>
        <w:pStyle w:val="Notedefin"/>
        <w:suppressLineNumbers/>
        <w:spacing w:before="57" w:after="57"/>
        <w:ind w:left="339" w:right="0" w:hanging="339"/>
        <w:rPr/>
      </w:pPr>
      <w:r>
        <w:rPr>
          <w:rStyle w:val="Caractresdenotedefin"/>
        </w:rPr>
        <w:endnoteRef/>
      </w:r>
      <w:r>
        <w:rPr/>
        <w:tab/>
      </w:r>
      <w:r>
        <w:rPr/>
        <w:t>Piliečių rekomendacijos, kuriomis grindžiamas pasiūlymas: 1-asis Europos piliečių forumas: 10, 11 ir 14; Vokietija: 2.1, 2.2; Olandija: 1, 2; Prancūzija: 3, 9; Italija: 1,2, 1.3, 1.4, 1.5, 2.1, 2.2, 2,4, 4.a.2, 6.1; Lietuva: 1, 7.</w:t>
      </w:r>
    </w:p>
  </w:endnote>
  <w:endnote w:id="11">
    <w:p>
      <w:pPr>
        <w:pStyle w:val="Notedefin"/>
        <w:suppressLineNumbers/>
        <w:spacing w:before="57" w:after="57"/>
        <w:ind w:left="339" w:right="0" w:hanging="339"/>
        <w:rPr/>
      </w:pPr>
      <w:r>
        <w:rPr>
          <w:rStyle w:val="Caractresdenotedefin"/>
        </w:rPr>
        <w:endnoteRef/>
      </w:r>
      <w:r>
        <w:rPr/>
        <w:tab/>
      </w:r>
      <w:r>
        <w:rPr/>
        <w:t>Piliečių rekomendacijos, kuriomis grindžiamas pasiūlymas: 1-asis Europos piliečių forumas: 1, 2, 7, 28, 30; Vokietija: 4.1, 4.2; Olandija: 4. Prancūzija: 6. Italija: 5.a.1, 5.a.4, 6.1, 6.2.</w:t>
      </w:r>
    </w:p>
  </w:endnote>
  <w:endnote w:id="12">
    <w:p>
      <w:pPr>
        <w:pStyle w:val="Notedefin"/>
        <w:suppressLineNumbers/>
        <w:spacing w:before="57" w:after="57"/>
        <w:ind w:left="339" w:right="0" w:hanging="339"/>
        <w:rPr/>
      </w:pPr>
      <w:r>
        <w:rPr>
          <w:rStyle w:val="Caractresdenotedefin"/>
        </w:rPr>
        <w:endnoteRef/>
      </w:r>
      <w:r>
        <w:rPr/>
        <w:tab/>
      </w:r>
      <w:r>
        <w:rPr/>
        <w:t>Piliečių rekomendacijos, kuriomis grindžiamas pasiūlymas: 1-asis Europos piliečių forumas: 19, 20, 21, 25; Italija: 4.a.1.</w:t>
      </w:r>
    </w:p>
  </w:endnote>
  <w:endnote w:id="13">
    <w:p>
      <w:pPr>
        <w:pStyle w:val="Notedefin"/>
        <w:suppressLineNumbers/>
        <w:spacing w:before="57" w:after="57"/>
        <w:ind w:left="339" w:right="0" w:hanging="339"/>
        <w:rPr/>
      </w:pPr>
      <w:r>
        <w:rPr>
          <w:rStyle w:val="Caractresdenotedefin"/>
        </w:rPr>
        <w:endnoteRef/>
      </w:r>
      <w:r>
        <w:rPr/>
        <w:tab/>
        <w:t xml:space="preserve"> </w:t>
      </w:r>
      <w:r>
        <w:rPr/>
        <w:t>Piliečių rekomendacijos, kuriomis grindžiamas pasiūlymas: 1-asis Europos piliečių forumas: 21, 22, 23, 26, 27; Italija: 5.a.1.</w:t>
      </w:r>
    </w:p>
  </w:endnote>
  <w:endnote w:id="14">
    <w:p>
      <w:pPr>
        <w:pStyle w:val="Notedefin"/>
        <w:suppressLineNumbers/>
        <w:spacing w:before="57" w:after="57"/>
        <w:ind w:left="339" w:right="0" w:hanging="339"/>
        <w:rPr/>
      </w:pPr>
      <w:r>
        <w:rPr>
          <w:rStyle w:val="Caractresdenotedefin"/>
        </w:rPr>
        <w:endnoteRef/>
      </w:r>
      <w:r>
        <w:rPr/>
        <w:tab/>
        <w:t xml:space="preserve"> </w:t>
      </w:r>
      <w:r>
        <w:rPr/>
        <w:t>Piliečių rekomendacijos, kuriomis grindžiamas pasiūlymas: 1-asis Europos piliečių forumas: 13, 31; Olandija: 2.3. Italija: 4.b.3, 4.b.6; Lietuva: 9, 10.</w:t>
      </w:r>
    </w:p>
  </w:endnote>
  <w:endnote w:id="15">
    <w:p>
      <w:pPr>
        <w:pStyle w:val="Notedefin"/>
        <w:suppressLineNumbers/>
        <w:spacing w:before="57" w:after="57"/>
        <w:ind w:left="339" w:right="0" w:hanging="339"/>
        <w:rPr/>
      </w:pPr>
      <w:r>
        <w:rPr>
          <w:rStyle w:val="Caractresdenotedefin"/>
        </w:rPr>
        <w:endnoteRef/>
      </w:r>
      <w:r>
        <w:rPr/>
        <w:tab/>
      </w:r>
      <w:r>
        <w:rPr/>
        <w:t>Remiantis darbo grupės ir plenarinės sesijos diskusijomis.</w:t>
      </w:r>
    </w:p>
  </w:endnote>
  <w:endnote w:id="16">
    <w:p>
      <w:pPr>
        <w:pStyle w:val="Notedefin"/>
        <w:suppressLineNumbers/>
        <w:spacing w:before="57" w:after="57"/>
        <w:ind w:left="339" w:right="0" w:hanging="339"/>
        <w:rPr/>
      </w:pPr>
      <w:r>
        <w:rPr>
          <w:rStyle w:val="Caractresdenotedefin"/>
        </w:rPr>
        <w:endnoteRef/>
      </w:r>
      <w:r>
        <w:rPr/>
        <w:tab/>
      </w:r>
      <w:r>
        <w:rPr/>
        <w:t>Žr. ECP4 rekomendaciją Nr. 1, Vokietijos NKP rekomendaciją Nr. 2, 1 grupės „ES pasaulyje“ ir Italijos NKP 2 grupės rekomendaciją Nr. 1, parengtą darbo grupėje.</w:t>
      </w:r>
    </w:p>
  </w:endnote>
  <w:endnote w:id="17">
    <w:p>
      <w:pPr>
        <w:pStyle w:val="Notedefin"/>
        <w:suppressLineNumbers/>
        <w:spacing w:before="57" w:after="57"/>
        <w:ind w:left="339" w:right="0" w:hanging="339"/>
        <w:rPr/>
      </w:pPr>
      <w:r>
        <w:rPr>
          <w:rStyle w:val="Caractresdenotedefin"/>
        </w:rPr>
        <w:endnoteRef/>
      </w:r>
      <w:r>
        <w:rPr/>
        <w:tab/>
      </w:r>
      <w:r>
        <w:rPr/>
        <w:t>Žr. ECP4 4 rekomendaciją ir Italijos NKP 5 ir 6 rekomendacijas, 2 grupę, parengtą darbo grupėje.</w:t>
      </w:r>
    </w:p>
  </w:endnote>
  <w:endnote w:id="18">
    <w:p>
      <w:pPr>
        <w:pStyle w:val="Notedefin"/>
        <w:suppressLineNumbers/>
        <w:spacing w:before="57" w:after="57"/>
        <w:ind w:left="339" w:right="0" w:hanging="339"/>
        <w:rPr/>
      </w:pPr>
      <w:r>
        <w:rPr>
          <w:rStyle w:val="Caractresdenotedefin"/>
        </w:rPr>
        <w:endnoteRef/>
      </w:r>
      <w:r>
        <w:rPr/>
        <w:tab/>
      </w:r>
      <w:r>
        <w:rPr/>
        <w:t xml:space="preserve">Žr. Italijos NKP 2 grupės skaitmeninę platformą ir 2 bei 3 rekomendacijas, parengtas darbo grupėje,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Žr. EPK 4 rekomendaciją Nr. 14, parengtą darbo grupėje.</w:t>
      </w:r>
    </w:p>
  </w:endnote>
  <w:endnote w:id="20">
    <w:p>
      <w:pPr>
        <w:pStyle w:val="Notedefin"/>
        <w:suppressLineNumbers/>
        <w:spacing w:before="57" w:after="57"/>
        <w:ind w:left="339" w:right="0" w:hanging="339"/>
        <w:rPr/>
      </w:pPr>
      <w:r>
        <w:rPr>
          <w:rStyle w:val="Caractresdenotedefin"/>
        </w:rPr>
        <w:endnoteRef/>
      </w:r>
      <w:r>
        <w:rPr/>
        <w:tab/>
      </w:r>
      <w:r>
        <w:rPr/>
        <w:t>Žr. ECP4 rekomendaciją Nr. 2 ir Italijos NKP 2 rekomendaciją Nr. 4, kurią parengė darbo grupė.</w:t>
      </w:r>
    </w:p>
  </w:endnote>
  <w:endnote w:id="21">
    <w:p>
      <w:pPr>
        <w:pStyle w:val="Notedefin"/>
        <w:suppressLineNumbers/>
        <w:spacing w:before="57" w:after="57"/>
        <w:ind w:left="339" w:right="0" w:hanging="339"/>
        <w:rPr/>
      </w:pPr>
      <w:r>
        <w:rPr>
          <w:rStyle w:val="Caractresdenotedefin"/>
        </w:rPr>
        <w:endnoteRef/>
      </w:r>
      <w:r>
        <w:rPr/>
        <w:tab/>
      </w:r>
      <w:r>
        <w:rPr/>
        <w:t>Žr. ECP4 rekomendaciją Nr. 17 ir Italijos NKP 2 grupės rekomendaciją Nr. 4, parengtą darbo grupėje.</w:t>
      </w:r>
    </w:p>
  </w:endnote>
  <w:endnote w:id="22">
    <w:p>
      <w:pPr>
        <w:pStyle w:val="Notedefin"/>
        <w:suppressLineNumbers/>
        <w:spacing w:before="57" w:after="57"/>
        <w:ind w:left="339" w:right="0" w:hanging="339"/>
        <w:rPr/>
      </w:pPr>
      <w:r>
        <w:rPr>
          <w:rStyle w:val="Caractresdenotedefin"/>
        </w:rPr>
        <w:endnoteRef/>
      </w:r>
      <w:r>
        <w:rPr/>
        <w:tab/>
      </w:r>
      <w:r>
        <w:rPr/>
        <w:t>Žr. Vokietijos NKP 1 rekomendaciją, 1-ąją darbo grupės „ES pasaulyje“ rekomendaciją.</w:t>
      </w:r>
    </w:p>
  </w:endnote>
  <w:endnote w:id="23">
    <w:p>
      <w:pPr>
        <w:pStyle w:val="Notedefin"/>
        <w:suppressLineNumbers/>
        <w:spacing w:before="57" w:after="57"/>
        <w:ind w:left="339" w:right="0" w:hanging="339"/>
        <w:rPr/>
      </w:pPr>
      <w:r>
        <w:rPr>
          <w:rStyle w:val="Caractresdenotedefin"/>
        </w:rPr>
        <w:endnoteRef/>
      </w:r>
      <w:r>
        <w:rPr/>
        <w:tab/>
      </w:r>
      <w:r>
        <w:rPr/>
        <w:t>Žr. EPK 4 rekomendaciją Nr. 3, parengtą darbo grupėje.</w:t>
      </w:r>
    </w:p>
  </w:endnote>
  <w:endnote w:id="24">
    <w:p>
      <w:pPr>
        <w:pStyle w:val="Notedefin"/>
        <w:suppressLineNumbers/>
        <w:spacing w:before="57" w:after="57"/>
        <w:ind w:left="339" w:right="0" w:hanging="339"/>
        <w:rPr/>
      </w:pPr>
      <w:r>
        <w:rPr>
          <w:rStyle w:val="Caractresdenotedefin"/>
        </w:rPr>
        <w:endnoteRef/>
      </w:r>
      <w:r>
        <w:rPr/>
        <w:tab/>
      </w:r>
      <w:r>
        <w:rPr/>
        <w:t>Žr. EPK 4 rekomendaciją Nr. 11, parengtą darbo grupėje.</w:t>
      </w:r>
    </w:p>
  </w:endnote>
  <w:endnote w:id="25">
    <w:p>
      <w:pPr>
        <w:pStyle w:val="Notedefin"/>
        <w:suppressLineNumbers/>
        <w:spacing w:before="57" w:after="57"/>
        <w:ind w:left="339" w:right="0" w:hanging="339"/>
        <w:rPr/>
      </w:pPr>
      <w:r>
        <w:rPr>
          <w:rStyle w:val="Caractresdenotedefin"/>
        </w:rPr>
        <w:endnoteRef/>
      </w:r>
      <w:r>
        <w:rPr/>
        <w:tab/>
      </w:r>
      <w:r>
        <w:rPr/>
        <w:t>Žr. EPK 4 rekomendaciją Nr. 13, parengtą darbo grupėje.</w:t>
      </w:r>
    </w:p>
  </w:endnote>
  <w:endnote w:id="26">
    <w:p>
      <w:pPr>
        <w:pStyle w:val="Notedefin"/>
        <w:suppressLineNumbers/>
        <w:spacing w:before="57" w:after="57"/>
        <w:ind w:left="339" w:right="0" w:hanging="339"/>
        <w:rPr/>
      </w:pPr>
      <w:r>
        <w:rPr>
          <w:rStyle w:val="Caractresdenotedefin"/>
        </w:rPr>
        <w:endnoteRef/>
      </w:r>
      <w:r>
        <w:rPr/>
        <w:tab/>
      </w:r>
      <w:r>
        <w:rPr/>
        <w:t>Žr. EPP 4 rekomendaciją Nr. 15, parengtą darbo grupėje.</w:t>
      </w:r>
    </w:p>
  </w:endnote>
  <w:endnote w:id="27">
    <w:p>
      <w:pPr>
        <w:pStyle w:val="Notedefin"/>
        <w:suppressLineNumbers/>
        <w:spacing w:before="57" w:after="57"/>
        <w:ind w:left="339" w:right="0" w:hanging="339"/>
        <w:rPr/>
      </w:pPr>
      <w:r>
        <w:rPr>
          <w:rStyle w:val="Caractresdenotedefin"/>
        </w:rPr>
        <w:endnoteRef/>
      </w:r>
      <w:r>
        <w:rPr/>
        <w:tab/>
      </w:r>
      <w:r>
        <w:rPr/>
        <w:t>Žr. EPK 4 rekomendaciją Nr. 16, parengtą darbo grupėje.</w:t>
      </w:r>
    </w:p>
  </w:endnote>
  <w:endnote w:id="28">
    <w:p>
      <w:pPr>
        <w:pStyle w:val="Notedefin"/>
        <w:suppressLineNumbers/>
        <w:spacing w:before="57" w:after="57"/>
        <w:ind w:left="339" w:right="0" w:hanging="339"/>
        <w:rPr/>
      </w:pPr>
      <w:r>
        <w:rPr>
          <w:rStyle w:val="Caractresdenotedefin"/>
        </w:rPr>
        <w:endnoteRef/>
      </w:r>
      <w:r>
        <w:rPr/>
        <w:tab/>
      </w:r>
      <w:r>
        <w:rPr/>
        <w:t>Žr. EPK 4 rekomendaciją Nr. 12, parengtą darbo grupėje.</w:t>
      </w:r>
    </w:p>
  </w:endnote>
  <w:endnote w:id="29">
    <w:p>
      <w:pPr>
        <w:pStyle w:val="Notedefin"/>
        <w:suppressLineNumbers/>
        <w:spacing w:before="57" w:after="57"/>
        <w:ind w:left="339" w:right="0" w:hanging="339"/>
        <w:rPr/>
      </w:pPr>
      <w:r>
        <w:rPr>
          <w:rStyle w:val="Caractresdenotedefin"/>
        </w:rPr>
        <w:endnoteRef/>
      </w:r>
      <w:r>
        <w:rPr/>
        <w:tab/>
      </w:r>
      <w:r>
        <w:rPr/>
        <w:t>Žr. EPK 4 rekomendaciją Nr. 21, parengtą darbo grupėje.</w:t>
      </w:r>
    </w:p>
  </w:endnote>
  <w:endnote w:id="30">
    <w:p>
      <w:pPr>
        <w:pStyle w:val="Notedefin"/>
        <w:suppressLineNumbers/>
        <w:spacing w:before="57" w:after="57"/>
        <w:ind w:left="339" w:right="0" w:hanging="339"/>
        <w:rPr/>
      </w:pPr>
      <w:r>
        <w:rPr>
          <w:rStyle w:val="Caractresdenotedefin"/>
        </w:rPr>
        <w:endnoteRef/>
      </w:r>
      <w:r>
        <w:rPr/>
        <w:tab/>
      </w:r>
      <w:r>
        <w:rPr/>
        <w:t>Žr. darbo grupėje sukurtą skaitmeninę platformą.</w:t>
      </w:r>
    </w:p>
  </w:endnote>
  <w:endnote w:id="31">
    <w:p>
      <w:pPr>
        <w:pStyle w:val="Notedefin"/>
        <w:suppressLineNumbers/>
        <w:spacing w:before="57" w:after="57"/>
        <w:ind w:left="339" w:right="0" w:hanging="339"/>
        <w:rPr/>
      </w:pPr>
      <w:r>
        <w:rPr>
          <w:rStyle w:val="Caractresdenotedefin"/>
        </w:rPr>
        <w:endnoteRef/>
      </w:r>
      <w:r>
        <w:rPr/>
        <w:tab/>
      </w:r>
      <w:r>
        <w:rPr/>
        <w:t>Žr. darbo grupėje sukurtą skaitmeninę platformą.</w:t>
      </w:r>
    </w:p>
  </w:endnote>
  <w:endnote w:id="32">
    <w:p>
      <w:pPr>
        <w:pStyle w:val="Notedefin"/>
        <w:suppressLineNumbers/>
        <w:spacing w:before="57" w:after="57"/>
        <w:ind w:left="339" w:right="0" w:hanging="339"/>
        <w:rPr/>
      </w:pPr>
      <w:r>
        <w:rPr>
          <w:rStyle w:val="Caractresdenotedefin"/>
        </w:rPr>
        <w:endnoteRef/>
      </w:r>
      <w:r>
        <w:rPr/>
        <w:tab/>
      </w:r>
      <w:r>
        <w:rPr/>
        <w:t>Žr. EPP 4 26 rekomendaciją, parengtą darbo grupėje.</w:t>
      </w:r>
    </w:p>
  </w:endnote>
  <w:endnote w:id="33">
    <w:p>
      <w:pPr>
        <w:pStyle w:val="Notedefin"/>
        <w:suppressLineNumbers/>
        <w:spacing w:before="57" w:after="57"/>
        <w:ind w:left="339" w:right="0" w:hanging="339"/>
        <w:rPr/>
      </w:pPr>
      <w:r>
        <w:rPr>
          <w:rStyle w:val="Caractresdenotedefin"/>
        </w:rPr>
        <w:endnoteRef/>
      </w:r>
      <w:r>
        <w:rPr/>
        <w:tab/>
      </w:r>
      <w:r>
        <w:rPr/>
        <w:t>Žr. EPK 4 rekomendaciją Nr. 18, parengtą darbo grupėje.</w:t>
      </w:r>
    </w:p>
  </w:endnote>
  <w:endnote w:id="34">
    <w:p>
      <w:pPr>
        <w:pStyle w:val="Notedefin"/>
        <w:suppressLineNumbers/>
        <w:spacing w:before="57" w:after="57"/>
        <w:ind w:left="339" w:right="0" w:hanging="339"/>
        <w:rPr/>
      </w:pPr>
      <w:r>
        <w:rPr>
          <w:rStyle w:val="Caractresdenotedefin"/>
        </w:rPr>
        <w:endnoteRef/>
      </w:r>
      <w:r>
        <w:rPr/>
        <w:tab/>
      </w:r>
      <w:r>
        <w:rPr/>
        <w:t>Žr. EPK 4 rekomendaciją Nr. 19, parengtą darbo grupėje.</w:t>
      </w:r>
    </w:p>
  </w:endnote>
  <w:endnote w:id="35">
    <w:p>
      <w:pPr>
        <w:pStyle w:val="Notedefin"/>
        <w:suppressLineNumbers/>
        <w:spacing w:before="57" w:after="57"/>
        <w:ind w:left="339" w:right="0" w:hanging="339"/>
        <w:rPr/>
      </w:pPr>
      <w:r>
        <w:rPr>
          <w:rStyle w:val="Caractresdenotedefin"/>
        </w:rPr>
        <w:endnoteRef/>
      </w:r>
      <w:r>
        <w:rPr/>
        <w:tab/>
      </w:r>
      <w:r>
        <w:rPr/>
        <w:t>Žr. EPK 4 rekomendaciją Nr. 19, parengtą darbo grupėje.</w:t>
      </w:r>
    </w:p>
  </w:endnote>
  <w:endnote w:id="36">
    <w:p>
      <w:pPr>
        <w:pStyle w:val="Notedefin"/>
        <w:suppressLineNumbers/>
        <w:spacing w:before="57" w:after="57"/>
        <w:ind w:left="339" w:right="0" w:hanging="339"/>
        <w:rPr/>
      </w:pPr>
      <w:r>
        <w:rPr>
          <w:rStyle w:val="Caractresdenotedefin"/>
        </w:rPr>
        <w:endnoteRef/>
      </w:r>
      <w:r>
        <w:rPr/>
        <w:tab/>
      </w:r>
      <w:r>
        <w:rPr/>
        <w:t>Žr. EKP 4 rekomendaciją Nr. 25.</w:t>
      </w:r>
    </w:p>
  </w:endnote>
  <w:endnote w:id="37">
    <w:p>
      <w:pPr>
        <w:pStyle w:val="Notedefin"/>
        <w:suppressLineNumbers/>
        <w:spacing w:before="57" w:after="57"/>
        <w:ind w:left="339" w:right="0" w:hanging="339"/>
        <w:rPr/>
      </w:pPr>
      <w:r>
        <w:rPr>
          <w:rStyle w:val="Caractresdenotedefin"/>
        </w:rPr>
        <w:endnoteRef/>
      </w:r>
      <w:r>
        <w:rPr/>
        <w:tab/>
      </w:r>
      <w:r>
        <w:rPr/>
        <w:t>Remiantis darbo grupės ir plenarinės sesijos diskusijomis.</w:t>
      </w:r>
    </w:p>
  </w:endnote>
  <w:endnote w:id="38">
    <w:p>
      <w:pPr>
        <w:pStyle w:val="Notedefin"/>
        <w:suppressLineNumbers/>
        <w:spacing w:before="57" w:after="57"/>
        <w:ind w:left="339" w:right="0" w:hanging="339"/>
        <w:rPr/>
      </w:pPr>
      <w:r>
        <w:rPr>
          <w:rStyle w:val="Caractresdenotedefin"/>
        </w:rPr>
        <w:endnoteRef/>
      </w:r>
      <w:r>
        <w:rPr/>
        <w:tab/>
      </w:r>
      <w:r>
        <w:rPr/>
        <w:t>Žr. Prancūzijos nacionalinės ekspertų grupės/renginių 2 pakeitimą.</w:t>
      </w:r>
    </w:p>
  </w:endnote>
  <w:endnote w:id="39">
    <w:p>
      <w:pPr>
        <w:pStyle w:val="Notedefin"/>
        <w:suppressLineNumbers/>
        <w:spacing w:before="57" w:after="57"/>
        <w:ind w:left="339" w:right="0" w:hanging="339"/>
        <w:rPr/>
      </w:pPr>
      <w:r>
        <w:rPr>
          <w:rStyle w:val="Caractresdenotedefin"/>
        </w:rPr>
        <w:endnoteRef/>
      </w:r>
      <w:r>
        <w:rPr/>
        <w:tab/>
      </w:r>
      <w:r>
        <w:rPr/>
        <w:t>Žr. ECP4 20 rekomendaciją ir Italijos 2 grupės NKP 7 rekomendaciją, parengtą darbo grupėje.</w:t>
      </w:r>
    </w:p>
  </w:endnote>
  <w:endnote w:id="40">
    <w:p>
      <w:pPr>
        <w:pStyle w:val="Notedefin"/>
        <w:suppressLineNumbers/>
        <w:spacing w:before="57" w:after="57"/>
        <w:ind w:left="339" w:right="0" w:hanging="339"/>
        <w:rPr/>
      </w:pPr>
      <w:r>
        <w:rPr>
          <w:rStyle w:val="Caractresdenotedefin"/>
        </w:rPr>
        <w:endnoteRef/>
      </w:r>
      <w:r>
        <w:rPr/>
        <w:tab/>
      </w:r>
      <w:r>
        <w:rPr/>
        <w:t>Žr. Prancūzijos nacionalinės piliečių grupės 2 pakeitimą.</w:t>
      </w:r>
    </w:p>
  </w:endnote>
  <w:endnote w:id="41">
    <w:p>
      <w:pPr>
        <w:pStyle w:val="Notedefin"/>
        <w:suppressLineNumbers/>
        <w:spacing w:before="57" w:after="57"/>
        <w:ind w:left="339" w:right="0" w:hanging="339"/>
        <w:rPr/>
      </w:pPr>
      <w:r>
        <w:rPr>
          <w:rStyle w:val="Caractresdenotedefin"/>
        </w:rPr>
        <w:endnoteRef/>
      </w:r>
      <w:r>
        <w:rPr/>
        <w:tab/>
      </w:r>
      <w:r>
        <w:rPr/>
        <w:t>Žr. ECP4 24 rekomendaciją ir Italijos 2 grupės NKP 7 rekomendaciją, parengtą darbo grupėje.</w:t>
      </w:r>
    </w:p>
  </w:endnote>
  <w:endnote w:id="42">
    <w:p>
      <w:pPr>
        <w:pStyle w:val="Notedefin"/>
        <w:suppressLineNumbers/>
        <w:spacing w:before="57" w:after="57"/>
        <w:ind w:left="339" w:right="0" w:hanging="339"/>
        <w:rPr/>
      </w:pPr>
      <w:r>
        <w:rPr>
          <w:rStyle w:val="Caractresdenotedefin"/>
        </w:rPr>
        <w:endnoteRef/>
      </w:r>
      <w:r>
        <w:rPr/>
        <w:tab/>
      </w:r>
      <w:r>
        <w:rPr/>
        <w:t>Žr. EPK 4 rekomendaciją Nr. 22, parengtą darbo grupėje.</w:t>
      </w:r>
    </w:p>
  </w:endnote>
  <w:endnote w:id="43">
    <w:p>
      <w:pPr>
        <w:pStyle w:val="Notedefin"/>
        <w:suppressLineNumbers/>
        <w:spacing w:before="57" w:after="57"/>
        <w:ind w:left="339" w:right="0" w:hanging="339"/>
        <w:rPr/>
      </w:pPr>
      <w:r>
        <w:rPr>
          <w:rStyle w:val="Caractresdenotedefin"/>
        </w:rPr>
        <w:endnoteRef/>
      </w:r>
      <w:r>
        <w:rPr/>
        <w:tab/>
      </w:r>
      <w:r>
        <w:rPr/>
        <w:t>Žr. Nyderlandų nacionalinės piliečių grupės 1 rekomendaciją „ES pasaulyje“, parengtą darbo grupėje.</w:t>
      </w:r>
    </w:p>
  </w:endnote>
  <w:endnote w:id="44">
    <w:p>
      <w:pPr>
        <w:pStyle w:val="Notedefin"/>
        <w:suppressLineNumbers/>
        <w:spacing w:before="57" w:after="57"/>
        <w:ind w:left="339" w:right="0" w:hanging="339"/>
        <w:rPr/>
      </w:pPr>
      <w:r>
        <w:rPr>
          <w:rStyle w:val="Caractresdenotedefin"/>
        </w:rPr>
        <w:endnoteRef/>
      </w:r>
      <w:r>
        <w:rPr/>
        <w:tab/>
      </w:r>
      <w:r>
        <w:rPr/>
        <w:t>Žr. darbo grupėje parengtą skaitmeninę platformą ir plenarinių posėdžių diskusijas.</w:t>
      </w:r>
    </w:p>
  </w:endnote>
  <w:endnote w:id="45">
    <w:p>
      <w:pPr>
        <w:pStyle w:val="Notedefin"/>
        <w:suppressLineNumbers/>
        <w:spacing w:before="57" w:after="57"/>
        <w:ind w:left="339" w:right="0" w:hanging="339"/>
        <w:rPr/>
      </w:pPr>
      <w:r>
        <w:rPr>
          <w:rStyle w:val="Caractresdenotedefin"/>
        </w:rPr>
        <w:endnoteRef/>
      </w:r>
      <w:r>
        <w:rPr/>
        <w:tab/>
      </w:r>
      <w:r>
        <w:rPr/>
        <w:t>Žr. darbo grupėje sukurtą skaitmeninę platformą.</w:t>
      </w:r>
    </w:p>
  </w:endnote>
  <w:endnote w:id="46">
    <w:p>
      <w:pPr>
        <w:pStyle w:val="Notedefin"/>
        <w:suppressLineNumbers/>
        <w:spacing w:before="57" w:after="57"/>
        <w:ind w:left="339" w:right="0" w:hanging="339"/>
        <w:rPr/>
      </w:pPr>
      <w:r>
        <w:rPr>
          <w:rStyle w:val="Caractresdenotedefin"/>
        </w:rPr>
        <w:endnoteRef/>
      </w:r>
      <w:r>
        <w:rPr/>
        <w:tab/>
      </w:r>
      <w:r>
        <w:rPr/>
        <w:t>Piliečių rekomendacijos, kuriomis grindžiamas pasiūlymas: 2 Europos piliečių forumas (CEP 2) 10, 11, 14, 30; Belgijos nacionalinis piliečių forumas (NCP): 1.3.1, 1.4.2, 1.4.3; Vokietijos NKP: 5.1, 5.2; Nyderlandų NKP: 1.2.</w:t>
      </w:r>
    </w:p>
  </w:endnote>
  <w:endnote w:id="47">
    <w:p>
      <w:pPr>
        <w:pStyle w:val="Notedefin"/>
        <w:suppressLineNumbers/>
        <w:spacing w:before="57" w:after="57"/>
        <w:ind w:left="339" w:right="0" w:hanging="339"/>
        <w:rPr/>
      </w:pPr>
      <w:r>
        <w:rPr>
          <w:rStyle w:val="Caractresdenotedefin"/>
        </w:rPr>
        <w:endnoteRef/>
      </w:r>
      <w:r>
        <w:rPr/>
        <w:tab/>
      </w:r>
      <w:r>
        <w:rPr/>
        <w:t>ECP2 rekomendacija Nr. 14. Belgijos NKP 1.3.1, 1.4.2 ir 1.4.3 rekomendacijos ir Nyderlandų NKP 1.2 rekomendacijos.</w:t>
      </w:r>
    </w:p>
  </w:endnote>
  <w:endnote w:id="48">
    <w:p>
      <w:pPr>
        <w:pStyle w:val="Notedefin"/>
        <w:suppressLineNumbers/>
        <w:spacing w:before="57" w:after="57"/>
        <w:ind w:left="339" w:right="0" w:hanging="339"/>
        <w:rPr/>
      </w:pPr>
      <w:r>
        <w:rPr>
          <w:rStyle w:val="Caractresdenotedefin"/>
        </w:rPr>
        <w:endnoteRef/>
      </w:r>
      <w:r>
        <w:rPr/>
        <w:tab/>
      </w:r>
      <w:r>
        <w:rPr/>
        <w:t>ECP rekomendacija Nr. 112. Vokietijos NKP 5.1 ir 5.2 rekomendacijos. Diskusijos darbo grupėje.</w:t>
      </w:r>
    </w:p>
  </w:endnote>
  <w:endnote w:id="49">
    <w:p>
      <w:pPr>
        <w:pStyle w:val="Notedefin"/>
        <w:suppressLineNumbers/>
        <w:spacing w:before="57" w:after="57"/>
        <w:ind w:left="339" w:right="0" w:hanging="339"/>
        <w:rPr/>
      </w:pPr>
      <w:r>
        <w:rPr>
          <w:rStyle w:val="Caractresdenotedefin"/>
        </w:rPr>
        <w:endnoteRef/>
      </w:r>
      <w:r>
        <w:rPr/>
        <w:tab/>
      </w:r>
      <w:r>
        <w:rPr/>
        <w:t>ECP rekomendacija Nr. 112. Diskusijos darbo grupėje. Diskusijos plenarinėje sesijoje.</w:t>
      </w:r>
    </w:p>
  </w:endnote>
  <w:endnote w:id="50">
    <w:p>
      <w:pPr>
        <w:pStyle w:val="Notedefin"/>
        <w:suppressLineNumbers/>
        <w:spacing w:before="57" w:after="57"/>
        <w:ind w:left="339" w:right="0" w:hanging="339"/>
        <w:rPr/>
      </w:pPr>
      <w:r>
        <w:rPr>
          <w:rStyle w:val="Caractresdenotedefin"/>
        </w:rPr>
        <w:endnoteRef/>
      </w:r>
      <w:r>
        <w:rPr/>
        <w:tab/>
      </w:r>
      <w:r>
        <w:rPr/>
        <w:t>ECP2 rekomendacija Nr. 10.</w:t>
      </w:r>
    </w:p>
  </w:endnote>
  <w:endnote w:id="51">
    <w:p>
      <w:pPr>
        <w:pStyle w:val="Notedefin"/>
        <w:suppressLineNumbers/>
        <w:spacing w:before="57" w:after="57"/>
        <w:ind w:left="339" w:right="0" w:hanging="339"/>
        <w:rPr/>
      </w:pPr>
      <w:r>
        <w:rPr>
          <w:rStyle w:val="Caractresdenotedefin"/>
        </w:rPr>
        <w:endnoteRef/>
      </w:r>
      <w:r>
        <w:rPr/>
        <w:tab/>
      </w:r>
      <w:r>
        <w:rPr/>
        <w:t>ECP rekomendacija Nr. 302.</w:t>
      </w:r>
    </w:p>
  </w:endnote>
  <w:endnote w:id="52">
    <w:p>
      <w:pPr>
        <w:pStyle w:val="Notedefin"/>
        <w:suppressLineNumbers/>
        <w:spacing w:before="57" w:after="57"/>
        <w:ind w:left="339" w:right="0" w:hanging="339"/>
        <w:rPr/>
      </w:pPr>
      <w:r>
        <w:rPr>
          <w:rStyle w:val="Caractresdenotedefin"/>
        </w:rPr>
        <w:endnoteRef/>
      </w:r>
      <w:r>
        <w:rPr/>
        <w:tab/>
      </w:r>
      <w:r>
        <w:rPr/>
        <w:t>Piliečių rekomendacijos, kuriomis grindžiamas pasiūlymas: PCE2: 7, 8, 9; Nyderlandų NKP: 1.3, 4.3.</w:t>
      </w:r>
    </w:p>
  </w:endnote>
  <w:endnote w:id="53">
    <w:p>
      <w:pPr>
        <w:pStyle w:val="Notedefin"/>
        <w:suppressLineNumbers/>
        <w:spacing w:before="57" w:after="57"/>
        <w:ind w:left="339" w:right="0" w:hanging="339"/>
        <w:rPr/>
      </w:pPr>
      <w:r>
        <w:rPr>
          <w:rStyle w:val="Caractresdenotedefin"/>
        </w:rPr>
        <w:endnoteRef/>
      </w:r>
      <w:r>
        <w:rPr/>
        <w:tab/>
      </w:r>
      <w:r>
        <w:rPr/>
        <w:t>ECP2 7 rekomendacija. Diskusijos darbo grupėje.</w:t>
      </w:r>
    </w:p>
  </w:endnote>
  <w:endnote w:id="54">
    <w:p>
      <w:pPr>
        <w:pStyle w:val="Notedefin"/>
        <w:suppressLineNumbers/>
        <w:spacing w:before="57" w:after="57"/>
        <w:ind w:left="339" w:right="0" w:hanging="339"/>
        <w:rPr/>
      </w:pPr>
      <w:r>
        <w:rPr>
          <w:rStyle w:val="Caractresdenotedefin"/>
        </w:rPr>
        <w:endnoteRef/>
      </w:r>
      <w:r>
        <w:rPr/>
        <w:tab/>
      </w:r>
      <w:r>
        <w:rPr/>
        <w:t>Šį klausimą taip pat aptarė Skaitmeninės pertvarkos darbo grupė.</w:t>
      </w:r>
    </w:p>
  </w:endnote>
  <w:endnote w:id="55">
    <w:p>
      <w:pPr>
        <w:pStyle w:val="Notedefin"/>
        <w:suppressLineNumbers/>
        <w:spacing w:before="57" w:after="57"/>
        <w:ind w:left="339" w:right="0" w:hanging="339"/>
        <w:rPr/>
      </w:pPr>
      <w:r>
        <w:rPr>
          <w:rStyle w:val="Caractresdenotedefin"/>
        </w:rPr>
        <w:endnoteRef/>
      </w:r>
      <w:r>
        <w:rPr/>
        <w:tab/>
      </w:r>
      <w:r>
        <w:rPr/>
        <w:t>ECP2 rekomendacija Nr. 9.</w:t>
      </w:r>
    </w:p>
  </w:endnote>
  <w:endnote w:id="56">
    <w:p>
      <w:pPr>
        <w:pStyle w:val="Notedefin"/>
        <w:suppressLineNumbers/>
        <w:spacing w:before="57" w:after="57"/>
        <w:ind w:left="339" w:right="0" w:hanging="339"/>
        <w:rPr/>
      </w:pPr>
      <w:r>
        <w:rPr>
          <w:rStyle w:val="Caractresdenotedefin"/>
        </w:rPr>
        <w:endnoteRef/>
      </w:r>
      <w:r>
        <w:rPr/>
        <w:tab/>
      </w:r>
      <w:r>
        <w:rPr/>
        <w:t>Šį klausimą taip pat aptarė Skaitmeninės pertvarkos darbo grupė.</w:t>
      </w:r>
    </w:p>
  </w:endnote>
  <w:endnote w:id="57">
    <w:p>
      <w:pPr>
        <w:pStyle w:val="Notedefin"/>
        <w:suppressLineNumbers/>
        <w:spacing w:before="57" w:after="57"/>
        <w:ind w:left="339" w:right="0" w:hanging="339"/>
        <w:rPr/>
      </w:pPr>
      <w:r>
        <w:rPr>
          <w:rStyle w:val="Caractresdenotedefin"/>
        </w:rPr>
        <w:endnoteRef/>
      </w:r>
      <w:r>
        <w:rPr/>
        <w:tab/>
      </w:r>
      <w:r>
        <w:rPr/>
        <w:t>ECP2 8 rekomendacija. Nyderlandų NKP 1.3 ir 4.3 rekomendacijos.</w:t>
      </w:r>
    </w:p>
  </w:endnote>
  <w:endnote w:id="58">
    <w:p>
      <w:pPr>
        <w:pStyle w:val="Notedefin"/>
        <w:suppressLineNumbers/>
        <w:spacing w:before="57" w:after="57"/>
        <w:ind w:left="339" w:right="0" w:hanging="339"/>
        <w:rPr/>
      </w:pPr>
      <w:r>
        <w:rPr>
          <w:rStyle w:val="Caractresdenotedefin"/>
        </w:rPr>
        <w:endnoteRef/>
      </w:r>
      <w:r>
        <w:rPr/>
        <w:tab/>
      </w:r>
      <w:r>
        <w:rPr/>
        <w:t>ECP2 rekomendacijos Nr. 7 ir 8.</w:t>
      </w:r>
    </w:p>
  </w:endnote>
  <w:endnote w:id="59">
    <w:p>
      <w:pPr>
        <w:pStyle w:val="Notedefin"/>
        <w:suppressLineNumbers/>
        <w:spacing w:before="57" w:after="57"/>
        <w:ind w:left="339" w:right="0" w:hanging="339"/>
        <w:rPr/>
      </w:pPr>
      <w:r>
        <w:rPr>
          <w:rStyle w:val="Caractresdenotedefin"/>
        </w:rPr>
        <w:endnoteRef/>
      </w:r>
      <w:r>
        <w:rPr/>
        <w:tab/>
      </w:r>
      <w:r>
        <w:rPr/>
        <w:t>Šį klausimą taip pat aptarė Skaitmeninės pertvarkos darbo grupė.</w:t>
      </w:r>
    </w:p>
  </w:endnote>
  <w:endnote w:id="60">
    <w:p>
      <w:pPr>
        <w:pStyle w:val="Notedefin"/>
        <w:suppressLineNumbers/>
        <w:spacing w:before="57" w:after="57"/>
        <w:ind w:left="339" w:right="0" w:hanging="339"/>
        <w:rPr/>
      </w:pPr>
      <w:r>
        <w:rPr>
          <w:rStyle w:val="Caractresdenotedefin"/>
        </w:rPr>
        <w:endnoteRef/>
      </w:r>
      <w:r>
        <w:rPr/>
        <w:tab/>
      </w:r>
      <w:r>
        <w:rPr/>
        <w:t>Piliečių rekomendacijos, kuriomis grindžiamas pasiūlymas: PCE2: 5, 12, 13, 17, 28; Belgijos NKP: 1.5.1, 2.1.1–2.4.3; Nyderlandų NKP: 3.1.</w:t>
      </w:r>
    </w:p>
  </w:endnote>
  <w:endnote w:id="61">
    <w:p>
      <w:pPr>
        <w:pStyle w:val="Notedefin"/>
        <w:suppressLineNumbers/>
        <w:spacing w:before="57" w:after="57"/>
        <w:ind w:left="339" w:right="0" w:hanging="339"/>
        <w:rPr/>
      </w:pPr>
      <w:r>
        <w:rPr>
          <w:rStyle w:val="Caractresdenotedefin"/>
        </w:rPr>
        <w:endnoteRef/>
      </w:r>
      <w:r>
        <w:rPr/>
        <w:tab/>
      </w:r>
      <w:r>
        <w:rPr/>
        <w:t>ECP 2 rekomendacija Nr. 5. Belgijos NKP 2.1.1 rekomendacija. Nyderlandų NKP 3.1 rekomendacija.</w:t>
      </w:r>
    </w:p>
  </w:endnote>
  <w:endnote w:id="62">
    <w:p>
      <w:pPr>
        <w:pStyle w:val="Notedefin"/>
        <w:suppressLineNumbers/>
        <w:spacing w:before="57" w:after="57"/>
        <w:ind w:left="339" w:right="0" w:hanging="339"/>
        <w:rPr/>
      </w:pPr>
      <w:r>
        <w:rPr>
          <w:rStyle w:val="Caractresdenotedefin"/>
        </w:rPr>
        <w:endnoteRef/>
      </w:r>
      <w:r>
        <w:rPr/>
        <w:tab/>
      </w:r>
      <w:r>
        <w:rPr/>
        <w:t>ECP rekomendacija Nr. 122. Belgijos NKP 2.1.4 rekomendacija.</w:t>
      </w:r>
    </w:p>
  </w:endnote>
  <w:endnote w:id="63">
    <w:p>
      <w:pPr>
        <w:pStyle w:val="Notedefin"/>
        <w:suppressLineNumbers/>
        <w:spacing w:before="57" w:after="57"/>
        <w:ind w:left="339" w:right="0" w:hanging="339"/>
        <w:rPr/>
      </w:pPr>
      <w:r>
        <w:rPr>
          <w:rStyle w:val="Caractresdenotedefin"/>
        </w:rPr>
        <w:endnoteRef/>
      </w:r>
      <w:r>
        <w:rPr/>
        <w:tab/>
      </w:r>
      <w:r>
        <w:rPr/>
        <w:t>PCE2 rekomendacijos Nr. 17 ir 28. Belgijos NKP 1.5.1, 2.1.3, 2.2.1 ir 2.2.2 rekomendacijos.</w:t>
      </w:r>
    </w:p>
  </w:endnote>
  <w:endnote w:id="64">
    <w:p>
      <w:pPr>
        <w:pStyle w:val="Notedefin"/>
        <w:suppressLineNumbers/>
        <w:spacing w:before="57" w:after="57"/>
        <w:ind w:left="339" w:right="0" w:hanging="339"/>
        <w:rPr/>
      </w:pPr>
      <w:r>
        <w:rPr>
          <w:rStyle w:val="Caractresdenotedefin"/>
        </w:rPr>
        <w:endnoteRef/>
      </w:r>
      <w:r>
        <w:rPr/>
        <w:tab/>
      </w:r>
      <w:r>
        <w:rPr/>
        <w:t>Šį klausimą taip pat aptarė Skaitmeninės pertvarkos darbo grupė.</w:t>
      </w:r>
    </w:p>
  </w:endnote>
  <w:endnote w:id="65">
    <w:p>
      <w:pPr>
        <w:pStyle w:val="Notedefin"/>
        <w:suppressLineNumbers/>
        <w:spacing w:before="57" w:after="57"/>
        <w:ind w:left="339" w:right="0" w:hanging="339"/>
        <w:rPr/>
      </w:pPr>
      <w:r>
        <w:rPr>
          <w:rStyle w:val="Caractresdenotedefin"/>
        </w:rPr>
        <w:endnoteRef/>
      </w:r>
      <w:r>
        <w:rPr/>
        <w:tab/>
      </w:r>
      <w:r>
        <w:rPr/>
        <w:t>PCE2 rekomendacijos Nr. 5 ir 28. Belgijos NKP 2.3.2 ir 2.3.3 rekomendacijos.</w:t>
      </w:r>
    </w:p>
  </w:endnote>
  <w:endnote w:id="66">
    <w:p>
      <w:pPr>
        <w:pStyle w:val="Notedefin"/>
        <w:suppressLineNumbers/>
        <w:spacing w:before="57" w:after="57"/>
        <w:ind w:left="339" w:right="0" w:hanging="339"/>
        <w:rPr/>
      </w:pPr>
      <w:r>
        <w:rPr>
          <w:rStyle w:val="Caractresdenotedefin"/>
        </w:rPr>
        <w:endnoteRef/>
      </w:r>
      <w:r>
        <w:rPr/>
        <w:tab/>
      </w:r>
      <w:r>
        <w:rPr/>
        <w:t>ECP rekomendacija Nr. 282. Belgijos NKP 2.3.1, 2.4.1 ir 2.4.2 rekomendacijos.</w:t>
      </w:r>
    </w:p>
  </w:endnote>
  <w:endnote w:id="67">
    <w:p>
      <w:pPr>
        <w:pStyle w:val="Notedefin"/>
        <w:suppressLineNumbers/>
        <w:spacing w:before="57" w:after="57"/>
        <w:ind w:left="339" w:right="0" w:hanging="339"/>
        <w:rPr/>
      </w:pPr>
      <w:r>
        <w:rPr>
          <w:rStyle w:val="Caractresdenotedefin"/>
        </w:rPr>
        <w:endnoteRef/>
      </w:r>
      <w:r>
        <w:rPr/>
        <w:tab/>
      </w:r>
      <w:r>
        <w:rPr/>
        <w:t>Šį klausimą taip pat aptarė Skaitmeninės pertvarkos darbo grupė.</w:t>
      </w:r>
    </w:p>
  </w:endnote>
  <w:endnote w:id="68">
    <w:p>
      <w:pPr>
        <w:pStyle w:val="Notedefin"/>
        <w:suppressLineNumbers/>
        <w:spacing w:before="57" w:after="57"/>
        <w:ind w:left="339" w:right="0" w:hanging="339"/>
        <w:rPr/>
      </w:pPr>
      <w:r>
        <w:rPr>
          <w:rStyle w:val="Caractresdenotedefin"/>
        </w:rPr>
        <w:endnoteRef/>
      </w:r>
      <w:r>
        <w:rPr/>
        <w:tab/>
      </w:r>
      <w:r>
        <w:rPr/>
        <w:t>ECP rekomendacija Nr. 132.</w:t>
      </w:r>
    </w:p>
  </w:endnote>
  <w:endnote w:id="69">
    <w:p>
      <w:pPr>
        <w:pStyle w:val="Notedefin"/>
        <w:suppressLineNumbers/>
        <w:spacing w:before="57" w:after="57"/>
        <w:ind w:left="339" w:right="0" w:hanging="339"/>
        <w:rPr/>
      </w:pPr>
      <w:r>
        <w:rPr>
          <w:rStyle w:val="Caractresdenotedefin"/>
        </w:rPr>
        <w:endnoteRef/>
      </w:r>
      <w:r>
        <w:rPr/>
        <w:tab/>
      </w:r>
      <w:r>
        <w:rPr/>
        <w:t>Šį klausimą taip pat aptarė Skaitmeninės pertvarkos darbo grupė.</w:t>
      </w:r>
    </w:p>
  </w:endnote>
  <w:endnote w:id="70">
    <w:p>
      <w:pPr>
        <w:pStyle w:val="Notedefin"/>
        <w:suppressLineNumbers/>
        <w:spacing w:before="57" w:after="57"/>
        <w:ind w:left="339" w:right="0" w:hanging="339"/>
        <w:rPr/>
      </w:pPr>
      <w:r>
        <w:rPr>
          <w:rStyle w:val="Caractresdenotedefin"/>
        </w:rPr>
        <w:endnoteRef/>
      </w:r>
      <w:r>
        <w:rPr/>
        <w:tab/>
      </w:r>
      <w:r>
        <w:rPr/>
        <w:t>ECP rekomendacija Nr. 132.</w:t>
      </w:r>
    </w:p>
  </w:endnote>
  <w:endnote w:id="71">
    <w:p>
      <w:pPr>
        <w:pStyle w:val="Notedefin"/>
        <w:suppressLineNumbers/>
        <w:spacing w:before="57" w:after="57"/>
        <w:ind w:left="339" w:right="0" w:hanging="339"/>
        <w:rPr/>
      </w:pPr>
      <w:r>
        <w:rPr>
          <w:rStyle w:val="Caractresdenotedefin"/>
        </w:rPr>
        <w:endnoteRef/>
      </w:r>
      <w:r>
        <w:rPr/>
        <w:tab/>
      </w:r>
      <w:r>
        <w:rPr/>
        <w:t>Šį klausimą taip pat aptarė Skaitmeninės pertvarkos darbo grupė.</w:t>
      </w:r>
    </w:p>
  </w:endnote>
  <w:endnote w:id="72">
    <w:p>
      <w:pPr>
        <w:pStyle w:val="Notedefin"/>
        <w:suppressLineNumbers/>
        <w:spacing w:before="57" w:after="57"/>
        <w:ind w:left="339" w:right="0" w:hanging="339"/>
        <w:rPr/>
      </w:pPr>
      <w:r>
        <w:rPr>
          <w:rStyle w:val="Caractresdenotedefin"/>
        </w:rPr>
        <w:endnoteRef/>
      </w:r>
      <w:r>
        <w:rPr/>
        <w:tab/>
      </w:r>
      <w:r>
        <w:rPr/>
        <w:t>Piliečių rekomendacijos, kuriomis grindžiamas pasiūlymas: PCE2: 1, 2, 21, 22, 23; Nyderlandų NKP: 1.1.</w:t>
      </w:r>
    </w:p>
  </w:endnote>
  <w:endnote w:id="73">
    <w:p>
      <w:pPr>
        <w:pStyle w:val="Notedefin"/>
        <w:suppressLineNumbers/>
        <w:spacing w:before="57" w:after="57"/>
        <w:ind w:left="339" w:right="0" w:hanging="339"/>
        <w:rPr/>
      </w:pPr>
      <w:r>
        <w:rPr>
          <w:rStyle w:val="Caractresdenotedefin"/>
        </w:rPr>
        <w:endnoteRef/>
      </w:r>
      <w:r>
        <w:rPr/>
        <w:tab/>
      </w:r>
      <w:r>
        <w:rPr/>
        <w:t>ECP rekomendacija Nr. 222. Diskusijos darbo grupėje.</w:t>
      </w:r>
    </w:p>
  </w:endnote>
  <w:endnote w:id="74">
    <w:p>
      <w:pPr>
        <w:pStyle w:val="Notedefin"/>
        <w:suppressLineNumbers/>
        <w:spacing w:before="57" w:after="57"/>
        <w:ind w:left="339" w:right="0" w:hanging="339"/>
        <w:rPr/>
      </w:pPr>
      <w:r>
        <w:rPr>
          <w:rStyle w:val="Caractresdenotedefin"/>
        </w:rPr>
        <w:endnoteRef/>
      </w:r>
      <w:r>
        <w:rPr/>
        <w:tab/>
      </w:r>
      <w:r>
        <w:rPr/>
        <w:t>Klausimą taip pat aptarė stipresnės ekonomikos, socialinio teisingumo ir užimtumo darbo grupė.</w:t>
      </w:r>
    </w:p>
  </w:endnote>
  <w:endnote w:id="75">
    <w:p>
      <w:pPr>
        <w:pStyle w:val="Notedefin"/>
        <w:suppressLineNumbers/>
        <w:spacing w:before="57" w:after="57"/>
        <w:ind w:left="339" w:right="0" w:hanging="339"/>
        <w:rPr/>
      </w:pPr>
      <w:r>
        <w:rPr>
          <w:rStyle w:val="Caractresdenotedefin"/>
        </w:rPr>
        <w:endnoteRef/>
      </w:r>
      <w:r>
        <w:rPr/>
        <w:tab/>
      </w:r>
      <w:r>
        <w:rPr/>
        <w:t>ECP rekomendacija Nr. 212. Nyderlandų NKP 1.1 rekomendacija.</w:t>
      </w:r>
    </w:p>
  </w:endnote>
  <w:endnote w:id="76">
    <w:p>
      <w:pPr>
        <w:pStyle w:val="Notedefin"/>
        <w:suppressLineNumbers/>
        <w:spacing w:before="57" w:after="57"/>
        <w:ind w:left="339" w:right="0" w:hanging="339"/>
        <w:rPr/>
      </w:pPr>
      <w:r>
        <w:rPr>
          <w:rStyle w:val="Caractresdenotedefin"/>
        </w:rPr>
        <w:endnoteRef/>
      </w:r>
      <w:r>
        <w:rPr/>
        <w:tab/>
      </w:r>
      <w:r>
        <w:rPr/>
        <w:t>ECP rekomendacija Nr. 232.</w:t>
      </w:r>
    </w:p>
  </w:endnote>
  <w:endnote w:id="77">
    <w:p>
      <w:pPr>
        <w:pStyle w:val="Notedefin"/>
        <w:suppressLineNumbers/>
        <w:spacing w:before="57" w:after="57"/>
        <w:ind w:left="339" w:right="0" w:hanging="339"/>
        <w:rPr/>
      </w:pPr>
      <w:r>
        <w:rPr>
          <w:rStyle w:val="Caractresdenotedefin"/>
        </w:rPr>
        <w:endnoteRef/>
      </w:r>
      <w:r>
        <w:rPr/>
        <w:tab/>
      </w:r>
      <w:r>
        <w:rPr/>
        <w:t>Klausimą taip pat aptarė stipresnės ekonomikos, socialinio teisingumo ir užimtumo darbo grupė.</w:t>
      </w:r>
    </w:p>
  </w:endnote>
  <w:endnote w:id="78">
    <w:p>
      <w:pPr>
        <w:pStyle w:val="Notedefin"/>
        <w:suppressLineNumbers/>
        <w:spacing w:before="57" w:after="57"/>
        <w:ind w:left="339" w:right="0" w:hanging="339"/>
        <w:rPr/>
      </w:pPr>
      <w:r>
        <w:rPr>
          <w:rStyle w:val="Caractresdenotedefin"/>
        </w:rPr>
        <w:endnoteRef/>
      </w:r>
      <w:r>
        <w:rPr/>
        <w:tab/>
      </w:r>
      <w:r>
        <w:rPr/>
        <w:t>ECP2 rekomendacija Nr. 1. Diskusijos darbo grupėje.</w:t>
      </w:r>
    </w:p>
  </w:endnote>
  <w:endnote w:id="79">
    <w:p>
      <w:pPr>
        <w:pStyle w:val="Notedefin"/>
        <w:suppressLineNumbers/>
        <w:spacing w:before="57" w:after="57"/>
        <w:ind w:left="339" w:right="0" w:hanging="339"/>
        <w:rPr/>
      </w:pPr>
      <w:r>
        <w:rPr>
          <w:rStyle w:val="Caractresdenotedefin"/>
        </w:rPr>
        <w:endnoteRef/>
      </w:r>
      <w:r>
        <w:rPr/>
        <w:tab/>
      </w:r>
      <w:r>
        <w:rPr/>
        <w:t>ECP2 rekomendacija Nr. 2. Diskusijos darbo grupėje.</w:t>
      </w:r>
    </w:p>
  </w:endnote>
  <w:endnote w:id="80">
    <w:p>
      <w:pPr>
        <w:pStyle w:val="Notedefin"/>
        <w:suppressLineNumbers/>
        <w:spacing w:before="57" w:after="57"/>
        <w:ind w:left="339" w:right="0" w:hanging="339"/>
        <w:rPr/>
      </w:pPr>
      <w:r>
        <w:rPr>
          <w:rStyle w:val="Caractresdenotedefin"/>
        </w:rPr>
        <w:endnoteRef/>
      </w:r>
      <w:r>
        <w:rPr/>
        <w:tab/>
      </w:r>
      <w:r>
        <w:rPr/>
        <w:t>Piliečių rekomendacijos, kuriomis grindžiamas pasiūlymas: PCE2: 3, 4, 6.</w:t>
      </w:r>
    </w:p>
  </w:endnote>
  <w:endnote w:id="81">
    <w:p>
      <w:pPr>
        <w:pStyle w:val="Notedefin"/>
        <w:suppressLineNumbers/>
        <w:spacing w:before="57" w:after="57"/>
        <w:ind w:left="339" w:right="0" w:hanging="339"/>
        <w:rPr/>
      </w:pPr>
      <w:r>
        <w:rPr>
          <w:rStyle w:val="Caractresdenotedefin"/>
        </w:rPr>
        <w:endnoteRef/>
      </w:r>
      <w:r>
        <w:rPr/>
        <w:tab/>
      </w:r>
      <w:r>
        <w:rPr/>
        <w:t>ECP2 rekomendacija Nr. 3.</w:t>
      </w:r>
    </w:p>
  </w:endnote>
  <w:endnote w:id="82">
    <w:p>
      <w:pPr>
        <w:pStyle w:val="Notedefin"/>
        <w:suppressLineNumbers/>
        <w:spacing w:before="57" w:after="57"/>
        <w:ind w:left="339" w:right="0" w:hanging="339"/>
        <w:rPr/>
      </w:pPr>
      <w:r>
        <w:rPr>
          <w:rStyle w:val="Caractresdenotedefin"/>
        </w:rPr>
        <w:endnoteRef/>
      </w:r>
      <w:r>
        <w:rPr/>
        <w:tab/>
      </w:r>
      <w:r>
        <w:rPr/>
        <w:t>Šį klausimą taip pat aptarė Klimato kaitos ir aplinkos darbo grupė.</w:t>
      </w:r>
    </w:p>
  </w:endnote>
  <w:endnote w:id="83">
    <w:p>
      <w:pPr>
        <w:pStyle w:val="Notedefin"/>
        <w:suppressLineNumbers/>
        <w:spacing w:before="57" w:after="57"/>
        <w:ind w:left="339" w:right="0" w:hanging="339"/>
        <w:rPr/>
      </w:pPr>
      <w:r>
        <w:rPr>
          <w:rStyle w:val="Caractresdenotedefin"/>
        </w:rPr>
        <w:endnoteRef/>
      </w:r>
      <w:r>
        <w:rPr/>
        <w:tab/>
      </w:r>
      <w:r>
        <w:rPr/>
        <w:t>ECP2 4 rekomendacija.</w:t>
      </w:r>
    </w:p>
  </w:endnote>
  <w:endnote w:id="84">
    <w:p>
      <w:pPr>
        <w:pStyle w:val="Notedefin"/>
        <w:suppressLineNumbers/>
        <w:spacing w:before="57" w:after="57"/>
        <w:ind w:left="339" w:right="0" w:hanging="339"/>
        <w:rPr/>
      </w:pPr>
      <w:r>
        <w:rPr>
          <w:rStyle w:val="Caractresdenotedefin"/>
        </w:rPr>
        <w:endnoteRef/>
      </w:r>
      <w:r>
        <w:rPr/>
        <w:tab/>
      </w:r>
      <w:r>
        <w:rPr/>
        <w:t>ECP2 6 rekomendacija.</w:t>
      </w:r>
    </w:p>
  </w:endnote>
  <w:endnote w:id="85">
    <w:p>
      <w:pPr>
        <w:pStyle w:val="Notedefin"/>
        <w:suppressLineNumbers/>
        <w:spacing w:before="57" w:after="57"/>
        <w:ind w:left="339" w:right="0" w:hanging="339"/>
        <w:rPr/>
      </w:pPr>
      <w:r>
        <w:rPr>
          <w:rStyle w:val="Caractresdenotedefin"/>
        </w:rPr>
        <w:endnoteRef/>
      </w:r>
      <w:r>
        <w:rPr/>
        <w:tab/>
      </w:r>
      <w:r>
        <w:rPr/>
        <w:t>Šį klausimą taip pat aptarė Klimato kaitos ir aplinkos darbo grupė.</w:t>
      </w:r>
    </w:p>
  </w:endnote>
  <w:endnote w:id="86">
    <w:p>
      <w:pPr>
        <w:pStyle w:val="Notedefin"/>
        <w:suppressLineNumbers/>
        <w:spacing w:before="57" w:after="57"/>
        <w:ind w:left="339" w:right="0" w:hanging="339"/>
        <w:rPr/>
      </w:pPr>
      <w:r>
        <w:rPr>
          <w:rStyle w:val="Caractresdenotedefin"/>
        </w:rPr>
        <w:endnoteRef/>
      </w:r>
      <w:r>
        <w:rPr/>
        <w:tab/>
      </w:r>
      <w:r>
        <w:rPr/>
        <w:t>Piliečių rekomendacijos, kuriomis grindžiamas pasiūlymas: 1-asis Europos piliečių forumas (EKP 1): 17, 40, 47; Nyderlandų nacionalinė piliečių grupė (NCP) Nr. 1.</w:t>
      </w:r>
    </w:p>
  </w:endnote>
  <w:endnote w:id="87">
    <w:p>
      <w:pPr>
        <w:pStyle w:val="Notedefin"/>
        <w:suppressLineNumbers/>
        <w:spacing w:before="57" w:after="57"/>
        <w:ind w:left="339" w:right="0" w:hanging="339"/>
        <w:rPr/>
      </w:pPr>
      <w:r>
        <w:rPr>
          <w:rStyle w:val="Caractresdenotedefin"/>
        </w:rPr>
        <w:endnoteRef/>
      </w:r>
      <w:r>
        <w:rPr/>
        <w:tab/>
      </w:r>
      <w:r>
        <w:rPr/>
        <w:t>Žr. nuorodą į ECP 3 rekomendaciją Nr. 38 dėl elektra varomų transporto priemonių infrastruktūros.</w:t>
      </w:r>
    </w:p>
  </w:endnote>
  <w:endnote w:id="88">
    <w:p>
      <w:pPr>
        <w:pStyle w:val="Notedefin"/>
        <w:suppressLineNumbers/>
        <w:spacing w:before="57" w:after="57"/>
        <w:ind w:left="339" w:right="0" w:hanging="339"/>
        <w:rPr/>
      </w:pPr>
      <w:r>
        <w:rPr>
          <w:rStyle w:val="Caractresdenotedefin"/>
        </w:rPr>
        <w:endnoteRef/>
      </w:r>
      <w:r>
        <w:rPr/>
        <w:tab/>
      </w:r>
      <w:r>
        <w:rPr/>
        <w:t>Piliečių rekomendacijos, kuriomis grindžiamas pasiūlymas: 1-asis Europos piliečių forumas (EKP 1): 8, 34 ir 47; Italijos nacionalinis piliečių forumas (NCP) 5.2.</w:t>
      </w:r>
    </w:p>
  </w:endnote>
  <w:endnote w:id="89">
    <w:p>
      <w:pPr>
        <w:pStyle w:val="Notedefin"/>
        <w:suppressLineNumbers/>
        <w:spacing w:before="57" w:after="57"/>
        <w:ind w:left="339" w:right="0" w:hanging="339"/>
        <w:rPr/>
      </w:pPr>
      <w:r>
        <w:rPr>
          <w:rStyle w:val="Caractresdenotedefin"/>
        </w:rPr>
        <w:endnoteRef/>
      </w:r>
      <w:r>
        <w:rPr/>
        <w:tab/>
      </w:r>
      <w:r>
        <w:rPr/>
        <w:t>Piliečių rekomendacijos, kuriomis grindžiamas pasiūlymas: Europos piliečių forumo 1 (CEP 1) 39 ir 46 rekomendacijos ir Lietuvos nacionalinio piliečių forumo (NKP) ir Nyderlandų NKP 2.6 rekomendacijos.</w:t>
      </w:r>
    </w:p>
  </w:endnote>
  <w:endnote w:id="90">
    <w:p>
      <w:pPr>
        <w:pStyle w:val="Notedefin"/>
        <w:suppressLineNumbers/>
        <w:spacing w:before="57" w:after="57"/>
        <w:ind w:left="339" w:right="0" w:hanging="339"/>
        <w:rPr/>
      </w:pPr>
      <w:r>
        <w:rPr>
          <w:rStyle w:val="Caractresdenotedefin"/>
        </w:rPr>
        <w:endnoteRef/>
      </w:r>
      <w:r>
        <w:rPr/>
        <w:tab/>
      </w:r>
      <w:r>
        <w:rPr/>
        <w:t>Piliečių rekomendacijos, kuriomis grindžiamas pasiūlymas: Europos piliečių forumo Nr. 1 (PCE 1) 42, 43, 44 ir 45 rekomendacijos ir Nyderlandų nacionalinio piliečių forumo rekomendacija Nr. 2.</w:t>
      </w:r>
    </w:p>
  </w:endnote>
  <w:endnote w:id="91">
    <w:p>
      <w:pPr>
        <w:pStyle w:val="Notedefin"/>
        <w:suppressLineNumbers/>
        <w:spacing w:before="57" w:after="57"/>
        <w:ind w:left="339" w:right="0" w:hanging="339"/>
        <w:rPr/>
      </w:pPr>
      <w:r>
        <w:rPr>
          <w:rStyle w:val="Caractresdenotedefin"/>
        </w:rPr>
        <w:endnoteRef/>
      </w:r>
      <w:r>
        <w:rPr/>
        <w:tab/>
      </w:r>
      <w:r>
        <w:rPr/>
        <w:t>Piliečių rekomendacijos, kuriomis grindžiamas pasiūlymas: Europos piliečių forumas Nr. 1 (PCE 1) Nr. 7, 16 ir 17 ir Vokietijos bei Italijos nacionaliniai piliečių forumai 1.3.</w:t>
      </w:r>
    </w:p>
  </w:endnote>
  <w:endnote w:id="92">
    <w:p>
      <w:pPr>
        <w:pStyle w:val="Notedefin"/>
        <w:suppressLineNumbers/>
        <w:spacing w:before="57" w:after="57"/>
        <w:ind w:left="339" w:right="0" w:hanging="339"/>
        <w:rPr/>
      </w:pPr>
      <w:r>
        <w:rPr>
          <w:rStyle w:val="Caractresdenotedefin"/>
        </w:rPr>
        <w:endnoteRef/>
      </w:r>
      <w:r>
        <w:rPr/>
        <w:tab/>
      </w:r>
      <w:r>
        <w:rPr/>
        <w:t>Turi būti svarstoma atsižvelgiant į darbo grupės dėl stipresnės ekonomikos pasiūlymus.</w:t>
      </w:r>
    </w:p>
  </w:endnote>
  <w:endnote w:id="93">
    <w:p>
      <w:pPr>
        <w:pStyle w:val="Notedefin"/>
        <w:suppressLineNumbers/>
        <w:spacing w:before="57" w:after="57"/>
        <w:ind w:left="339" w:right="0" w:hanging="339"/>
        <w:rPr/>
      </w:pPr>
      <w:r>
        <w:rPr>
          <w:rStyle w:val="Caractresdenotedefin"/>
        </w:rPr>
        <w:endnoteRef/>
      </w:r>
      <w:r>
        <w:rPr/>
        <w:tab/>
      </w:r>
      <w:r>
        <w:rPr/>
        <w:t>Darbo grupės (DG) 3A ir 3B pakeitimai.</w:t>
      </w:r>
    </w:p>
  </w:endnote>
  <w:endnote w:id="94">
    <w:p>
      <w:pPr>
        <w:pStyle w:val="Notedefin"/>
        <w:suppressLineNumbers/>
        <w:spacing w:before="57" w:after="57"/>
        <w:ind w:left="339" w:right="0" w:hanging="339"/>
        <w:rPr/>
      </w:pPr>
      <w:r>
        <w:rPr>
          <w:rStyle w:val="Caractresdenotedefin"/>
        </w:rPr>
        <w:endnoteRef/>
      </w:r>
      <w:r>
        <w:rPr/>
        <w:tab/>
      </w:r>
      <w:r>
        <w:rPr/>
        <w:t>2 Europos piliečių forumo (PCE 2) 32 ir 37 rekomendacijos; nacionalinės komisijos BE, FR ir NL.</w:t>
      </w:r>
    </w:p>
  </w:endnote>
  <w:endnote w:id="95">
    <w:p>
      <w:pPr>
        <w:pStyle w:val="Notedefin"/>
        <w:suppressLineNumbers/>
        <w:spacing w:before="57" w:after="57"/>
        <w:ind w:left="339" w:right="0" w:hanging="339"/>
        <w:rPr/>
      </w:pPr>
      <w:r>
        <w:rPr>
          <w:rStyle w:val="Caractresdenotedefin"/>
        </w:rPr>
        <w:endnoteRef/>
      </w:r>
      <w:r>
        <w:rPr/>
        <w:tab/>
      </w:r>
      <w:r>
        <w:rPr/>
        <w:t>Nacionalinė ekspertų grupė FR.</w:t>
      </w:r>
    </w:p>
  </w:endnote>
  <w:endnote w:id="96">
    <w:p>
      <w:pPr>
        <w:pStyle w:val="Notedefin"/>
        <w:suppressLineNumbers/>
        <w:spacing w:before="57" w:after="57"/>
        <w:ind w:left="339" w:right="0" w:hanging="339"/>
        <w:rPr/>
      </w:pPr>
      <w:r>
        <w:rPr>
          <w:rStyle w:val="Caractresdenotedefin"/>
        </w:rPr>
        <w:endnoteRef/>
      </w:r>
      <w:r>
        <w:rPr/>
        <w:tab/>
      </w:r>
      <w:r>
        <w:rPr/>
        <w:t>Darbo grupės 8 pakeitimas, glaustesnė formuluotė.</w:t>
      </w:r>
    </w:p>
  </w:endnote>
  <w:endnote w:id="97">
    <w:p>
      <w:pPr>
        <w:pStyle w:val="Notedefin"/>
        <w:suppressLineNumbers/>
        <w:spacing w:before="57" w:after="57"/>
        <w:ind w:left="339" w:right="0" w:hanging="339"/>
        <w:rPr/>
      </w:pPr>
      <w:r>
        <w:rPr>
          <w:rStyle w:val="Caractresdenotedefin"/>
        </w:rPr>
        <w:endnoteRef/>
      </w:r>
      <w:r>
        <w:rPr/>
        <w:tab/>
      </w:r>
      <w:r>
        <w:rPr/>
        <w:t>ECP rekomendacija Nr. 29 2.</w:t>
      </w:r>
    </w:p>
  </w:endnote>
  <w:endnote w:id="98">
    <w:p>
      <w:pPr>
        <w:pStyle w:val="Notedefin"/>
        <w:suppressLineNumbers/>
        <w:spacing w:before="57" w:after="57"/>
        <w:ind w:left="339" w:right="0" w:hanging="339"/>
        <w:rPr/>
      </w:pPr>
      <w:r>
        <w:rPr>
          <w:rStyle w:val="Caractresdenotedefin"/>
        </w:rPr>
        <w:endnoteRef/>
      </w:r>
      <w:r>
        <w:rPr/>
        <w:tab/>
      </w:r>
      <w:r>
        <w:rPr/>
        <w:t>ECP 2 rekomendacijos Nr. 19 ir 32; nacionalinės BE ir FR grupės ir Danijos nacionalinių renginių atstovas.</w:t>
      </w:r>
    </w:p>
  </w:endnote>
  <w:endnote w:id="99">
    <w:p>
      <w:pPr>
        <w:pStyle w:val="Notedefin"/>
        <w:suppressLineNumbers/>
        <w:spacing w:before="57" w:after="57"/>
        <w:ind w:left="339" w:right="0" w:hanging="339"/>
        <w:rPr/>
      </w:pPr>
      <w:r>
        <w:rPr>
          <w:rStyle w:val="Caractresdenotedefin"/>
        </w:rPr>
        <w:endnoteRef/>
      </w:r>
      <w:r>
        <w:rPr/>
        <w:tab/>
      </w:r>
      <w:r>
        <w:rPr/>
        <w:t>Nacionalinė komisija BE.</w:t>
      </w:r>
    </w:p>
  </w:endnote>
  <w:endnote w:id="100">
    <w:p>
      <w:pPr>
        <w:pStyle w:val="Notedefin"/>
        <w:suppressLineNumbers/>
        <w:spacing w:before="57" w:after="57"/>
        <w:ind w:left="339" w:right="0" w:hanging="339"/>
        <w:rPr/>
      </w:pPr>
      <w:r>
        <w:rPr>
          <w:rStyle w:val="Caractresdenotedefin"/>
        </w:rPr>
        <w:endnoteRef/>
      </w:r>
      <w:r>
        <w:rPr/>
        <w:tab/>
      </w:r>
      <w:r>
        <w:rPr/>
        <w:t>Darbo grupės 7B pakeitimas.</w:t>
      </w:r>
    </w:p>
  </w:endnote>
  <w:endnote w:id="101">
    <w:p>
      <w:pPr>
        <w:pStyle w:val="Notedefin"/>
        <w:suppressLineNumbers/>
        <w:spacing w:before="57" w:after="57"/>
        <w:ind w:left="339" w:right="0" w:hanging="339"/>
        <w:rPr/>
      </w:pPr>
      <w:r>
        <w:rPr>
          <w:rStyle w:val="Caractresdenotedefin"/>
        </w:rPr>
        <w:endnoteRef/>
      </w:r>
      <w:r>
        <w:rPr/>
        <w:tab/>
      </w:r>
      <w:r>
        <w:rPr/>
        <w:t>Nacionalinė komisija BE.</w:t>
      </w:r>
    </w:p>
  </w:endnote>
  <w:endnote w:id="102">
    <w:p>
      <w:pPr>
        <w:pStyle w:val="Notedefin"/>
        <w:suppressLineNumbers/>
        <w:spacing w:before="57" w:after="57"/>
        <w:ind w:left="339" w:right="0" w:hanging="339"/>
        <w:rPr/>
      </w:pPr>
      <w:r>
        <w:rPr>
          <w:rStyle w:val="Caractresdenotedefin"/>
        </w:rPr>
        <w:endnoteRef/>
      </w:r>
      <w:r>
        <w:rPr/>
        <w:tab/>
      </w:r>
      <w:r>
        <w:rPr/>
        <w:t>Galutinė Kantar ataskaita, p. 85.</w:t>
      </w:r>
    </w:p>
  </w:endnote>
  <w:endnote w:id="103">
    <w:p>
      <w:pPr>
        <w:pStyle w:val="Notedefin"/>
        <w:suppressLineNumbers/>
        <w:spacing w:before="57" w:after="57"/>
        <w:ind w:left="339" w:right="0" w:hanging="339"/>
        <w:rPr/>
      </w:pPr>
      <w:r>
        <w:rPr>
          <w:rStyle w:val="Caractresdenotedefin"/>
        </w:rPr>
        <w:endnoteRef/>
      </w:r>
      <w:r>
        <w:rPr/>
        <w:tab/>
      </w:r>
      <w:r>
        <w:rPr/>
        <w:t>ECP 2 rekomendacija Nr. 39; nacionalinė ekspertų grupė Nr. 3 BE.</w:t>
      </w:r>
    </w:p>
  </w:endnote>
  <w:endnote w:id="104">
    <w:p>
      <w:pPr>
        <w:pStyle w:val="Notedefin"/>
        <w:suppressLineNumbers/>
        <w:spacing w:before="57" w:after="57"/>
        <w:ind w:left="339" w:right="0" w:hanging="339"/>
        <w:rPr/>
      </w:pPr>
      <w:r>
        <w:rPr>
          <w:rStyle w:val="Caractresdenotedefin"/>
        </w:rPr>
        <w:endnoteRef/>
      </w:r>
      <w:r>
        <w:rPr/>
        <w:tab/>
      </w:r>
      <w:r>
        <w:rPr/>
        <w:t>Darbo grupės 10A pakeitimas, glaustesnė formuluotė.</w:t>
      </w:r>
    </w:p>
  </w:endnote>
  <w:endnote w:id="105">
    <w:p>
      <w:pPr>
        <w:pStyle w:val="Notedefin"/>
        <w:suppressLineNumbers/>
        <w:spacing w:before="57" w:after="57"/>
        <w:ind w:left="339" w:right="0" w:hanging="339"/>
        <w:rPr/>
      </w:pPr>
      <w:r>
        <w:rPr>
          <w:rStyle w:val="Caractresdenotedefin"/>
        </w:rPr>
        <w:endnoteRef/>
      </w:r>
      <w:r>
        <w:rPr/>
        <w:tab/>
      </w:r>
      <w:r>
        <w:rPr/>
        <w:t>DK nacionalinių renginių atstovas.</w:t>
      </w:r>
    </w:p>
  </w:endnote>
  <w:endnote w:id="106">
    <w:p>
      <w:pPr>
        <w:pStyle w:val="Notedefin"/>
        <w:suppressLineNumbers/>
        <w:spacing w:before="57" w:after="57"/>
        <w:ind w:left="339" w:right="0" w:hanging="339"/>
        <w:rPr/>
      </w:pPr>
      <w:r>
        <w:rPr>
          <w:rStyle w:val="Caractresdenotedefin"/>
        </w:rPr>
        <w:endnoteRef/>
      </w:r>
      <w:r>
        <w:rPr/>
        <w:tab/>
      </w:r>
      <w:r>
        <w:rPr/>
        <w:t>Darbo grupės pakeitimas Nr. 54C.</w:t>
      </w:r>
    </w:p>
  </w:endnote>
  <w:endnote w:id="107">
    <w:p>
      <w:pPr>
        <w:pStyle w:val="Notedefin"/>
        <w:suppressLineNumbers/>
        <w:spacing w:before="57" w:after="57"/>
        <w:ind w:left="339" w:right="0" w:hanging="339"/>
        <w:rPr/>
      </w:pPr>
      <w:r>
        <w:rPr>
          <w:rStyle w:val="Caractresdenotedefin"/>
        </w:rPr>
        <w:endnoteRef/>
      </w:r>
      <w:r>
        <w:rPr/>
        <w:tab/>
      </w:r>
      <w:r>
        <w:rPr/>
        <w:t>DK nacionalinių renginių atstovas.</w:t>
      </w:r>
    </w:p>
  </w:endnote>
  <w:endnote w:id="108">
    <w:p>
      <w:pPr>
        <w:pStyle w:val="Notedefin"/>
        <w:suppressLineNumbers/>
        <w:spacing w:before="57" w:after="57"/>
        <w:ind w:left="339" w:right="0" w:hanging="339"/>
        <w:rPr/>
      </w:pPr>
      <w:r>
        <w:rPr>
          <w:rStyle w:val="Caractresdenotedefin"/>
        </w:rPr>
        <w:endnoteRef/>
      </w:r>
      <w:r>
        <w:rPr/>
        <w:tab/>
      </w:r>
      <w:r>
        <w:rPr/>
        <w:t>DK nacionalinių renginių atstovas.</w:t>
      </w:r>
    </w:p>
  </w:endnote>
  <w:endnote w:id="109">
    <w:p>
      <w:pPr>
        <w:pStyle w:val="Notedefin"/>
        <w:suppressLineNumbers/>
        <w:spacing w:before="57" w:after="57"/>
        <w:ind w:left="339" w:right="0" w:hanging="339"/>
        <w:rPr/>
      </w:pPr>
      <w:r>
        <w:rPr>
          <w:rStyle w:val="Caractresdenotedefin"/>
        </w:rPr>
        <w:endnoteRef/>
      </w:r>
      <w:r>
        <w:rPr/>
        <w:tab/>
      </w:r>
      <w:r>
        <w:rPr/>
        <w:t>Darbo grupės 15A pakeitimas, kompromisinė formuluotė.</w:t>
      </w:r>
    </w:p>
  </w:endnote>
  <w:endnote w:id="110">
    <w:p>
      <w:pPr>
        <w:pStyle w:val="Notedefin"/>
        <w:suppressLineNumbers/>
        <w:spacing w:before="57" w:after="57"/>
        <w:ind w:left="339" w:right="0" w:hanging="339"/>
        <w:rPr/>
      </w:pPr>
      <w:r>
        <w:rPr>
          <w:rStyle w:val="Caractresdenotedefin"/>
        </w:rPr>
        <w:endnoteRef/>
      </w:r>
      <w:r>
        <w:rPr/>
        <w:tab/>
      </w:r>
      <w:r>
        <w:rPr/>
        <w:t>PCE 2 24, 36 ir 38 rekomendacijos; nacionalinė komisija BE.</w:t>
      </w:r>
    </w:p>
  </w:endnote>
  <w:endnote w:id="111">
    <w:p>
      <w:pPr>
        <w:pStyle w:val="Notedefin"/>
        <w:suppressLineNumbers/>
        <w:spacing w:before="57" w:after="57"/>
        <w:ind w:left="339" w:right="0" w:hanging="339"/>
        <w:rPr/>
      </w:pPr>
      <w:r>
        <w:rPr>
          <w:rStyle w:val="Caractresdenotedefin"/>
        </w:rPr>
        <w:endnoteRef/>
      </w:r>
      <w:r>
        <w:rPr/>
        <w:tab/>
      </w:r>
      <w:r>
        <w:rPr/>
        <w:t>Darbo grupės pakeitimas Nr. 16C.</w:t>
      </w:r>
    </w:p>
  </w:endnote>
  <w:endnote w:id="112">
    <w:p>
      <w:pPr>
        <w:pStyle w:val="Notedefin"/>
        <w:suppressLineNumbers/>
        <w:spacing w:before="57" w:after="57"/>
        <w:ind w:left="339" w:right="0" w:hanging="339"/>
        <w:rPr/>
      </w:pPr>
      <w:r>
        <w:rPr>
          <w:rStyle w:val="Caractresdenotedefin"/>
        </w:rPr>
        <w:endnoteRef/>
      </w:r>
      <w:r>
        <w:rPr/>
        <w:tab/>
      </w:r>
      <w:r>
        <w:rPr/>
        <w:t>ECP 2 rekomendacija Nr. 33; nacionalinės komisijos BE, FR ir NL.</w:t>
      </w:r>
    </w:p>
  </w:endnote>
  <w:endnote w:id="113">
    <w:p>
      <w:pPr>
        <w:pStyle w:val="Notedefin"/>
        <w:suppressLineNumbers/>
        <w:spacing w:before="57" w:after="57"/>
        <w:ind w:left="339" w:right="0" w:hanging="339"/>
        <w:rPr/>
      </w:pPr>
      <w:r>
        <w:rPr>
          <w:rStyle w:val="Caractresdenotedefin"/>
        </w:rPr>
        <w:endnoteRef/>
      </w:r>
      <w:r>
        <w:rPr/>
        <w:tab/>
      </w:r>
      <w:r>
        <w:rPr/>
        <w:t>ECP rekomendacija Nr. 26 2.</w:t>
      </w:r>
    </w:p>
  </w:endnote>
  <w:endnote w:id="114">
    <w:p>
      <w:pPr>
        <w:pStyle w:val="Notedefin"/>
        <w:suppressLineNumbers/>
        <w:spacing w:before="57" w:after="57"/>
        <w:ind w:left="339" w:right="0" w:hanging="339"/>
        <w:rPr/>
      </w:pPr>
      <w:r>
        <w:rPr>
          <w:rStyle w:val="Caractresdenotedefin"/>
        </w:rPr>
        <w:endnoteRef/>
      </w:r>
      <w:r>
        <w:rPr/>
        <w:tab/>
      </w:r>
      <w:r>
        <w:rPr/>
        <w:t>Darbo grupės pakeitimas Nr. 17.</w:t>
      </w:r>
    </w:p>
  </w:endnote>
  <w:endnote w:id="115">
    <w:p>
      <w:pPr>
        <w:pStyle w:val="Notedefin"/>
        <w:suppressLineNumbers/>
        <w:spacing w:before="57" w:after="57"/>
        <w:ind w:left="339" w:right="0" w:hanging="339"/>
        <w:rPr/>
      </w:pPr>
      <w:r>
        <w:rPr>
          <w:rStyle w:val="Caractresdenotedefin"/>
        </w:rPr>
        <w:endnoteRef/>
      </w:r>
      <w:r>
        <w:rPr/>
        <w:tab/>
      </w:r>
      <w:r>
        <w:rPr/>
        <w:t>Nacionalinė komisija BE.</w:t>
      </w:r>
    </w:p>
  </w:endnote>
  <w:endnote w:id="116">
    <w:p>
      <w:pPr>
        <w:pStyle w:val="Notedefin"/>
        <w:suppressLineNumbers/>
        <w:spacing w:before="57" w:after="57"/>
        <w:ind w:left="339" w:right="0" w:hanging="339"/>
        <w:rPr/>
      </w:pPr>
      <w:r>
        <w:rPr>
          <w:rStyle w:val="Caractresdenotedefin"/>
        </w:rPr>
        <w:endnoteRef/>
      </w:r>
      <w:r>
        <w:rPr/>
        <w:tab/>
      </w:r>
      <w:r>
        <w:rPr/>
        <w:t>Darbo grupės pakeitimas Nr. 18A.</w:t>
      </w:r>
    </w:p>
  </w:endnote>
  <w:endnote w:id="117">
    <w:p>
      <w:pPr>
        <w:pStyle w:val="Notedefin"/>
        <w:suppressLineNumbers/>
        <w:spacing w:before="57" w:after="57"/>
        <w:ind w:left="339" w:right="0" w:hanging="339"/>
        <w:rPr/>
      </w:pPr>
      <w:r>
        <w:rPr>
          <w:rStyle w:val="Caractresdenotedefin"/>
        </w:rPr>
        <w:endnoteRef/>
      </w:r>
      <w:r>
        <w:rPr/>
        <w:tab/>
      </w:r>
      <w:r>
        <w:rPr/>
        <w:t>ECP rekomendacija Nr. 252.</w:t>
      </w:r>
    </w:p>
  </w:endnote>
  <w:endnote w:id="118">
    <w:p>
      <w:pPr>
        <w:pStyle w:val="Notedefin"/>
        <w:suppressLineNumbers/>
        <w:spacing w:before="57" w:after="57"/>
        <w:ind w:left="339" w:right="0" w:hanging="339"/>
        <w:rPr/>
      </w:pPr>
      <w:r>
        <w:rPr>
          <w:rStyle w:val="Caractresdenotedefin"/>
        </w:rPr>
        <w:endnoteRef/>
      </w:r>
      <w:r>
        <w:rPr/>
        <w:tab/>
      </w:r>
      <w:r>
        <w:rPr/>
        <w:t>Darbo grupės pakeitimas Nr. 18B.</w:t>
      </w:r>
    </w:p>
  </w:endnote>
  <w:endnote w:id="119">
    <w:p>
      <w:pPr>
        <w:pStyle w:val="Notedefin"/>
        <w:suppressLineNumbers/>
        <w:spacing w:before="57" w:after="57"/>
        <w:ind w:left="339" w:right="0" w:hanging="339"/>
        <w:rPr/>
      </w:pPr>
      <w:r>
        <w:rPr>
          <w:rStyle w:val="Caractresdenotedefin"/>
        </w:rPr>
        <w:endnoteRef/>
      </w:r>
      <w:r>
        <w:rPr/>
        <w:tab/>
      </w:r>
      <w:r>
        <w:rPr/>
        <w:t>ECP 2 31 rekomendacija; nacionalinės kolegijos BE ir NL.</w:t>
      </w:r>
    </w:p>
  </w:endnote>
  <w:endnote w:id="120">
    <w:p>
      <w:pPr>
        <w:pStyle w:val="Notedefin"/>
        <w:suppressLineNumbers/>
        <w:spacing w:before="57" w:after="57"/>
        <w:ind w:left="339" w:right="0" w:hanging="339"/>
        <w:rPr/>
      </w:pPr>
      <w:r>
        <w:rPr>
          <w:rStyle w:val="Caractresdenotedefin"/>
        </w:rPr>
        <w:endnoteRef/>
      </w:r>
      <w:r>
        <w:rPr/>
        <w:tab/>
      </w:r>
      <w:r>
        <w:rPr/>
        <w:t>Darbo grupės pakeitimai Nr. 19A, performuluojami siekiant parengti tinkamesnį tekstą.</w:t>
      </w:r>
    </w:p>
  </w:endnote>
  <w:endnote w:id="121">
    <w:p>
      <w:pPr>
        <w:pStyle w:val="Notedefin"/>
        <w:suppressLineNumbers/>
        <w:spacing w:before="57" w:after="57"/>
        <w:ind w:left="339" w:right="0" w:hanging="339"/>
        <w:rPr/>
      </w:pPr>
      <w:r>
        <w:rPr>
          <w:rStyle w:val="Caractresdenotedefin"/>
        </w:rPr>
        <w:endnoteRef/>
      </w:r>
      <w:r>
        <w:rPr/>
        <w:tab/>
      </w:r>
      <w:r>
        <w:rPr/>
        <w:t>Darbo grupės pakeitimas Nr. 21, kompromisas.</w:t>
      </w:r>
    </w:p>
  </w:endnote>
  <w:endnote w:id="122">
    <w:p>
      <w:pPr>
        <w:pStyle w:val="Notedefin"/>
        <w:suppressLineNumbers/>
        <w:spacing w:before="57" w:after="57"/>
        <w:ind w:left="339" w:right="0" w:hanging="339"/>
        <w:rPr/>
      </w:pPr>
      <w:r>
        <w:rPr>
          <w:rStyle w:val="Caractresdenotedefin"/>
        </w:rPr>
        <w:endnoteRef/>
      </w:r>
      <w:r>
        <w:rPr/>
        <w:tab/>
      </w:r>
      <w:r>
        <w:rPr/>
        <w:t>Nacionalinės kolegijos BE ir FR.</w:t>
      </w:r>
    </w:p>
  </w:endnote>
  <w:endnote w:id="123">
    <w:p>
      <w:pPr>
        <w:pStyle w:val="Notedefin"/>
        <w:suppressLineNumbers/>
        <w:spacing w:before="57" w:after="57"/>
        <w:ind w:left="339" w:right="0" w:hanging="339"/>
        <w:rPr/>
      </w:pPr>
      <w:r>
        <w:rPr>
          <w:rStyle w:val="Caractresdenotedefin"/>
        </w:rPr>
        <w:endnoteRef/>
      </w:r>
      <w:r>
        <w:rPr/>
        <w:tab/>
      </w:r>
      <w:r>
        <w:rPr/>
        <w:t>Darbo grupės pakeitimas Nr. 23B.</w:t>
      </w:r>
    </w:p>
  </w:endnote>
  <w:endnote w:id="124">
    <w:p>
      <w:pPr>
        <w:pStyle w:val="Notedefin"/>
        <w:suppressLineNumbers/>
        <w:spacing w:before="57" w:after="57"/>
        <w:ind w:left="339" w:right="0" w:hanging="339"/>
        <w:rPr/>
      </w:pPr>
      <w:r>
        <w:rPr>
          <w:rStyle w:val="Caractresdenotedefin"/>
        </w:rPr>
        <w:endnoteRef/>
      </w:r>
      <w:r>
        <w:rPr/>
        <w:tab/>
      </w:r>
      <w:r>
        <w:rPr/>
        <w:t>ECP 2 rekomendacija Nr. 27; nacionalinė komisija BE.</w:t>
      </w:r>
    </w:p>
  </w:endnote>
  <w:endnote w:id="125">
    <w:p>
      <w:pPr>
        <w:pStyle w:val="Notedefin"/>
        <w:suppressLineNumbers/>
        <w:spacing w:before="57" w:after="57"/>
        <w:ind w:left="339" w:right="0" w:hanging="339"/>
        <w:rPr/>
      </w:pPr>
      <w:r>
        <w:rPr>
          <w:rStyle w:val="Caractresdenotedefin"/>
        </w:rPr>
        <w:endnoteRef/>
      </w:r>
      <w:r>
        <w:rPr/>
        <w:tab/>
      </w:r>
      <w:r>
        <w:rPr/>
        <w:t>Darbo grupės pakeitimas Nr. 25C.</w:t>
      </w:r>
    </w:p>
  </w:endnote>
  <w:endnote w:id="126">
    <w:p>
      <w:pPr>
        <w:pStyle w:val="Notedefin"/>
        <w:suppressLineNumbers/>
        <w:spacing w:before="57" w:after="57"/>
        <w:ind w:left="339" w:right="0" w:hanging="339"/>
        <w:rPr/>
      </w:pPr>
      <w:r>
        <w:rPr>
          <w:rStyle w:val="Caractresdenotedefin"/>
        </w:rPr>
        <w:endnoteRef/>
      </w:r>
      <w:r>
        <w:rPr/>
        <w:tab/>
      </w:r>
      <w:r>
        <w:rPr/>
        <w:t>ECP 14 rekomendacija.</w:t>
      </w:r>
    </w:p>
  </w:endnote>
  <w:endnote w:id="127">
    <w:p>
      <w:pPr>
        <w:pStyle w:val="Notedefin"/>
        <w:suppressLineNumbers/>
        <w:spacing w:before="57" w:after="57"/>
        <w:ind w:left="339" w:right="0" w:hanging="339"/>
        <w:rPr/>
      </w:pPr>
      <w:r>
        <w:rPr>
          <w:rStyle w:val="Caractresdenotedefin"/>
        </w:rPr>
        <w:endnoteRef/>
      </w:r>
      <w:r>
        <w:rPr/>
        <w:tab/>
      </w:r>
      <w:r>
        <w:rPr/>
        <w:t>ECP rekomendacija Nr. 18. PASTABA: Piliečių atstovai paaiškino, kad šis mechanizmas turėtų būti parengtas ir naudojamas atsargiai.</w:t>
      </w:r>
    </w:p>
  </w:endnote>
  <w:endnote w:id="128">
    <w:p>
      <w:pPr>
        <w:pStyle w:val="Notedefin"/>
        <w:suppressLineNumbers/>
        <w:spacing w:before="57" w:after="57"/>
        <w:ind w:left="339" w:right="0" w:hanging="339"/>
        <w:rPr/>
      </w:pPr>
      <w:r>
        <w:rPr>
          <w:rStyle w:val="Caractresdenotedefin"/>
        </w:rPr>
        <w:endnoteRef/>
      </w:r>
      <w:r>
        <w:rPr/>
        <w:tab/>
      </w:r>
      <w:r>
        <w:rPr/>
        <w:t>Darbo grupės 28E, 28G ir 28H pakeitimai.</w:t>
      </w:r>
    </w:p>
  </w:endnote>
  <w:endnote w:id="129">
    <w:p>
      <w:pPr>
        <w:pStyle w:val="Notedefin"/>
        <w:suppressLineNumbers/>
        <w:spacing w:before="57" w:after="57"/>
        <w:ind w:left="339" w:right="0" w:hanging="339"/>
        <w:rPr/>
      </w:pPr>
      <w:r>
        <w:rPr>
          <w:rStyle w:val="Caractresdenotedefin"/>
        </w:rPr>
        <w:endnoteRef/>
      </w:r>
      <w:r>
        <w:rPr/>
        <w:tab/>
      </w:r>
      <w:r>
        <w:rPr/>
        <w:t>ECP 2 rekomendacija Nr. 16; NL nacionalinė komisija Nr. 20, suskirstyta į tarpvalstybinius sąrašus.</w:t>
      </w:r>
    </w:p>
  </w:endnote>
  <w:endnote w:id="130">
    <w:p>
      <w:pPr>
        <w:pStyle w:val="Notedefin"/>
        <w:suppressLineNumbers/>
        <w:spacing w:before="57" w:after="57"/>
        <w:ind w:left="339" w:right="0" w:hanging="339"/>
        <w:rPr/>
      </w:pPr>
      <w:r>
        <w:rPr>
          <w:rStyle w:val="Caractresdenotedefin"/>
        </w:rPr>
        <w:endnoteRef/>
      </w:r>
      <w:r>
        <w:rPr/>
        <w:tab/>
      </w:r>
      <w:r>
        <w:rPr/>
        <w:t>Remiantis ECP 2 rekomendacija Nr. 16; diskusija GT.</w:t>
      </w:r>
    </w:p>
  </w:endnote>
  <w:endnote w:id="131">
    <w:p>
      <w:pPr>
        <w:pStyle w:val="Notedefin"/>
        <w:suppressLineNumbers/>
        <w:spacing w:before="57" w:after="57"/>
        <w:ind w:left="339" w:right="0" w:hanging="339"/>
        <w:rPr/>
      </w:pPr>
      <w:r>
        <w:rPr>
          <w:rStyle w:val="Caractresdenotedefin"/>
        </w:rPr>
        <w:endnoteRef/>
      </w:r>
      <w:r>
        <w:rPr/>
        <w:tab/>
      </w:r>
      <w:r>
        <w:rPr/>
        <w:t>ECP 2 rekomendacija Nr. 19 ir daugiakalbė skaitmeninė platforma (MNP).</w:t>
      </w:r>
    </w:p>
  </w:endnote>
  <w:endnote w:id="132">
    <w:p>
      <w:pPr>
        <w:pStyle w:val="Notedefin"/>
        <w:suppressLineNumbers/>
        <w:spacing w:before="57" w:after="57"/>
        <w:ind w:left="339" w:right="0" w:hanging="339"/>
        <w:rPr/>
      </w:pPr>
      <w:r>
        <w:rPr>
          <w:rStyle w:val="Caractresdenotedefin"/>
        </w:rPr>
        <w:endnoteRef/>
      </w:r>
      <w:r>
        <w:rPr/>
        <w:tab/>
      </w:r>
      <w:r>
        <w:rPr/>
        <w:t>EESRK.</w:t>
      </w:r>
    </w:p>
  </w:endnote>
  <w:endnote w:id="133">
    <w:p>
      <w:pPr>
        <w:pStyle w:val="Notedefin"/>
        <w:suppressLineNumbers/>
        <w:spacing w:before="57" w:after="57"/>
        <w:ind w:left="339" w:right="0" w:hanging="339"/>
        <w:rPr/>
      </w:pPr>
      <w:r>
        <w:rPr>
          <w:rStyle w:val="Caractresdenotedefin"/>
        </w:rPr>
        <w:endnoteRef/>
      </w:r>
      <w:r>
        <w:rPr/>
        <w:tab/>
      </w:r>
      <w:r>
        <w:rPr/>
        <w:t>Darbo grupės pakeitimas Nr. 32B.</w:t>
      </w:r>
    </w:p>
  </w:endnote>
  <w:endnote w:id="134">
    <w:p>
      <w:pPr>
        <w:pStyle w:val="Notedefin"/>
        <w:suppressLineNumbers/>
        <w:spacing w:before="57" w:after="57"/>
        <w:ind w:left="339" w:right="0" w:hanging="339"/>
        <w:rPr/>
      </w:pPr>
      <w:r>
        <w:rPr>
          <w:rStyle w:val="Caractresdenotedefin"/>
        </w:rPr>
        <w:endnoteRef/>
      </w:r>
      <w:r>
        <w:rPr/>
        <w:tab/>
      </w:r>
      <w:r>
        <w:rPr/>
        <w:t>ECP 2 rekomendacija Nr. 36; nacionalinės kolegijos BE ir FR.</w:t>
      </w:r>
    </w:p>
  </w:endnote>
  <w:endnote w:id="135">
    <w:p>
      <w:pPr>
        <w:pStyle w:val="Notedefin"/>
        <w:suppressLineNumbers/>
        <w:spacing w:before="57" w:after="57"/>
        <w:ind w:left="339" w:right="0" w:hanging="339"/>
        <w:rPr/>
      </w:pPr>
      <w:r>
        <w:rPr>
          <w:rStyle w:val="Caractresdenotedefin"/>
        </w:rPr>
        <w:endnoteRef/>
      </w:r>
      <w:r>
        <w:rPr/>
        <w:tab/>
      </w:r>
      <w:r>
        <w:rPr/>
        <w:t>FR nacionalinė komisija (Europos Komisijos pirmininko rinkimai remiantis visuotine rinkimų teise); PNM (galutinė Kantaro ataskaita: nuomonių grupė susijusi su tiesioginiais piliečių vykdomais Komisijos pirmininko rinkimais).</w:t>
      </w:r>
    </w:p>
  </w:endnote>
  <w:endnote w:id="136">
    <w:p>
      <w:pPr>
        <w:pStyle w:val="Notedefin"/>
        <w:suppressLineNumbers/>
        <w:spacing w:before="57" w:after="57"/>
        <w:ind w:left="339" w:right="0" w:hanging="339"/>
        <w:rPr/>
      </w:pPr>
      <w:r>
        <w:rPr>
          <w:rStyle w:val="Caractresdenotedefin"/>
        </w:rPr>
        <w:endnoteRef/>
      </w:r>
      <w:r>
        <w:rPr/>
        <w:tab/>
      </w:r>
      <w:r>
        <w:rPr/>
        <w:t>Darbo grupės pakeitimas Nr. 34C.</w:t>
      </w:r>
    </w:p>
  </w:endnote>
  <w:endnote w:id="137">
    <w:p>
      <w:pPr>
        <w:pStyle w:val="Notedefin"/>
        <w:suppressLineNumbers/>
        <w:spacing w:before="57" w:after="57"/>
        <w:ind w:left="339" w:right="0" w:hanging="339"/>
        <w:rPr/>
      </w:pPr>
      <w:r>
        <w:rPr>
          <w:rStyle w:val="Caractresdenotedefin"/>
        </w:rPr>
        <w:endnoteRef/>
      </w:r>
      <w:r>
        <w:rPr/>
        <w:tab/>
      </w:r>
      <w:r>
        <w:rPr/>
        <w:t>Nacionalinė komisija BE (3.2), nacionalinė ekspertų grupė FR (11) PNM (galutinė ataskaita „Kantaras“ „Kalbant apie Europos Parlamentą, respondentai dažniausiai reikalauja, kad jam būtų suteikta reali teisėkūros iniciatyvos galia“).</w:t>
      </w:r>
    </w:p>
  </w:endnote>
  <w:endnote w:id="138">
    <w:p>
      <w:pPr>
        <w:pStyle w:val="Notedefin"/>
        <w:suppressLineNumbers/>
        <w:spacing w:before="57" w:after="57"/>
        <w:ind w:left="339" w:right="0" w:hanging="339"/>
        <w:rPr/>
      </w:pPr>
      <w:r>
        <w:rPr>
          <w:rStyle w:val="Caractresdenotedefin"/>
        </w:rPr>
        <w:endnoteRef/>
      </w:r>
      <w:r>
        <w:rPr/>
        <w:tab/>
      </w:r>
      <w:r>
        <w:rPr/>
        <w:t>PNM (galutinė Kantaro ataskaita: „Kalbant apie Europos Parlamentą, (...) taip pat prašoma suteikti jam biudžetinius įgaliojimus“).</w:t>
      </w:r>
    </w:p>
  </w:endnote>
  <w:endnote w:id="139">
    <w:p>
      <w:pPr>
        <w:pStyle w:val="Notedefin"/>
        <w:suppressLineNumbers/>
        <w:spacing w:before="57" w:after="57"/>
        <w:ind w:left="339" w:right="0" w:hanging="339"/>
        <w:rPr/>
      </w:pPr>
      <w:r>
        <w:rPr>
          <w:rStyle w:val="Caractresdenotedefin"/>
        </w:rPr>
        <w:endnoteRef/>
      </w:r>
      <w:r>
        <w:rPr/>
        <w:tab/>
      </w:r>
      <w:r>
        <w:rPr/>
        <w:t>PNM (galutinė Kantaro ataskaita: Kita vertus, šalys turėtų tapti prieinamesnės skirtingoms kultūrinėms, socialinėms ir ekonominėms grupėms priklausantiems asmenims.</w:t>
      </w:r>
    </w:p>
  </w:endnote>
  <w:endnote w:id="140">
    <w:p>
      <w:pPr>
        <w:pStyle w:val="Notedefin"/>
        <w:suppressLineNumbers/>
        <w:spacing w:before="57" w:after="57"/>
        <w:ind w:left="339" w:right="0" w:hanging="339"/>
        <w:rPr/>
      </w:pPr>
      <w:r>
        <w:rPr>
          <w:rStyle w:val="Caractresdenotedefin"/>
        </w:rPr>
        <w:endnoteRef/>
      </w:r>
      <w:r>
        <w:rPr/>
        <w:tab/>
      </w:r>
      <w:r>
        <w:rPr/>
        <w:t>RK darbo grupėje.</w:t>
      </w:r>
    </w:p>
  </w:endnote>
  <w:endnote w:id="141">
    <w:p>
      <w:pPr>
        <w:pStyle w:val="Notedefin"/>
        <w:suppressLineNumbers/>
        <w:spacing w:before="57" w:after="57"/>
        <w:ind w:left="339" w:right="0" w:hanging="339"/>
        <w:rPr/>
      </w:pPr>
      <w:r>
        <w:rPr>
          <w:rStyle w:val="Caractresdenotedefin"/>
        </w:rPr>
        <w:endnoteRef/>
      </w:r>
      <w:r>
        <w:rPr/>
        <w:tab/>
      </w:r>
      <w:r>
        <w:rPr/>
        <w:t>Darbo grupės 38 pakeitimas, kompromisinė formuluotė.</w:t>
      </w:r>
    </w:p>
  </w:endnote>
  <w:endnote w:id="142">
    <w:p>
      <w:pPr>
        <w:pStyle w:val="Notedefin"/>
        <w:suppressLineNumbers/>
        <w:spacing w:before="57" w:after="57"/>
        <w:ind w:left="339" w:right="0" w:hanging="339"/>
        <w:rPr/>
      </w:pPr>
      <w:r>
        <w:rPr>
          <w:rStyle w:val="Caractresdenotedefin"/>
        </w:rPr>
        <w:endnoteRef/>
      </w:r>
      <w:r>
        <w:rPr/>
        <w:tab/>
      </w:r>
      <w:r>
        <w:rPr/>
        <w:t>ECP rekomendacija Nr. 20 2.</w:t>
      </w:r>
    </w:p>
  </w:endnote>
  <w:endnote w:id="143">
    <w:p>
      <w:pPr>
        <w:pStyle w:val="Notedefin"/>
        <w:suppressLineNumbers/>
        <w:spacing w:before="57" w:after="57"/>
        <w:ind w:left="339" w:right="0" w:hanging="339"/>
        <w:rPr/>
      </w:pPr>
      <w:r>
        <w:rPr>
          <w:rStyle w:val="Caractresdenotedefin"/>
        </w:rPr>
        <w:endnoteRef/>
      </w:r>
      <w:r>
        <w:rPr/>
        <w:tab/>
      </w:r>
      <w:r>
        <w:rPr/>
        <w:t>ECP rekomendacija Nr. 21 4.</w:t>
      </w:r>
    </w:p>
  </w:endnote>
  <w:endnote w:id="144">
    <w:p>
      <w:pPr>
        <w:pStyle w:val="Notedefin"/>
        <w:suppressLineNumbers/>
        <w:spacing w:before="57" w:after="57"/>
        <w:ind w:left="339" w:right="0" w:hanging="339"/>
        <w:rPr/>
      </w:pPr>
      <w:r>
        <w:rPr>
          <w:rStyle w:val="Caractresdenotedefin"/>
        </w:rPr>
        <w:endnoteRef/>
      </w:r>
      <w:r>
        <w:rPr/>
        <w:tab/>
      </w:r>
      <w:r>
        <w:rPr/>
        <w:t>Darbo grupės pakeitimas Nr. 43.</w:t>
      </w:r>
    </w:p>
  </w:endnote>
  <w:endnote w:id="145">
    <w:p>
      <w:pPr>
        <w:pStyle w:val="Notedefin"/>
        <w:suppressLineNumbers/>
        <w:spacing w:before="57" w:after="57"/>
        <w:ind w:left="339" w:right="0" w:hanging="339"/>
        <w:rPr/>
      </w:pPr>
      <w:r>
        <w:rPr>
          <w:rStyle w:val="Caractresdenotedefin"/>
        </w:rPr>
        <w:endnoteRef/>
      </w:r>
      <w:r>
        <w:rPr/>
        <w:tab/>
      </w:r>
      <w:r>
        <w:rPr/>
        <w:t>EKP 2 rekomendacija Nr. 34; nacionalinė kolegija NL.</w:t>
      </w:r>
    </w:p>
  </w:endnote>
  <w:endnote w:id="146">
    <w:p>
      <w:pPr>
        <w:pStyle w:val="Notedefin"/>
        <w:suppressLineNumbers/>
        <w:spacing w:before="57" w:after="57"/>
        <w:ind w:left="339" w:right="0" w:hanging="339"/>
        <w:rPr/>
      </w:pPr>
      <w:r>
        <w:rPr>
          <w:rStyle w:val="Caractresdenotedefin"/>
        </w:rPr>
        <w:endnoteRef/>
      </w:r>
      <w:r>
        <w:rPr/>
        <w:tab/>
      </w:r>
      <w:r>
        <w:rPr/>
        <w:t>Darbo grupės diskusijos remiantis EKP 2 34 rekomendacija; nacionalinė kolegija NL; PNM (galutinė Kantaro ataskaita: „Taip pat remiamas didesnis skaidrumas ir aktyvesnis piliečių dalyvavimas ES sprendimų priėmimo procese“.</w:t>
      </w:r>
    </w:p>
  </w:endnote>
  <w:endnote w:id="147">
    <w:p>
      <w:pPr>
        <w:pStyle w:val="Notedefin"/>
        <w:suppressLineNumbers/>
        <w:spacing w:before="57" w:after="57"/>
        <w:ind w:left="339" w:right="0" w:hanging="339"/>
        <w:rPr/>
      </w:pPr>
      <w:r>
        <w:rPr>
          <w:rStyle w:val="Caractresdenotedefin"/>
        </w:rPr>
        <w:endnoteRef/>
      </w:r>
      <w:r>
        <w:rPr/>
        <w:tab/>
      </w:r>
      <w:r>
        <w:rPr/>
        <w:t>Darbo grupės pakeitimas Nr. 44A.</w:t>
      </w:r>
    </w:p>
  </w:endnote>
  <w:endnote w:id="148">
    <w:p>
      <w:pPr>
        <w:pStyle w:val="Notedefin"/>
        <w:suppressLineNumbers/>
        <w:spacing w:before="57" w:after="57"/>
        <w:ind w:left="339" w:right="0" w:hanging="339"/>
        <w:rPr/>
      </w:pPr>
      <w:r>
        <w:rPr>
          <w:rStyle w:val="Caractresdenotedefin"/>
        </w:rPr>
        <w:endnoteRef/>
      </w:r>
      <w:r>
        <w:rPr/>
        <w:tab/>
      </w:r>
      <w:r>
        <w:rPr/>
        <w:t>Darbo grupės diskusija (nacionalinių parlamentų ir RK pristatymas).</w:t>
      </w:r>
    </w:p>
  </w:endnote>
  <w:endnote w:id="149">
    <w:p>
      <w:pPr>
        <w:pStyle w:val="Notedefin"/>
        <w:suppressLineNumbers/>
        <w:spacing w:before="57" w:after="57"/>
        <w:ind w:left="339" w:right="0" w:hanging="339"/>
        <w:rPr/>
      </w:pPr>
      <w:r>
        <w:rPr>
          <w:rStyle w:val="Caractresdenotedefin"/>
        </w:rPr>
        <w:endnoteRef/>
      </w:r>
      <w:r>
        <w:rPr/>
        <w:tab/>
      </w:r>
      <w:r>
        <w:rPr/>
        <w:t>Darbo grupės pakeitimas Nr. 45C.</w:t>
      </w:r>
    </w:p>
  </w:endnote>
  <w:endnote w:id="150">
    <w:p>
      <w:pPr>
        <w:pStyle w:val="Notedefin"/>
        <w:suppressLineNumbers/>
        <w:spacing w:before="57" w:after="57"/>
        <w:ind w:left="339" w:right="0" w:hanging="339"/>
        <w:rPr/>
      </w:pPr>
      <w:r>
        <w:rPr>
          <w:rStyle w:val="Caractresdenotedefin"/>
        </w:rPr>
        <w:endnoteRef/>
      </w:r>
      <w:r>
        <w:rPr/>
        <w:tab/>
      </w:r>
      <w:r>
        <w:rPr/>
        <w:t>Darbo grupės pakeitimas Nr. 46B.</w:t>
      </w:r>
    </w:p>
  </w:endnote>
  <w:endnote w:id="151">
    <w:p>
      <w:pPr>
        <w:pStyle w:val="Notedefin"/>
        <w:suppressLineNumbers/>
        <w:spacing w:before="57" w:after="57"/>
        <w:ind w:left="339" w:right="0" w:hanging="339"/>
        <w:rPr/>
      </w:pPr>
      <w:r>
        <w:rPr>
          <w:rStyle w:val="Caractresdenotedefin"/>
        </w:rPr>
        <w:endnoteRef/>
      </w:r>
      <w:r>
        <w:rPr/>
        <w:tab/>
      </w:r>
      <w:r>
        <w:rPr/>
        <w:t>ECP rekomendacija Nr. 15 2.</w:t>
      </w:r>
    </w:p>
  </w:endnote>
  <w:endnote w:id="152">
    <w:p>
      <w:pPr>
        <w:pStyle w:val="Notedefin"/>
        <w:suppressLineNumbers/>
        <w:spacing w:before="57" w:after="57"/>
        <w:ind w:left="339" w:right="0" w:hanging="339"/>
        <w:rPr/>
      </w:pPr>
      <w:r>
        <w:rPr>
          <w:rStyle w:val="Caractresdenotedefin"/>
        </w:rPr>
        <w:endnoteRef/>
      </w:r>
      <w:r>
        <w:rPr/>
        <w:tab/>
      </w:r>
      <w:r>
        <w:rPr/>
        <w:t>Darbo grupės diskusijos, grindžiamos ECP 2 rekomendacijoje Nr. 15 išreikštu poreikiu „paaiškinti Europos institucijų funkcijas“; PNM (galutinė Kantaro ataskaita: „Taip pat yra pasiūlymų, kaip sustiprinti dvejų rūmų teisėkūros galias ES.“</w:t>
      </w:r>
    </w:p>
  </w:endnote>
  <w:endnote w:id="153">
    <w:p>
      <w:pPr>
        <w:pStyle w:val="Notedefin"/>
        <w:suppressLineNumbers/>
        <w:spacing w:before="57" w:after="57"/>
        <w:ind w:left="339" w:right="0" w:hanging="339"/>
        <w:rPr/>
      </w:pPr>
      <w:r>
        <w:rPr>
          <w:rStyle w:val="Caractresdenotedefin"/>
        </w:rPr>
        <w:endnoteRef/>
      </w:r>
      <w:r>
        <w:rPr/>
        <w:tab/>
      </w:r>
      <w:r>
        <w:rPr/>
        <w:t>Darbo grupės pakeitimas Nr. 48B.</w:t>
      </w:r>
    </w:p>
  </w:endnote>
  <w:endnote w:id="154">
    <w:p>
      <w:pPr>
        <w:pStyle w:val="Notedefin"/>
        <w:suppressLineNumbers/>
        <w:spacing w:before="57" w:after="57"/>
        <w:ind w:left="339" w:right="0" w:hanging="339"/>
        <w:rPr/>
      </w:pPr>
      <w:r>
        <w:rPr>
          <w:rStyle w:val="Caractresdenotedefin"/>
        </w:rPr>
        <w:endnoteRef/>
      </w:r>
      <w:r>
        <w:rPr/>
        <w:tab/>
      </w:r>
      <w:r>
        <w:rPr/>
        <w:t>ECP rekomendacija Nr. 15 2.</w:t>
      </w:r>
    </w:p>
  </w:endnote>
  <w:endnote w:id="155">
    <w:p>
      <w:pPr>
        <w:pStyle w:val="Notedefin"/>
        <w:suppressLineNumbers/>
        <w:spacing w:before="57" w:after="57"/>
        <w:ind w:left="339" w:right="0" w:hanging="339"/>
        <w:rPr/>
      </w:pPr>
      <w:r>
        <w:rPr>
          <w:rStyle w:val="Caractresdenotedefin"/>
        </w:rPr>
        <w:endnoteRef/>
      </w:r>
      <w:r>
        <w:rPr/>
        <w:tab/>
      </w:r>
      <w:r>
        <w:rPr/>
        <w:t>Diskusijos darbo grupėje.</w:t>
      </w:r>
    </w:p>
  </w:endnote>
  <w:endnote w:id="156">
    <w:p>
      <w:pPr>
        <w:pStyle w:val="Notedefin"/>
        <w:suppressLineNumbers/>
        <w:spacing w:before="57" w:after="57"/>
        <w:ind w:left="339" w:right="0" w:hanging="339"/>
        <w:rPr/>
      </w:pPr>
      <w:r>
        <w:rPr>
          <w:rStyle w:val="Caractresdenotedefin"/>
        </w:rPr>
        <w:endnoteRef/>
      </w:r>
      <w:r>
        <w:rPr/>
        <w:tab/>
      </w:r>
      <w:r>
        <w:rPr/>
        <w:t>Darbo grupės 52A pakeitimas.</w:t>
      </w:r>
    </w:p>
  </w:endnote>
  <w:endnote w:id="157">
    <w:p>
      <w:pPr>
        <w:pStyle w:val="Notedefin"/>
        <w:suppressLineNumbers/>
        <w:spacing w:before="57" w:after="57"/>
        <w:ind w:left="339" w:right="0" w:hanging="339"/>
        <w:rPr/>
      </w:pPr>
      <w:r>
        <w:rPr>
          <w:rStyle w:val="Caractresdenotedefin"/>
        </w:rPr>
        <w:endnoteRef/>
      </w:r>
      <w:r>
        <w:rPr/>
        <w:tab/>
      </w:r>
      <w:r>
        <w:rPr/>
        <w:t>EESRK, kompromisinė formuluotė.</w:t>
      </w:r>
    </w:p>
  </w:endnote>
  <w:endnote w:id="158">
    <w:p>
      <w:pPr>
        <w:pStyle w:val="Notedefin"/>
        <w:suppressLineNumbers/>
        <w:spacing w:before="57" w:after="57"/>
        <w:ind w:left="339" w:right="0" w:hanging="339"/>
        <w:rPr/>
      </w:pPr>
      <w:r>
        <w:rPr>
          <w:rStyle w:val="Caractresdenotedefin"/>
        </w:rPr>
        <w:endnoteRef/>
      </w:r>
      <w:r>
        <w:rPr/>
        <w:tab/>
      </w:r>
      <w:r>
        <w:rPr/>
        <w:t>ECP rekomendacija Nr. 35, FR nacionalinė grupė ir kartu 51C ir 51D darbo grupės pakeitimai.</w:t>
      </w:r>
    </w:p>
  </w:endnote>
  <w:endnote w:id="159">
    <w:p>
      <w:pPr>
        <w:pStyle w:val="Notedefin"/>
        <w:suppressLineNumbers/>
        <w:spacing w:before="57" w:after="57"/>
        <w:ind w:left="339" w:right="0" w:hanging="339"/>
        <w:rPr/>
      </w:pPr>
      <w:r>
        <w:rPr>
          <w:rStyle w:val="Caractresdenotedefin"/>
        </w:rPr>
        <w:endnoteRef/>
      </w:r>
      <w:r>
        <w:rPr/>
        <w:tab/>
      </w:r>
      <w:r>
        <w:rPr/>
        <w:t>Darbo grupės pakeitimas Nr. 53D.</w:t>
      </w:r>
    </w:p>
  </w:endnote>
  <w:endnote w:id="160">
    <w:p>
      <w:pPr>
        <w:pStyle w:val="Notedefin"/>
        <w:suppressLineNumbers/>
        <w:spacing w:before="57" w:after="57"/>
        <w:ind w:left="339" w:right="0" w:hanging="339"/>
        <w:rPr/>
      </w:pPr>
      <w:r>
        <w:rPr>
          <w:rStyle w:val="Caractresdenotedefin"/>
        </w:rPr>
        <w:endnoteRef/>
      </w:r>
      <w:r>
        <w:rPr/>
        <w:tab/>
      </w:r>
      <w:r>
        <w:rPr/>
        <w:t>Diskusija darbo grupėje; nacionaliniai parlamentai.</w:t>
      </w:r>
    </w:p>
  </w:endnote>
  <w:endnote w:id="161">
    <w:p>
      <w:pPr>
        <w:pStyle w:val="Notedefin"/>
        <w:spacing w:before="57" w:after="57"/>
        <w:rPr/>
      </w:pPr>
      <w:r>
        <w:rPr>
          <w:rStyle w:val="Caractresdenotedefin"/>
        </w:rPr>
        <w:endnoteRef/>
      </w:r>
      <w:r>
        <w:rPr/>
        <w:tab/>
      </w:r>
      <w:r>
        <w:rPr/>
        <w:t>Diskusija darbo grupėje; RK ir EESRK; Galutinė Kantar ataskaita, p. 85.</w:t>
      </w:r>
    </w:p>
  </w:endnote>
  <w:endnote w:id="162">
    <w:p>
      <w:pPr>
        <w:pStyle w:val="Notedefin"/>
        <w:suppressLineNumbers/>
        <w:spacing w:before="57" w:after="57"/>
        <w:ind w:left="339" w:right="0" w:hanging="339"/>
        <w:rPr/>
      </w:pPr>
      <w:r>
        <w:rPr>
          <w:rStyle w:val="Caractresdenotedefin"/>
        </w:rPr>
        <w:endnoteRef/>
      </w:r>
      <w:r>
        <w:rPr/>
        <w:tab/>
      </w:r>
      <w:r>
        <w:rPr/>
        <w:t>Darbo grupės 58B pakeitimas.</w:t>
      </w:r>
    </w:p>
  </w:endnote>
  <w:endnote w:id="163">
    <w:p>
      <w:pPr>
        <w:pStyle w:val="Notedefin"/>
        <w:suppressLineNumbers/>
        <w:spacing w:before="57" w:after="57"/>
        <w:ind w:left="339" w:right="0" w:hanging="339"/>
        <w:rPr/>
      </w:pPr>
      <w:r>
        <w:rPr>
          <w:rStyle w:val="Caractresdenotedefin"/>
        </w:rPr>
        <w:endnoteRef/>
      </w:r>
      <w:r>
        <w:rPr/>
        <w:tab/>
      </w:r>
      <w:r>
        <w:rPr/>
        <w:t>Darbo grupės pakeitimas Nr. 59B.</w:t>
      </w:r>
    </w:p>
  </w:endnote>
  <w:endnote w:id="164">
    <w:p>
      <w:pPr>
        <w:pStyle w:val="Notedefin"/>
        <w:suppressLineNumbers/>
        <w:spacing w:before="57" w:after="57"/>
        <w:ind w:left="339" w:right="0" w:hanging="339"/>
        <w:rPr/>
      </w:pPr>
      <w:r>
        <w:rPr>
          <w:rStyle w:val="Caractresdenotedefin"/>
        </w:rPr>
        <w:endnoteRef/>
      </w:r>
      <w:r>
        <w:rPr/>
        <w:tab/>
      </w:r>
      <w:r>
        <w:rPr/>
        <w:t>Diskusija darbo grupėje; socialiniai partneriai ir kiti nariai.</w:t>
      </w:r>
    </w:p>
  </w:endnote>
  <w:endnote w:id="165">
    <w:p>
      <w:pPr>
        <w:pStyle w:val="Notedefin"/>
        <w:suppressLineNumbers/>
        <w:spacing w:before="57" w:after="57"/>
        <w:ind w:left="339" w:right="0" w:hanging="339"/>
        <w:rPr/>
      </w:pPr>
      <w:r>
        <w:rPr>
          <w:rStyle w:val="Caractresdenotedefin"/>
        </w:rPr>
        <w:endnoteRef/>
      </w:r>
      <w:r>
        <w:rPr/>
        <w:tab/>
      </w:r>
      <w:r>
        <w:rPr/>
        <w:t>Darbo grupės 63A pakeitimas, kompromisinė formuluotė.</w:t>
      </w:r>
    </w:p>
  </w:endnote>
  <w:endnote w:id="166">
    <w:p>
      <w:pPr>
        <w:pStyle w:val="Notedefin"/>
        <w:suppressLineNumbers/>
        <w:spacing w:before="57" w:after="57"/>
        <w:ind w:left="339" w:right="0" w:hanging="339"/>
        <w:rPr/>
      </w:pPr>
      <w:r>
        <w:rPr>
          <w:rStyle w:val="Caractresdenotedefin"/>
        </w:rPr>
        <w:endnoteRef/>
      </w:r>
      <w:r>
        <w:rPr/>
        <w:tab/>
      </w:r>
      <w:r>
        <w:rPr/>
        <w:t>Piliečių rekomendacijos, kuriomis grindžiamas pasiūlymas: Europos piliečių forumas Nr. 4 (ECP 4) Nr.</w:t>
      </w:r>
      <w:r>
        <w:rPr>
          <w:vertAlign w:val="superscript"/>
        </w:rPr>
        <w:t>6</w:t>
      </w:r>
      <w:r>
        <w:rPr/>
        <w:t>, 7, 9, 28 ir 30, Lietuva Nr. 9.</w:t>
      </w:r>
    </w:p>
  </w:endnote>
  <w:endnote w:id="167">
    <w:p>
      <w:pPr>
        <w:pStyle w:val="Notedefin"/>
        <w:suppressLineNumbers/>
        <w:spacing w:before="57" w:after="57"/>
        <w:ind w:left="339" w:right="0" w:hanging="339"/>
        <w:rPr/>
      </w:pPr>
      <w:r>
        <w:rPr>
          <w:rStyle w:val="Caractresdenotedefin"/>
        </w:rPr>
        <w:endnoteRef/>
      </w:r>
      <w:r>
        <w:rPr/>
        <w:tab/>
      </w:r>
      <w:r>
        <w:rPr/>
        <w:t>Piliečių rekomendacijos, kuriomis grindžiamas pasiūlymas: Europos piliečių forumas Nr. 4 (ECP 4) Nr.</w:t>
      </w:r>
      <w:r>
        <w:rPr>
          <w:vertAlign w:val="superscript"/>
        </w:rPr>
        <w:t>8</w:t>
      </w:r>
      <w:r>
        <w:rPr/>
        <w:t xml:space="preserve"> ir 27, Lietuva Nr. 10, Nyderlandai Nr. 3.</w:t>
      </w:r>
    </w:p>
  </w:endnote>
  <w:endnote w:id="168">
    <w:p>
      <w:pPr>
        <w:pStyle w:val="Notedefin"/>
        <w:suppressLineNumbers/>
        <w:spacing w:before="57" w:after="57"/>
        <w:ind w:left="339" w:right="0" w:hanging="339"/>
        <w:rPr/>
      </w:pPr>
      <w:r>
        <w:rPr>
          <w:rStyle w:val="Caractresdenotedefin"/>
        </w:rPr>
        <w:endnoteRef/>
      </w:r>
      <w:r>
        <w:rPr/>
        <w:tab/>
        <w:t xml:space="preserve"> </w:t>
      </w:r>
      <w:r>
        <w:rPr/>
        <w:t>Piliečių rekomendacijos, kuriomis grindžiamas pasiūlymas: Europos piliečių forumas Nr. 4 (PCE 4)</w:t>
      </w:r>
      <w:r>
        <w:rPr>
          <w:vertAlign w:val="superscript"/>
        </w:rPr>
        <w:t>Nr.</w:t>
      </w:r>
      <w:r>
        <w:rPr/>
        <w:t xml:space="preserve"> 10, 35 ir 38.</w:t>
      </w:r>
    </w:p>
  </w:endnote>
  <w:endnote w:id="169">
    <w:p>
      <w:pPr>
        <w:pStyle w:val="Notedefin"/>
        <w:suppressLineNumbers/>
        <w:spacing w:before="57" w:after="57"/>
        <w:ind w:left="339" w:right="0" w:hanging="339"/>
        <w:rPr/>
      </w:pPr>
      <w:r>
        <w:rPr>
          <w:rStyle w:val="Caractresdenotedefin"/>
        </w:rPr>
        <w:endnoteRef/>
      </w:r>
      <w:r>
        <w:rPr/>
        <w:tab/>
        <w:t xml:space="preserve"> </w:t>
      </w:r>
      <w:r>
        <w:rPr/>
        <w:t>Piliečių rekomendacijos, kuriomis grindžiamas pasiūlymas: Europos piliečių forumas Nr. 4 (ECP 4) Nr.</w:t>
      </w:r>
      <w:r>
        <w:rPr>
          <w:vertAlign w:val="superscript"/>
        </w:rPr>
        <w:t>29</w:t>
      </w:r>
      <w:r>
        <w:rPr/>
        <w:t>, 31, 33, 36, 37, 38, 39 ir 40, Italija Nr.</w:t>
      </w:r>
      <w:r>
        <w:rPr>
          <w:vertAlign w:val="superscript"/>
        </w:rPr>
        <w:t>3.8</w:t>
      </w:r>
      <w:r>
        <w:rPr/>
        <w:t>, 4.4 (p. 15) ir 5.6 (p. 11), Lietuva</w:t>
      </w:r>
      <w:r>
        <w:rPr>
          <w:vertAlign w:val="superscript"/>
        </w:rPr>
        <w:t>Nr.</w:t>
      </w:r>
      <w:r>
        <w:rPr/>
        <w:t xml:space="preserve"> 2 ir 3, Nyderlandai Nr. 1 ir 2.</w:t>
      </w:r>
    </w:p>
  </w:endnote>
  <w:endnote w:id="170">
    <w:p>
      <w:pPr>
        <w:pStyle w:val="Notedefin"/>
        <w:spacing w:before="57" w:after="57"/>
        <w:rPr/>
      </w:pPr>
      <w:r>
        <w:rPr>
          <w:rStyle w:val="Caractresdenotedefin"/>
        </w:rPr>
        <w:endnoteRef/>
      </w:r>
      <w:r>
        <w:rPr/>
        <w:tab/>
        <w:t xml:space="preserve"> </w:t>
      </w:r>
      <w:r>
        <w:rPr/>
        <w:t>Piliečių rekomendacijos, kuriomis grindžiamas pasiūlymas: Europos piliečių forumas Nr. 4 (PCE 4)</w:t>
      </w:r>
      <w:r>
        <w:rPr>
          <w:vertAlign w:val="superscript"/>
        </w:rPr>
        <w:t>Nr.</w:t>
      </w:r>
      <w:r>
        <w:rPr/>
        <w:t xml:space="preserve"> 7 ir 32, Prancūzija Nr. 13.</w:t>
      </w:r>
    </w:p>
  </w:endnote>
  <w:endnote w:id="171">
    <w:p>
      <w:pPr>
        <w:pStyle w:val="Notedefin"/>
        <w:suppressLineNumbers/>
        <w:spacing w:before="57" w:after="57"/>
        <w:ind w:left="339" w:right="0" w:hanging="339"/>
        <w:rPr/>
      </w:pPr>
      <w:r>
        <w:rPr>
          <w:rStyle w:val="Caractresdenotedefin"/>
        </w:rPr>
        <w:endnoteRef/>
      </w:r>
      <w:r>
        <w:rPr/>
        <w:tab/>
        <w:t xml:space="preserve"> </w:t>
      </w:r>
      <w:r>
        <w:rPr/>
        <w:t>Prancūzijos PCN, pakeisti 6.</w:t>
      </w:r>
    </w:p>
  </w:endnote>
  <w:endnote w:id="172">
    <w:p>
      <w:pPr>
        <w:pStyle w:val="Notedefin"/>
        <w:suppressLineNumbers/>
        <w:spacing w:before="57" w:after="57"/>
        <w:ind w:left="339" w:right="0" w:hanging="339"/>
        <w:rPr/>
      </w:pPr>
      <w:r>
        <w:rPr>
          <w:rStyle w:val="Caractresdenotedefin"/>
        </w:rPr>
        <w:endnoteRef/>
      </w:r>
      <w:r>
        <w:rPr/>
        <w:tab/>
      </w:r>
      <w:r>
        <w:rPr/>
        <w:t>ECP rekomendacija 37 1.</w:t>
      </w:r>
    </w:p>
  </w:endnote>
  <w:endnote w:id="173">
    <w:p>
      <w:pPr>
        <w:pStyle w:val="Notedefin"/>
        <w:suppressLineNumbers/>
        <w:spacing w:before="57" w:after="57"/>
        <w:ind w:left="339" w:right="0" w:hanging="339"/>
        <w:rPr/>
      </w:pPr>
      <w:r>
        <w:rPr>
          <w:rStyle w:val="Caractresdenotedefin"/>
        </w:rPr>
        <w:endnoteRef/>
      </w:r>
      <w:r>
        <w:rPr/>
        <w:tab/>
      </w:r>
      <w:r>
        <w:rPr/>
        <w:t>ECP 3 rekomendacija. Prancūzijos PCN, pakeisti 6.</w:t>
      </w:r>
    </w:p>
  </w:endnote>
  <w:endnote w:id="174">
    <w:p>
      <w:pPr>
        <w:pStyle w:val="Notedefin"/>
        <w:suppressLineNumbers/>
        <w:spacing w:before="57" w:after="57"/>
        <w:ind w:left="339" w:right="0" w:hanging="339"/>
        <w:rPr/>
      </w:pPr>
      <w:r>
        <w:rPr>
          <w:rStyle w:val="Caractresdenotedefin"/>
        </w:rPr>
        <w:endnoteRef/>
      </w:r>
      <w:r>
        <w:rPr/>
        <w:tab/>
        <w:t xml:space="preserve"> </w:t>
      </w:r>
      <w:r>
        <w:rPr/>
        <w:t>ECP rekomendacija 41 1.</w:t>
      </w:r>
    </w:p>
  </w:endnote>
  <w:endnote w:id="175">
    <w:p>
      <w:pPr>
        <w:pStyle w:val="Notedefin"/>
        <w:suppressLineNumbers/>
        <w:spacing w:before="57" w:after="57"/>
        <w:ind w:left="339" w:right="0" w:hanging="339"/>
        <w:rPr/>
      </w:pPr>
      <w:r>
        <w:rPr>
          <w:rStyle w:val="Caractresdenotedefin"/>
        </w:rPr>
        <w:endnoteRef/>
      </w:r>
      <w:r>
        <w:rPr/>
        <w:tab/>
        <w:t xml:space="preserve"> </w:t>
      </w:r>
      <w:r>
        <w:rPr/>
        <w:t>Tai išsamiau aptaria Europos demokratijos darbo grupė. Žr. EPP 2 rekomendaciją Nr. 24, Belgijos NKP 1.1, 1.2 ir 2.12 rekomendacijas ir Italijos NKP rekomendaciją dėl įtraukties politikos.</w:t>
      </w:r>
    </w:p>
  </w:endnote>
  <w:endnote w:id="176">
    <w:p>
      <w:pPr>
        <w:pStyle w:val="Notedefin"/>
        <w:suppressLineNumbers/>
        <w:spacing w:before="57" w:after="57"/>
        <w:ind w:left="339" w:right="0" w:hanging="339"/>
        <w:rPr/>
      </w:pPr>
      <w:r>
        <w:rPr>
          <w:rStyle w:val="Caractresdenotedefin"/>
        </w:rPr>
        <w:endnoteRef/>
      </w:r>
      <w:r>
        <w:rPr/>
        <w:tab/>
      </w:r>
      <w:r>
        <w:rPr/>
        <w:t>Italijos NKP rekomendacija dėl įtraukties politikos.</w:t>
      </w:r>
    </w:p>
  </w:endnote>
  <w:endnote w:id="177">
    <w:p>
      <w:pPr>
        <w:pStyle w:val="Notedefin"/>
        <w:suppressLineNumbers/>
        <w:spacing w:before="57" w:after="57"/>
        <w:ind w:left="339" w:right="0" w:hanging="339"/>
        <w:rPr/>
      </w:pPr>
      <w:r>
        <w:rPr>
          <w:rStyle w:val="Caractresdenotedefin"/>
        </w:rPr>
        <w:endnoteRef/>
      </w:r>
      <w:r>
        <w:rPr/>
        <w:tab/>
      </w:r>
      <w:r>
        <w:rPr/>
        <w:t>Tai išsamiau aptaria Skaitmeninės pertvarkos darbo grupė. Žr. ECP 1 rekomendacijas Nr. 8 ir 34.</w:t>
      </w:r>
    </w:p>
  </w:endnote>
  <w:endnote w:id="178">
    <w:p>
      <w:pPr>
        <w:pStyle w:val="Notedefin"/>
        <w:suppressLineNumbers/>
        <w:spacing w:before="57" w:after="57"/>
        <w:ind w:left="339" w:right="0" w:hanging="339"/>
        <w:rPr/>
      </w:pPr>
      <w:r>
        <w:rPr>
          <w:rStyle w:val="Caractresdenotedefin"/>
        </w:rPr>
        <w:endnoteRef/>
      </w:r>
      <w:r>
        <w:rPr/>
        <w:tab/>
      </w:r>
      <w:r>
        <w:rPr/>
        <w:t>Italijos NKP rekomendacija „skatinti jaunimą studijuoti mokslo dalykus“.</w:t>
      </w:r>
    </w:p>
  </w:endnote>
  <w:endnote w:id="179">
    <w:p>
      <w:pPr>
        <w:pStyle w:val="Notedefin"/>
        <w:suppressLineNumbers/>
        <w:spacing w:before="57" w:after="57"/>
        <w:ind w:left="339" w:right="0" w:hanging="339"/>
        <w:rPr/>
      </w:pPr>
      <w:r>
        <w:rPr>
          <w:rStyle w:val="Caractresdenotedefin"/>
        </w:rPr>
        <w:endnoteRef/>
      </w:r>
      <w:r>
        <w:rPr/>
        <w:tab/>
      </w:r>
      <w:r>
        <w:rPr/>
        <w:t>PCE rekomendacijos Nr. 33 ir 48 1. Taip pat aptarė Skaitmeninės transformacijos darbo grupė. Žr. ECP 1 rekomendaciją Nr. 47 dėl sveiko interneto naudojimo.</w:t>
      </w:r>
    </w:p>
  </w:endnote>
  <w:endnote w:id="180">
    <w:p>
      <w:pPr>
        <w:pStyle w:val="Notedefin"/>
        <w:suppressLineNumbers/>
        <w:spacing w:before="57" w:after="57"/>
        <w:ind w:left="339" w:right="0" w:hanging="339"/>
        <w:rPr/>
      </w:pPr>
      <w:r>
        <w:rPr>
          <w:rStyle w:val="Caractresdenotedefin"/>
        </w:rPr>
        <w:endnoteRef/>
      </w:r>
      <w:r>
        <w:rPr/>
        <w:tab/>
      </w:r>
      <w:r>
        <w:rPr/>
        <w:t>ECP 5 rekomendacija Nr. 1.</w:t>
      </w:r>
    </w:p>
  </w:endnote>
  <w:endnote w:id="181">
    <w:p>
      <w:pPr>
        <w:pStyle w:val="Notedefin"/>
        <w:suppressLineNumbers/>
        <w:spacing w:before="57" w:after="57"/>
        <w:ind w:left="339" w:right="0" w:hanging="339"/>
        <w:rPr/>
      </w:pPr>
      <w:r>
        <w:rPr>
          <w:rStyle w:val="Caractresdenotedefin"/>
        </w:rPr>
        <w:endnoteRef/>
      </w:r>
      <w:r>
        <w:rPr/>
        <w:tab/>
      </w:r>
      <w:r>
        <w:rPr/>
        <w:t>ECP 1 rekomendacijos Nr. 15 ir 18.</w:t>
      </w:r>
    </w:p>
  </w:endnote>
  <w:endnote w:id="182">
    <w:p>
      <w:pPr>
        <w:pStyle w:val="Notedefin"/>
        <w:suppressLineNumbers/>
        <w:spacing w:before="57" w:after="57"/>
        <w:ind w:left="339" w:right="0" w:hanging="339"/>
        <w:rPr/>
      </w:pPr>
      <w:r>
        <w:rPr>
          <w:rStyle w:val="Caractresdenotedefin"/>
        </w:rPr>
        <w:endnoteRef/>
      </w:r>
      <w:r>
        <w:rPr/>
        <w:tab/>
        <w:t xml:space="preserve"> </w:t>
      </w:r>
      <w:r>
        <w:rPr/>
        <w:t>Italijos NKP rekomendacija „Europa pasaulyje“</w:t>
      </w:r>
    </w:p>
  </w:endnote>
  <w:endnote w:id="183">
    <w:p>
      <w:pPr>
        <w:pStyle w:val="Notedefin"/>
        <w:suppressLineNumbers/>
        <w:spacing w:before="57" w:after="57"/>
        <w:ind w:left="339" w:right="0" w:hanging="339"/>
        <w:rPr/>
      </w:pPr>
      <w:r>
        <w:rPr>
          <w:rStyle w:val="Caractresdenotedefin"/>
        </w:rPr>
        <w:endnoteRef/>
      </w:r>
      <w:r>
        <w:rPr/>
        <w:tab/>
      </w:r>
      <w:r>
        <w:rPr/>
        <w:t>ECP 1 rekomendacijos Nr.</w:t>
      </w:r>
      <w:r>
        <w:rPr>
          <w:vertAlign w:val="superscript"/>
        </w:rPr>
        <w:t>18</w:t>
      </w:r>
      <w:r>
        <w:rPr/>
        <w:t xml:space="preserve"> ir 41 ir Italijos NKP rekomendacija „Investicijos į instruktorių mokymą“.</w:t>
      </w:r>
    </w:p>
  </w:endnote>
  <w:endnote w:id="184">
    <w:p>
      <w:pPr>
        <w:pStyle w:val="Notedefin"/>
        <w:suppressLineNumbers/>
        <w:spacing w:before="57" w:after="57"/>
        <w:ind w:left="339" w:right="0" w:hanging="339"/>
        <w:rPr/>
      </w:pPr>
      <w:r>
        <w:rPr>
          <w:rStyle w:val="Caractresdenotedefin"/>
        </w:rPr>
        <w:endnoteRef/>
      </w:r>
      <w:r>
        <w:rPr/>
        <w:tab/>
      </w:r>
      <w:r>
        <w:rPr/>
        <w:t>PCE 1 rekomendacija Nr. 17, skirta Skaitmeninės darbo grupei.</w:t>
      </w:r>
    </w:p>
  </w:endnote>
  <w:endnote w:id="185">
    <w:p>
      <w:pPr>
        <w:pStyle w:val="Notedefin"/>
        <w:suppressLineNumbers/>
        <w:spacing w:before="57" w:after="57"/>
        <w:ind w:left="339" w:right="0" w:hanging="339"/>
        <w:rPr/>
      </w:pPr>
      <w:r>
        <w:rPr>
          <w:rStyle w:val="Caractresdenotedefin"/>
        </w:rPr>
        <w:endnoteRef/>
      </w:r>
      <w:r>
        <w:rPr/>
        <w:tab/>
        <w:t xml:space="preserve"> </w:t>
      </w:r>
      <w:r>
        <w:rPr/>
        <w:t>ECP rekomendacija Nr. 15 1. Vokietijos NKC rekomendacija dėl „informacijos platformos, skirtos keitimuisi žiniomis ir patirtimi ES lygmeniu“.</w:t>
      </w:r>
    </w:p>
  </w:endnote>
  <w:endnote w:id="186">
    <w:p>
      <w:pPr>
        <w:pStyle w:val="Notedefin"/>
        <w:suppressLineNumbers/>
        <w:spacing w:before="57" w:after="57"/>
        <w:ind w:left="339" w:right="0" w:hanging="339"/>
        <w:rPr/>
      </w:pPr>
      <w:r>
        <w:rPr>
          <w:rStyle w:val="Caractresdenotedefin"/>
        </w:rPr>
        <w:endnoteRef/>
      </w:r>
      <w:r>
        <w:rPr/>
        <w:tab/>
      </w:r>
      <w:r>
        <w:rPr/>
        <w:t>Belgijos NKP 6.1 rekomendacija. Prancūzijos PCN, pakeisti 7.</w:t>
      </w:r>
    </w:p>
  </w:endnote>
  <w:endnote w:id="187">
    <w:p>
      <w:pPr>
        <w:pStyle w:val="Notedefin"/>
        <w:suppressLineNumbers/>
        <w:spacing w:before="57" w:after="57"/>
        <w:ind w:left="339" w:right="0" w:hanging="339"/>
        <w:rPr/>
      </w:pPr>
      <w:r>
        <w:rPr>
          <w:rStyle w:val="Caractresdenotedefin"/>
        </w:rPr>
        <w:endnoteRef/>
      </w:r>
      <w:r>
        <w:rPr/>
        <w:tab/>
        <w:t xml:space="preserve"> </w:t>
      </w:r>
      <w:r>
        <w:rPr/>
        <w:t>Belgijos NKP 7.2 rekomendacija.</w:t>
      </w:r>
    </w:p>
  </w:endnote>
  <w:endnote w:id="188">
    <w:p>
      <w:pPr>
        <w:pStyle w:val="Notedefin"/>
        <w:suppressLineNumbers/>
        <w:spacing w:before="57" w:after="57"/>
        <w:ind w:left="339" w:right="0" w:hanging="339"/>
        <w:rPr/>
      </w:pPr>
      <w:r>
        <w:rPr>
          <w:rStyle w:val="Caractresdenotedefin"/>
        </w:rPr>
        <w:endnoteRef/>
      </w:r>
      <w:r>
        <w:rPr/>
        <w:tab/>
      </w:r>
      <w:r>
        <w:rPr/>
        <w:t>ECP 4 rekomendacija 1.</w:t>
      </w:r>
    </w:p>
  </w:endnote>
  <w:endnote w:id="189">
    <w:p>
      <w:pPr>
        <w:pStyle w:val="Notedefin"/>
        <w:suppressLineNumbers/>
        <w:spacing w:before="57" w:after="57"/>
        <w:ind w:left="339" w:right="0" w:hanging="339"/>
        <w:rPr/>
      </w:pPr>
      <w:r>
        <w:rPr>
          <w:rStyle w:val="Caractresdenotedefin"/>
        </w:rPr>
        <w:endnoteRef/>
      </w:r>
      <w:r>
        <w:rPr/>
        <w:tab/>
      </w:r>
      <w:r>
        <w:rPr/>
        <w:t>Pasiūlymas papildyti EPP</w:t>
      </w:r>
      <w:r>
        <w:rPr>
          <w:vertAlign w:val="superscript"/>
        </w:rPr>
        <w:t>1</w:t>
      </w:r>
      <w:r>
        <w:rPr/>
        <w:t xml:space="preserve"> rekomendacijas Nr. 1 ir 30, kurias parengė stipresnės ekonomikos, socialinio teisingumo ir užimtumo darbo grupė.</w:t>
      </w:r>
    </w:p>
  </w:endnote>
  <w:endnote w:id="190">
    <w:p>
      <w:pPr>
        <w:pStyle w:val="Notedefin"/>
        <w:suppressLineNumbers/>
        <w:spacing w:before="57" w:after="57"/>
        <w:ind w:left="339" w:right="0" w:hanging="339"/>
        <w:rPr/>
      </w:pPr>
      <w:r>
        <w:rPr>
          <w:rStyle w:val="Caractresdenotedefin"/>
        </w:rPr>
        <w:endnoteRef/>
      </w:r>
      <w:r>
        <w:rPr/>
        <w:tab/>
        <w:t xml:space="preserve"> </w:t>
      </w:r>
      <w:r>
        <w:rPr/>
        <w:t>Pasiūlymas papildyti EPK 1 rekomendaciją Nr. 25, kurią pateikė stipresnės ekonomikos, socialinio teisingumo ir užimtumo darbo grupė.</w:t>
      </w:r>
    </w:p>
  </w:endnote>
  <w:endnote w:id="191">
    <w:p>
      <w:pPr>
        <w:pStyle w:val="Notedefin"/>
        <w:suppressLineNumbers/>
        <w:spacing w:before="57" w:after="57"/>
        <w:ind w:left="339" w:right="0" w:hanging="339"/>
        <w:rPr/>
      </w:pPr>
      <w:r>
        <w:rPr>
          <w:rStyle w:val="Caractresdenotedefin"/>
        </w:rPr>
        <w:endnoteRef/>
      </w:r>
      <w:r>
        <w:rPr/>
        <w:tab/>
        <w:t xml:space="preserve"> </w:t>
      </w:r>
      <w:r>
        <w:rPr/>
        <w:t>ECP rekomendacija Nr. 28 4. Nyderlandų NKP („Mūsų kultūros, jaunimo ir sporto vizija“), 1 rekomendacija. Prancūzijos PCN, pakeisti 6.</w:t>
      </w:r>
    </w:p>
  </w:endnote>
  <w:endnote w:id="192">
    <w:p>
      <w:pPr>
        <w:pStyle w:val="Notedefin"/>
        <w:suppressLineNumbers/>
        <w:spacing w:before="57" w:after="57"/>
        <w:ind w:left="339" w:right="0" w:hanging="339"/>
        <w:rPr/>
      </w:pPr>
      <w:r>
        <w:rPr>
          <w:rStyle w:val="Caractresdenotedefin"/>
        </w:rPr>
        <w:endnoteRef/>
      </w:r>
      <w:r>
        <w:rPr/>
        <w:tab/>
        <w:t xml:space="preserve"> </w:t>
      </w:r>
      <w:r>
        <w:rPr/>
        <w:t>ECP 6 rekomendacija 1.</w:t>
      </w:r>
    </w:p>
  </w:endnote>
  <w:endnote w:id="193">
    <w:p>
      <w:pPr>
        <w:pStyle w:val="Notedefin"/>
        <w:suppressLineNumbers/>
        <w:spacing w:before="57" w:after="57"/>
        <w:ind w:left="339" w:right="0" w:hanging="339"/>
        <w:rPr/>
      </w:pPr>
      <w:r>
        <w:rPr>
          <w:rStyle w:val="Caractresdenotedefin"/>
        </w:rPr>
        <w:endnoteRef/>
      </w:r>
      <w:r>
        <w:rPr/>
        <w:tab/>
      </w:r>
      <w:r>
        <w:rPr/>
        <w:t>Nyderlandų NKP („Mūsų kultūros, jaunimo ir sporto vizija“), Rekomendacija Nr. 2.</w:t>
      </w:r>
    </w:p>
  </w:endnote>
  <w:endnote w:id="194">
    <w:p>
      <w:pPr>
        <w:pStyle w:val="Notedefin"/>
        <w:suppressLineNumbers/>
        <w:spacing w:before="57" w:after="57"/>
        <w:ind w:left="339" w:right="0" w:hanging="339"/>
        <w:rPr/>
      </w:pPr>
      <w:r>
        <w:rPr>
          <w:rStyle w:val="Caractresdenotedefin"/>
        </w:rPr>
        <w:endnoteRef/>
      </w:r>
      <w:r>
        <w:rPr/>
        <w:tab/>
      </w:r>
      <w:r>
        <w:rPr/>
        <w:t>ECP rekomendacija 36 1. Prancūzijos PCN, pakeisti 6. Belgijos NKP rekomendacijos Nr. 2.10 ir 2.11. Vokietijos NCP „Sukurti daugiau mainų galimybių studentams Europoje“. Nyderlandų NKP („Mūsų kultūros, jaunimo ir sporto vizija“),</w:t>
      </w:r>
      <w:r>
        <w:rPr>
          <w:vertAlign w:val="superscript"/>
        </w:rPr>
        <w:t>1</w:t>
      </w:r>
      <w:r>
        <w:rPr/>
        <w:t xml:space="preserve"> ir 3 rekomendacijos. Italijos NKP rekomendacija „Sukurti Rytų ar Vakarų santakos biurą, skatinti kultūrinius mainus ir bendras kultūrines iniciatyvas“.</w:t>
      </w:r>
    </w:p>
  </w:endnote>
  <w:endnote w:id="195">
    <w:p>
      <w:pPr>
        <w:pStyle w:val="Notedefin"/>
        <w:suppressLineNumbers/>
        <w:spacing w:before="57" w:after="57"/>
        <w:ind w:left="339" w:right="0" w:hanging="339"/>
        <w:rPr/>
      </w:pPr>
      <w:r>
        <w:rPr>
          <w:rStyle w:val="Caractresdenotedefin"/>
        </w:rPr>
        <w:endnoteRef/>
      </w:r>
      <w:r>
        <w:rPr/>
        <w:tab/>
        <w:t xml:space="preserve"> </w:t>
      </w:r>
      <w:r>
        <w:rPr/>
        <w:t>ECP 32 ir 38</w:t>
      </w:r>
      <w:r>
        <w:rPr>
          <w:vertAlign w:val="superscript"/>
        </w:rPr>
        <w:t>rekomendacijos</w:t>
      </w:r>
      <w:r>
        <w:rPr/>
        <w:t xml:space="preserve"> 1. Nyderlandų NKP („Mūsų kultūros, jaunimo ir sporto vizija“), 3 rekomendacija.</w:t>
      </w:r>
    </w:p>
  </w:endnote>
  <w:endnote w:id="196">
    <w:p>
      <w:pPr>
        <w:pStyle w:val="Notedefin"/>
        <w:suppressLineNumbers/>
        <w:spacing w:before="57" w:after="57"/>
        <w:ind w:left="339" w:right="0" w:hanging="339"/>
        <w:rPr/>
      </w:pPr>
      <w:r>
        <w:rPr>
          <w:rStyle w:val="Caractresdenotedefin"/>
        </w:rPr>
        <w:endnoteRef/>
      </w:r>
      <w:r>
        <w:rPr/>
        <w:tab/>
      </w:r>
      <w:r>
        <w:rPr/>
        <w:t>Italijos NKP rekomendacija „Europa pasaulyje“</w:t>
      </w:r>
    </w:p>
  </w:endnote>
  <w:endnote w:id="197">
    <w:p>
      <w:pPr>
        <w:pStyle w:val="Notedefin"/>
        <w:suppressLineNumbers/>
        <w:spacing w:before="57" w:after="57"/>
        <w:ind w:left="339" w:right="0" w:hanging="339"/>
        <w:rPr/>
      </w:pPr>
      <w:r>
        <w:rPr>
          <w:rStyle w:val="Caractresdenotedefin"/>
        </w:rPr>
        <w:endnoteRef/>
      </w:r>
      <w:r>
        <w:rPr/>
        <w:tab/>
      </w:r>
      <w:r>
        <w:rPr/>
        <w:t>Prancūzijos PCN, pakeisti 7. Belgijos NKP</w:t>
      </w:r>
      <w:r>
        <w:rPr>
          <w:vertAlign w:val="superscript"/>
        </w:rPr>
        <w:t>2.5</w:t>
      </w:r>
      <w:r>
        <w:rPr/>
        <w:t>, 6.1 ir 8.7 rekomendacijos. Italijos NKP, Rekomendacija „Europos kultūros vertybių ir ypatumų bei regioninių ypatumų stiprinimas“.</w:t>
      </w:r>
    </w:p>
  </w:endnote>
  <w:endnote w:id="198">
    <w:p>
      <w:pPr>
        <w:pStyle w:val="Notedefin"/>
        <w:suppressLineNumbers/>
        <w:spacing w:before="57" w:after="57"/>
        <w:ind w:left="339" w:right="0" w:hanging="339"/>
        <w:rPr/>
      </w:pPr>
      <w:r>
        <w:rPr>
          <w:rStyle w:val="Caractresdenotedefin"/>
        </w:rPr>
        <w:endnoteRef/>
      </w:r>
      <w:r>
        <w:rPr/>
        <w:tab/>
      </w:r>
      <w:r>
        <w:rPr/>
        <w:t>Nyderlandų NKP („Mūsų kultūros, jaunimo ir sporto vizija“), Rekomendacija Nr. 2.</w:t>
      </w:r>
    </w:p>
  </w:endnote>
  <w:endnote w:id="199">
    <w:p>
      <w:pPr>
        <w:pStyle w:val="Notedefin"/>
        <w:suppressLineNumbers/>
        <w:spacing w:before="57" w:after="57"/>
        <w:ind w:left="339" w:right="0" w:hanging="339"/>
        <w:rPr/>
      </w:pPr>
      <w:r>
        <w:rPr>
          <w:rStyle w:val="Caractresdenotedefin"/>
        </w:rPr>
        <w:endnoteRef/>
      </w:r>
      <w:r>
        <w:rPr/>
        <w:tab/>
        <w:t xml:space="preserve"> </w:t>
      </w:r>
      <w:r>
        <w:rPr/>
        <w:t>Italijos NKP rekomendacija „viršijo praėjusio amžiaus gamybos modelį“</w:t>
      </w:r>
    </w:p>
  </w:endnote>
  <w:endnote w:id="200">
    <w:p>
      <w:pPr>
        <w:pStyle w:val="Notedefin"/>
        <w:suppressLineNumbers/>
        <w:spacing w:before="57" w:after="57"/>
        <w:ind w:left="339" w:right="0" w:hanging="339"/>
        <w:rPr/>
      </w:pPr>
      <w:r>
        <w:rPr>
          <w:rStyle w:val="Caractresdenotedefin"/>
        </w:rPr>
        <w:endnoteRef/>
      </w:r>
      <w:r>
        <w:rPr/>
        <w:tab/>
      </w:r>
      <w:r>
        <w:rPr/>
        <w:t>ECP rekomendacija Nr. 29 1.</w:t>
      </w:r>
    </w:p>
  </w:endnote>
  <w:endnote w:id="201">
    <w:p>
      <w:pPr>
        <w:pStyle w:val="Notedefin"/>
        <w:suppressLineNumbers/>
        <w:spacing w:before="57" w:after="57"/>
        <w:ind w:left="339" w:right="0" w:hanging="339"/>
        <w:rPr/>
      </w:pPr>
      <w:r>
        <w:rPr>
          <w:rStyle w:val="Caractresdenotedefin"/>
        </w:rPr>
        <w:endnoteRef/>
      </w:r>
      <w:r>
        <w:rPr/>
        <w:tab/>
      </w:r>
      <w:r>
        <w:rPr/>
        <w:t>ECP rekomendacija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6</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5</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EBPO, Inovatyvių piliečių dalyvavimas ir naujos demokratinės institucijos, 2020 m.,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EBPO, Inovatyvių piliečių dalyvavimas ir naujos demokratinės institucijos, 2020 m.,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Apsilankykite daugiakalbėje skaitmeninėje platformoje, kad gautumėte visą informaciją apie šiuos renginius.</w:t>
      </w:r>
    </w:p>
  </w:footnote>
  <w:footnote w:id="7">
    <w:p>
      <w:pPr>
        <w:pStyle w:val="Notedebasdepage"/>
        <w:suppressLineNumbers/>
        <w:spacing w:before="57" w:after="57"/>
        <w:ind w:left="339" w:right="0" w:hanging="339"/>
        <w:rPr/>
      </w:pPr>
      <w:r>
        <w:rPr>
          <w:rStyle w:val="Caractresdenotedebasdepage"/>
        </w:rPr>
        <w:footnoteRef/>
      </w:r>
      <w:r>
        <w:rPr/>
        <w:tab/>
      </w:r>
      <w:r>
        <w:rPr/>
        <w:t>Lygiomis teisėmis turėjo būti pasiektas bent Europos Parlamento, Tarybos, Europos Komisijos ir nacionalinių parlamentų atstovų sutarimas. Jei nacionalinių renginių ir (arba) Europos ar nacionalinių piliečių grupių piliečių atstovų padėtis akivaizdžiai skiriasi, ši pozicija turėtų būti įtraukta į šią ataskaitą.</w:t>
      </w:r>
    </w:p>
  </w:footnote>
  <w:footnote w:id="8">
    <w:p>
      <w:pPr>
        <w:pStyle w:val="Notedebasdepage"/>
        <w:suppressLineNumbers/>
        <w:spacing w:before="57" w:after="57"/>
        <w:ind w:left="339" w:right="0" w:hanging="339"/>
        <w:rPr/>
      </w:pPr>
      <w:r>
        <w:rPr>
          <w:rStyle w:val="Caractresdenotedebasdepage"/>
        </w:rPr>
        <w:footnoteRef/>
      </w:r>
      <w:r>
        <w:rPr/>
        <w:tab/>
      </w:r>
      <w:r>
        <w:rPr/>
        <w:t>Kiti Europos Komisijos nariai buvo pakviesti į plenarinį posėdį, ypač tais atvejais, kai buvo aptarti su jų atsakomybės sritimis susiję klausimai.</w:t>
      </w:r>
    </w:p>
  </w:footnote>
  <w:footnote w:id="9">
    <w:p>
      <w:pPr>
        <w:pStyle w:val="Notedebasdepage"/>
        <w:suppressLineNumbers/>
        <w:spacing w:before="57" w:after="57"/>
        <w:ind w:left="339" w:right="0" w:hanging="339"/>
        <w:rPr/>
      </w:pPr>
      <w:r>
        <w:rPr>
          <w:rStyle w:val="Caractresdenotedebasdepage"/>
        </w:rPr>
        <w:footnoteRef/>
      </w:r>
      <w:r>
        <w:rPr/>
        <w:tab/>
      </w:r>
      <w:r>
        <w:rPr/>
        <w:t>Po vieną iš kiekvienos valstybės narės.</w:t>
      </w:r>
    </w:p>
  </w:footnote>
  <w:footnote w:id="10">
    <w:p>
      <w:pPr>
        <w:pStyle w:val="Notedebasdepage"/>
        <w:suppressLineNumbers/>
        <w:spacing w:before="57" w:after="57"/>
        <w:ind w:left="339" w:right="0" w:hanging="339"/>
        <w:rPr/>
      </w:pPr>
      <w:r>
        <w:rPr>
          <w:rStyle w:val="Caractresdenotedebasdepage"/>
        </w:rPr>
        <w:footnoteRef/>
      </w:r>
      <w:r>
        <w:rPr/>
        <w:tab/>
      </w:r>
      <w:r>
        <w:rPr/>
        <w:t>Pirmasis mišraus formato renginys, skirtas Europos piliečiams, įvyko 2021 m. birželio 17 d. Lisabonoje, prieš birželio 19 d. steigiamąją plenarinę sesiją, siekiant pradėti piliečių dalyvavimą konferencijoje.</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Europos Komisijos atstovai paaiškino, kad reikėtų pereiti pereinamąjį laikotarpį, kad būtų išvengta pernelyg staigių pokyčių.</w:t>
      </w:r>
    </w:p>
  </w:footnote>
  <w:footnote w:id="12">
    <w:p>
      <w:pPr>
        <w:pStyle w:val="Notedebasdepage"/>
        <w:suppressLineNumbers/>
        <w:spacing w:before="57" w:after="57"/>
        <w:ind w:left="339" w:right="0" w:hanging="339"/>
        <w:rPr/>
      </w:pPr>
      <w:r>
        <w:rPr>
          <w:rStyle w:val="Caractresdenotedebasdepage"/>
        </w:rPr>
        <w:footnoteRef/>
      </w:r>
      <w:r>
        <w:rPr/>
        <w:tab/>
      </w:r>
      <w:r>
        <w:rPr/>
        <w:t xml:space="preserve">Parlamento pozicija: aukščiausias Europos politinės partijos, turinčios didžiausią balsų skaičių per Europos Parlamento rinkimus, sąrašas ir daugumos EP narių pritarimas turėtų būti išrinktas Europos Komisijos pirmininku. Tuo atveju, jei nebus koalicija pagrįstos daugumos, postas turėtų grįžti į kitą sąrašo viršūnę. Šiuo tikslu Europos politinės partijos galėtų siūlyti kandidatus kandidatuoti į Komisijos pirmininko postą. Paulo Rangel: siekiant sustiprinti pagrindinių kandidatų procesą, Europos Parlamento ir Europos Vadovų Tarybos vaidmuo turėtų būti panaikintas, o tai reiškia, kad reikia iš dalies pakeisti Sutartis: Komisijos pirmininką siūlytų Parlamentas, o jį patvirtintų Europos Vadovų Taryba. PNM (galutinė Kantaro ataskaita: „įmokų grupė apima Komisijos pirmininko rinkimus ir Komisijos narių skyrimą, įskaitant aukščiausio sąrašo kandidatų sistemą.“ EYE, p. 23: Kandidatai į Komisijos pirmininko pareigas neturėtų būti renkami laimėjusių šalių derybose užkulisiuose. Turėtume taikyti pagrindinio kandidato sistemą, pagal kurią kiekviena partija prieš rinkimų kampaniją paskelbia kandidatą, kuris bus Komisijos pirmininkas, jei ta partija laimės daugumą. Aktyviai dalyvaudamas kampanijoje ir tiesiogiai bendraudamas su Europos piliečiais, būsimasis pirmininkas galėtų būti arčiau jų.“ diskusija GT. </w:t>
      </w:r>
    </w:p>
  </w:footnote>
  <w:footnote w:id="13">
    <w:p>
      <w:pPr>
        <w:pStyle w:val="Notedebasdepage"/>
        <w:suppressLineNumbers/>
        <w:spacing w:before="57" w:after="57"/>
        <w:ind w:left="339" w:right="0" w:hanging="339"/>
        <w:rPr/>
      </w:pPr>
      <w:r>
        <w:rPr>
          <w:rStyle w:val="Caractresdenotedebasdepage"/>
        </w:rPr>
        <w:footnoteRef/>
      </w:r>
      <w:r>
        <w:rPr/>
        <w:tab/>
      </w:r>
      <w:r>
        <w:rPr/>
        <w:t>Taryba mano, kad šis pasiūlymas nėra grindžiamas piliečių rekomendacija. Todėl jis neatitinka sutartos metodikos. Taip pat žr. piliečių komponento poziciją, išreikštą 42 puslapyje.</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Vilniaus, Kauno, Klaipėdos, Šiaulių ir Panevėžio bei rajonų (apskritio) Vilniaus, Kauno, Klaipėdos, Šiaulių, Panevėžio, Alytaus, Marijampolės, Tauragės, Telšių ir Utenos piliečių imtis, remiantis Lietuvos statistikos departamento (Lietuvos statistikos departamentas) duomenimis.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Konferencija dėl Europos ateities | PRANEŠIMAS APIE FINANSINIUS REZULTATUS</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lt"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lt"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lt"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lt"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lt"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lt"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lt"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lt"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lt"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lt"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lt"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lt"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lt"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lt"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lt"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lt"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ms-section" TargetMode="External"/><Relationship Id="rId27" Type="http://schemas.openxmlformats.org/officeDocument/2006/relationships/hyperlink" Target="https://futureu.europa.eu/pages/executive-board" TargetMode="External"/><Relationship Id="rId28"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9"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0"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1" Type="http://schemas.openxmlformats.org/officeDocument/2006/relationships/image" Target="media/image6.png"/><Relationship Id="rId32" Type="http://schemas.openxmlformats.org/officeDocument/2006/relationships/hyperlink" Target="https://futureu.europa.eu/?locale=fr" TargetMode="External"/><Relationship Id="rId33" Type="http://schemas.openxmlformats.org/officeDocument/2006/relationships/hyperlink" Target="https://futureu.europa.eu/?locale=fr" TargetMode="External"/><Relationship Id="rId34" Type="http://schemas.openxmlformats.org/officeDocument/2006/relationships/hyperlink" Target="https://futureu.europa.eu/pages/charter" TargetMode="External"/><Relationship Id="rId35" Type="http://schemas.openxmlformats.org/officeDocument/2006/relationships/hyperlink" Target="https://futureu.europa.eu/pages/rules-of-participation" TargetMode="External"/><Relationship Id="rId36" Type="http://schemas.openxmlformats.org/officeDocument/2006/relationships/hyperlink" Target="https://futureu.europa.eu/pages/faq" TargetMode="External"/><Relationship Id="rId37" Type="http://schemas.openxmlformats.org/officeDocument/2006/relationships/image" Target="media/image7.png"/><Relationship Id="rId38" Type="http://schemas.openxmlformats.org/officeDocument/2006/relationships/image" Target="media/image8.png"/><Relationship Id="rId39" Type="http://schemas.openxmlformats.org/officeDocument/2006/relationships/image" Target="media/image9.png"/><Relationship Id="rId40" Type="http://schemas.openxmlformats.org/officeDocument/2006/relationships/image" Target="media/image10.png"/><Relationship Id="rId41" Type="http://schemas.openxmlformats.org/officeDocument/2006/relationships/image" Target="media/image11.png"/><Relationship Id="rId42" Type="http://schemas.openxmlformats.org/officeDocument/2006/relationships/image" Target="media/image12.png"/><Relationship Id="rId43" Type="http://schemas.openxmlformats.org/officeDocument/2006/relationships/image" Target="media/image13.png"/><Relationship Id="rId44" Type="http://schemas.openxmlformats.org/officeDocument/2006/relationships/image" Target="media/image14.png"/><Relationship Id="rId45" Type="http://schemas.openxmlformats.org/officeDocument/2006/relationships/image" Target="media/image15.png"/><Relationship Id="rId46" Type="http://schemas.openxmlformats.org/officeDocument/2006/relationships/image" Target="media/image16.png"/><Relationship Id="rId47" Type="http://schemas.openxmlformats.org/officeDocument/2006/relationships/image" Target="media/image17.png"/><Relationship Id="rId48" Type="http://schemas.openxmlformats.org/officeDocument/2006/relationships/hyperlink" Target="https://futureu.europa.eu/pages/ms-section" TargetMode="External"/><Relationship Id="rId49" Type="http://schemas.openxmlformats.org/officeDocument/2006/relationships/hyperlink" Target="https://futureu.europa.eu/pages/reporting" TargetMode="External"/><Relationship Id="rId50" Type="http://schemas.openxmlformats.org/officeDocument/2006/relationships/image" Target="media/image18.png"/><Relationship Id="rId51" Type="http://schemas.openxmlformats.org/officeDocument/2006/relationships/image" Target="media/image19.png"/><Relationship Id="rId52" Type="http://schemas.openxmlformats.org/officeDocument/2006/relationships/hyperlink" Target="http://www.eye2021.eu/" TargetMode="External"/><Relationship Id="rId53" Type="http://schemas.openxmlformats.org/officeDocument/2006/relationships/image" Target="media/image20.png"/><Relationship Id="rId54" Type="http://schemas.openxmlformats.org/officeDocument/2006/relationships/hyperlink" Target="https://european-youth-event.europarl.europa.eu/wp-content/uploads/2021/10/2021_EYE_Report-Booklet_A5_20-10-Accessible.pdf" TargetMode="External"/><Relationship Id="rId55" Type="http://schemas.openxmlformats.org/officeDocument/2006/relationships/hyperlink" Target="https://search.youthideas.eu/" TargetMode="External"/><Relationship Id="rId56" Type="http://schemas.openxmlformats.org/officeDocument/2006/relationships/hyperlink" Target="https://www.eesc.europa.eu/en/agenda/our-events/events/kickoff-event-conference-future-europe" TargetMode="External"/><Relationship Id="rId57" Type="http://schemas.openxmlformats.org/officeDocument/2006/relationships/hyperlink" Target="https://www.eesc.europa.eu/en/agenda/our-events/events/connecting-eu-2021" TargetMode="External"/><Relationship Id="rId58" Type="http://schemas.openxmlformats.org/officeDocument/2006/relationships/hyperlink" Target="https://www.eesc.europa.eu/en/agenda/our-events/events/shaping-europe-together" TargetMode="External"/><Relationship Id="rId59" Type="http://schemas.openxmlformats.org/officeDocument/2006/relationships/hyperlink" Target="https://cor.europa.eu/en/our-work/Pages/EURegionalBarometer-Survey-2021.aspx" TargetMode="External"/><Relationship Id="rId60" Type="http://schemas.openxmlformats.org/officeDocument/2006/relationships/hyperlink" Target="https://futureu.europa.eu/profiles/EU_COMMITTEE_REGIONS/activity" TargetMode="External"/><Relationship Id="rId61" Type="http://schemas.openxmlformats.org/officeDocument/2006/relationships/hyperlink" Target="https://cor.europa.eu/en/news/Pages/Report-of-the-High-Level-Group-on-European-Democracy.aspx" TargetMode="External"/><Relationship Id="rId62"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3" Type="http://schemas.openxmlformats.org/officeDocument/2006/relationships/hyperlink" Target="https://cor.europa.eu/en/engage/brochures/Documents/Citizens, local politicians and the future of Europe/4666-final report lowres FIN.pdf" TargetMode="External"/><Relationship Id="rId64"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5"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6"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7"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8" Type="http://schemas.openxmlformats.org/officeDocument/2006/relationships/hyperlink" Target="https://urldefense.com/v3/__https:/europeanmovement.eu/__;!!DOxrgLBm!USrgw0ykk4Rr_7OEucFYoNO-h98D1sH5xfD-7Qmm48-t_TKrps6LcRBXC7_VkAjjVVGY7-cLezPKmw$" TargetMode="External"/><Relationship Id="rId69"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0"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1"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2" Type="http://schemas.openxmlformats.org/officeDocument/2006/relationships/hyperlink" Target="https://urldefense.com/v3/__https:/europeanmovement.eu/conference-on-the-future-of-europe/__;!!DOxrgLBm!USrgw0ykk4Rr_7OEucFYoNO-h98D1sH5xfD-7Qmm48-t_TKrps6LcRBXC7_VkAjjVVGY7-coTvKNzA$" TargetMode="External"/><Relationship Id="rId73" Type="http://schemas.openxmlformats.org/officeDocument/2006/relationships/image" Target="media/image21.png"/><Relationship Id="rId74" Type="http://schemas.openxmlformats.org/officeDocument/2006/relationships/image" Target="media/image22.png"/><Relationship Id="rId75" Type="http://schemas.openxmlformats.org/officeDocument/2006/relationships/image" Target="media/image23.png"/><Relationship Id="rId76" Type="http://schemas.openxmlformats.org/officeDocument/2006/relationships/image" Target="media/image24.png"/><Relationship Id="rId77" Type="http://schemas.openxmlformats.org/officeDocument/2006/relationships/image" Target="media/image25.png"/><Relationship Id="rId78" Type="http://schemas.openxmlformats.org/officeDocument/2006/relationships/image" Target="media/image26.png"/><Relationship Id="rId79" Type="http://schemas.openxmlformats.org/officeDocument/2006/relationships/image" Target="media/image27.png"/><Relationship Id="rId80" Type="http://schemas.openxmlformats.org/officeDocument/2006/relationships/image" Target="media/image28.png"/><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hyperlink" Target="https://participation-citoyenne.gouv.fr/sites/default/files/2021-11/20211126 - COFE - Rapport final.pdf" TargetMode="External"/><Relationship Id="rId88" Type="http://schemas.openxmlformats.org/officeDocument/2006/relationships/image" Target="media/image34.png"/><Relationship Id="rId89" Type="http://schemas.openxmlformats.org/officeDocument/2006/relationships/image" Target="media/image35.pn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png"/><Relationship Id="rId93" Type="http://schemas.openxmlformats.org/officeDocument/2006/relationships/image" Target="media/image39.png"/><Relationship Id="rId94" Type="http://schemas.openxmlformats.org/officeDocument/2006/relationships/image" Target="media/image40.png"/><Relationship Id="rId95" Type="http://schemas.openxmlformats.org/officeDocument/2006/relationships/image" Target="media/image41.png"/><Relationship Id="rId96" Type="http://schemas.openxmlformats.org/officeDocument/2006/relationships/image" Target="media/image42.png"/><Relationship Id="rId97" Type="http://schemas.openxmlformats.org/officeDocument/2006/relationships/image" Target="media/image43.png"/><Relationship Id="rId98" Type="http://schemas.openxmlformats.org/officeDocument/2006/relationships/image" Target="media/image44.png"/><Relationship Id="rId99" Type="http://schemas.openxmlformats.org/officeDocument/2006/relationships/image" Target="media/image45.wmf"/><Relationship Id="rId100" Type="http://schemas.openxmlformats.org/officeDocument/2006/relationships/image" Target="media/image46.png"/><Relationship Id="rId101" Type="http://schemas.openxmlformats.org/officeDocument/2006/relationships/image" Target="media/image47.png"/><Relationship Id="rId102" Type="http://schemas.openxmlformats.org/officeDocument/2006/relationships/image" Target="media/image48.png"/><Relationship Id="rId103" Type="http://schemas.openxmlformats.org/officeDocument/2006/relationships/image" Target="media/image49.png"/><Relationship Id="rId104" Type="http://schemas.openxmlformats.org/officeDocument/2006/relationships/image" Target="media/image50.png"/><Relationship Id="rId105" Type="http://schemas.openxmlformats.org/officeDocument/2006/relationships/image" Target="media/image51.png"/><Relationship Id="rId106" Type="http://schemas.openxmlformats.org/officeDocument/2006/relationships/image" Target="media/image52.png"/><Relationship Id="rId107" Type="http://schemas.openxmlformats.org/officeDocument/2006/relationships/image" Target="media/image53.png"/><Relationship Id="rId108" Type="http://schemas.openxmlformats.org/officeDocument/2006/relationships/image" Target="media/image54.png"/><Relationship Id="rId109" Type="http://schemas.openxmlformats.org/officeDocument/2006/relationships/image" Target="media/image55.png"/><Relationship Id="rId110" Type="http://schemas.openxmlformats.org/officeDocument/2006/relationships/image" Target="media/image56.png"/><Relationship Id="rId111" Type="http://schemas.openxmlformats.org/officeDocument/2006/relationships/image" Target="media/image57.png"/><Relationship Id="rId112" Type="http://schemas.openxmlformats.org/officeDocument/2006/relationships/image" Target="media/image58.png"/><Relationship Id="rId113" Type="http://schemas.openxmlformats.org/officeDocument/2006/relationships/image" Target="media/image59.png"/><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256" TargetMode="External"/><Relationship Id="rId117" Type="http://schemas.openxmlformats.org/officeDocument/2006/relationships/hyperlink" Target="https://europa.eu/eurobarometer/surveys/detail/2532" TargetMode="External"/><Relationship Id="rId118" Type="http://schemas.openxmlformats.org/officeDocument/2006/relationships/image" Target="media/image60.png"/><Relationship Id="rId119" Type="http://schemas.openxmlformats.org/officeDocument/2006/relationships/hyperlink" Target="http://www.kijkopeuropa.nl/" TargetMode="External"/><Relationship Id="rId120" Type="http://schemas.openxmlformats.org/officeDocument/2006/relationships/image" Target="media/image61.png"/><Relationship Id="rId121" Type="http://schemas.openxmlformats.org/officeDocument/2006/relationships/hyperlink" Target="https://futureu.europa.eu/pages/belgium" TargetMode="External"/><Relationship Id="rId122" Type="http://schemas.openxmlformats.org/officeDocument/2006/relationships/hyperlink" Target="https://futureu.europa.eu/pages/bulgar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czechia" TargetMode="External"/><Relationship Id="rId125" Type="http://schemas.openxmlformats.org/officeDocument/2006/relationships/hyperlink" Target="https://futureu.europa.eu/pages/denmark"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germany" TargetMode="External"/><Relationship Id="rId128" Type="http://schemas.openxmlformats.org/officeDocument/2006/relationships/hyperlink" Target="https://futureu.europa.eu/pages/estonia" TargetMode="External"/><Relationship Id="rId129" Type="http://schemas.openxmlformats.org/officeDocument/2006/relationships/hyperlink" Target="https://futureu.europa.eu/pages/ireland" TargetMode="External"/><Relationship Id="rId130" Type="http://schemas.openxmlformats.org/officeDocument/2006/relationships/hyperlink" Target="https://futureu.europa.eu/pages/greece" TargetMode="External"/><Relationship Id="rId131" Type="http://schemas.openxmlformats.org/officeDocument/2006/relationships/hyperlink" Target="https://futureu.europa.eu/pages/spain" TargetMode="External"/><Relationship Id="rId132" Type="http://schemas.openxmlformats.org/officeDocument/2006/relationships/hyperlink" Target="https://futureu.europa.eu/pages/france" TargetMode="External"/><Relationship Id="rId133" Type="http://schemas.openxmlformats.org/officeDocument/2006/relationships/hyperlink" Target="https://futureu.europa.eu/pages/croatia" TargetMode="External"/><Relationship Id="rId134" Type="http://schemas.openxmlformats.org/officeDocument/2006/relationships/hyperlink" Target="https://futureu.europa.eu/pages/italy" TargetMode="External"/><Relationship Id="rId135" Type="http://schemas.openxmlformats.org/officeDocument/2006/relationships/hyperlink" Target="https://futureu.europa.eu/pages/cyprus" TargetMode="External"/><Relationship Id="rId136" Type="http://schemas.openxmlformats.org/officeDocument/2006/relationships/hyperlink" Target="https://futureu.europa.eu/pages/latvia" TargetMode="External"/><Relationship Id="rId137" Type="http://schemas.openxmlformats.org/officeDocument/2006/relationships/hyperlink" Target="https://futureu.europa.eu/pages/lithuania" TargetMode="External"/><Relationship Id="rId138" Type="http://schemas.openxmlformats.org/officeDocument/2006/relationships/hyperlink" Target="https://futureu.europa.eu/pages/luxembourg" TargetMode="External"/><Relationship Id="rId139" Type="http://schemas.openxmlformats.org/officeDocument/2006/relationships/hyperlink" Target="https://futureu.europa.eu/pages/hungary" TargetMode="External"/><Relationship Id="rId140" Type="http://schemas.openxmlformats.org/officeDocument/2006/relationships/hyperlink" Target="https://futureu.europa.eu/pages/malta" TargetMode="External"/><Relationship Id="rId141" Type="http://schemas.openxmlformats.org/officeDocument/2006/relationships/hyperlink" Target="https://futureu.europa.eu/pages/netherlands" TargetMode="External"/><Relationship Id="rId142" Type="http://schemas.openxmlformats.org/officeDocument/2006/relationships/hyperlink" Target="https://futureu.europa.eu/pages/austria" TargetMode="External"/><Relationship Id="rId143" Type="http://schemas.openxmlformats.org/officeDocument/2006/relationships/hyperlink" Target="https://futureu.europa.eu/pages/poland" TargetMode="External"/><Relationship Id="rId144" Type="http://schemas.openxmlformats.org/officeDocument/2006/relationships/hyperlink" Target="https://futureu.europa.eu/pages/portugal" TargetMode="External"/><Relationship Id="rId145" Type="http://schemas.openxmlformats.org/officeDocument/2006/relationships/hyperlink" Target="https://futureu.europa.eu/pages/romania" TargetMode="External"/><Relationship Id="rId146" Type="http://schemas.openxmlformats.org/officeDocument/2006/relationships/hyperlink" Target="https://futureu.europa.eu/pages/slovenia" TargetMode="External"/><Relationship Id="rId147" Type="http://schemas.openxmlformats.org/officeDocument/2006/relationships/hyperlink" Target="https://futureu.europa.eu/pages/slovakia" TargetMode="External"/><Relationship Id="rId148" Type="http://schemas.openxmlformats.org/officeDocument/2006/relationships/hyperlink" Target="https://futureu.europa.eu/pages/finland" TargetMode="External"/><Relationship Id="rId149" Type="http://schemas.openxmlformats.org/officeDocument/2006/relationships/hyperlink" Target="https://futureu.europa.eu/pages/sweden"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2.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292</Pages>
  <Words>88706</Words>
  <Characters>606235</Characters>
  <CharactersWithSpaces>691794</CharactersWithSpaces>
  <Paragraphs>6029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2022-09-01T15:44:05Z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