
<file path=[Content_Types].xml><?xml version="1.0" encoding="utf-8"?>
<Types xmlns="http://schemas.openxmlformats.org/package/2006/content-types">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footer1.xml" ContentType="application/vnd.openxmlformats-officedocument.wordprocessingml.footer+xml"/>
  <Override PartName="/word/document.xml" ContentType="application/vnd.openxmlformats-officedocument.wordprocessingml.document.main+xml"/>
  <Override PartName="/word/styles.xml" ContentType="application/vnd.openxmlformats-officedocument.wordprocessingml.styles+xml"/>
  <Override PartName="/word/footnotes.xml" ContentType="application/vnd.openxmlformats-officedocument.wordprocessingml.footnotes+xml"/>
  <Override PartName="/word/comments.xml" ContentType="application/vnd.openxmlformats-officedocument.wordprocessingml.comments+xml"/>
  <Override PartName="/word/header2.xml" ContentType="application/vnd.openxmlformats-officedocument.wordprocessingml.header+xml"/>
  <Override PartName="/word/media/image9.png" ContentType="image/png"/>
  <Override PartName="/word/media/image57.png" ContentType="image/png"/>
  <Override PartName="/word/media/image1.png" ContentType="image/png"/>
  <Override PartName="/word/media/image58.png" ContentType="image/png"/>
  <Override PartName="/word/media/image2.png" ContentType="image/png"/>
  <Override PartName="/word/media/image59.png" ContentType="image/png"/>
  <Override PartName="/word/media/image3.png" ContentType="image/png"/>
  <Override PartName="/word/media/image4.png" ContentType="image/png"/>
  <Override PartName="/word/media/image5.png" ContentType="image/png"/>
  <Override PartName="/word/media/image6.png" ContentType="image/png"/>
  <Override PartName="/word/media/image7.png" ContentType="image/png"/>
  <Override PartName="/word/media/image8.png" ContentType="image/png"/>
  <Override PartName="/word/media/image10.png" ContentType="image/png"/>
  <Override PartName="/word/media/image11.png" ContentType="image/png"/>
  <Override PartName="/word/media/image12.png" ContentType="image/png"/>
  <Override PartName="/word/media/image13.png" ContentType="image/png"/>
  <Override PartName="/word/media/image14.png" ContentType="image/png"/>
  <Override PartName="/word/media/image15.png" ContentType="image/png"/>
  <Override PartName="/word/media/image16.png" ContentType="image/png"/>
  <Override PartName="/word/media/image17.png" ContentType="image/png"/>
  <Override PartName="/word/media/image18.png" ContentType="image/png"/>
  <Override PartName="/word/media/image19.png" ContentType="image/png"/>
  <Override PartName="/word/media/image20.png" ContentType="image/png"/>
  <Override PartName="/word/media/image21.png" ContentType="image/png"/>
  <Override PartName="/word/media/image22.png" ContentType="image/png"/>
  <Override PartName="/word/media/image23.png" ContentType="image/png"/>
  <Override PartName="/word/media/image24.png" ContentType="image/png"/>
  <Override PartName="/word/media/image25.png" ContentType="image/png"/>
  <Override PartName="/word/media/image26.png" ContentType="image/png"/>
  <Override PartName="/word/media/image27.png" ContentType="image/png"/>
  <Override PartName="/word/media/image28.png" ContentType="image/png"/>
  <Override PartName="/word/media/image29.png" ContentType="image/png"/>
  <Override PartName="/word/media/image30.png" ContentType="image/png"/>
  <Override PartName="/word/media/image31.png" ContentType="image/png"/>
  <Override PartName="/word/media/image32.png" ContentType="image/png"/>
  <Override PartName="/word/media/image45.wmf" ContentType="image/x-wmf"/>
  <Override PartName="/word/media/image33.png" ContentType="image/png"/>
  <Override PartName="/word/media/image34.png" ContentType="image/png"/>
  <Override PartName="/word/media/image35.png" ContentType="image/png"/>
  <Override PartName="/word/media/image36.png" ContentType="image/png"/>
  <Override PartName="/word/media/image37.png" ContentType="image/png"/>
  <Override PartName="/word/media/image38.png" ContentType="image/png"/>
  <Override PartName="/word/media/image39.png" ContentType="image/png"/>
  <Override PartName="/word/media/image40.png" ContentType="image/png"/>
  <Override PartName="/word/media/image41.png" ContentType="image/png"/>
  <Override PartName="/word/media/image42.png" ContentType="image/png"/>
  <Override PartName="/word/media/image43.png" ContentType="image/png"/>
  <Override PartName="/word/media/image44.png" ContentType="image/png"/>
  <Override PartName="/word/media/image46.png" ContentType="image/png"/>
  <Override PartName="/word/media/image47.png" ContentType="image/png"/>
  <Override PartName="/word/media/image48.png" ContentType="image/png"/>
  <Override PartName="/word/media/image49.png" ContentType="image/png"/>
  <Override PartName="/word/media/image50.png" ContentType="image/png"/>
  <Override PartName="/word/media/image51.png" ContentType="image/png"/>
  <Override PartName="/word/media/image52.png" ContentType="image/png"/>
  <Override PartName="/word/media/image53.png" ContentType="image/png"/>
  <Override PartName="/word/media/image54.png" ContentType="image/png"/>
  <Override PartName="/word/media/image55.png" ContentType="image/png"/>
  <Override PartName="/word/media/image56.png" ContentType="image/png"/>
  <Override PartName="/word/media/image60.png" ContentType="image/png"/>
  <Override PartName="/word/media/image61.png" ContentType="image/png"/>
  <Override PartName="/word/media/image62.png" ContentType="image/png"/>
  <Override PartName="/word/header1.xml" ContentType="application/vnd.openxmlformats-officedocument.wordprocessingml.header+xml"/>
  <Override PartName="/word/footer2.xml" ContentType="application/vnd.openxmlformats-officedocument.wordprocessingml.footer+xml"/>
  <Override PartName="/word/endnotes.xml" ContentType="application/vnd.openxmlformats-officedocument.wordprocessingml.endnotes+xml"/>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Override PartName="/word/_rels/document.xml.rels" ContentType="application/vnd.openxmlformats-package.relationships+xml"/>
  <Override PartName="/word/_rels/footnotes.xml.rels" ContentType="application/vnd.openxmlformats-package.relationships+xml"/>
  <Override PartName="/word/_rels/endnotes.xml.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P68B1DB1Normal1"/>
        <w:widowControl w:val="false"/>
        <w:spacing w:lineRule="exact" w:line="860" w:before="57" w:after="57"/>
        <w:ind w:left="0" w:right="0" w:hanging="0"/>
        <w:jc w:val="left"/>
        <w:rPr>
          <w:rFonts w:ascii="Arial" w:hAnsi="Arial"/>
        </w:rPr>
      </w:pPr>
      <w:r>
        <w:rPr>
          <w:position w:val="6"/>
        </w:rPr>
        <w:t xml:space="preserve">Konferencija o </w:t>
      </w:r>
      <w:r>
        <w:rPr/>
        <w:br/>
        <w:t>budućnost Europe</w:t>
      </w:r>
    </w:p>
    <w:p>
      <w:pPr>
        <w:pStyle w:val="P68B1DB1Normal2"/>
        <w:widowControl w:val="false"/>
        <w:spacing w:lineRule="exact" w:line="557"/>
        <w:ind w:left="56" w:right="1390" w:firstLine="8"/>
        <w:jc w:val="left"/>
        <w:rPr>
          <w:rFonts w:ascii="Arial" w:hAnsi="Arial"/>
          <w:color w:val="0000BE"/>
          <w:sz w:val="44"/>
        </w:rPr>
      </w:pPr>
      <w:r>
        <w:rPr/>
        <w:t xml:space="preserve">IZVJEŠĆE O KONAČNIM REZULTATIMA </w:t>
      </w:r>
    </w:p>
    <w:p>
      <w:pPr>
        <w:pStyle w:val="P68B1DB1Normal3"/>
        <w:widowControl w:val="false"/>
        <w:spacing w:lineRule="exact" w:line="557"/>
        <w:ind w:left="56" w:right="1390" w:hanging="0"/>
        <w:jc w:val="left"/>
        <w:rPr>
          <w:rFonts w:ascii="Roboto" w:hAnsi="Roboto"/>
          <w:color w:val="0000BE"/>
          <w:sz w:val="28"/>
        </w:rPr>
      </w:pPr>
      <w:r>
        <w:rPr/>
        <w:t>svibanj 2022.</w:t>
      </w:r>
      <w:r>
        <w:rPr>
          <w:rFonts w:ascii="Roboto" w:hAnsi="Roboto"/>
        </w:rPr>
        <w:t xml:space="preserve"> </w:t>
      </w:r>
    </w:p>
    <w:p>
      <w:pPr>
        <w:pStyle w:val="Normal"/>
        <w:rPr/>
      </w:pPr>
      <w:r>
        <w:rPr/>
        <w:drawing>
          <wp:anchor behindDoc="0" distT="0" distB="0" distL="0" distR="0" simplePos="0" locked="0" layoutInCell="1" allowOverlap="1" relativeHeight="65">
            <wp:simplePos x="0" y="0"/>
            <wp:positionH relativeFrom="column">
              <wp:posOffset>88265</wp:posOffset>
            </wp:positionH>
            <wp:positionV relativeFrom="paragraph">
              <wp:posOffset>52070</wp:posOffset>
            </wp:positionV>
            <wp:extent cx="5660390" cy="4556125"/>
            <wp:effectExtent l="0" t="0" r="0" b="0"/>
            <wp:wrapTopAndBottom/>
            <wp:docPr id="1" name="Slika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lika 1" descr=""/>
                    <pic:cNvPicPr>
                      <a:picLocks noChangeAspect="1" noChangeArrowheads="1"/>
                    </pic:cNvPicPr>
                  </pic:nvPicPr>
                  <pic:blipFill>
                    <a:blip r:embed="rId2"/>
                    <a:stretch>
                      <a:fillRect/>
                    </a:stretch>
                  </pic:blipFill>
                  <pic:spPr bwMode="auto">
                    <a:xfrm>
                      <a:off x="0" y="0"/>
                      <a:ext cx="5660390" cy="4556125"/>
                    </a:xfrm>
                    <a:prstGeom prst="rect">
                      <a:avLst/>
                    </a:prstGeom>
                  </pic:spPr>
                </pic:pic>
              </a:graphicData>
            </a:graphic>
          </wp:anchor>
        </w:drawing>
      </w:r>
    </w:p>
    <w:p>
      <w:pPr>
        <w:pStyle w:val="Normal"/>
        <w:rPr/>
      </w:pPr>
      <w:r>
        <w:rPr/>
      </w:r>
    </w:p>
    <w:p>
      <w:pPr>
        <w:pStyle w:val="Normal"/>
        <w:widowControl w:val="false"/>
        <w:spacing w:lineRule="exact" w:line="576"/>
        <w:ind w:left="51" w:right="0" w:hanging="0"/>
        <w:jc w:val="left"/>
        <w:rPr>
          <w:rFonts w:ascii="Arial" w:hAnsi="Arial"/>
        </w:rPr>
      </w:pPr>
      <w:r>
        <mc:AlternateContent>
          <mc:Choice Requires="wps">
            <w:drawing>
              <wp:anchor behindDoc="0" distT="72390" distB="72390" distL="72390" distR="72390" simplePos="0" locked="0" layoutInCell="1" allowOverlap="1" relativeHeight="10">
                <wp:simplePos x="0" y="0"/>
                <wp:positionH relativeFrom="column">
                  <wp:posOffset>3199765</wp:posOffset>
                </wp:positionH>
                <wp:positionV relativeFrom="paragraph">
                  <wp:posOffset>219710</wp:posOffset>
                </wp:positionV>
                <wp:extent cx="2675890" cy="1109980"/>
                <wp:effectExtent l="0" t="0" r="0" b="0"/>
                <wp:wrapSquare wrapText="bothSides"/>
                <wp:docPr id="2" name="Okvir 1"/>
                <a:graphic xmlns:a="http://schemas.openxmlformats.org/drawingml/2006/main">
                  <a:graphicData uri="http://schemas.microsoft.com/office/word/2010/wordprocessingShape">
                    <wps:wsp>
                      <wps:cNvSpPr/>
                      <wps:spPr>
                        <a:xfrm>
                          <a:off x="0" y="0"/>
                          <a:ext cx="2675160" cy="1109520"/>
                        </a:xfrm>
                        <a:prstGeom prst="rect">
                          <a:avLst/>
                        </a:prstGeom>
                        <a:solidFill>
                          <a:srgbClr val="ffffff"/>
                        </a:solidFill>
                        <a:ln>
                          <a:noFill/>
                        </a:ln>
                      </wps:spPr>
                      <wps:style>
                        <a:lnRef idx="0"/>
                        <a:fillRef idx="0"/>
                        <a:effectRef idx="0"/>
                        <a:fontRef idx="minor"/>
                      </wps:style>
                      <wps:txbx>
                        <w:txbxContent>
                          <w:p>
                            <w:pPr>
                              <w:pStyle w:val="P68B1DB1Normal4"/>
                              <w:widowControl w:val="false"/>
                              <w:spacing w:lineRule="exact" w:line="370" w:before="57" w:after="57"/>
                              <w:ind w:left="113" w:right="113" w:hanging="0"/>
                              <w:jc w:val="left"/>
                              <w:rPr/>
                            </w:pPr>
                            <w:r>
                              <w:rPr/>
                              <w:drawing>
                                <wp:inline distT="0" distB="0" distL="0" distR="0">
                                  <wp:extent cx="1072515" cy="661670"/>
                                  <wp:effectExtent l="0" t="0" r="0" b="0"/>
                                  <wp:docPr id="4" name="Slika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lika 2" descr=""/>
                                          <pic:cNvPicPr>
                                            <a:picLocks noChangeAspect="1" noChangeArrowheads="1"/>
                                          </pic:cNvPicPr>
                                        </pic:nvPicPr>
                                        <pic:blipFill>
                                          <a:blip r:embed="rId3"/>
                                          <a:stretch>
                                            <a:fillRect/>
                                          </a:stretch>
                                        </pic:blipFill>
                                        <pic:spPr bwMode="auto">
                                          <a:xfrm>
                                            <a:off x="0" y="0"/>
                                            <a:ext cx="1072515" cy="661670"/>
                                          </a:xfrm>
                                          <a:prstGeom prst="rect">
                                            <a:avLst/>
                                          </a:prstGeom>
                                        </pic:spPr>
                                      </pic:pic>
                                    </a:graphicData>
                                  </a:graphic>
                                </wp:inline>
                              </w:drawing>
                            </w:r>
                            <w:r>
                              <w:rPr/>
                              <w:t>Konferencija o</w:t>
                            </w:r>
                            <w:r>
                              <w:rPr>
                                <w:b/>
                              </w:rPr>
                              <w:t>budućnosti</w:t>
                            </w:r>
                            <w:r>
                              <w:rPr/>
                              <w:t xml:space="preserve"> </w:t>
                            </w:r>
                            <w:r>
                              <w:rPr>
                                <w:b/>
                              </w:rPr>
                              <w:t>Europe</w:t>
                            </w:r>
                          </w:p>
                        </w:txbxContent>
                      </wps:txbx>
                      <wps:bodyPr lIns="54000" rIns="54000" tIns="54000" bIns="54000">
                        <a:noAutofit/>
                      </wps:bodyPr>
                    </wps:wsp>
                  </a:graphicData>
                </a:graphic>
              </wp:anchor>
            </w:drawing>
          </mc:Choice>
          <mc:Fallback>
            <w:pict>
              <v:rect id="shape_0" ID="Okvir 1" fillcolor="white" stroked="f" style="position:absolute;margin-left:251.95pt;margin-top:17.3pt;width:210.6pt;height:87.3pt">
                <w10:wrap type="square"/>
                <v:fill o:detectmouseclick="t" type="solid" color2="black"/>
                <v:stroke color="#3465a4" joinstyle="round" endcap="flat"/>
                <v:textbox>
                  <w:txbxContent>
                    <w:p>
                      <w:pPr>
                        <w:pStyle w:val="P68B1DB1Normal4"/>
                        <w:widowControl w:val="false"/>
                        <w:spacing w:lineRule="exact" w:line="370" w:before="57" w:after="57"/>
                        <w:ind w:left="113" w:right="113" w:hanging="0"/>
                        <w:jc w:val="left"/>
                        <w:rPr/>
                      </w:pPr>
                      <w:r>
                        <w:rPr/>
                        <w:drawing>
                          <wp:inline distT="0" distB="0" distL="0" distR="0">
                            <wp:extent cx="1072515" cy="661670"/>
                            <wp:effectExtent l="0" t="0" r="0" b="0"/>
                            <wp:docPr id="5" name="Slika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lika 2" descr=""/>
                                    <pic:cNvPicPr>
                                      <a:picLocks noChangeAspect="1" noChangeArrowheads="1"/>
                                    </pic:cNvPicPr>
                                  </pic:nvPicPr>
                                  <pic:blipFill>
                                    <a:blip r:embed="rId3"/>
                                    <a:stretch>
                                      <a:fillRect/>
                                    </a:stretch>
                                  </pic:blipFill>
                                  <pic:spPr bwMode="auto">
                                    <a:xfrm>
                                      <a:off x="0" y="0"/>
                                      <a:ext cx="1072515" cy="661670"/>
                                    </a:xfrm>
                                    <a:prstGeom prst="rect">
                                      <a:avLst/>
                                    </a:prstGeom>
                                  </pic:spPr>
                                </pic:pic>
                              </a:graphicData>
                            </a:graphic>
                          </wp:inline>
                        </w:drawing>
                      </w:r>
                      <w:r>
                        <w:rPr/>
                        <w:t>Konferencija o</w:t>
                      </w:r>
                      <w:r>
                        <w:rPr>
                          <w:b/>
                        </w:rPr>
                        <w:t>budućnosti</w:t>
                      </w:r>
                      <w:r>
                        <w:rPr/>
                        <w:t xml:space="preserve"> </w:t>
                      </w:r>
                      <w:r>
                        <w:rPr>
                          <w:b/>
                        </w:rPr>
                        <w:t>Europe</w:t>
                      </w:r>
                    </w:p>
                  </w:txbxContent>
                </v:textbox>
              </v:rect>
            </w:pict>
          </mc:Fallback>
        </mc:AlternateContent>
      </w:r>
      <w:r>
        <w:rPr>
          <w:b/>
          <w:color w:val="0000BE"/>
          <w:sz w:val="48"/>
        </w:rPr>
        <w:t>Budućnost</w:t>
      </w:r>
      <w:r>
        <w:rPr>
          <w:color w:val="0000BE"/>
          <w:sz w:val="48"/>
        </w:rPr>
        <w:t xml:space="preserve"> je</w:t>
      </w:r>
      <w:r>
        <w:rPr/>
        <w:t xml:space="preserve"> </w:t>
      </w:r>
    </w:p>
    <w:p>
      <w:pPr>
        <w:pStyle w:val="P68B1DB1Normal5"/>
        <w:widowControl w:val="false"/>
        <w:spacing w:lineRule="exact" w:line="576"/>
        <w:ind w:left="51" w:right="0" w:hanging="0"/>
        <w:jc w:val="left"/>
        <w:rPr>
          <w:rFonts w:ascii="Arial" w:hAnsi="Arial"/>
        </w:rPr>
      </w:pPr>
      <w:r>
        <w:rPr/>
        <w:t>u tvojim rukama</w:t>
      </w:r>
    </w:p>
    <w:p>
      <w:pPr>
        <w:pStyle w:val="Normal"/>
        <w:rPr/>
      </w:pPr>
      <w:r>
        <w:rPr/>
      </w:r>
      <w:r>
        <w:br w:type="page"/>
      </w:r>
    </w:p>
    <w:p>
      <w:pPr>
        <w:pStyle w:val="Normal"/>
        <w:rPr/>
      </w:pPr>
      <w:r>
        <w:rPr/>
        <mc:AlternateContent>
          <mc:Choice Requires="wps">
            <w:drawing>
              <wp:anchor behindDoc="0" distT="72390" distB="72390" distL="72390" distR="72390" simplePos="0" locked="0" layoutInCell="1" allowOverlap="1" relativeHeight="63">
                <wp:simplePos x="0" y="0"/>
                <wp:positionH relativeFrom="column">
                  <wp:posOffset>4445</wp:posOffset>
                </wp:positionH>
                <wp:positionV relativeFrom="paragraph">
                  <wp:posOffset>85725</wp:posOffset>
                </wp:positionV>
                <wp:extent cx="6020435" cy="8688070"/>
                <wp:effectExtent l="0" t="0" r="0" b="0"/>
                <wp:wrapSquare wrapText="bothSides"/>
                <wp:docPr id="6" name="Hrvatski jezik 16"/>
                <a:graphic xmlns:a="http://schemas.openxmlformats.org/drawingml/2006/main">
                  <a:graphicData uri="http://schemas.microsoft.com/office/word/2010/wordprocessingShape">
                    <wps:wsp>
                      <wps:cNvSpPr/>
                      <wps:spPr>
                        <a:xfrm>
                          <a:off x="0" y="0"/>
                          <a:ext cx="6019920" cy="8687520"/>
                        </a:xfrm>
                        <a:prstGeom prst="rect">
                          <a:avLst/>
                        </a:prstGeom>
                        <a:solidFill>
                          <a:srgbClr val="ffffff"/>
                        </a:solidFill>
                        <a:ln w="720">
                          <a:solidFill>
                            <a:srgbClr val="000000"/>
                          </a:solidFill>
                          <a:round/>
                        </a:ln>
                      </wps:spPr>
                      <wps:style>
                        <a:lnRef idx="0"/>
                        <a:fillRef idx="0"/>
                        <a:effectRef idx="0"/>
                        <a:fontRef idx="minor"/>
                      </wps:style>
                      <wps:txbx>
                        <w:txbxContent>
                          <w:p>
                            <w:pPr>
                              <w:pStyle w:val="P68B1DB1Normal6"/>
                              <w:spacing w:before="57" w:after="57"/>
                              <w:rPr>
                                <w:rFonts w:ascii="Times New Roman" w:hAnsi="Times New Roman"/>
                                <w:b/>
                                <w:b/>
                                <w:sz w:val="24"/>
                              </w:rPr>
                            </w:pPr>
                            <w:r>
                              <w:rPr>
                                <w:color w:val="auto"/>
                              </w:rPr>
                              <w:t>Dokument koji je pripremio Pierre Dieumegard</w:t>
                            </w:r>
                            <w:r>
                              <w:rPr>
                                <w:color w:val="auto"/>
                              </w:rPr>
                              <w:drawing>
                                <wp:inline distT="0" distB="0" distL="0" distR="0">
                                  <wp:extent cx="2494280" cy="765175"/>
                                  <wp:effectExtent l="0" t="0" r="0" b="0"/>
                                  <wp:docPr id="8" name="Slika 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lika 49" descr=""/>
                                          <pic:cNvPicPr>
                                            <a:picLocks noChangeAspect="1" noChangeArrowheads="1"/>
                                          </pic:cNvPicPr>
                                        </pic:nvPicPr>
                                        <pic:blipFill>
                                          <a:blip r:embed="rId4"/>
                                          <a:stretch>
                                            <a:fillRect/>
                                          </a:stretch>
                                        </pic:blipFill>
                                        <pic:spPr bwMode="auto">
                                          <a:xfrm>
                                            <a:off x="0" y="0"/>
                                            <a:ext cx="2494280" cy="765175"/>
                                          </a:xfrm>
                                          <a:prstGeom prst="rect">
                                            <a:avLst/>
                                          </a:prstGeom>
                                        </pic:spPr>
                                      </pic:pic>
                                    </a:graphicData>
                                  </a:graphic>
                                </wp:inline>
                              </w:drawing>
                            </w:r>
                          </w:p>
                          <w:p>
                            <w:pPr>
                              <w:pStyle w:val="P68B1DB1Normal6"/>
                              <w:rPr>
                                <w:rFonts w:ascii="Times New Roman" w:hAnsi="Times New Roman"/>
                                <w:b/>
                                <w:b/>
                                <w:sz w:val="24"/>
                              </w:rPr>
                            </w:pPr>
                            <w:r>
                              <w:rPr>
                                <w:color w:val="auto"/>
                              </w:rPr>
                              <w:t xml:space="preserve"> </w:t>
                            </w:r>
                            <w:r>
                              <w:rPr>
                                <w:color w:val="auto"/>
                              </w:rPr>
                              <w:t>za Europu-Demokracija-Esperanto</w:t>
                            </w:r>
                          </w:p>
                          <w:p>
                            <w:pPr>
                              <w:pStyle w:val="P68B1DB1Normal7"/>
                              <w:rPr>
                                <w:rFonts w:ascii="Times New Roman" w:hAnsi="Times New Roman"/>
                                <w:sz w:val="24"/>
                              </w:rPr>
                            </w:pPr>
                            <w:r>
                              <w:rPr>
                                <w:color w:val="auto"/>
                              </w:rPr>
                              <w:t xml:space="preserve"> </w:t>
                            </w:r>
                          </w:p>
                          <w:p>
                            <w:pPr>
                              <w:pStyle w:val="Normal"/>
                              <w:rPr>
                                <w:rFonts w:ascii="Times New Roman" w:hAnsi="Times New Roman"/>
                                <w:color w:val="auto"/>
                                <w:sz w:val="24"/>
                              </w:rPr>
                            </w:pPr>
                            <w:r>
                              <w:rPr>
                                <w:rFonts w:ascii="Times New Roman" w:hAnsi="Times New Roman"/>
                                <w:color w:val="auto"/>
                                <w:sz w:val="24"/>
                              </w:rPr>
                            </w:r>
                          </w:p>
                          <w:p>
                            <w:pPr>
                              <w:pStyle w:val="Normal"/>
                              <w:rPr/>
                            </w:pPr>
                            <w:r>
                              <w:rPr>
                                <w:rFonts w:ascii="Times New Roman" w:hAnsi="Times New Roman"/>
                                <w:color w:val="auto"/>
                                <w:sz w:val="24"/>
                              </w:rPr>
                              <w:t xml:space="preserve">Cilj je ovog „privremenog” dokumenta omogućiti većem broju ljudi u Europskoj uniji razumijevanje dokumenata izrađenih za Europsku uniju (koji se financiraju njihovim doprinosima). </w:t>
                            </w:r>
                            <w:hyperlink r:id="rId5">
                              <w:r>
                                <w:rPr>
                                  <w:rStyle w:val="LienInternet"/>
                                  <w:rFonts w:ascii="Times New Roman" w:hAnsi="Times New Roman"/>
                                  <w:color w:val="auto"/>
                                  <w:sz w:val="24"/>
                                </w:rPr>
                                <w:t xml:space="preserve">Originalni dokument nafrancuskom jeziku u pdf formatu </w:t>
                              </w:r>
                            </w:hyperlink>
                            <w:r>
                              <w:rPr>
                                <w:rFonts w:ascii="Times New Roman" w:hAnsi="Times New Roman"/>
                                <w:color w:val="auto"/>
                                <w:sz w:val="24"/>
                              </w:rPr>
                              <w:t xml:space="preserve">formatiran je pomoću softvera Libre Office. Prijevod na sve službene jezike Europske unije dostupan je na </w:t>
                            </w:r>
                            <w:hyperlink r:id="rId6">
                              <w:r>
                                <w:rPr>
                                  <w:rStyle w:val="LienInternet"/>
                                  <w:rFonts w:ascii="Times New Roman" w:hAnsi="Times New Roman"/>
                                  <w:color w:val="auto"/>
                                  <w:sz w:val="24"/>
                                </w:rPr>
                                <w:t>https://webgate.ec.europa.eu/etranslation</w:t>
                              </w:r>
                            </w:hyperlink>
                            <w:r>
                              <w:rPr>
                                <w:rFonts w:ascii="Times New Roman" w:hAnsi="Times New Roman"/>
                                <w:color w:val="auto"/>
                                <w:sz w:val="24"/>
                              </w:rPr>
                              <w:t>.</w:t>
                            </w:r>
                          </w:p>
                          <w:p>
                            <w:pPr>
                              <w:pStyle w:val="P68B1DB1Normal7"/>
                              <w:rPr>
                                <w:rFonts w:ascii="Times New Roman" w:hAnsi="Times New Roman"/>
                                <w:sz w:val="24"/>
                              </w:rPr>
                            </w:pPr>
                            <w:r>
                              <w:rPr>
                                <w:color w:val="auto"/>
                              </w:rPr>
                              <w:t xml:space="preserve">To smo učinili zbog potrebe za boljom višejezičnošću u Europskoj uniji: bez prijevoda, velik dio stanovništva je isključen iz rasprave. </w:t>
                            </w:r>
                            <w:r>
                              <w:rPr>
                                <w:b/>
                                <w:color w:val="auto"/>
                              </w:rPr>
                              <w:t>Poželjno je da uprava Europske unije preuzme prijevod važnih dokumenata kako bi svi Europljani mogli razumjeti o čemu se radi i zajedno raspravljati o svojoj zajedničkoj budućnosti.</w:t>
                            </w:r>
                          </w:p>
                          <w:p>
                            <w:pPr>
                              <w:pStyle w:val="P68B1DB1Normal7"/>
                              <w:rPr>
                                <w:rFonts w:ascii="Times New Roman" w:hAnsi="Times New Roman"/>
                                <w:sz w:val="24"/>
                              </w:rPr>
                            </w:pPr>
                            <w:r>
                              <w:rPr>
                                <w:color w:val="auto"/>
                              </w:rPr>
                              <w:t xml:space="preserve"> </w:t>
                            </w:r>
                          </w:p>
                          <w:p>
                            <w:pPr>
                              <w:pStyle w:val="P68B1DB1Normal7"/>
                              <w:rPr>
                                <w:rFonts w:ascii="Times New Roman" w:hAnsi="Times New Roman"/>
                                <w:sz w:val="24"/>
                              </w:rPr>
                            </w:pPr>
                            <w:r>
                              <w:rPr>
                                <w:color w:val="auto"/>
                              </w:rPr>
                              <w:t xml:space="preserve">Za dobru izravnu komunikaciju među europskim građanima, za pouzdane prijevode, međunarodni esperantski jezik bio bi vrlo koristan zbog svoje jednostavnosti, redovitosti i preciznosti. </w:t>
                            </w:r>
                          </w:p>
                          <w:p>
                            <w:pPr>
                              <w:pStyle w:val="P68B1DB1Normal7"/>
                              <w:rPr>
                                <w:rFonts w:ascii="Times New Roman" w:hAnsi="Times New Roman"/>
                                <w:sz w:val="24"/>
                              </w:rPr>
                            </w:pPr>
                            <w:r>
                              <w:rPr>
                                <w:color w:val="auto"/>
                              </w:rPr>
                              <w:t xml:space="preserve"> </w:t>
                            </w:r>
                          </w:p>
                          <w:p>
                            <w:pPr>
                              <w:pStyle w:val="P68B1DB1Normal7"/>
                              <w:rPr>
                                <w:rFonts w:ascii="Times New Roman" w:hAnsi="Times New Roman"/>
                                <w:sz w:val="24"/>
                              </w:rPr>
                            </w:pPr>
                            <w:r>
                              <w:rPr>
                                <w:color w:val="auto"/>
                              </w:rPr>
                              <w:t xml:space="preserve"> </w:t>
                            </w:r>
                            <w:r>
                              <w:rPr>
                                <w:color w:val="auto"/>
                              </w:rPr>
                              <w:t xml:space="preserve">Na internetu: </w:t>
                            </w:r>
                          </w:p>
                          <w:p>
                            <w:pPr>
                              <w:pStyle w:val="Normal"/>
                              <w:rPr/>
                            </w:pPr>
                            <w:r>
                              <w:rPr>
                                <w:rFonts w:ascii="Times New Roman" w:hAnsi="Times New Roman"/>
                                <w:color w:val="auto"/>
                                <w:sz w:val="24"/>
                              </w:rPr>
                              <w:t xml:space="preserve"> </w:t>
                            </w:r>
                            <w:r>
                              <w:rPr>
                                <w:rFonts w:ascii="Times New Roman" w:hAnsi="Times New Roman"/>
                                <w:color w:val="auto"/>
                                <w:sz w:val="24"/>
                              </w:rPr>
                              <w:t>Federacija E</w:t>
                            </w:r>
                            <w:r>
                              <w:rPr>
                                <w:rFonts w:ascii="Times New Roman" w:hAnsi="Times New Roman"/>
                                <w:color w:val="auto"/>
                                <w:sz w:val="24"/>
                              </w:rPr>
                              <w:t>ŭ</w:t>
                            </w:r>
                            <w:r>
                              <w:rPr>
                                <w:rFonts w:ascii="Times New Roman" w:hAnsi="Times New Roman"/>
                                <w:color w:val="auto"/>
                                <w:sz w:val="24"/>
                              </w:rPr>
                              <w:t xml:space="preserve">ropo-Demokratio-Esperanto:   </w:t>
                            </w:r>
                            <w:hyperlink r:id="rId7">
                              <w:r>
                                <w:rPr>
                                  <w:rStyle w:val="LienInternet"/>
                                  <w:rFonts w:ascii="Times New Roman" w:hAnsi="Times New Roman"/>
                                  <w:color w:val="auto"/>
                                  <w:sz w:val="24"/>
                                </w:rPr>
                                <w:t>https://e-d-e.org/</w:t>
                              </w:r>
                            </w:hyperlink>
                            <w:r>
                              <w:rPr>
                                <w:rFonts w:ascii="Times New Roman" w:hAnsi="Times New Roman"/>
                                <w:color w:val="auto"/>
                                <w:sz w:val="24"/>
                              </w:rPr>
                              <w:t xml:space="preserve"> (ili </w:t>
                            </w:r>
                            <w:hyperlink r:id="rId8">
                              <w:r>
                                <w:rPr>
                                  <w:rStyle w:val="LienInternet"/>
                                  <w:rFonts w:ascii="Times New Roman" w:hAnsi="Times New Roman"/>
                                  <w:color w:val="auto"/>
                                  <w:sz w:val="24"/>
                                </w:rPr>
                                <w:t>https://e-d-e.org/</w:t>
                              </w:r>
                            </w:hyperlink>
                            <w:r>
                              <w:rPr>
                                <w:rFonts w:ascii="Times New Roman" w:hAnsi="Times New Roman"/>
                                <w:color w:val="auto"/>
                                <w:sz w:val="24"/>
                              </w:rPr>
                              <w:t>)</w:t>
                            </w:r>
                          </w:p>
                          <w:p>
                            <w:pPr>
                              <w:pStyle w:val="Normal"/>
                              <w:spacing w:before="62" w:after="62"/>
                              <w:rPr/>
                            </w:pPr>
                            <w:r>
                              <w:rPr>
                                <w:rFonts w:ascii="Times New Roman" w:hAnsi="Times New Roman"/>
                                <w:color w:val="auto"/>
                                <w:sz w:val="24"/>
                              </w:rPr>
                              <w:t xml:space="preserve">Udruga Europa-Demokracija-Esperanto (Francuska):   </w:t>
                            </w:r>
                            <w:hyperlink r:id="rId9">
                              <w:r>
                                <w:rPr>
                                  <w:rStyle w:val="LienInternet"/>
                                  <w:rFonts w:ascii="Times New Roman" w:hAnsi="Times New Roman"/>
                                  <w:color w:val="auto"/>
                                  <w:sz w:val="24"/>
                                </w:rPr>
                                <w:t>https://e-d-e.fr/</w:t>
                              </w:r>
                            </w:hyperlink>
                            <w:r>
                              <w:rPr>
                                <w:rFonts w:ascii="Times New Roman" w:hAnsi="Times New Roman"/>
                                <w:color w:val="auto"/>
                                <w:sz w:val="24"/>
                              </w:rPr>
                              <w:t xml:space="preserve"> </w:t>
                            </w:r>
                          </w:p>
                          <w:p>
                            <w:pPr>
                              <w:pStyle w:val="Normal"/>
                              <w:spacing w:before="62" w:after="62"/>
                              <w:rPr/>
                            </w:pPr>
                            <w:r>
                              <w:rPr>
                                <w:rFonts w:ascii="Times New Roman" w:hAnsi="Times New Roman"/>
                                <w:color w:val="auto"/>
                                <w:sz w:val="24"/>
                              </w:rPr>
                              <w:t xml:space="preserve">Europske isprave na svim službenim jezicima: </w:t>
                            </w:r>
                            <w:hyperlink r:id="rId10">
                              <w:r>
                                <w:rPr>
                                  <w:rStyle w:val="LienInternet"/>
                                  <w:rFonts w:ascii="Times New Roman" w:hAnsi="Times New Roman"/>
                                  <w:color w:val="auto"/>
                                  <w:sz w:val="24"/>
                                </w:rPr>
                                <w:t>http://www.europokune.eu/</w:t>
                              </w:r>
                            </w:hyperlink>
                            <w:r>
                              <w:rPr>
                                <w:rFonts w:ascii="Times New Roman" w:hAnsi="Times New Roman"/>
                                <w:color w:val="auto"/>
                                <w:sz w:val="24"/>
                              </w:rPr>
                              <w:t xml:space="preserve"> </w:t>
                            </w:r>
                          </w:p>
                          <w:p>
                            <w:pPr>
                              <w:pStyle w:val="Normal"/>
                              <w:rPr>
                                <w:rFonts w:ascii="Times New Roman" w:hAnsi="Times New Roman"/>
                                <w:color w:val="auto"/>
                                <w:sz w:val="24"/>
                              </w:rPr>
                            </w:pPr>
                            <w:r>
                              <w:rPr>
                                <w:rFonts w:ascii="Times New Roman" w:hAnsi="Times New Roman"/>
                                <w:color w:val="auto"/>
                                <w:sz w:val="24"/>
                              </w:rPr>
                            </w:r>
                          </w:p>
                          <w:p>
                            <w:pPr>
                              <w:pStyle w:val="Normal"/>
                              <w:rPr>
                                <w:rFonts w:ascii="Times New Roman" w:hAnsi="Times New Roman"/>
                                <w:color w:val="auto"/>
                                <w:sz w:val="24"/>
                              </w:rPr>
                            </w:pPr>
                            <w:r>
                              <w:rPr>
                                <w:rFonts w:ascii="Times New Roman" w:hAnsi="Times New Roman"/>
                                <w:color w:val="auto"/>
                                <w:sz w:val="24"/>
                              </w:rPr>
                            </w:r>
                          </w:p>
                          <w:p>
                            <w:pPr>
                              <w:pStyle w:val="P68B1DB1Normal7"/>
                              <w:rPr>
                                <w:rFonts w:ascii="Times New Roman" w:hAnsi="Times New Roman"/>
                                <w:sz w:val="24"/>
                              </w:rPr>
                            </w:pPr>
                            <w:r>
                              <w:rPr>
                                <w:color w:val="auto"/>
                              </w:rPr>
                              <w:t xml:space="preserve">U usporedbi s izvornim dokumentom postoje neke promjene (poboljšanja?): </w:t>
                            </w:r>
                          </w:p>
                          <w:p>
                            <w:pPr>
                              <w:pStyle w:val="P68B1DB1Normal7"/>
                              <w:rPr>
                                <w:rFonts w:ascii="Times New Roman" w:hAnsi="Times New Roman"/>
                                <w:sz w:val="24"/>
                              </w:rPr>
                            </w:pPr>
                            <w:r>
                              <w:rPr>
                                <w:color w:val="auto"/>
                              </w:rPr>
                              <w:t>ispravljene su neke pravopisne pogreške. Možda je bilo i drugih pogrešaka?</w:t>
                            </w:r>
                          </w:p>
                          <w:p>
                            <w:pPr>
                              <w:pStyle w:val="P68B1DB1Normal7"/>
                              <w:rPr>
                                <w:rFonts w:ascii="Times New Roman" w:hAnsi="Times New Roman"/>
                                <w:sz w:val="24"/>
                              </w:rPr>
                            </w:pPr>
                            <w:r>
                              <w:rPr>
                                <w:color w:val="auto"/>
                              </w:rPr>
                              <w:t xml:space="preserve">— </w:t>
                            </w:r>
                            <w:r>
                              <w:rPr>
                                <w:color w:val="auto"/>
                              </w:rPr>
                              <w:t>izgled je usklađen, a sve stranice su odgovarajuće numerirane (početni dokument bio je spoj zasebnih pdf datoteka s neovisnim numeriranjem).</w:t>
                            </w:r>
                          </w:p>
                          <w:p>
                            <w:pPr>
                              <w:pStyle w:val="P68B1DB1Normal7"/>
                              <w:rPr>
                                <w:rFonts w:ascii="Times New Roman" w:hAnsi="Times New Roman"/>
                                <w:sz w:val="24"/>
                              </w:rPr>
                            </w:pPr>
                            <w:r>
                              <w:rPr>
                                <w:color w:val="auto"/>
                              </w:rPr>
                              <w:t xml:space="preserve">— </w:t>
                            </w:r>
                            <w:r>
                              <w:rPr>
                                <w:color w:val="auto"/>
                              </w:rPr>
                              <w:t>završne bilješke pretvorene su u bilješke na kraju dijela (na dnu stranica).</w:t>
                            </w:r>
                          </w:p>
                          <w:p>
                            <w:pPr>
                              <w:pStyle w:val="P68B1DB1Normal7"/>
                              <w:spacing w:before="57" w:after="57"/>
                              <w:rPr>
                                <w:color w:val="auto"/>
                              </w:rPr>
                            </w:pPr>
                            <w:r>
                              <w:rPr>
                                <w:color w:val="auto"/>
                              </w:rPr>
                              <w:t xml:space="preserve">— </w:t>
                            </w:r>
                            <w:r>
                              <w:rPr>
                                <w:color w:val="auto"/>
                              </w:rPr>
                              <w:t>dokumenti u početku u obliku slika pretvoreni su u tablice koje će se lako prevesti.</w:t>
                            </w:r>
                          </w:p>
                        </w:txbxContent>
                      </wps:txbx>
                      <wps:bodyPr lIns="54000" rIns="54000" tIns="54000" bIns="54000">
                        <a:noAutofit/>
                      </wps:bodyPr>
                    </wps:wsp>
                  </a:graphicData>
                </a:graphic>
              </wp:anchor>
            </w:drawing>
          </mc:Choice>
          <mc:Fallback>
            <w:pict>
              <v:rect id="shape_0" ID="Hrvatski jezik 16" fillcolor="white" stroked="t" style="position:absolute;margin-left:0.35pt;margin-top:6.75pt;width:473.95pt;height:684pt">
                <w10:wrap type="square"/>
                <v:fill o:detectmouseclick="t" type="solid" color2="black"/>
                <v:stroke color="black" weight="720" joinstyle="round" endcap="flat"/>
                <v:textbox>
                  <w:txbxContent>
                    <w:p>
                      <w:pPr>
                        <w:pStyle w:val="P68B1DB1Normal6"/>
                        <w:spacing w:before="57" w:after="57"/>
                        <w:rPr>
                          <w:rFonts w:ascii="Times New Roman" w:hAnsi="Times New Roman"/>
                          <w:b/>
                          <w:b/>
                          <w:sz w:val="24"/>
                        </w:rPr>
                      </w:pPr>
                      <w:r>
                        <w:rPr>
                          <w:color w:val="auto"/>
                        </w:rPr>
                        <w:t>Dokument koji je pripremio Pierre Dieumegard</w:t>
                      </w:r>
                      <w:r>
                        <w:rPr>
                          <w:color w:val="auto"/>
                        </w:rPr>
                        <w:drawing>
                          <wp:inline distT="0" distB="0" distL="0" distR="0">
                            <wp:extent cx="2494280" cy="765175"/>
                            <wp:effectExtent l="0" t="0" r="0" b="0"/>
                            <wp:docPr id="9" name="Slika 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lika 49" descr=""/>
                                    <pic:cNvPicPr>
                                      <a:picLocks noChangeAspect="1" noChangeArrowheads="1"/>
                                    </pic:cNvPicPr>
                                  </pic:nvPicPr>
                                  <pic:blipFill>
                                    <a:blip r:embed="rId4"/>
                                    <a:stretch>
                                      <a:fillRect/>
                                    </a:stretch>
                                  </pic:blipFill>
                                  <pic:spPr bwMode="auto">
                                    <a:xfrm>
                                      <a:off x="0" y="0"/>
                                      <a:ext cx="2494280" cy="765175"/>
                                    </a:xfrm>
                                    <a:prstGeom prst="rect">
                                      <a:avLst/>
                                    </a:prstGeom>
                                  </pic:spPr>
                                </pic:pic>
                              </a:graphicData>
                            </a:graphic>
                          </wp:inline>
                        </w:drawing>
                      </w:r>
                    </w:p>
                    <w:p>
                      <w:pPr>
                        <w:pStyle w:val="P68B1DB1Normal6"/>
                        <w:rPr>
                          <w:rFonts w:ascii="Times New Roman" w:hAnsi="Times New Roman"/>
                          <w:b/>
                          <w:b/>
                          <w:sz w:val="24"/>
                        </w:rPr>
                      </w:pPr>
                      <w:r>
                        <w:rPr>
                          <w:color w:val="auto"/>
                        </w:rPr>
                        <w:t xml:space="preserve"> </w:t>
                      </w:r>
                      <w:r>
                        <w:rPr>
                          <w:color w:val="auto"/>
                        </w:rPr>
                        <w:t>za Europu-Demokracija-Esperanto</w:t>
                      </w:r>
                    </w:p>
                    <w:p>
                      <w:pPr>
                        <w:pStyle w:val="P68B1DB1Normal7"/>
                        <w:rPr>
                          <w:rFonts w:ascii="Times New Roman" w:hAnsi="Times New Roman"/>
                          <w:sz w:val="24"/>
                        </w:rPr>
                      </w:pPr>
                      <w:r>
                        <w:rPr>
                          <w:color w:val="auto"/>
                        </w:rPr>
                        <w:t xml:space="preserve"> </w:t>
                      </w:r>
                    </w:p>
                    <w:p>
                      <w:pPr>
                        <w:pStyle w:val="Normal"/>
                        <w:rPr>
                          <w:rFonts w:ascii="Times New Roman" w:hAnsi="Times New Roman"/>
                          <w:color w:val="auto"/>
                          <w:sz w:val="24"/>
                        </w:rPr>
                      </w:pPr>
                      <w:r>
                        <w:rPr>
                          <w:rFonts w:ascii="Times New Roman" w:hAnsi="Times New Roman"/>
                          <w:color w:val="auto"/>
                          <w:sz w:val="24"/>
                        </w:rPr>
                      </w:r>
                    </w:p>
                    <w:p>
                      <w:pPr>
                        <w:pStyle w:val="Normal"/>
                        <w:rPr/>
                      </w:pPr>
                      <w:r>
                        <w:rPr>
                          <w:rFonts w:ascii="Times New Roman" w:hAnsi="Times New Roman"/>
                          <w:color w:val="auto"/>
                          <w:sz w:val="24"/>
                        </w:rPr>
                        <w:t xml:space="preserve">Cilj je ovog „privremenog” dokumenta omogućiti većem broju ljudi u Europskoj uniji razumijevanje dokumenata izrađenih za Europsku uniju (koji se financiraju njihovim doprinosima). </w:t>
                      </w:r>
                      <w:hyperlink r:id="rId11">
                        <w:r>
                          <w:rPr>
                            <w:rStyle w:val="LienInternet"/>
                            <w:rFonts w:ascii="Times New Roman" w:hAnsi="Times New Roman"/>
                            <w:color w:val="auto"/>
                            <w:sz w:val="24"/>
                          </w:rPr>
                          <w:t xml:space="preserve">Originalni dokument nafrancuskom jeziku u pdf formatu </w:t>
                        </w:r>
                      </w:hyperlink>
                      <w:r>
                        <w:rPr>
                          <w:rFonts w:ascii="Times New Roman" w:hAnsi="Times New Roman"/>
                          <w:color w:val="auto"/>
                          <w:sz w:val="24"/>
                        </w:rPr>
                        <w:t xml:space="preserve">formatiran je pomoću softvera Libre Office. Prijevod na sve službene jezike Europske unije dostupan je na </w:t>
                      </w:r>
                      <w:hyperlink r:id="rId12">
                        <w:r>
                          <w:rPr>
                            <w:rStyle w:val="LienInternet"/>
                            <w:rFonts w:ascii="Times New Roman" w:hAnsi="Times New Roman"/>
                            <w:color w:val="auto"/>
                            <w:sz w:val="24"/>
                          </w:rPr>
                          <w:t>https://webgate.ec.europa.eu/etranslation</w:t>
                        </w:r>
                      </w:hyperlink>
                      <w:r>
                        <w:rPr>
                          <w:rFonts w:ascii="Times New Roman" w:hAnsi="Times New Roman"/>
                          <w:color w:val="auto"/>
                          <w:sz w:val="24"/>
                        </w:rPr>
                        <w:t>.</w:t>
                      </w:r>
                    </w:p>
                    <w:p>
                      <w:pPr>
                        <w:pStyle w:val="P68B1DB1Normal7"/>
                        <w:rPr>
                          <w:rFonts w:ascii="Times New Roman" w:hAnsi="Times New Roman"/>
                          <w:sz w:val="24"/>
                        </w:rPr>
                      </w:pPr>
                      <w:r>
                        <w:rPr>
                          <w:color w:val="auto"/>
                        </w:rPr>
                        <w:t xml:space="preserve">To smo učinili zbog potrebe za boljom višejezičnošću u Europskoj uniji: bez prijevoda, velik dio stanovništva je isključen iz rasprave. </w:t>
                      </w:r>
                      <w:r>
                        <w:rPr>
                          <w:b/>
                          <w:color w:val="auto"/>
                        </w:rPr>
                        <w:t>Poželjno je da uprava Europske unije preuzme prijevod važnih dokumenata kako bi svi Europljani mogli razumjeti o čemu se radi i zajedno raspravljati o svojoj zajedničkoj budućnosti.</w:t>
                      </w:r>
                    </w:p>
                    <w:p>
                      <w:pPr>
                        <w:pStyle w:val="P68B1DB1Normal7"/>
                        <w:rPr>
                          <w:rFonts w:ascii="Times New Roman" w:hAnsi="Times New Roman"/>
                          <w:sz w:val="24"/>
                        </w:rPr>
                      </w:pPr>
                      <w:r>
                        <w:rPr>
                          <w:color w:val="auto"/>
                        </w:rPr>
                        <w:t xml:space="preserve"> </w:t>
                      </w:r>
                    </w:p>
                    <w:p>
                      <w:pPr>
                        <w:pStyle w:val="P68B1DB1Normal7"/>
                        <w:rPr>
                          <w:rFonts w:ascii="Times New Roman" w:hAnsi="Times New Roman"/>
                          <w:sz w:val="24"/>
                        </w:rPr>
                      </w:pPr>
                      <w:r>
                        <w:rPr>
                          <w:color w:val="auto"/>
                        </w:rPr>
                        <w:t xml:space="preserve">Za dobru izravnu komunikaciju među europskim građanima, za pouzdane prijevode, međunarodni esperantski jezik bio bi vrlo koristan zbog svoje jednostavnosti, redovitosti i preciznosti. </w:t>
                      </w:r>
                    </w:p>
                    <w:p>
                      <w:pPr>
                        <w:pStyle w:val="P68B1DB1Normal7"/>
                        <w:rPr>
                          <w:rFonts w:ascii="Times New Roman" w:hAnsi="Times New Roman"/>
                          <w:sz w:val="24"/>
                        </w:rPr>
                      </w:pPr>
                      <w:r>
                        <w:rPr>
                          <w:color w:val="auto"/>
                        </w:rPr>
                        <w:t xml:space="preserve"> </w:t>
                      </w:r>
                    </w:p>
                    <w:p>
                      <w:pPr>
                        <w:pStyle w:val="P68B1DB1Normal7"/>
                        <w:rPr>
                          <w:rFonts w:ascii="Times New Roman" w:hAnsi="Times New Roman"/>
                          <w:sz w:val="24"/>
                        </w:rPr>
                      </w:pPr>
                      <w:r>
                        <w:rPr>
                          <w:color w:val="auto"/>
                        </w:rPr>
                        <w:t xml:space="preserve"> </w:t>
                      </w:r>
                      <w:r>
                        <w:rPr>
                          <w:color w:val="auto"/>
                        </w:rPr>
                        <w:t xml:space="preserve">Na internetu: </w:t>
                      </w:r>
                    </w:p>
                    <w:p>
                      <w:pPr>
                        <w:pStyle w:val="Normal"/>
                        <w:rPr/>
                      </w:pPr>
                      <w:r>
                        <w:rPr>
                          <w:rFonts w:ascii="Times New Roman" w:hAnsi="Times New Roman"/>
                          <w:color w:val="auto"/>
                          <w:sz w:val="24"/>
                        </w:rPr>
                        <w:t xml:space="preserve"> </w:t>
                      </w:r>
                      <w:r>
                        <w:rPr>
                          <w:rFonts w:ascii="Times New Roman" w:hAnsi="Times New Roman"/>
                          <w:color w:val="auto"/>
                          <w:sz w:val="24"/>
                        </w:rPr>
                        <w:t>Federacija E</w:t>
                      </w:r>
                      <w:r>
                        <w:rPr>
                          <w:rFonts w:ascii="Times New Roman" w:hAnsi="Times New Roman"/>
                          <w:color w:val="auto"/>
                          <w:sz w:val="24"/>
                        </w:rPr>
                        <w:t>ŭ</w:t>
                      </w:r>
                      <w:r>
                        <w:rPr>
                          <w:rFonts w:ascii="Times New Roman" w:hAnsi="Times New Roman"/>
                          <w:color w:val="auto"/>
                          <w:sz w:val="24"/>
                        </w:rPr>
                        <w:t xml:space="preserve">ropo-Demokratio-Esperanto:   </w:t>
                      </w:r>
                      <w:hyperlink r:id="rId13">
                        <w:r>
                          <w:rPr>
                            <w:rStyle w:val="LienInternet"/>
                            <w:rFonts w:ascii="Times New Roman" w:hAnsi="Times New Roman"/>
                            <w:color w:val="auto"/>
                            <w:sz w:val="24"/>
                          </w:rPr>
                          <w:t>https://e-d-e.org/</w:t>
                        </w:r>
                      </w:hyperlink>
                      <w:r>
                        <w:rPr>
                          <w:rFonts w:ascii="Times New Roman" w:hAnsi="Times New Roman"/>
                          <w:color w:val="auto"/>
                          <w:sz w:val="24"/>
                        </w:rPr>
                        <w:t xml:space="preserve"> (ili </w:t>
                      </w:r>
                      <w:hyperlink r:id="rId14">
                        <w:r>
                          <w:rPr>
                            <w:rStyle w:val="LienInternet"/>
                            <w:rFonts w:ascii="Times New Roman" w:hAnsi="Times New Roman"/>
                            <w:color w:val="auto"/>
                            <w:sz w:val="24"/>
                          </w:rPr>
                          <w:t>https://e-d-e.org/</w:t>
                        </w:r>
                      </w:hyperlink>
                      <w:r>
                        <w:rPr>
                          <w:rFonts w:ascii="Times New Roman" w:hAnsi="Times New Roman"/>
                          <w:color w:val="auto"/>
                          <w:sz w:val="24"/>
                        </w:rPr>
                        <w:t>)</w:t>
                      </w:r>
                    </w:p>
                    <w:p>
                      <w:pPr>
                        <w:pStyle w:val="Normal"/>
                        <w:spacing w:before="62" w:after="62"/>
                        <w:rPr/>
                      </w:pPr>
                      <w:r>
                        <w:rPr>
                          <w:rFonts w:ascii="Times New Roman" w:hAnsi="Times New Roman"/>
                          <w:color w:val="auto"/>
                          <w:sz w:val="24"/>
                        </w:rPr>
                        <w:t xml:space="preserve">Udruga Europa-Demokracija-Esperanto (Francuska):   </w:t>
                      </w:r>
                      <w:hyperlink r:id="rId15">
                        <w:r>
                          <w:rPr>
                            <w:rStyle w:val="LienInternet"/>
                            <w:rFonts w:ascii="Times New Roman" w:hAnsi="Times New Roman"/>
                            <w:color w:val="auto"/>
                            <w:sz w:val="24"/>
                          </w:rPr>
                          <w:t>https://e-d-e.fr/</w:t>
                        </w:r>
                      </w:hyperlink>
                      <w:r>
                        <w:rPr>
                          <w:rFonts w:ascii="Times New Roman" w:hAnsi="Times New Roman"/>
                          <w:color w:val="auto"/>
                          <w:sz w:val="24"/>
                        </w:rPr>
                        <w:t xml:space="preserve"> </w:t>
                      </w:r>
                    </w:p>
                    <w:p>
                      <w:pPr>
                        <w:pStyle w:val="Normal"/>
                        <w:spacing w:before="62" w:after="62"/>
                        <w:rPr/>
                      </w:pPr>
                      <w:r>
                        <w:rPr>
                          <w:rFonts w:ascii="Times New Roman" w:hAnsi="Times New Roman"/>
                          <w:color w:val="auto"/>
                          <w:sz w:val="24"/>
                        </w:rPr>
                        <w:t xml:space="preserve">Europske isprave na svim službenim jezicima: </w:t>
                      </w:r>
                      <w:hyperlink r:id="rId16">
                        <w:r>
                          <w:rPr>
                            <w:rStyle w:val="LienInternet"/>
                            <w:rFonts w:ascii="Times New Roman" w:hAnsi="Times New Roman"/>
                            <w:color w:val="auto"/>
                            <w:sz w:val="24"/>
                          </w:rPr>
                          <w:t>http://www.europokune.eu/</w:t>
                        </w:r>
                      </w:hyperlink>
                      <w:r>
                        <w:rPr>
                          <w:rFonts w:ascii="Times New Roman" w:hAnsi="Times New Roman"/>
                          <w:color w:val="auto"/>
                          <w:sz w:val="24"/>
                        </w:rPr>
                        <w:t xml:space="preserve"> </w:t>
                      </w:r>
                    </w:p>
                    <w:p>
                      <w:pPr>
                        <w:pStyle w:val="Normal"/>
                        <w:rPr>
                          <w:rFonts w:ascii="Times New Roman" w:hAnsi="Times New Roman"/>
                          <w:color w:val="auto"/>
                          <w:sz w:val="24"/>
                        </w:rPr>
                      </w:pPr>
                      <w:r>
                        <w:rPr>
                          <w:rFonts w:ascii="Times New Roman" w:hAnsi="Times New Roman"/>
                          <w:color w:val="auto"/>
                          <w:sz w:val="24"/>
                        </w:rPr>
                      </w:r>
                    </w:p>
                    <w:p>
                      <w:pPr>
                        <w:pStyle w:val="Normal"/>
                        <w:rPr>
                          <w:rFonts w:ascii="Times New Roman" w:hAnsi="Times New Roman"/>
                          <w:color w:val="auto"/>
                          <w:sz w:val="24"/>
                        </w:rPr>
                      </w:pPr>
                      <w:r>
                        <w:rPr>
                          <w:rFonts w:ascii="Times New Roman" w:hAnsi="Times New Roman"/>
                          <w:color w:val="auto"/>
                          <w:sz w:val="24"/>
                        </w:rPr>
                      </w:r>
                    </w:p>
                    <w:p>
                      <w:pPr>
                        <w:pStyle w:val="P68B1DB1Normal7"/>
                        <w:rPr>
                          <w:rFonts w:ascii="Times New Roman" w:hAnsi="Times New Roman"/>
                          <w:sz w:val="24"/>
                        </w:rPr>
                      </w:pPr>
                      <w:r>
                        <w:rPr>
                          <w:color w:val="auto"/>
                        </w:rPr>
                        <w:t xml:space="preserve">U usporedbi s izvornim dokumentom postoje neke promjene (poboljšanja?): </w:t>
                      </w:r>
                    </w:p>
                    <w:p>
                      <w:pPr>
                        <w:pStyle w:val="P68B1DB1Normal7"/>
                        <w:rPr>
                          <w:rFonts w:ascii="Times New Roman" w:hAnsi="Times New Roman"/>
                          <w:sz w:val="24"/>
                        </w:rPr>
                      </w:pPr>
                      <w:r>
                        <w:rPr>
                          <w:color w:val="auto"/>
                        </w:rPr>
                        <w:t>ispravljene su neke pravopisne pogreške. Možda je bilo i drugih pogrešaka?</w:t>
                      </w:r>
                    </w:p>
                    <w:p>
                      <w:pPr>
                        <w:pStyle w:val="P68B1DB1Normal7"/>
                        <w:rPr>
                          <w:rFonts w:ascii="Times New Roman" w:hAnsi="Times New Roman"/>
                          <w:sz w:val="24"/>
                        </w:rPr>
                      </w:pPr>
                      <w:r>
                        <w:rPr>
                          <w:color w:val="auto"/>
                        </w:rPr>
                        <w:t xml:space="preserve">— </w:t>
                      </w:r>
                      <w:r>
                        <w:rPr>
                          <w:color w:val="auto"/>
                        </w:rPr>
                        <w:t>izgled je usklađen, a sve stranice su odgovarajuće numerirane (početni dokument bio je spoj zasebnih pdf datoteka s neovisnim numeriranjem).</w:t>
                      </w:r>
                    </w:p>
                    <w:p>
                      <w:pPr>
                        <w:pStyle w:val="P68B1DB1Normal7"/>
                        <w:rPr>
                          <w:rFonts w:ascii="Times New Roman" w:hAnsi="Times New Roman"/>
                          <w:sz w:val="24"/>
                        </w:rPr>
                      </w:pPr>
                      <w:r>
                        <w:rPr>
                          <w:color w:val="auto"/>
                        </w:rPr>
                        <w:t xml:space="preserve">— </w:t>
                      </w:r>
                      <w:r>
                        <w:rPr>
                          <w:color w:val="auto"/>
                        </w:rPr>
                        <w:t>završne bilješke pretvorene su u bilješke na kraju dijela (na dnu stranica).</w:t>
                      </w:r>
                    </w:p>
                    <w:p>
                      <w:pPr>
                        <w:pStyle w:val="P68B1DB1Normal7"/>
                        <w:spacing w:before="57" w:after="57"/>
                        <w:rPr>
                          <w:color w:val="auto"/>
                        </w:rPr>
                      </w:pPr>
                      <w:r>
                        <w:rPr>
                          <w:color w:val="auto"/>
                        </w:rPr>
                        <w:t xml:space="preserve">— </w:t>
                      </w:r>
                      <w:r>
                        <w:rPr>
                          <w:color w:val="auto"/>
                        </w:rPr>
                        <w:t>dokumenti u početku u obliku slika pretvoreni su u tablice koje će se lako prevesti.</w:t>
                      </w:r>
                    </w:p>
                  </w:txbxContent>
                </v:textbox>
              </v:rect>
            </w:pict>
          </mc:Fallback>
        </mc:AlternateContent>
      </w:r>
    </w:p>
    <w:p>
      <w:pPr>
        <w:pStyle w:val="Normal"/>
        <w:rPr/>
      </w:pPr>
      <w:r>
        <w:rPr/>
      </w:r>
      <w:r>
        <w:br w:type="page"/>
      </w:r>
    </w:p>
    <w:sdt>
      <w:sdtPr>
        <w:docPartObj>
          <w:docPartGallery w:val="Table of Contents"/>
          <w:docPartUnique w:val="true"/>
        </w:docPartObj>
      </w:sdtPr>
      <w:sdtContent>
        <w:p>
          <w:pPr>
            <w:pStyle w:val="TOAHeading"/>
            <w:rPr/>
          </w:pPr>
          <w:r>
            <w:rPr/>
            <w:t>Sadržaj</w:t>
          </w:r>
        </w:p>
        <w:p>
          <w:pPr>
            <w:pStyle w:val="Tabledesmatiresniveau1"/>
            <w:tabs>
              <w:tab w:val="right" w:pos="9638" w:leader="dot"/>
            </w:tabs>
            <w:rPr/>
          </w:pPr>
          <w:r>
            <w:fldChar w:fldCharType="begin"/>
          </w:r>
          <w:r>
            <w:rPr>
              <w:rStyle w:val="Sautdindex"/>
            </w:rPr>
            <w:instrText> TOC \f \o "1-2" \h</w:instrText>
          </w:r>
          <w:r>
            <w:rPr>
              <w:rStyle w:val="Sautdindex"/>
            </w:rPr>
            <w:fldChar w:fldCharType="separate"/>
          </w:r>
          <w:hyperlink w:anchor="__RefHeading___Toc298046_1346298689">
            <w:r>
              <w:rPr>
                <w:rStyle w:val="Sautdindex"/>
              </w:rPr>
              <w:t>I. Arhitektura konferencije</w:t>
              <w:tab/>
              <w:t>7</w:t>
            </w:r>
          </w:hyperlink>
        </w:p>
        <w:p>
          <w:pPr>
            <w:pStyle w:val="Tabledesmatiresniveau2"/>
            <w:tabs>
              <w:tab w:val="right" w:pos="9638" w:leader="dot"/>
            </w:tabs>
            <w:rPr/>
          </w:pPr>
          <w:hyperlink w:anchor="__RefHeading___Toc298048_1346298689">
            <w:r>
              <w:rPr>
                <w:rStyle w:val="Sautdindex"/>
              </w:rPr>
              <w:t>1. Zajednička izjava</w:t>
              <w:tab/>
              <w:t>8</w:t>
            </w:r>
          </w:hyperlink>
        </w:p>
        <w:p>
          <w:pPr>
            <w:pStyle w:val="Tabledesmatiresniveau2"/>
            <w:tabs>
              <w:tab w:val="right" w:pos="9638" w:leader="dot"/>
            </w:tabs>
            <w:rPr/>
          </w:pPr>
          <w:hyperlink w:anchor="__RefHeading___Toc298050_1346298689">
            <w:r>
              <w:rPr>
                <w:rStyle w:val="Sautdindex"/>
              </w:rPr>
              <w:t>2. Poslovnik</w:t>
              <w:tab/>
              <w:t>9</w:t>
            </w:r>
          </w:hyperlink>
        </w:p>
        <w:p>
          <w:pPr>
            <w:pStyle w:val="Tabledesmatiresniveau2"/>
            <w:tabs>
              <w:tab w:val="right" w:pos="9638" w:leader="dot"/>
            </w:tabs>
            <w:rPr/>
          </w:pPr>
          <w:hyperlink w:anchor="__RefHeading___Toc298052_1346298689">
            <w:r>
              <w:rPr>
                <w:rStyle w:val="Sautdindex"/>
              </w:rPr>
              <w:t>3. Događanja povezana s konferencijom</w:t>
              <w:tab/>
              <w:t>9</w:t>
            </w:r>
          </w:hyperlink>
        </w:p>
        <w:p>
          <w:pPr>
            <w:pStyle w:val="Tabledesmatiresniveau2"/>
            <w:tabs>
              <w:tab w:val="right" w:pos="9638" w:leader="dot"/>
            </w:tabs>
            <w:rPr/>
          </w:pPr>
          <w:hyperlink w:anchor="__RefHeading___Toc298054_1346298689">
            <w:r>
              <w:rPr>
                <w:rStyle w:val="Sautdindex"/>
              </w:rPr>
              <w:t>4. Provedba višejezične digitalne platforme</w:t>
              <w:tab/>
              <w:t>9</w:t>
            </w:r>
          </w:hyperlink>
        </w:p>
        <w:p>
          <w:pPr>
            <w:pStyle w:val="Tabledesmatiresniveau2"/>
            <w:tabs>
              <w:tab w:val="right" w:pos="9638" w:leader="dot"/>
            </w:tabs>
            <w:rPr/>
          </w:pPr>
          <w:hyperlink w:anchor="__RefHeading___Toc298056_1346298689">
            <w:r>
              <w:rPr>
                <w:rStyle w:val="Sautdindex"/>
              </w:rPr>
              <w:t>5. Europski paneli građana i građanki</w:t>
              <w:tab/>
              <w:t>10</w:t>
            </w:r>
          </w:hyperlink>
        </w:p>
        <w:p>
          <w:pPr>
            <w:pStyle w:val="Tabledesmatiresniveau2"/>
            <w:tabs>
              <w:tab w:val="right" w:pos="9638" w:leader="dot"/>
            </w:tabs>
            <w:rPr/>
          </w:pPr>
          <w:hyperlink w:anchor="__RefHeading___Toc298058_1346298689">
            <w:r>
              <w:rPr>
                <w:rStyle w:val="Sautdindex"/>
              </w:rPr>
              <w:t>6. Nacionalni paneli građana i građanki</w:t>
              <w:tab/>
              <w:t>10</w:t>
            </w:r>
          </w:hyperlink>
        </w:p>
        <w:p>
          <w:pPr>
            <w:pStyle w:val="Tabledesmatiresniveau1"/>
            <w:tabs>
              <w:tab w:val="right" w:pos="9638" w:leader="dot"/>
            </w:tabs>
            <w:rPr/>
          </w:pPr>
          <w:hyperlink w:anchor="__RefHeading___Toc298188_1346298689">
            <w:r>
              <w:rPr>
                <w:rStyle w:val="Sautdindex"/>
              </w:rPr>
              <w:t>NE, NE, NE, NE. Doprinos građana konferenciji</w:t>
              <w:tab/>
              <w:t>11</w:t>
            </w:r>
          </w:hyperlink>
        </w:p>
        <w:p>
          <w:pPr>
            <w:pStyle w:val="Tabledesmatiresniveau2"/>
            <w:tabs>
              <w:tab w:val="right" w:pos="9638" w:leader="dot"/>
            </w:tabs>
            <w:rPr/>
          </w:pPr>
          <w:hyperlink w:anchor="__RefHeading___Toc298190_1346298689">
            <w:r>
              <w:rPr>
                <w:rStyle w:val="Sautdindex"/>
              </w:rPr>
              <w:t>A. Višejezična digitalna platforma</w:t>
              <w:tab/>
              <w:t>12</w:t>
            </w:r>
          </w:hyperlink>
        </w:p>
        <w:p>
          <w:pPr>
            <w:pStyle w:val="Tabledesmatiresniveau2"/>
            <w:tabs>
              <w:tab w:val="right" w:pos="9638" w:leader="dot"/>
            </w:tabs>
            <w:rPr/>
          </w:pPr>
          <w:hyperlink w:anchor="__RefHeading___Toc298192_1346298689">
            <w:r>
              <w:rPr>
                <w:rStyle w:val="Sautdindex"/>
              </w:rPr>
              <w:t>B. Paneli građana i građanki</w:t>
              <w:tab/>
              <w:t>17</w:t>
            </w:r>
          </w:hyperlink>
        </w:p>
        <w:p>
          <w:pPr>
            <w:pStyle w:val="Tabledesmatiresniveau2"/>
            <w:tabs>
              <w:tab w:val="right" w:pos="9638" w:leader="dot"/>
            </w:tabs>
            <w:rPr/>
          </w:pPr>
          <w:hyperlink w:anchor="__RefHeading___Toc298228_1346298689">
            <w:r>
              <w:rPr>
                <w:rStyle w:val="Sautdindex"/>
              </w:rPr>
              <w:t>C. Događanja organizirana u okviru konferencije</w:t>
              <w:tab/>
              <w:t>27</w:t>
            </w:r>
          </w:hyperlink>
        </w:p>
        <w:p>
          <w:pPr>
            <w:pStyle w:val="Tabledesmatiresniveau1"/>
            <w:tabs>
              <w:tab w:val="right" w:pos="9638" w:leader="dot"/>
            </w:tabs>
            <w:rPr/>
          </w:pPr>
          <w:hyperlink w:anchor="__RefHeading___Toc298238_1346298689">
            <w:r>
              <w:rPr>
                <w:rStyle w:val="Sautdindex"/>
              </w:rPr>
              <w:t>ŠTO SE DOGAĐA? Plenarna skupština Konferencije</w:t>
              <w:tab/>
              <w:t>36</w:t>
            </w:r>
          </w:hyperlink>
        </w:p>
        <w:p>
          <w:pPr>
            <w:pStyle w:val="Tabledesmatiresniveau2"/>
            <w:tabs>
              <w:tab w:val="right" w:pos="9638" w:leader="dot"/>
            </w:tabs>
            <w:rPr/>
          </w:pPr>
          <w:hyperlink w:anchor="__RefHeading___Toc298240_1346298689">
            <w:r>
              <w:rPr>
                <w:rStyle w:val="Sautdindex"/>
              </w:rPr>
              <w:t>A. Uloga i funkcioniranje plenarne skupštine</w:t>
              <w:tab/>
              <w:t>37</w:t>
            </w:r>
          </w:hyperlink>
        </w:p>
        <w:p>
          <w:pPr>
            <w:pStyle w:val="Tabledesmatiresniveau2"/>
            <w:tabs>
              <w:tab w:val="right" w:pos="9638" w:leader="dot"/>
            </w:tabs>
            <w:rPr/>
          </w:pPr>
          <w:hyperlink w:anchor="__RefHeading___Toc298242_1346298689">
            <w:r>
              <w:rPr>
                <w:rStyle w:val="Sautdindex"/>
              </w:rPr>
              <w:t>B. Radne skupine</w:t>
              <w:tab/>
              <w:t>38</w:t>
            </w:r>
          </w:hyperlink>
        </w:p>
        <w:p>
          <w:pPr>
            <w:pStyle w:val="Tabledesmatiresniveau2"/>
            <w:tabs>
              <w:tab w:val="right" w:pos="9638" w:leader="dot"/>
            </w:tabs>
            <w:rPr/>
          </w:pPr>
          <w:hyperlink w:anchor="__RefHeading___Toc298244_1346298689">
            <w:r>
              <w:rPr>
                <w:rStyle w:val="Sautdindex"/>
              </w:rPr>
              <w:t>C. Kronološki sažetak</w:t>
              <w:tab/>
              <w:t>39</w:t>
            </w:r>
          </w:hyperlink>
        </w:p>
        <w:p>
          <w:pPr>
            <w:pStyle w:val="Tabledesmatiresniveau1"/>
            <w:tabs>
              <w:tab w:val="right" w:pos="9638" w:leader="dot"/>
            </w:tabs>
            <w:rPr/>
          </w:pPr>
          <w:hyperlink w:anchor="__RefHeading___Toc298246_1346298689">
            <w:r>
              <w:rPr>
                <w:rStyle w:val="Sautdindex"/>
              </w:rPr>
              <w:t>IV. Prijedlozi plenarne skupštine</w:t>
              <w:tab/>
              <w:t>45</w:t>
            </w:r>
          </w:hyperlink>
        </w:p>
        <w:p>
          <w:pPr>
            <w:pStyle w:val="Tabledesmatiresniveau2"/>
            <w:tabs>
              <w:tab w:val="right" w:pos="9638" w:leader="dot"/>
            </w:tabs>
            <w:rPr/>
          </w:pPr>
          <w:hyperlink w:anchor="__RefHeading___Toc298248_1346298689">
            <w:r>
              <w:rPr>
                <w:rStyle w:val="Sautdindex"/>
              </w:rPr>
              <w:t>Klimatske promjene i okoliš</w:t>
              <w:tab/>
              <w:t>46</w:t>
            </w:r>
          </w:hyperlink>
        </w:p>
        <w:p>
          <w:pPr>
            <w:pStyle w:val="Tabledesmatiresniveau2"/>
            <w:tabs>
              <w:tab w:val="right" w:pos="9638" w:leader="dot"/>
            </w:tabs>
            <w:rPr/>
          </w:pPr>
          <w:hyperlink w:anchor="__RefHeading___Toc298272_1346298689">
            <w:r>
              <w:rPr>
                <w:rStyle w:val="Sautdindex"/>
              </w:rPr>
              <w:t>„</w:t>
            </w:r>
            <w:r>
              <w:rPr>
                <w:rStyle w:val="Sautdindex"/>
              </w:rPr>
              <w:t>Zdravlje”</w:t>
              <w:tab/>
              <w:t>52</w:t>
            </w:r>
          </w:hyperlink>
        </w:p>
        <w:p>
          <w:pPr>
            <w:pStyle w:val="Tabledesmatiresniveau2"/>
            <w:tabs>
              <w:tab w:val="right" w:pos="9638" w:leader="dot"/>
            </w:tabs>
            <w:rPr/>
          </w:pPr>
          <w:hyperlink w:anchor="__RefHeading___Toc298288_1346298689">
            <w:r>
              <w:rPr>
                <w:rStyle w:val="Sautdindex"/>
              </w:rPr>
              <w:t>Snažnije gospodarstvo, socijalna pravda i zapošljavanje</w:t>
              <w:tab/>
              <w:t>56</w:t>
            </w:r>
          </w:hyperlink>
        </w:p>
        <w:p>
          <w:pPr>
            <w:pStyle w:val="Tabledesmatiresniveau2"/>
            <w:tabs>
              <w:tab w:val="right" w:pos="9638" w:leader="dot"/>
            </w:tabs>
            <w:rPr/>
          </w:pPr>
          <w:hyperlink w:anchor="__RefHeading___Toc298302_1346298689">
            <w:r>
              <w:rPr>
                <w:rStyle w:val="Sautdindex"/>
              </w:rPr>
              <w:t>„</w:t>
            </w:r>
            <w:r>
              <w:rPr>
                <w:rStyle w:val="Sautdindex"/>
              </w:rPr>
              <w:t>EU u svijetu”</w:t>
              <w:tab/>
              <w:t>65</w:t>
            </w:r>
          </w:hyperlink>
        </w:p>
        <w:p>
          <w:pPr>
            <w:pStyle w:val="Tabledesmatiresniveau2"/>
            <w:tabs>
              <w:tab w:val="right" w:pos="9638" w:leader="dot"/>
            </w:tabs>
            <w:rPr/>
          </w:pPr>
          <w:hyperlink w:anchor="__RefHeading___Toc298320_1346298689">
            <w:r>
              <w:rPr>
                <w:rStyle w:val="Sautdindex"/>
              </w:rPr>
              <w:t>Vrijednosti i prava, vladavina prava, sigurnost</w:t>
              <w:tab/>
              <w:t>72</w:t>
            </w:r>
          </w:hyperlink>
        </w:p>
        <w:p>
          <w:pPr>
            <w:pStyle w:val="Tabledesmatiresniveau2"/>
            <w:tabs>
              <w:tab w:val="right" w:pos="9638" w:leader="dot"/>
            </w:tabs>
            <w:rPr/>
          </w:pPr>
          <w:hyperlink w:anchor="__RefHeading___Toc298334_1346298689">
            <w:r>
              <w:rPr>
                <w:rStyle w:val="Sautdindex"/>
              </w:rPr>
              <w:t>„</w:t>
            </w:r>
            <w:r>
              <w:rPr>
                <w:rStyle w:val="Sautdindex"/>
              </w:rPr>
              <w:t>Digitalna transformacija”</w:t>
              <w:tab/>
              <w:t>77</w:t>
            </w:r>
          </w:hyperlink>
        </w:p>
        <w:p>
          <w:pPr>
            <w:pStyle w:val="Tabledesmatiresniveau2"/>
            <w:tabs>
              <w:tab w:val="right" w:pos="9638" w:leader="dot"/>
            </w:tabs>
            <w:rPr/>
          </w:pPr>
          <w:hyperlink w:anchor="__RefHeading___Toc298346_1346298689">
            <w:r>
              <w:rPr>
                <w:rStyle w:val="Sautdindex"/>
              </w:rPr>
              <w:t>„</w:t>
            </w:r>
            <w:r>
              <w:rPr>
                <w:rStyle w:val="Sautdindex"/>
              </w:rPr>
              <w:t>Europska demokracija”</w:t>
              <w:tab/>
              <w:t>82</w:t>
            </w:r>
          </w:hyperlink>
        </w:p>
        <w:p>
          <w:pPr>
            <w:pStyle w:val="Tabledesmatiresniveau2"/>
            <w:tabs>
              <w:tab w:val="right" w:pos="9638" w:leader="dot"/>
            </w:tabs>
            <w:rPr/>
          </w:pPr>
          <w:hyperlink w:anchor="__RefHeading___Toc298358_1346298689">
            <w:r>
              <w:rPr>
                <w:rStyle w:val="Sautdindex"/>
              </w:rPr>
              <w:t>„</w:t>
            </w:r>
            <w:r>
              <w:rPr>
                <w:rStyle w:val="Sautdindex"/>
              </w:rPr>
              <w:t>Migracije”</w:t>
              <w:tab/>
              <w:t>87</w:t>
            </w:r>
          </w:hyperlink>
        </w:p>
        <w:p>
          <w:pPr>
            <w:pStyle w:val="Tabledesmatiresniveau2"/>
            <w:tabs>
              <w:tab w:val="right" w:pos="9638" w:leader="dot"/>
            </w:tabs>
            <w:rPr/>
          </w:pPr>
          <w:hyperlink w:anchor="__RefHeading___Toc298370_1346298689">
            <w:r>
              <w:rPr>
                <w:rStyle w:val="Sautdindex"/>
              </w:rPr>
              <w:t>Obrazovanje, kultura, mladi i sport</w:t>
              <w:tab/>
              <w:t>91</w:t>
            </w:r>
          </w:hyperlink>
        </w:p>
        <w:p>
          <w:pPr>
            <w:pStyle w:val="Tabledesmatiresniveau1"/>
            <w:tabs>
              <w:tab w:val="right" w:pos="9638" w:leader="dot"/>
            </w:tabs>
            <w:rPr/>
          </w:pPr>
          <w:hyperlink w:anchor="__RefHeading___Toc298380_1346298689">
            <w:r>
              <w:rPr>
                <w:rStyle w:val="Sautdindex"/>
              </w:rPr>
              <w:t>Završna razmatranja Izvršnog odbora</w:t>
              <w:tab/>
              <w:t>95</w:t>
            </w:r>
          </w:hyperlink>
        </w:p>
        <w:p>
          <w:pPr>
            <w:pStyle w:val="Tabledesmatiresniveau1"/>
            <w:tabs>
              <w:tab w:val="right" w:pos="9638" w:leader="dot"/>
            </w:tabs>
            <w:rPr/>
          </w:pPr>
          <w:hyperlink w:anchor="__RefHeading___Toc297141_1346298689">
            <w:r>
              <w:rPr>
                <w:rStyle w:val="Sautdindex"/>
              </w:rPr>
              <w:t>Prilog I. – Preporuke četiriju europskih panela građana i građanki</w:t>
              <w:tab/>
              <w:t>98</w:t>
            </w:r>
          </w:hyperlink>
        </w:p>
        <w:p>
          <w:pPr>
            <w:pStyle w:val="Tabledesmatiresniveau2"/>
            <w:tabs>
              <w:tab w:val="right" w:pos="9638" w:leader="dot"/>
            </w:tabs>
            <w:rPr/>
          </w:pPr>
          <w:hyperlink w:anchor="__RefHeading___Toc297143_1346298689">
            <w:r>
              <w:rPr>
                <w:rStyle w:val="Sautdindex"/>
              </w:rPr>
              <w:t>Europski panel građana i građanki i građanki i građanki 1.: Snažnije gospodarstvo, socijalna pravda i zapošljavanje/obrazovanje, kultura, mladi i sport/digitalna transformacija</w:t>
              <w:tab/>
              <w:t>99</w:t>
            </w:r>
          </w:hyperlink>
        </w:p>
        <w:p>
          <w:pPr>
            <w:pStyle w:val="Tabledesmatiresniveau2"/>
            <w:tabs>
              <w:tab w:val="right" w:pos="9638" w:leader="dot"/>
            </w:tabs>
            <w:rPr/>
          </w:pPr>
          <w:hyperlink w:anchor="__RefHeading___Toc297195_1346298689">
            <w:r>
              <w:rPr>
                <w:rStyle w:val="Sautdindex"/>
              </w:rPr>
              <w:t>Europski panel građana i građanki i građanki i građanki 2: „Europska demokracija; vrijednosti i prava, vladavina prava, sigurnost</w:t>
              <w:tab/>
              <w:t>115</w:t>
            </w:r>
          </w:hyperlink>
        </w:p>
        <w:p>
          <w:pPr>
            <w:pStyle w:val="Tabledesmatiresniveau2"/>
            <w:tabs>
              <w:tab w:val="right" w:pos="9638" w:leader="dot"/>
            </w:tabs>
            <w:rPr/>
          </w:pPr>
          <w:hyperlink w:anchor="__RefHeading___Toc297245_1346298689">
            <w:r>
              <w:rPr>
                <w:rStyle w:val="Sautdindex"/>
              </w:rPr>
              <w:t>Europski panel građana i građanki 3: Klimatske promjene i okoliš/zdravlje</w:t>
              <w:tab/>
              <w:t>128</w:t>
            </w:r>
          </w:hyperlink>
        </w:p>
        <w:p>
          <w:pPr>
            <w:pStyle w:val="Tabledesmatiresniveau2"/>
            <w:tabs>
              <w:tab w:val="right" w:pos="9638" w:leader="dot"/>
            </w:tabs>
            <w:rPr/>
          </w:pPr>
          <w:hyperlink w:anchor="__RefHeading___Toc297297_1346298689">
            <w:r>
              <w:rPr>
                <w:rStyle w:val="Sautdindex"/>
              </w:rPr>
              <w:t>Europski panel građana i građanki i građanki 4: „EU u svijetu/migracije”</w:t>
              <w:tab/>
              <w:t>145</w:t>
            </w:r>
          </w:hyperlink>
        </w:p>
        <w:p>
          <w:pPr>
            <w:pStyle w:val="Tabledesmatiresniveau1"/>
            <w:tabs>
              <w:tab w:val="right" w:pos="9638" w:leader="dot"/>
            </w:tabs>
            <w:rPr/>
          </w:pPr>
          <w:hyperlink w:anchor="__RefHeading___Toc297345_1346298689">
            <w:r>
              <w:rPr>
                <w:rStyle w:val="Sautdindex"/>
              </w:rPr>
              <w:t>II.A – Nacionalni paneli: Belgija</w:t>
              <w:tab/>
              <w:t>157</w:t>
            </w:r>
          </w:hyperlink>
        </w:p>
        <w:p>
          <w:pPr>
            <w:pStyle w:val="Tabledesmatiresniveau1"/>
            <w:tabs>
              <w:tab w:val="right" w:pos="9638" w:leader="dot"/>
            </w:tabs>
            <w:rPr/>
          </w:pPr>
          <w:hyperlink w:anchor="__RefHeading___Toc297349_1346298689">
            <w:r>
              <w:rPr>
                <w:rStyle w:val="Sautdindex"/>
              </w:rPr>
              <w:t>II.B Nacionalni paneli: Francuska</w:t>
              <w:tab/>
              <w:t>171</w:t>
            </w:r>
          </w:hyperlink>
        </w:p>
        <w:p>
          <w:pPr>
            <w:pStyle w:val="Tabledesmatiresniveau2"/>
            <w:tabs>
              <w:tab w:val="right" w:pos="9638" w:leader="dot"/>
            </w:tabs>
            <w:rPr/>
          </w:pPr>
          <w:hyperlink w:anchor="__RefHeading___Toc300448_1346298689">
            <w:r>
              <w:rPr>
                <w:rStyle w:val="Sautdindex"/>
              </w:rPr>
              <w:t>Uvod</w:t>
              <w:tab/>
              <w:t>174</w:t>
            </w:r>
          </w:hyperlink>
        </w:p>
        <w:p>
          <w:pPr>
            <w:pStyle w:val="Tabledesmatiresniveau2"/>
            <w:tabs>
              <w:tab w:val="right" w:pos="9638" w:leader="dot"/>
            </w:tabs>
            <w:rPr/>
          </w:pPr>
          <w:hyperlink w:anchor="__RefHeading___Toc300450_1346298689">
            <w:r>
              <w:rPr>
                <w:rStyle w:val="Sautdindex"/>
              </w:rPr>
              <w:t>Predstavljanje glavnih rezultata</w:t>
              <w:tab/>
              <w:t>177</w:t>
            </w:r>
          </w:hyperlink>
        </w:p>
        <w:p>
          <w:pPr>
            <w:pStyle w:val="Tabledesmatiresniveau2"/>
            <w:tabs>
              <w:tab w:val="right" w:pos="9638" w:leader="dot"/>
            </w:tabs>
            <w:rPr/>
          </w:pPr>
          <w:hyperlink w:anchor="__RefHeading___Toc300452_1346298689">
            <w:r>
              <w:rPr>
                <w:rStyle w:val="Sautdindex"/>
              </w:rPr>
              <w:t>Predstavljanje panela regionalnih konferencija</w:t>
              <w:tab/>
              <w:t>179</w:t>
            </w:r>
          </w:hyperlink>
        </w:p>
        <w:p>
          <w:pPr>
            <w:pStyle w:val="Tabledesmatiresniveau2"/>
            <w:tabs>
              <w:tab w:val="right" w:pos="9638" w:leader="dot"/>
            </w:tabs>
            <w:rPr/>
          </w:pPr>
          <w:hyperlink w:anchor="__RefHeading___Toc300454_1346298689">
            <w:r>
              <w:rPr>
                <w:rStyle w:val="Sautdindex"/>
              </w:rPr>
              <w:t>Metodološke obveze i pristranosti</w:t>
              <w:tab/>
              <w:t>181</w:t>
            </w:r>
          </w:hyperlink>
        </w:p>
        <w:p>
          <w:pPr>
            <w:pStyle w:val="Tabledesmatiresniveau2"/>
            <w:tabs>
              <w:tab w:val="right" w:pos="9638" w:leader="dot"/>
            </w:tabs>
            <w:rPr/>
          </w:pPr>
          <w:hyperlink w:anchor="__RefHeading___Toc297351_1346298689">
            <w:r>
              <w:rPr>
                <w:rStyle w:val="Sautdindex"/>
              </w:rPr>
              <w:t>Drugi dio: predstavljanje rezultata savjetovanja „Riječi mladima”</w:t>
              <w:tab/>
              <w:t>197</w:t>
            </w:r>
          </w:hyperlink>
        </w:p>
        <w:p>
          <w:pPr>
            <w:pStyle w:val="Tabledesmatiresniveau2"/>
            <w:tabs>
              <w:tab w:val="right" w:pos="9638" w:leader="dot"/>
            </w:tabs>
            <w:rPr/>
          </w:pPr>
          <w:hyperlink w:anchor="__RefHeading___Toc300458_1346298689">
            <w:r>
              <w:rPr>
                <w:rStyle w:val="Sautdindex"/>
              </w:rPr>
              <w:t>Zaključak</w:t>
              <w:tab/>
              <w:t>200</w:t>
            </w:r>
          </w:hyperlink>
        </w:p>
        <w:p>
          <w:pPr>
            <w:pStyle w:val="Tabledesmatiresniveau1"/>
            <w:tabs>
              <w:tab w:val="right" w:pos="9638" w:leader="dot"/>
            </w:tabs>
            <w:rPr/>
          </w:pPr>
          <w:hyperlink w:anchor="__RefHeading___Toc297353_1346298689">
            <w:r>
              <w:rPr>
                <w:rStyle w:val="Sautdindex"/>
              </w:rPr>
              <w:t>II C Nacionalni paneli: Njemačka</w:t>
              <w:tab/>
              <w:t>201</w:t>
            </w:r>
          </w:hyperlink>
        </w:p>
        <w:p>
          <w:pPr>
            <w:pStyle w:val="Tabledesmatiresniveau1"/>
            <w:tabs>
              <w:tab w:val="right" w:pos="9638" w:leader="dot"/>
            </w:tabs>
            <w:rPr/>
          </w:pPr>
          <w:hyperlink w:anchor="__RefHeading___Toc297355_1346298689">
            <w:r>
              <w:rPr>
                <w:rStyle w:val="Sautdindex"/>
              </w:rPr>
              <w:t>II D Nacionalni paneli: Italija</w:t>
              <w:tab/>
              <w:t>207</w:t>
            </w:r>
          </w:hyperlink>
        </w:p>
        <w:p>
          <w:pPr>
            <w:pStyle w:val="Tabledesmatiresniveau2"/>
            <w:tabs>
              <w:tab w:val="right" w:pos="9638" w:leader="dot"/>
            </w:tabs>
            <w:rPr/>
          </w:pPr>
          <w:hyperlink w:anchor="__RefHeading___Toc300314_1346298689">
            <w:r>
              <w:rPr>
                <w:rStyle w:val="Sautdindex"/>
              </w:rPr>
              <w:t>4. Program rada</w:t>
              <w:tab/>
              <w:t>213</w:t>
            </w:r>
          </w:hyperlink>
        </w:p>
        <w:p>
          <w:pPr>
            <w:pStyle w:val="Tabledesmatiresniveau2"/>
            <w:tabs>
              <w:tab w:val="right" w:pos="9638" w:leader="dot"/>
            </w:tabs>
            <w:rPr/>
          </w:pPr>
          <w:hyperlink w:anchor="__RefHeading___Toc300322_1346298689">
            <w:r>
              <w:rPr>
                <w:rStyle w:val="Sautdindex"/>
              </w:rPr>
              <w:t>6. Završna evaluacija sudionika</w:t>
              <w:tab/>
              <w:t>222</w:t>
            </w:r>
          </w:hyperlink>
        </w:p>
        <w:p>
          <w:pPr>
            <w:pStyle w:val="Tabledesmatiresniveau1"/>
            <w:tabs>
              <w:tab w:val="right" w:pos="9638" w:leader="dot"/>
            </w:tabs>
            <w:rPr/>
          </w:pPr>
          <w:hyperlink w:anchor="__RefHeading___Toc298382_1346298689">
            <w:r>
              <w:rPr>
                <w:rStyle w:val="Sautdindex"/>
              </w:rPr>
              <w:t>II. E Nacionalni paneli: Litva</w:t>
              <w:tab/>
              <w:t>225</w:t>
            </w:r>
          </w:hyperlink>
        </w:p>
        <w:p>
          <w:pPr>
            <w:pStyle w:val="Tabledesmatiresniveau1"/>
            <w:tabs>
              <w:tab w:val="right" w:pos="9638" w:leader="dot"/>
            </w:tabs>
            <w:rPr/>
          </w:pPr>
          <w:hyperlink w:anchor="__RefHeading___Toc297357_1346298689">
            <w:r>
              <w:rPr>
                <w:rStyle w:val="Sautdindex"/>
              </w:rPr>
              <w:t>II F Nacionalni paneli: Nizozemska</w:t>
              <w:tab/>
              <w:t>233</w:t>
            </w:r>
          </w:hyperlink>
        </w:p>
        <w:p>
          <w:pPr>
            <w:pStyle w:val="Tabledesmatiresniveau1"/>
            <w:tabs>
              <w:tab w:val="right" w:pos="9638" w:leader="dot"/>
            </w:tabs>
            <w:rPr/>
          </w:pPr>
          <w:hyperlink w:anchor="__RefHeading___Toc297359_1346298689">
            <w:r>
              <w:rPr>
                <w:rStyle w:val="Sautdindex"/>
              </w:rPr>
              <w:t>III – Upućivanja na rezultate nacionalnih događanja</w:t>
              <w:tab/>
              <w:t>285</w:t>
            </w:r>
          </w:hyperlink>
        </w:p>
        <w:p>
          <w:pPr>
            <w:pStyle w:val="Tabledesmatiresniveau1"/>
            <w:tabs>
              <w:tab w:val="right" w:pos="9638" w:leader="dot"/>
            </w:tabs>
            <w:rPr/>
          </w:pPr>
          <w:hyperlink w:anchor="__RefHeading___Toc344888_2081073262">
            <w:r>
              <w:rPr>
                <w:rStyle w:val="Sautdindex"/>
              </w:rPr>
              <w:t>IV – Upućivanje na izvješće višejezične digitalne platforme</w:t>
              <w:tab/>
              <w:t>286</w:t>
            </w:r>
          </w:hyperlink>
        </w:p>
      </w:sdtContent>
    </w:sdt>
    <w:p>
      <w:pPr>
        <w:pStyle w:val="Normal"/>
        <w:spacing w:before="57" w:after="57"/>
        <w:ind w:left="0" w:right="0" w:hanging="0"/>
        <w:rPr>
          <w:rFonts w:ascii="Arial" w:hAnsi="Arial"/>
          <w:sz w:val="22"/>
        </w:rPr>
      </w:pPr>
      <w:r>
        <w:rPr>
          <w:sz w:val="22"/>
        </w:rPr>
      </w:r>
      <w:r>
        <w:rPr>
          <w:sz w:val="22"/>
        </w:rPr>
        <w:fldChar w:fldCharType="end"/>
      </w:r>
    </w:p>
    <w:p>
      <w:pPr>
        <w:pStyle w:val="Normal"/>
        <w:rPr/>
      </w:pPr>
      <w:r>
        <w:rPr/>
      </w:r>
    </w:p>
    <w:p>
      <w:pPr>
        <w:pStyle w:val="Normal"/>
        <w:rPr/>
      </w:pPr>
      <w:r>
        <w:rPr/>
      </w:r>
      <w:r>
        <w:br w:type="page"/>
      </w:r>
    </w:p>
    <w:p>
      <w:pPr>
        <w:pStyle w:val="Normal"/>
        <w:spacing w:before="13643" w:after="57"/>
        <w:rPr/>
      </w:pPr>
      <w:r>
        <w:rPr/>
        <w:drawing>
          <wp:anchor behindDoc="0" distT="0" distB="0" distL="0" distR="0" simplePos="0" locked="0" layoutInCell="1" allowOverlap="1" relativeHeight="66">
            <wp:simplePos x="0" y="0"/>
            <wp:positionH relativeFrom="column">
              <wp:align>center</wp:align>
            </wp:positionH>
            <wp:positionV relativeFrom="paragraph">
              <wp:posOffset>635</wp:posOffset>
            </wp:positionV>
            <wp:extent cx="6120130" cy="8663305"/>
            <wp:effectExtent l="0" t="0" r="0" b="0"/>
            <wp:wrapSquare wrapText="largest"/>
            <wp:docPr id="10" name="Slika 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lika 3" descr=""/>
                    <pic:cNvPicPr>
                      <a:picLocks noChangeAspect="1" noChangeArrowheads="1"/>
                    </pic:cNvPicPr>
                  </pic:nvPicPr>
                  <pic:blipFill>
                    <a:blip r:embed="rId17"/>
                    <a:stretch>
                      <a:fillRect/>
                    </a:stretch>
                  </pic:blipFill>
                  <pic:spPr bwMode="auto">
                    <a:xfrm>
                      <a:off x="0" y="0"/>
                      <a:ext cx="6120130" cy="8663305"/>
                    </a:xfrm>
                    <a:prstGeom prst="rect">
                      <a:avLst/>
                    </a:prstGeom>
                  </pic:spPr>
                </pic:pic>
              </a:graphicData>
            </a:graphic>
          </wp:anchor>
        </w:drawing>
      </w:r>
      <w:r>
        <w:br w:type="page"/>
      </w:r>
    </w:p>
    <w:p>
      <w:pPr>
        <w:pStyle w:val="Titre1sansnumro"/>
        <w:ind w:left="0" w:right="0" w:hanging="0"/>
        <w:rPr/>
      </w:pPr>
      <w:r>
        <w:rPr/>
        <w:t>Uvod</w:t>
      </w:r>
    </w:p>
    <w:p>
      <w:pPr>
        <w:sectPr>
          <w:headerReference w:type="even" r:id="rId18"/>
          <w:headerReference w:type="default" r:id="rId19"/>
          <w:footerReference w:type="even" r:id="rId20"/>
          <w:footerReference w:type="default" r:id="rId21"/>
          <w:type w:val="nextPage"/>
          <w:pgSz w:w="11906" w:h="16838"/>
          <w:pgMar w:left="1134" w:right="1134" w:header="1134" w:top="1700" w:footer="1134" w:bottom="1727" w:gutter="0"/>
          <w:pgNumType w:fmt="decimal"/>
          <w:formProt w:val="false"/>
          <w:titlePg/>
          <w:textDirection w:val="lrTb"/>
          <w:docGrid w:type="default" w:linePitch="312" w:charSpace="0"/>
        </w:sectPr>
      </w:pPr>
    </w:p>
    <w:p>
      <w:pPr>
        <w:pStyle w:val="Normal"/>
        <w:rPr/>
      </w:pPr>
      <w:r>
        <w:rPr/>
        <w:t>Predsjednik Europskog parlamenta David Sassoli, portugalski premijer António Costa, u ime Vijeća EU-a, i predsjednica Europske komisije Ursula von der Leyen potpisali su 10. ožujka 2021. Zajedničku izjavu o Konferenciji o budućnosti Europe. Obveza koju su preuzeli bila je jednostavna: to je bio postupak usmjeren na građane koji se temeljio na pristupu odozdo prema gore kako bi se osiguralo da svi Europljani imaju pravo glasa u onome što očekuju od Europske unije i da imaju veću ulogu u oblikovanju budućnosti Unije. S druge strane, njihov zadatak bio je iznimno težak: cilj je bio organizirati, po prvi put, transnacionalnu, višejezičnu i međuinstitucionalnu vježbu deliberativne demokracije u kojoj sudjeluju tisuće europskih građana, kao i politički akteri, socijalni partneri, predstavnici civilnog društva i ključni dionici u smislu članka 16. Poslovnika Konferencije.</w:t>
      </w:r>
    </w:p>
    <w:p>
      <w:pPr>
        <w:pStyle w:val="Normal"/>
        <w:rPr/>
      </w:pPr>
      <w:r>
        <w:rPr/>
        <w:t>Konferencija je 9. svibnja 2022., nakon višemjesečnih intenzivnih rasprava, završila svoj rad i trima institucijama EU-a predstavila izvješće o svojim konačnim rezultatima s 49 prijedloga. Ti prijedlozi odgovaraju očekivanjima europskih građana u pogledu devet tema: Snažnije gospodarstvo, socijalna pravda i zapošljavanje; Obrazovanje, kultura, mladi i sport; Digitalna transformacija; Europska demokracija; Vrijednosti i prava, vladavina prava, sigurnost; Klimatske promjene i okoliš; Zdravlje; EU u svijetu; i migracije. Sve su te teme navedene u ovom završnom izvješću, čiji je cilj pružiti i pregled različitih aktivnosti poduzetih u kontekstu tog jedinstvenog procesa, Konferencije o budućnosti Europe.</w:t>
      </w:r>
    </w:p>
    <w:p>
      <w:pPr>
        <w:pStyle w:val="Corpsdetexte"/>
        <w:rPr/>
      </w:pPr>
      <w:r>
        <w:rPr/>
        <w:t>Predvođeni trima supredsjednicima (Guy Verhofstadt za Europski parlament; Ana Paula Zacarias, Gašper Dovžan i Clément Beaune, uzastopno za Vijeće EU-a; i Dubravka Šuica za Europsku komisiju) i pod vodstvom Izvršnog odbora (koji se jednako sastoji od predstavnika triju institucija i promatrača iz glavnih dionika), konferencija je bila dosad nezabilježeno iskustvo transnacionalne deliberativne demokracije. Pokazala je i svoju povijesnu važnost i važnost u kontekstu pandemije bolesti COVID-19 i ruske agresije na Ukrajinu. Konferencija o budućnosti Europe rezultirala je uspostavom višejezične digitalne platforme za doprinos europskih građana na sva 24 jezika EU-a i organizacijom četiriju europskih panela građana, šest nacionalnih panela građana i građanki, tisuća nacionalnih i lokalnih događanja te sedam plenarnih skupština konferencije. Rezultat je nezapamćene spremnosti institucija EU-a, država članica, ali i prije svega europskih građana, da raspravljaju o prioritetima Europske unije i izazovima s kojima se suočava te da usvoje novi pristup europskom projektu.</w:t>
      </w:r>
    </w:p>
    <w:p>
      <w:pPr>
        <w:pStyle w:val="Corpsdetexte"/>
        <w:rPr/>
      </w:pPr>
      <w:r>
        <w:rPr/>
        <w:t>Međutim, to je tek početak. U skladu s temeljnim tekstom konferencije, tri institucije sada će brzo razmotriti kako učinkovito provesti ovo izvješće, svaka u okviru svoje nadležnosti i u skladu s Ugovorima. Određivanje triju institucija u tom pogledu od presudne je važnosti.</w:t>
      </w:r>
    </w:p>
    <w:p>
      <w:pPr>
        <w:sect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1"/>
        <w:numPr>
          <w:ilvl w:val="0"/>
          <w:numId w:val="2"/>
        </w:numPr>
        <w:rPr/>
      </w:pPr>
      <w:bookmarkStart w:id="0" w:name="__RefHeading___Toc298046_1346298689"/>
      <w:bookmarkEnd w:id="0"/>
      <w:r>
        <w:rPr/>
        <w:t>I. Arhitektura konferencije</w:t>
      </w:r>
    </w:p>
    <w:p>
      <w:pPr>
        <w:pStyle w:val="Corpsdetexte"/>
        <w:rPr>
          <w:sz w:val="40"/>
        </w:rPr>
      </w:pPr>
      <w:r>
        <w:rPr>
          <w:sz w:val="40"/>
        </w:rPr>
        <w:t>Konferencija o budućnosti Europe novi</w:t>
      </w:r>
      <w:r>
        <w:rPr>
          <w:rStyle w:val="Ancredenotedebasdepage"/>
          <w:rStyle w:val="Ancredenotedebasdepage"/>
          <w:sz w:val="40"/>
        </w:rPr>
        <w:footnoteReference w:id="2"/>
      </w:r>
      <w:r>
        <w:rPr>
          <w:sz w:val="40"/>
        </w:rPr>
        <w:t xml:space="preserve"> je i inovativni proces koji je otvorio novi prostor za raspravu s građanima kako bi se ispitali europski prioriteti i izazovi u cilju uspostave demokratske legitimnosti europskog projekta i poticanja poštovanja naših zajedničkih vrijednosti i ciljeva. Konferencija je bila usmjerena na građane i temeljila se na pristupu „odozdo prema gore” čiji je cilj osigurati da Europljani imaju pravo glasa u onome što očekuju od Europske unije. Bila je to zajednička inicijativa Europskog parlamenta, Vijeća i Europske komisije, koja je djelovala ravnopravno s državama članicama Europske unije.</w:t>
      </w:r>
    </w:p>
    <w:p>
      <w:pPr>
        <w:pStyle w:val="Normal"/>
        <w:rPr/>
      </w:pPr>
      <w:r>
        <w:rPr/>
      </w:r>
    </w:p>
    <w:p>
      <w:pPr>
        <w:pStyle w:val="Normal"/>
        <w:rPr/>
      </w:pPr>
      <w:r>
        <w:rPr/>
      </w:r>
    </w:p>
    <w:p>
      <w:pPr>
        <w:pStyle w:val="Normal"/>
        <w:rPr/>
      </w:pPr>
      <w:r>
        <w:rPr/>
      </w:r>
    </w:p>
    <w:p>
      <w:pPr>
        <w:pStyle w:val="Normal"/>
        <w:rPr/>
      </w:pPr>
      <w:r>
        <w:rPr/>
      </w:r>
    </w:p>
    <w:p>
      <w:pPr>
        <w:pStyle w:val="Normal"/>
        <w:rPr/>
      </w:pPr>
      <w:r>
        <w:rPr/>
      </w:r>
      <w:r>
        <w:br w:type="page"/>
      </w:r>
    </w:p>
    <w:p>
      <w:pPr>
        <w:pStyle w:val="Titre2"/>
        <w:numPr>
          <w:ilvl w:val="1"/>
          <w:numId w:val="2"/>
        </w:numPr>
        <w:rPr/>
      </w:pPr>
      <w:bookmarkStart w:id="1" w:name="__RefHeading___Toc298048_1346298689"/>
      <w:bookmarkEnd w:id="1"/>
      <w:r>
        <w:rPr/>
        <w:t>1. Zajednička izjava</w:t>
      </w:r>
    </w:p>
    <w:p>
      <w:pPr>
        <w:pStyle w:val="Normal"/>
        <w:rPr/>
      </w:pPr>
      <w:r>
        <w:rPr/>
      </w:r>
    </w:p>
    <w:p>
      <w:pPr>
        <w:pStyle w:val="Normal"/>
        <w:rPr/>
      </w:pPr>
      <w:r>
        <w:rPr/>
        <w:t>Dana 10. ožujka 2021. pokojni predsjednik Europskog parlamenta David Sassoli, portugalski premijer António Costa, portugalski premijer António Costa i predsjednica Europske komisije Ursula von der Leyen potpisali su 10. ožujka 2021. Zajedničku izjavu o Konferenciji o budućnosti Europe („Zajednička izjava”), kojom se utire put za tu dosad nezabilježenu, otvorenu i uključivu europsku demokratsku vježbu kojom se građanima daje središnje mjesto.</w:t>
      </w:r>
    </w:p>
    <w:p>
      <w:pPr>
        <w:pStyle w:val="Normal"/>
        <w:rPr/>
      </w:pPr>
      <w:r>
        <w:rPr/>
        <w:t>Konferencija je stavljena pod nadležnost predsjednika triju institucija koji su djelovali kao zajedničko predsjedništvo. Zajedničkom predsjedništvu pomogao je Izvršni odbor kojim supredsjedao po jedan član iz svake od triju institucija EU-a.</w:t>
      </w:r>
    </w:p>
    <w:p>
      <w:pPr>
        <w:pStyle w:val="Normal"/>
        <w:rPr/>
      </w:pPr>
      <w:r>
        <w:rPr/>
        <w:t xml:space="preserve">U skladu sa Zajedničkom izjavom uspostavljene su sljedeće strukture: </w:t>
      </w:r>
    </w:p>
    <w:p>
      <w:pPr>
        <w:pStyle w:val="Alineanegatifpuce"/>
        <w:numPr>
          <w:ilvl w:val="0"/>
          <w:numId w:val="3"/>
        </w:numPr>
        <w:rPr/>
      </w:pPr>
      <w:r>
        <w:rPr/>
        <w:t>izvršni odbor, koji je nadgledao organizaciju konferencije. Sastojao se od predstavnika triju institucija EU-a (tri člana i četiri promatrača), kao i promatrača iz predsjedničke trojke Konferencije tijela za poslove Zajednice (COSAC) nacionalnih parlamenata Europske unije. Odbor regija, Europski gospodarski i socijalni odbor i predstavnici socijalnih partnera pozvani su kao promatrači;</w:t>
      </w:r>
    </w:p>
    <w:p>
      <w:pPr>
        <w:pStyle w:val="Alineanegatifpuce"/>
        <w:numPr>
          <w:ilvl w:val="0"/>
          <w:numId w:val="3"/>
        </w:numPr>
        <w:rPr/>
      </w:pPr>
      <w:r>
        <w:rPr/>
        <w:t>zajedničko tajništvo, koje osigurava jednaku zastupljenost triju institucija, koje je poduprlo rad Izvršnog odbora. Konkretno, tim pod vodstvom triju supredsjedatelja triju institucija nadgledao je organizaciju i pripreme za sastanke Izvršnog odbora, plenarnih skupština Konferencije i europskih panela građana i građanki. U suradnji s pružateljima usluga bila je odgovorna za upravljanje višejezičnom digitalnom platformom i izvješćivanje o ključnim ključnim etapama tijekom cijelog procesa.</w:t>
        <w:br/>
        <w:t xml:space="preserve">Jedinstveni sastav tog tima omogućio je stalnu kolegijalnost rada i osigurao sinergije i povećanje učinkovitosti u svim područjima; </w:t>
      </w:r>
    </w:p>
    <w:p>
      <w:pPr>
        <w:pStyle w:val="Alineanegatifpuce"/>
        <w:numPr>
          <w:ilvl w:val="0"/>
          <w:numId w:val="3"/>
        </w:numPr>
        <w:rPr/>
      </w:pPr>
      <w:r>
        <w:rPr/>
        <w:t>plenarna skupština konferencije (za više informacija vidjeti poglavlje III.) na kojoj se raspravljalo o preporukama nacionalnih i europskih panela građana i građanki razvrstanih prema temama, uz potpuno poštovanje vrijednosti EU-a i povelje konferencije, a da se ishod rasprava</w:t>
      </w:r>
      <w:r>
        <w:rPr>
          <w:rStyle w:val="Ancredenotedebasdepage"/>
          <w:rStyle w:val="Ancredenotedebasdepage"/>
        </w:rPr>
        <w:footnoteReference w:id="3"/>
      </w:r>
      <w:r>
        <w:rPr/>
        <w:t>ne odredi unaprijed ili da se njihov opseg ograniči na unaprijed definirana područja politike. Prema potrebi raspravljalo se i o doprinosima prikupljenima na višejezičnoj digitalnoj platformi. Uspostavljeno je devet tematskih radnih skupina kako bi se pružili doprinosi za pripremu rasprava i prijedloga plenarne sjednice.</w:t>
      </w:r>
    </w:p>
    <w:p>
      <w:pPr>
        <w:pStyle w:val="Alineanegatifpuce"/>
        <w:numPr>
          <w:ilvl w:val="0"/>
          <w:numId w:val="0"/>
        </w:numPr>
        <w:ind w:left="0" w:right="0" w:hanging="0"/>
        <w:rPr/>
      </w:pPr>
      <w:r>
        <w:rPr/>
      </w:r>
      <w:r>
        <w:br w:type="page"/>
      </w:r>
    </w:p>
    <w:p>
      <w:pPr>
        <w:pStyle w:val="Titre2"/>
        <w:numPr>
          <w:ilvl w:val="1"/>
          <w:numId w:val="2"/>
        </w:numPr>
        <w:rPr/>
      </w:pPr>
      <w:bookmarkStart w:id="2" w:name="__RefHeading___Toc298050_1346298689"/>
      <w:bookmarkEnd w:id="2"/>
      <w:r>
        <w:drawing>
          <wp:anchor behindDoc="0" distT="0" distB="0" distL="0" distR="0" simplePos="0" locked="0" layoutInCell="1" allowOverlap="1" relativeHeight="28">
            <wp:simplePos x="0" y="0"/>
            <wp:positionH relativeFrom="column">
              <wp:posOffset>0</wp:posOffset>
            </wp:positionH>
            <wp:positionV relativeFrom="paragraph">
              <wp:posOffset>99695</wp:posOffset>
            </wp:positionV>
            <wp:extent cx="2970530" cy="8561705"/>
            <wp:effectExtent l="0" t="0" r="0" b="0"/>
            <wp:wrapSquare wrapText="largest"/>
            <wp:docPr id="11" name="Slika 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lika 4" descr=""/>
                    <pic:cNvPicPr>
                      <a:picLocks noChangeAspect="1" noChangeArrowheads="1"/>
                    </pic:cNvPicPr>
                  </pic:nvPicPr>
                  <pic:blipFill>
                    <a:blip r:embed="rId22"/>
                    <a:stretch>
                      <a:fillRect/>
                    </a:stretch>
                  </pic:blipFill>
                  <pic:spPr bwMode="auto">
                    <a:xfrm>
                      <a:off x="0" y="0"/>
                      <a:ext cx="2970530" cy="8561705"/>
                    </a:xfrm>
                    <a:prstGeom prst="rect">
                      <a:avLst/>
                    </a:prstGeom>
                  </pic:spPr>
                </pic:pic>
              </a:graphicData>
            </a:graphic>
          </wp:anchor>
        </w:drawing>
      </w:r>
      <w:r>
        <w:rPr/>
        <w:t>2</w:t>
      </w:r>
      <w:r>
        <w:rPr/>
        <w:t>. Poslovnik</w:t>
      </w:r>
    </w:p>
    <w:p>
      <w:pPr>
        <w:pStyle w:val="Normal"/>
        <w:rPr/>
      </w:pPr>
      <w:r>
        <w:rPr/>
        <w:t>Izvršni odbor odobrio je 9. svibnja 2021. poslovnik Konferencije, uspostavljen u skladu sa Zajedničkom izjavom o Konferenciji o budućnosti Europe, kojom se utvrđuju temelji i načela Konferencije.</w:t>
      </w:r>
    </w:p>
    <w:p>
      <w:pPr>
        <w:pStyle w:val="Normal"/>
        <w:rPr/>
      </w:pPr>
      <w:r>
        <w:rPr/>
        <w:t>Poslovnikom se utvrđuje okvir za rad različitih konferencijskih struktura i njihove interakcije.</w:t>
      </w:r>
    </w:p>
    <w:p>
      <w:pPr>
        <w:pStyle w:val="Titre2"/>
        <w:numPr>
          <w:ilvl w:val="1"/>
          <w:numId w:val="2"/>
        </w:numPr>
        <w:rPr/>
      </w:pPr>
      <w:bookmarkStart w:id="3" w:name="__RefHeading___Toc298052_1346298689"/>
      <w:bookmarkEnd w:id="3"/>
      <w:r>
        <w:rPr/>
        <w:t>3. Događanja povezana s konferencijom</w:t>
      </w:r>
    </w:p>
    <w:p>
      <w:pPr>
        <w:pStyle w:val="Corpsdetexte"/>
        <w:rPr/>
      </w:pPr>
      <w:r>
        <w:rPr/>
        <w:t>U skladu sa Zajedničkom izjavom svaka država članica ili institucija EU-a mogla bi organizirati događanja pod okriljem Konferencije, ovisno o svojim nacionalnim ili institucijskim posebnostima, te dati dodatne doprinose konferenciji (za više informacija vidjeti poglavlje II.C).</w:t>
      </w:r>
    </w:p>
    <w:p>
      <w:pPr>
        <w:pStyle w:val="Corpsdetexte"/>
        <w:rPr/>
      </w:pPr>
      <w:r>
        <w:rPr/>
        <w:t>Institucije i tijela EU-a, države članice, regionalna i lokalna tijela, organizirano civilno društvo, socijalni partneri i građani stoga su pozvani da organiziraju događanja u partnerstvu s civilnim društvom i dionicima na europskoj, nacionalnoj, regionalnoj i lokalnoj razini, u različitim formatima diljem Europe, te da objave rezultate tih događanja na digitalnoj platformi. Održano je nekoliko tisuća takvih događaja, u kojima je sudjelovalo oko 650 000 sudionika.</w:t>
      </w:r>
    </w:p>
    <w:p>
      <w:pPr>
        <w:pStyle w:val="Titre2"/>
        <w:numPr>
          <w:ilvl w:val="1"/>
          <w:numId w:val="2"/>
        </w:numPr>
        <w:rPr/>
      </w:pPr>
      <w:bookmarkStart w:id="4" w:name="__RefHeading___Toc298054_1346298689"/>
      <w:bookmarkEnd w:id="4"/>
      <w:r>
        <w:rPr/>
        <w:t>4.</w:t>
        <w:tab/>
        <w:t>Provedba višejezične digitalne platforme</w:t>
      </w:r>
    </w:p>
    <w:p>
      <w:pPr>
        <w:pStyle w:val="Normal"/>
        <w:rPr/>
      </w:pPr>
      <w:r>
        <w:rPr/>
        <w:t>Višejezična digitalna platforma (za više informacija vidjeti poglavlje II.A) uspostavljena je kako bi se građanima omogućilo da dijele svoje ideje i šalju svoje doprinose na internetu, u skladu sa Zajedničkom izjavom. To je bilo glavno središte za doprinose i informiranje građana o različitim dijelovima konferencije te interaktivni alat za razmjenu ideja i doprinosa brojnih događanja organiziranih u kontekstu konferencije te raspravu o njima. Platforma je službeno pokrenuta 19. travnja 2021. Na platformi je objavljeno više od 17.000 ideja.</w:t>
      </w:r>
    </w:p>
    <w:p>
      <w:pPr>
        <w:pStyle w:val="Corpsdetexte"/>
        <w:rPr/>
      </w:pPr>
      <w:r>
        <w:rPr/>
        <w:t>Tijekom konferencije sastavljena su izvješća o doprinosima predstavljenima na platformi.</w:t>
      </w:r>
    </w:p>
    <w:p>
      <w:pPr>
        <w:pStyle w:val="Normal"/>
        <w:rPr/>
      </w:pPr>
      <w:r>
        <w:rPr/>
        <w:t>Europski paneli građana i građanki uzeli su u obzir doprinose prikupljene putem Platforme te su se o njima raspravljalo i o njima se raspravljalo na plenarnoj sjednici Konferencije.</w:t>
      </w:r>
    </w:p>
    <w:p>
      <w:pPr>
        <w:pStyle w:val="Titre2"/>
        <w:numPr>
          <w:ilvl w:val="1"/>
          <w:numId w:val="2"/>
        </w:numPr>
        <w:rPr/>
      </w:pPr>
      <w:bookmarkStart w:id="5" w:name="__RefHeading___Toc298056_1346298689"/>
      <w:bookmarkEnd w:id="5"/>
      <w:r>
        <w:rPr/>
        <w:t>5.</w:t>
        <w:tab/>
        <w:t>Europski paneli građana i građanki</w:t>
      </w:r>
    </w:p>
    <w:p>
      <w:pPr>
        <w:pStyle w:val="Normal"/>
        <w:rPr/>
      </w:pPr>
      <w:r>
        <w:rPr/>
        <w:t>U skladu sa Zajedničkom izjavom europski paneli građana i građanki, organizirani oko glavnih tema konferencije, bili su središnji i posebno inovativni element konferencije (za više informacija vidjeti poglavlje II.B).</w:t>
      </w:r>
    </w:p>
    <w:p>
      <w:pPr>
        <w:pStyle w:val="Normal"/>
        <w:rPr/>
      </w:pPr>
      <w:r>
        <w:rPr/>
        <w:t>Ukupno se 800 nasumično odabranih građana koji predstavljaju sociološku i geografsku raznolikost EU-a i grupiralo u četiri panela od 200 građana sastalo se na tri rasprave po panelu. Europski paneli građana iznijeli su preporuke koje su uzete u obzir u općim raspravama Konferencije, posebno na plenarnim skupštinama Konferencije.</w:t>
      </w:r>
    </w:p>
    <w:p>
      <w:pPr>
        <w:pStyle w:val="Normal"/>
        <w:rPr/>
      </w:pPr>
      <w:r>
        <w:rPr/>
        <w:t>Supredsjedatelji Izvršnog odbora zajednički su utvrdili praktične aranžmane za organizaciju europskih panela građana i građanki, u skladu sa Zajedničkom izjavom i Poslovnikom, te o tome unaprijed obavijestili Izvršni odbor.</w:t>
      </w:r>
    </w:p>
    <w:p>
      <w:pPr>
        <w:pStyle w:val="Normal"/>
        <w:rPr/>
      </w:pPr>
      <w:r>
        <w:rPr/>
        <w:t>Izvršni odbor redovito se obavješćuje o napretku u uspostavi i organizaciji europskih panela građana i građanki.</w:t>
      </w:r>
    </w:p>
    <w:p>
      <w:pPr>
        <w:pStyle w:val="Normal"/>
        <w:rPr/>
      </w:pPr>
      <w:r>
        <w:rPr/>
      </w:r>
    </w:p>
    <w:p>
      <w:pPr>
        <w:pStyle w:val="Titre2"/>
        <w:numPr>
          <w:ilvl w:val="1"/>
          <w:numId w:val="2"/>
        </w:numPr>
        <w:rPr/>
      </w:pPr>
      <w:bookmarkStart w:id="6" w:name="__RefHeading___Toc298058_1346298689"/>
      <w:bookmarkEnd w:id="6"/>
      <w:r>
        <w:rPr/>
        <w:t>6.</w:t>
        <w:tab/>
        <w:t>Nacionalni paneli građana i građanki</w:t>
      </w:r>
    </w:p>
    <w:p>
      <w:pPr>
        <w:pStyle w:val="Normal"/>
        <w:rPr/>
      </w:pPr>
      <w:r>
        <w:rPr/>
        <w:t>U skladu sa Zajedničkom izjavom države članice mogle bi organizirati nacionalne panele. Kako bi se pomoglo državama članicama koje planiraju organizirati nacionalne panele građana, supredsjedatelji su podržali smjernice i proslijedili ih Izvršnom odboru 26. svibnja 2021. kako bi se osiguralo da se nacionalni paneli organiziraju u skladu s istim načelima kao i europski paneli građana i građanki. Te su smjernice uključivale načela dobrog promišljanja na temelju Smjernica OECD-a</w:t>
      </w:r>
      <w:r>
        <w:rPr>
          <w:rStyle w:val="Ancredenotedebasdepage"/>
          <w:rStyle w:val="Ancredenotedebasdepage"/>
        </w:rPr>
        <w:footnoteReference w:id="4"/>
      </w:r>
      <w:r>
        <w:rPr/>
        <w:t>. Svaka država članica može odlučiti hoće li organizirati povjerenstvo nacionalnih građana. Šest država članica organiziralo je jednu (Belgija, Francuska, Njemačka, Italija, Litva i Nizozemska).</w:t>
      </w:r>
    </w:p>
    <w:p>
      <w:pPr>
        <w:pStyle w:val="Normal"/>
        <w:rPr/>
      </w:pPr>
      <w:r>
        <w:rPr/>
        <w:t>U skladu sa Zajedničkom izjavom preporuke nacionalnih panela građana i građanki predstavljene su i o njima se raspravljalo na plenarnim skupštinama Konferencije, usporedno s preporukama europskih panela građana i građanki.</w:t>
      </w:r>
    </w:p>
    <w:p>
      <w:pPr>
        <w:pStyle w:val="Normal"/>
        <w:rPr/>
      </w:pPr>
      <w:r>
        <w:rPr/>
      </w:r>
      <w:r>
        <w:br w:type="page"/>
      </w:r>
    </w:p>
    <w:p>
      <w:pPr>
        <w:pStyle w:val="Normal"/>
        <w:rPr/>
      </w:pPr>
      <w:r>
        <w:rPr/>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Titre1"/>
        <w:numPr>
          <w:ilvl w:val="0"/>
          <w:numId w:val="2"/>
        </w:numPr>
        <w:rPr/>
      </w:pPr>
      <w:bookmarkStart w:id="7" w:name="__RefHeading___Toc298188_1346298689"/>
      <w:bookmarkEnd w:id="7"/>
      <w:r>
        <w:rPr/>
        <w:t>NE, NE, NE, NE. Doprinos građana konferenciji</w:t>
      </w:r>
    </w:p>
    <w:p>
      <w:pPr>
        <w:pStyle w:val="Normal"/>
        <w:rPr/>
      </w:pPr>
      <w:r>
        <w:rPr/>
      </w:r>
      <w:r>
        <w:br w:type="page"/>
      </w:r>
    </w:p>
    <w:p>
      <w:pPr>
        <w:pStyle w:val="Titre2"/>
        <w:numPr>
          <w:ilvl w:val="1"/>
          <w:numId w:val="2"/>
        </w:numPr>
        <w:rPr/>
      </w:pPr>
      <w:bookmarkStart w:id="8" w:name="__RefHeading___Toc298190_1346298689"/>
      <w:bookmarkEnd w:id="8"/>
      <w:r>
        <w:rPr/>
        <w:t>A. Višejezična digitalna platforma</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Višejezična digitalna platforma pokrenuta je 19. travnja 2021. i bila je središnja kontaktna točka konferencije. Kroz to su svi mogli sudjelovati na konferenciji: svi građani u EU-u i drugdje, civilno društvo, socijalni partneri i razni drugi dionici.</w:t>
      </w:r>
    </w:p>
    <w:p>
      <w:pPr>
        <w:pStyle w:val="Normal"/>
        <w:rPr/>
      </w:pPr>
      <w:r>
        <w:rPr/>
        <w:t>Platforma je razvijena posebno za konferenciju, koristeći Decidim, europski slobodni softver posvećen sudjelovanju građana. Na takvoj razini i razini interaktivnosti i višejezičnosti to je postignuće bilo prvo, ne samo europsko, već i globalno. Svi su doprinosi bili dostupni na sva 24 službena jezika EU-a putem strojnog prevođenja. Rasprava je bila strukturirana oko deset tema: „Klimatske promjene i okoliš”, „Zdravlje”, „Jače gospodarstvo, socijalna pravda i zapošljavanje”, „EU u svijetu”, „Vrijednosti i prava, vladavina prava, sigurnost”, „digitalna transformacija”, „Europska demokracija”, „migracija”, „obrazovanje, kultura, mladi i sport” i „Ostale ideje”.</w:t>
      </w:r>
    </w:p>
    <w:p>
      <w:pPr>
        <w:pStyle w:val="Normal"/>
        <w:rPr/>
      </w:pPr>
      <w:r>
        <w:rPr/>
        <w:t>Bilo je moguće sudjelovati na platformi na nekoliko različitih načina.</w:t>
      </w:r>
    </w:p>
    <w:p>
      <w:pPr>
        <w:pStyle w:val="Normal"/>
        <w:rPr/>
      </w:pPr>
      <w:r>
        <w:rPr/>
        <w:t>Svatko tko je to želio mogao bi podijeliti svoje ideje o jednoj od deset tema. Također je bilo moguće komentirati ideje drugih. Platforma je stoga omogućila stvarnu paneuropsku raspravu među građanima.</w:t>
      </w:r>
    </w:p>
    <w:p>
      <w:pPr>
        <w:pStyle w:val="Normal"/>
        <w:rPr/>
      </w:pPr>
      <w:r>
        <w:rPr/>
        <w:t>Sudionici bi također mogli podržati ideje, ukazujući na to da su podupirali doprinos drugog korisnika.</w:t>
      </w:r>
    </w:p>
    <w:p>
      <w:pPr>
        <w:pStyle w:val="Normal"/>
        <w:rPr/>
      </w:pPr>
      <w:r>
        <w:rPr/>
        <w:t xml:space="preserve">Još jedan važan način doprinošenja konferenciji bilo je organiziranje događanja (virtualnih, licem u lice ili hibridnih događanja), njihovo objavljivanje na platformi, izvješćivanje o njihovim rezultatima i njihovo povezivanje s idejama. </w:t>
      </w:r>
      <w:hyperlink r:id="rId23">
        <w:r>
          <w:rPr>
            <w:rStyle w:val="LienInternet"/>
          </w:rPr>
          <w:t>Organizatorima</w:t>
        </w:r>
      </w:hyperlink>
      <w:r>
        <w:rPr/>
        <w:t xml:space="preserve"> </w:t>
      </w:r>
      <w:hyperlink r:id="rId24">
        <w:r>
          <w:rPr>
            <w:rStyle w:val="LienInternet"/>
          </w:rPr>
          <w:t>su na</w:t>
        </w:r>
      </w:hyperlink>
      <w:r>
        <w:rPr/>
        <w:t xml:space="preserve"> platformi stavljeni na raspolaganje vodiči i informativni materijali za promicanje participativne i uključive prirode događanja.</w:t>
      </w:r>
    </w:p>
    <w:p>
      <w:pPr>
        <w:pStyle w:val="Normal"/>
        <w:rPr/>
      </w:pPr>
      <w:r>
        <w:rPr/>
        <w:t xml:space="preserve">Platforma je odigrala temeljnu ulogu u transparentnosti cijelog procesa i u pogledu pristupa svih informacija povezanih s konferencijom. To je mjesto gdje su svi mogli pronaći informacije o metodama rada i organizaciji same konferencije, na primjer o samom procesu konferencije (na plenarnom zasjedanju konferencije i njegovim radnim skupinama, </w:t>
      </w:r>
      <w:hyperlink r:id="rId25">
        <w:r>
          <w:rPr>
            <w:rStyle w:val="LienInternet"/>
          </w:rPr>
          <w:t>europskim panelima građana i građanki</w:t>
        </w:r>
      </w:hyperlink>
      <w:r>
        <w:rPr/>
        <w:t xml:space="preserve">, </w:t>
      </w:r>
      <w:hyperlink r:id="rId26">
        <w:r>
          <w:rPr>
            <w:rStyle w:val="LienInternet"/>
          </w:rPr>
          <w:t>nacionalnim panelima i događanjima</w:t>
        </w:r>
      </w:hyperlink>
      <w:r>
        <w:rPr/>
        <w:t xml:space="preserve"> te </w:t>
      </w:r>
      <w:hyperlink r:id="rId27">
        <w:r>
          <w:rPr>
            <w:rStyle w:val="LienInternet"/>
          </w:rPr>
          <w:t>Izvršnom odboru</w:t>
        </w:r>
      </w:hyperlink>
      <w:r>
        <w:rPr/>
        <w:t>). Rasprave s plenarne sjednice i radnih skupina prenosile su se uživo na internetu, kao i sastanci europskih panela građana i građanki. Sve te informacije i dalje će biti dostupne na platformi.</w:t>
      </w:r>
    </w:p>
    <w:p>
      <w:pPr>
        <w:pStyle w:val="Normal"/>
        <w:rPr/>
      </w:pPr>
      <w:r>
        <w:rPr/>
        <w:t>Tijekom cijelog rada napravljena su poboljšanja na platformi kad god je to bilo moguće dodavanjem značajki ili vizualnih medija, na primjer. S vremenom je platforma postala pristupačnija i osobama s invaliditetom.</w:t>
      </w:r>
    </w:p>
    <w:p>
      <w:pPr>
        <w:pStyle w:val="Normal"/>
        <w:rPr/>
      </w:pPr>
      <w:r>
        <w:rPr/>
        <w:t>Svi doprinosi na platformi bili su javni: svi su im mogli pristupiti, kao i otvorenim podatkovnim datotekama povezanima s digitalnom platformom, čime je osigurana potpuna transparentnost. Kako bi se olakšalo prikupljanje i analiza doprinosa, Zajednički istraživački centar Komisije razvio je automatizirani alat za analizu teksta i platformu za analizu, što je omogućilo višejezično tumačenje i dubinsku analizu sadržaja platforme. Platforma za analizu alat je koji se pokazao ključnim za pružanje redovitih izvješća jedinstvene razine kvalitete na svim jezicima. Osim toga, „thon podataka” koji je u ožujku 2022. organizirala Europska komisija potaknuo je nove pristupe u analizi serije otvorenih podataka i pridonio transparentnosti postupka analize podataka.</w:t>
      </w:r>
    </w:p>
    <w:p>
      <w:pPr>
        <w:pStyle w:val="Normal"/>
        <w:rPr/>
      </w:pPr>
      <w:r>
        <w:rPr/>
        <w:t>Kako bi pružio pregled doprinosa na platformi, vanjski pružatelj usluga pripremio je izvješća koja su objavljena na samoj platformi.</w:t>
      </w:r>
    </w:p>
    <w:p>
      <w:pPr>
        <w:pStyle w:val="Normal"/>
        <w:rPr/>
      </w:pPr>
      <w:hyperlink r:id="rId28">
        <w:r>
          <w:rPr>
            <w:rStyle w:val="LienInternet"/>
          </w:rPr>
          <w:t>Prvo privremeno izvješće</w:t>
        </w:r>
      </w:hyperlink>
      <w:r>
        <w:rPr/>
        <w:t xml:space="preserve"> objavljeno je u rujnu: bila je usmjerena na doprinose</w:t>
      </w:r>
    </w:p>
    <w:p>
      <w:pPr>
        <w:pStyle w:val="Normal"/>
        <w:rPr/>
      </w:pPr>
      <w:r>
        <w:rPr/>
        <w:t xml:space="preserve">dostavljeno do 2. kolovoza 2021. </w:t>
      </w:r>
      <w:hyperlink r:id="rId29">
        <w:r>
          <w:rPr>
            <w:rStyle w:val="LienInternet"/>
          </w:rPr>
          <w:t>Drugo privremeno izvješće</w:t>
        </w:r>
      </w:hyperlink>
      <w:r>
        <w:rPr/>
        <w:t xml:space="preserve">objavljeno je sredinom listopada 2021., a obuhvaća doprinose dostavljene do 7. rujna 2021. </w:t>
      </w:r>
      <w:hyperlink r:id="rId30">
        <w:r>
          <w:rPr>
            <w:rStyle w:val="LienInternet"/>
          </w:rPr>
          <w:t>Treće privremeno izvješće</w:t>
        </w:r>
      </w:hyperlink>
      <w:r>
        <w:rPr/>
        <w:t xml:space="preserve"> objavljeno je u prosincu 2021. i obuhvaćalo je doprinose do 3. studenoga 2021. Budući da je rad na konferenciji ulazio u završnu fazu, posljednje izvješće koje je inspiriralo rad plenarnih skupština konferencije objavljeno je sredinom ožujka 2022., uzimajući u obzir doprinose predstavljene na digitalnoj platformi do 20. veljače 2022. Taj je kalendar jasno najavljen na platformi i drugdje, što je dovelo do povećanja doprinosa u siječnju i veljači 2022. Doprinosi primljeni do 9. svibnja obradit će se u dodatnom izvješću. Dodatna izvješća o doprinosima koje su države članice predstavile na platformi također su stavljena na raspolaganje istodobno s izvješćima iz rujna i prosinca 2021. te ožujka 2022.</w:t>
      </w:r>
    </w:p>
    <w:p>
      <w:pPr>
        <w:pStyle w:val="Normal"/>
        <w:rPr/>
      </w:pPr>
      <w:r>
        <w:rPr/>
        <w:t xml:space="preserve">Glavna tema tih izvješća bila je kvalitativna analiza doprinosa objavljenih na platformi kako bi se pružio opći pregled opsega i raznolikosti </w:t>
      </w:r>
      <w:r>
        <w:drawing>
          <wp:anchor behindDoc="0" distT="0" distB="0" distL="0" distR="0" simplePos="0" locked="0" layoutInCell="1" allowOverlap="1" relativeHeight="19">
            <wp:simplePos x="0" y="0"/>
            <wp:positionH relativeFrom="column">
              <wp:posOffset>60325</wp:posOffset>
            </wp:positionH>
            <wp:positionV relativeFrom="paragraph">
              <wp:posOffset>1607820</wp:posOffset>
            </wp:positionV>
            <wp:extent cx="5779135" cy="3321685"/>
            <wp:effectExtent l="0" t="0" r="0" b="0"/>
            <wp:wrapTopAndBottom/>
            <wp:docPr id="12" name="Slika 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lika 5" descr=""/>
                    <pic:cNvPicPr>
                      <a:picLocks noChangeAspect="1" noChangeArrowheads="1"/>
                    </pic:cNvPicPr>
                  </pic:nvPicPr>
                  <pic:blipFill>
                    <a:blip r:embed="rId31"/>
                    <a:stretch>
                      <a:fillRect/>
                    </a:stretch>
                  </pic:blipFill>
                  <pic:spPr bwMode="auto">
                    <a:xfrm>
                      <a:off x="0" y="0"/>
                      <a:ext cx="5779135" cy="3321685"/>
                    </a:xfrm>
                    <a:prstGeom prst="rect">
                      <a:avLst/>
                    </a:prstGeom>
                  </pic:spPr>
                </pic:pic>
              </a:graphicData>
            </a:graphic>
          </wp:anchor>
        </w:drawing>
      </w:r>
      <w:r>
        <w:rPr/>
        <w:t>i</w:t>
      </w:r>
      <w:r>
        <w:rPr/>
        <w:t>deja predloženih na platformi i o kojima se raspravljalo na događanjima. U tu je svrhu istraživački tim proveo ručnu analizu teksta i objedinjavanje doprinosa s pomoću analitičkih alata Zajedničkog istraživačkog centra Komisije. To je omogućilo prepoznavanje zajedničkih tema i potkategorija subjekta, koje su detaljno opisane pod svaku temu i sintetizirane u konceptualnim shemama koje im omogućuju brzu vizualizaciju. Kako bi se taj kvalitativni pristup dopunio kvantitativnim elementima, u svakom su izvješću navedene teme, podteme ili ideje koje su se često vraćale ili su bile vrlo izražene primjedbe ili su podržane. Cilj je bio odražavati stanje rasprava u različitim fazama konferencije, uključujući visoku razinu interesa ili rasprave koja proizlazi iz određenih ideja. Izvješća su sadržavala i pregled sociodemografskih podataka sudionika. Od sudionika se tražilo da dostave informacije o svojoj zemlji boravišta, razini obrazovanja, dobi, spolu i profesionalnom statusu; međutim, neobvezna priroda tih informacija ograničava jasnoću profila sudionika. Na primjer, 26,9 % svih doprinosa dolazilo je od sudionika koji nisu naveli svoju zemlju boravišta.</w:t>
      </w:r>
    </w:p>
    <w:p>
      <w:pPr>
        <w:pStyle w:val="Normal"/>
        <w:rPr/>
      </w:pPr>
      <w:r>
        <w:rPr/>
      </w:r>
      <w:r>
        <w:br w:type="page"/>
      </w:r>
    </w:p>
    <w:p>
      <w:pPr>
        <w:pStyle w:val="Normal"/>
        <w:rPr/>
      </w:pPr>
      <w:r>
        <w:rPr/>
        <w:t>Od pokretanja platforme tema „Europska demokracija” bila je tema za koju je zabilježen najveći broj doprinosa (ideje, komentari i događanja). Druga tema je „Klimatske promjene i okoliš”. Doprinosi predstavljeni u okviru „Ostale ideje” zauzeli su treće mjesto, ispred „Vrijednosti i prava, vladavina prava, sigurnost” i „Snažnije gospodarstvo, socijalna pravda i zapošljavanje”.</w:t>
      </w:r>
    </w:p>
    <w:p>
      <w:pPr>
        <w:pStyle w:val="Normal"/>
        <w:rPr/>
      </w:pPr>
      <w:r>
        <w:rPr/>
        <w:t>Izvješća o doprinosima prikupljenima na platformi, uključujući konceptualne programe, dala su vrijedan doprinos radu europskih panela građana i građanki. Na početku svake od tri panel sesije panelima su predstavljeni glavni nalazi izvješća i konceptualne sheme, koji su dobili poveznice na cjelovita izvješća. To je broj ideja koje su se pojavile na platformi u preporukama europskih panela građana i građanki.</w:t>
      </w:r>
    </w:p>
    <w:p>
      <w:pPr>
        <w:pStyle w:val="Normal"/>
        <w:spacing w:before="2802" w:after="57"/>
        <w:rPr/>
      </w:pPr>
      <w:r>
        <mc:AlternateContent>
          <mc:Choice Requires="wps">
            <w:drawing>
              <wp:anchor behindDoc="0" distT="72390" distB="72390" distL="72390" distR="72390" simplePos="0" locked="0" layoutInCell="1" allowOverlap="1" relativeHeight="27">
                <wp:simplePos x="0" y="0"/>
                <wp:positionH relativeFrom="column">
                  <wp:posOffset>22860</wp:posOffset>
                </wp:positionH>
                <wp:positionV relativeFrom="paragraph">
                  <wp:posOffset>2617470</wp:posOffset>
                </wp:positionV>
                <wp:extent cx="6036310" cy="1779905"/>
                <wp:effectExtent l="0" t="0" r="0" b="0"/>
                <wp:wrapSquare wrapText="bothSides"/>
                <wp:docPr id="13" name="Okvir 2"/>
                <a:graphic xmlns:a="http://schemas.openxmlformats.org/drawingml/2006/main">
                  <a:graphicData uri="http://schemas.microsoft.com/office/word/2010/wordprocessingShape">
                    <wps:wsp>
                      <wps:cNvSpPr/>
                      <wps:spPr>
                        <a:xfrm>
                          <a:off x="0" y="0"/>
                          <a:ext cx="6035760" cy="1779120"/>
                        </a:xfrm>
                        <a:prstGeom prst="rect">
                          <a:avLst/>
                        </a:prstGeom>
                        <a:solidFill>
                          <a:srgbClr val="ffffff"/>
                        </a:solidFill>
                        <a:ln w="720">
                          <a:solidFill>
                            <a:srgbClr val="000000"/>
                          </a:solidFill>
                          <a:round/>
                        </a:ln>
                      </wps:spPr>
                      <wps:style>
                        <a:lnRef idx="0"/>
                        <a:fillRef idx="0"/>
                        <a:effectRef idx="0"/>
                        <a:fontRef idx="minor"/>
                      </wps:style>
                      <wps:txbx>
                        <w:txbxContent>
                          <w:tbl>
                            <w:tblPr>
                              <w:tblW w:w="9333" w:type="dxa"/>
                              <w:jc w:val="left"/>
                              <w:tblInd w:w="0" w:type="dxa"/>
                              <w:tblBorders/>
                              <w:tblCellMar>
                                <w:top w:w="0" w:type="dxa"/>
                                <w:left w:w="0" w:type="dxa"/>
                                <w:bottom w:w="0" w:type="dxa"/>
                                <w:right w:w="0" w:type="dxa"/>
                              </w:tblCellMar>
                            </w:tblPr>
                            <w:tblGrid>
                              <w:gridCol w:w="3111"/>
                              <w:gridCol w:w="3111"/>
                              <w:gridCol w:w="3111"/>
                            </w:tblGrid>
                            <w:tr>
                              <w:trPr/>
                              <w:tc>
                                <w:tcPr>
                                  <w:tcW w:w="9333" w:type="dxa"/>
                                  <w:gridSpan w:val="3"/>
                                  <w:tcBorders/>
                                  <w:shd w:fill="auto" w:val="clear"/>
                                </w:tcPr>
                                <w:p>
                                  <w:pPr>
                                    <w:pStyle w:val="Contenudetableau"/>
                                    <w:spacing w:before="57" w:after="57"/>
                                    <w:jc w:val="center"/>
                                    <w:rPr/>
                                  </w:pPr>
                                  <w:r>
                                    <w:rPr/>
                                    <w:t>Što se događa na konferenciji o budućnosti Europe?</w:t>
                                  </w:r>
                                </w:p>
                              </w:tc>
                            </w:tr>
                            <w:tr>
                              <w:trPr/>
                              <w:tc>
                                <w:tcPr>
                                  <w:tcW w:w="3111" w:type="dxa"/>
                                  <w:tcBorders/>
                                  <w:shd w:fill="auto" w:val="clear"/>
                                </w:tcPr>
                                <w:p>
                                  <w:pPr>
                                    <w:pStyle w:val="P68B1DB1Contenudetableau8"/>
                                    <w:spacing w:before="57" w:after="57"/>
                                    <w:jc w:val="center"/>
                                    <w:rPr>
                                      <w:sz w:val="32"/>
                                    </w:rPr>
                                  </w:pPr>
                                  <w:r>
                                    <w:rPr/>
                                    <w:t xml:space="preserve">52 346 </w:t>
                                  </w:r>
                                </w:p>
                                <w:p>
                                  <w:pPr>
                                    <w:pStyle w:val="Contenudetableau"/>
                                    <w:spacing w:before="57" w:after="57"/>
                                    <w:jc w:val="center"/>
                                    <w:rPr/>
                                  </w:pPr>
                                  <w:r>
                                    <w:rPr/>
                                    <w:t>sudionici konferencije</w:t>
                                  </w:r>
                                </w:p>
                              </w:tc>
                              <w:tc>
                                <w:tcPr>
                                  <w:tcW w:w="3111" w:type="dxa"/>
                                  <w:tcBorders/>
                                  <w:shd w:fill="auto" w:val="clear"/>
                                </w:tcPr>
                                <w:p>
                                  <w:pPr>
                                    <w:pStyle w:val="P68B1DB1Contenudetableau8"/>
                                    <w:spacing w:before="57" w:after="57"/>
                                    <w:jc w:val="center"/>
                                    <w:rPr>
                                      <w:sz w:val="32"/>
                                    </w:rPr>
                                  </w:pPr>
                                  <w:r>
                                    <w:rPr/>
                                    <w:t xml:space="preserve">652 532 </w:t>
                                  </w:r>
                                </w:p>
                                <w:p>
                                  <w:pPr>
                                    <w:pStyle w:val="Contenudetableau"/>
                                    <w:spacing w:before="57" w:after="57"/>
                                    <w:jc w:val="center"/>
                                    <w:rPr/>
                                  </w:pPr>
                                  <w:r>
                                    <w:rPr/>
                                    <w:t>sudionici događanja</w:t>
                                  </w:r>
                                </w:p>
                              </w:tc>
                              <w:tc>
                                <w:tcPr>
                                  <w:tcW w:w="3111" w:type="dxa"/>
                                  <w:tcBorders/>
                                  <w:shd w:fill="auto" w:val="clear"/>
                                </w:tcPr>
                                <w:p>
                                  <w:pPr>
                                    <w:pStyle w:val="P68B1DB1Contenudetableau8"/>
                                    <w:spacing w:before="57" w:after="57"/>
                                    <w:jc w:val="center"/>
                                    <w:rPr>
                                      <w:sz w:val="32"/>
                                    </w:rPr>
                                  </w:pPr>
                                  <w:r>
                                    <w:rPr/>
                                    <w:t xml:space="preserve">17671 </w:t>
                                  </w:r>
                                </w:p>
                                <w:p>
                                  <w:pPr>
                                    <w:pStyle w:val="Contenudetableau"/>
                                    <w:spacing w:before="57" w:after="57"/>
                                    <w:jc w:val="center"/>
                                    <w:rPr/>
                                  </w:pPr>
                                  <w:r>
                                    <w:rPr/>
                                    <w:t>ideje</w:t>
                                  </w:r>
                                </w:p>
                              </w:tc>
                            </w:tr>
                            <w:tr>
                              <w:trPr/>
                              <w:tc>
                                <w:tcPr>
                                  <w:tcW w:w="3111" w:type="dxa"/>
                                  <w:tcBorders/>
                                  <w:shd w:fill="auto" w:val="clear"/>
                                </w:tcPr>
                                <w:p>
                                  <w:pPr>
                                    <w:pStyle w:val="Contenudetableau"/>
                                    <w:spacing w:before="57" w:after="57"/>
                                    <w:jc w:val="center"/>
                                    <w:rPr/>
                                  </w:pPr>
                                  <w:r>
                                    <w:rPr>
                                      <w:sz w:val="32"/>
                                    </w:rPr>
                                    <w:t>21877</w:t>
                                  </w:r>
                                  <w:r>
                                    <w:rPr/>
                                    <w:t xml:space="preserve"> </w:t>
                                  </w:r>
                                </w:p>
                                <w:p>
                                  <w:pPr>
                                    <w:pStyle w:val="Contenudetableau"/>
                                    <w:spacing w:before="57" w:after="57"/>
                                    <w:jc w:val="center"/>
                                    <w:rPr/>
                                  </w:pPr>
                                  <w:r>
                                    <w:rPr/>
                                    <w:t>komentari</w:t>
                                  </w:r>
                                </w:p>
                              </w:tc>
                              <w:tc>
                                <w:tcPr>
                                  <w:tcW w:w="3111" w:type="dxa"/>
                                  <w:tcBorders/>
                                  <w:shd w:fill="auto" w:val="clear"/>
                                </w:tcPr>
                                <w:p>
                                  <w:pPr>
                                    <w:pStyle w:val="P68B1DB1Contenudetableau8"/>
                                    <w:spacing w:before="57" w:after="57"/>
                                    <w:jc w:val="center"/>
                                    <w:rPr>
                                      <w:sz w:val="32"/>
                                    </w:rPr>
                                  </w:pPr>
                                  <w:r>
                                    <w:rPr/>
                                    <w:t xml:space="preserve">6465 </w:t>
                                  </w:r>
                                </w:p>
                                <w:p>
                                  <w:pPr>
                                    <w:pStyle w:val="Contenudetableau"/>
                                    <w:spacing w:before="57" w:after="57"/>
                                    <w:jc w:val="center"/>
                                    <w:rPr/>
                                  </w:pPr>
                                  <w:r>
                                    <w:rPr/>
                                    <w:t>događanja</w:t>
                                  </w:r>
                                </w:p>
                              </w:tc>
                              <w:tc>
                                <w:tcPr>
                                  <w:tcW w:w="3111" w:type="dxa"/>
                                  <w:tcBorders/>
                                  <w:shd w:fill="auto" w:val="clear"/>
                                </w:tcPr>
                                <w:p>
                                  <w:pPr>
                                    <w:pStyle w:val="P68B1DB1Contenudetableau8"/>
                                    <w:spacing w:before="57" w:after="57"/>
                                    <w:jc w:val="center"/>
                                    <w:rPr>
                                      <w:sz w:val="32"/>
                                    </w:rPr>
                                  </w:pPr>
                                  <w:r>
                                    <w:rPr/>
                                    <w:t xml:space="preserve">72528 </w:t>
                                  </w:r>
                                </w:p>
                                <w:p>
                                  <w:pPr>
                                    <w:pStyle w:val="Contenudetableau"/>
                                    <w:spacing w:before="57" w:after="57"/>
                                    <w:jc w:val="center"/>
                                    <w:rPr/>
                                  </w:pPr>
                                  <w:r>
                                    <w:rPr/>
                                    <w:t>odobrenja</w:t>
                                  </w:r>
                                </w:p>
                              </w:tc>
                            </w:tr>
                          </w:tbl>
                          <w:p>
                            <w:pPr>
                              <w:pStyle w:val="Contenudecadre"/>
                              <w:spacing w:before="57" w:after="57"/>
                              <w:rPr/>
                            </w:pPr>
                            <w:r>
                              <w:rPr>
                                <w:color w:val="auto"/>
                              </w:rPr>
                              <w:t xml:space="preserve">Stanje sudjelovanja na dan 20. travnja 2022. (izvor: </w:t>
                            </w:r>
                            <w:hyperlink r:id="rId32">
                              <w:r>
                                <w:rPr>
                                  <w:rStyle w:val="LienInternet"/>
                                  <w:color w:val="auto"/>
                                </w:rPr>
                                <w:t>Konferencija o budućnosti Europe (europa.eu</w:t>
                              </w:r>
                            </w:hyperlink>
                            <w:r>
                              <w:rPr>
                                <w:color w:val="auto"/>
                              </w:rPr>
                              <w:t>)</w:t>
                            </w:r>
                          </w:p>
                        </w:txbxContent>
                      </wps:txbx>
                      <wps:bodyPr lIns="54000" rIns="54000" tIns="54000" bIns="54000">
                        <a:noAutofit/>
                      </wps:bodyPr>
                    </wps:wsp>
                  </a:graphicData>
                </a:graphic>
              </wp:anchor>
            </w:drawing>
          </mc:Choice>
          <mc:Fallback>
            <w:pict>
              <v:rect id="shape_0" ID="Okvir 2" fillcolor="white" stroked="t" style="position:absolute;margin-left:1.8pt;margin-top:206.1pt;width:475.2pt;height:140.05pt">
                <w10:wrap type="square"/>
                <v:fill o:detectmouseclick="t" type="solid" color2="black"/>
                <v:stroke color="black" weight="720" joinstyle="round" endcap="flat"/>
                <v:textbox>
                  <w:txbxContent>
                    <w:tbl>
                      <w:tblPr>
                        <w:tblW w:w="9333" w:type="dxa"/>
                        <w:jc w:val="left"/>
                        <w:tblInd w:w="0" w:type="dxa"/>
                        <w:tblBorders/>
                        <w:tblCellMar>
                          <w:top w:w="0" w:type="dxa"/>
                          <w:left w:w="0" w:type="dxa"/>
                          <w:bottom w:w="0" w:type="dxa"/>
                          <w:right w:w="0" w:type="dxa"/>
                        </w:tblCellMar>
                      </w:tblPr>
                      <w:tblGrid>
                        <w:gridCol w:w="3111"/>
                        <w:gridCol w:w="3111"/>
                        <w:gridCol w:w="3111"/>
                      </w:tblGrid>
                      <w:tr>
                        <w:trPr/>
                        <w:tc>
                          <w:tcPr>
                            <w:tcW w:w="9333" w:type="dxa"/>
                            <w:gridSpan w:val="3"/>
                            <w:tcBorders/>
                            <w:shd w:fill="auto" w:val="clear"/>
                          </w:tcPr>
                          <w:p>
                            <w:pPr>
                              <w:pStyle w:val="Contenudetableau"/>
                              <w:spacing w:before="57" w:after="57"/>
                              <w:jc w:val="center"/>
                              <w:rPr/>
                            </w:pPr>
                            <w:r>
                              <w:rPr/>
                              <w:t>Što se događa na konferenciji o budućnosti Europe?</w:t>
                            </w:r>
                          </w:p>
                        </w:tc>
                      </w:tr>
                      <w:tr>
                        <w:trPr/>
                        <w:tc>
                          <w:tcPr>
                            <w:tcW w:w="3111" w:type="dxa"/>
                            <w:tcBorders/>
                            <w:shd w:fill="auto" w:val="clear"/>
                          </w:tcPr>
                          <w:p>
                            <w:pPr>
                              <w:pStyle w:val="P68B1DB1Contenudetableau8"/>
                              <w:spacing w:before="57" w:after="57"/>
                              <w:jc w:val="center"/>
                              <w:rPr>
                                <w:sz w:val="32"/>
                              </w:rPr>
                            </w:pPr>
                            <w:r>
                              <w:rPr/>
                              <w:t xml:space="preserve">52 346 </w:t>
                            </w:r>
                          </w:p>
                          <w:p>
                            <w:pPr>
                              <w:pStyle w:val="Contenudetableau"/>
                              <w:spacing w:before="57" w:after="57"/>
                              <w:jc w:val="center"/>
                              <w:rPr/>
                            </w:pPr>
                            <w:r>
                              <w:rPr/>
                              <w:t>sudionici konferencije</w:t>
                            </w:r>
                          </w:p>
                        </w:tc>
                        <w:tc>
                          <w:tcPr>
                            <w:tcW w:w="3111" w:type="dxa"/>
                            <w:tcBorders/>
                            <w:shd w:fill="auto" w:val="clear"/>
                          </w:tcPr>
                          <w:p>
                            <w:pPr>
                              <w:pStyle w:val="P68B1DB1Contenudetableau8"/>
                              <w:spacing w:before="57" w:after="57"/>
                              <w:jc w:val="center"/>
                              <w:rPr>
                                <w:sz w:val="32"/>
                              </w:rPr>
                            </w:pPr>
                            <w:r>
                              <w:rPr/>
                              <w:t xml:space="preserve">652 532 </w:t>
                            </w:r>
                          </w:p>
                          <w:p>
                            <w:pPr>
                              <w:pStyle w:val="Contenudetableau"/>
                              <w:spacing w:before="57" w:after="57"/>
                              <w:jc w:val="center"/>
                              <w:rPr/>
                            </w:pPr>
                            <w:r>
                              <w:rPr/>
                              <w:t>sudionici događanja</w:t>
                            </w:r>
                          </w:p>
                        </w:tc>
                        <w:tc>
                          <w:tcPr>
                            <w:tcW w:w="3111" w:type="dxa"/>
                            <w:tcBorders/>
                            <w:shd w:fill="auto" w:val="clear"/>
                          </w:tcPr>
                          <w:p>
                            <w:pPr>
                              <w:pStyle w:val="P68B1DB1Contenudetableau8"/>
                              <w:spacing w:before="57" w:after="57"/>
                              <w:jc w:val="center"/>
                              <w:rPr>
                                <w:sz w:val="32"/>
                              </w:rPr>
                            </w:pPr>
                            <w:r>
                              <w:rPr/>
                              <w:t xml:space="preserve">17671 </w:t>
                            </w:r>
                          </w:p>
                          <w:p>
                            <w:pPr>
                              <w:pStyle w:val="Contenudetableau"/>
                              <w:spacing w:before="57" w:after="57"/>
                              <w:jc w:val="center"/>
                              <w:rPr/>
                            </w:pPr>
                            <w:r>
                              <w:rPr/>
                              <w:t>ideje</w:t>
                            </w:r>
                          </w:p>
                        </w:tc>
                      </w:tr>
                      <w:tr>
                        <w:trPr/>
                        <w:tc>
                          <w:tcPr>
                            <w:tcW w:w="3111" w:type="dxa"/>
                            <w:tcBorders/>
                            <w:shd w:fill="auto" w:val="clear"/>
                          </w:tcPr>
                          <w:p>
                            <w:pPr>
                              <w:pStyle w:val="Contenudetableau"/>
                              <w:spacing w:before="57" w:after="57"/>
                              <w:jc w:val="center"/>
                              <w:rPr/>
                            </w:pPr>
                            <w:r>
                              <w:rPr>
                                <w:sz w:val="32"/>
                              </w:rPr>
                              <w:t>21877</w:t>
                            </w:r>
                            <w:r>
                              <w:rPr/>
                              <w:t xml:space="preserve"> </w:t>
                            </w:r>
                          </w:p>
                          <w:p>
                            <w:pPr>
                              <w:pStyle w:val="Contenudetableau"/>
                              <w:spacing w:before="57" w:after="57"/>
                              <w:jc w:val="center"/>
                              <w:rPr/>
                            </w:pPr>
                            <w:r>
                              <w:rPr/>
                              <w:t>komentari</w:t>
                            </w:r>
                          </w:p>
                        </w:tc>
                        <w:tc>
                          <w:tcPr>
                            <w:tcW w:w="3111" w:type="dxa"/>
                            <w:tcBorders/>
                            <w:shd w:fill="auto" w:val="clear"/>
                          </w:tcPr>
                          <w:p>
                            <w:pPr>
                              <w:pStyle w:val="P68B1DB1Contenudetableau8"/>
                              <w:spacing w:before="57" w:after="57"/>
                              <w:jc w:val="center"/>
                              <w:rPr>
                                <w:sz w:val="32"/>
                              </w:rPr>
                            </w:pPr>
                            <w:r>
                              <w:rPr/>
                              <w:t xml:space="preserve">6465 </w:t>
                            </w:r>
                          </w:p>
                          <w:p>
                            <w:pPr>
                              <w:pStyle w:val="Contenudetableau"/>
                              <w:spacing w:before="57" w:after="57"/>
                              <w:jc w:val="center"/>
                              <w:rPr/>
                            </w:pPr>
                            <w:r>
                              <w:rPr/>
                              <w:t>događanja</w:t>
                            </w:r>
                          </w:p>
                        </w:tc>
                        <w:tc>
                          <w:tcPr>
                            <w:tcW w:w="3111" w:type="dxa"/>
                            <w:tcBorders/>
                            <w:shd w:fill="auto" w:val="clear"/>
                          </w:tcPr>
                          <w:p>
                            <w:pPr>
                              <w:pStyle w:val="P68B1DB1Contenudetableau8"/>
                              <w:spacing w:before="57" w:after="57"/>
                              <w:jc w:val="center"/>
                              <w:rPr>
                                <w:sz w:val="32"/>
                              </w:rPr>
                            </w:pPr>
                            <w:r>
                              <w:rPr/>
                              <w:t xml:space="preserve">72528 </w:t>
                            </w:r>
                          </w:p>
                          <w:p>
                            <w:pPr>
                              <w:pStyle w:val="Contenudetableau"/>
                              <w:spacing w:before="57" w:after="57"/>
                              <w:jc w:val="center"/>
                              <w:rPr/>
                            </w:pPr>
                            <w:r>
                              <w:rPr/>
                              <w:t>odobrenja</w:t>
                            </w:r>
                          </w:p>
                        </w:tc>
                      </w:tr>
                    </w:tbl>
                    <w:p>
                      <w:pPr>
                        <w:pStyle w:val="Contenudecadre"/>
                        <w:spacing w:before="57" w:after="57"/>
                        <w:rPr/>
                      </w:pPr>
                      <w:r>
                        <w:rPr>
                          <w:color w:val="auto"/>
                        </w:rPr>
                        <w:t xml:space="preserve">Stanje sudjelovanja na dan 20. travnja 2022. (izvor: </w:t>
                      </w:r>
                      <w:hyperlink r:id="rId33">
                        <w:r>
                          <w:rPr>
                            <w:rStyle w:val="LienInternet"/>
                            <w:color w:val="auto"/>
                          </w:rPr>
                          <w:t>Konferencija o budućnosti Europe (europa.eu</w:t>
                        </w:r>
                      </w:hyperlink>
                      <w:r>
                        <w:rPr>
                          <w:color w:val="auto"/>
                        </w:rPr>
                        <w:t>)</w:t>
                      </w:r>
                    </w:p>
                  </w:txbxContent>
                </v:textbox>
              </v:rect>
            </w:pict>
          </mc:Fallback>
        </mc:AlternateContent>
      </w:r>
      <w:r>
        <w:rPr/>
        <w:t>O izvješćima se raspravljalo i na plenarnim sastancima Konferencije, počevši od plenarnog zasjedanja 23. listopada 2021., kao i na prethodnim sastancima radnih skupina. Doprinosi Platforme stoga su nastavili obogaćivati prijedloge izrađene na plenarnoj sjednici Konferencije.</w:t>
      </w:r>
    </w:p>
    <w:p>
      <w:pPr>
        <w:pStyle w:val="Normal"/>
        <w:rPr/>
      </w:pPr>
      <w:r>
        <w:rPr/>
        <w:t>Do 20. travnja 2022. gotovo pet milijuna jedinstvenih posjetitelja posjetilo je višejezičnu digitalnu platformu, na kojoj je aktivno sudjelovalo više od 50 000 sudionika, raspravljalo se o 17 000 ideja i više od 6 000 registriranih događanja. Iza tih podataka stoje tisuće predanih građana koji dijele i raspravljaju o mnogim idejama te organiziraju mnoštvo izvornih i inovativnih događanja u različitim državama članicama.</w:t>
      </w:r>
    </w:p>
    <w:p>
      <w:pPr>
        <w:pStyle w:val="Normal"/>
        <w:rPr/>
      </w:pPr>
      <w:r>
        <w:rPr/>
        <w:t xml:space="preserve">Kako bi se osiguralo da Platforma bude mjesto u kojem se građani iz svih sfera života i iz svih dijelova Europe osjećaju ugodno i ohrabreno da doprinesu raspravi, svi koji se koriste platformom moraju se pretplatiti </w:t>
      </w:r>
      <w:hyperlink r:id="rId34">
        <w:r>
          <w:rPr>
            <w:rStyle w:val="LienInternet"/>
          </w:rPr>
          <w:t>na povelju konferencije</w:t>
        </w:r>
      </w:hyperlink>
      <w:r>
        <w:rPr/>
        <w:t xml:space="preserve"> i </w:t>
      </w:r>
      <w:hyperlink r:id="rId35">
        <w:r>
          <w:rPr>
            <w:rStyle w:val="LienInternet"/>
          </w:rPr>
          <w:t>pravila za sudjelovanje</w:t>
        </w:r>
      </w:hyperlink>
      <w:r>
        <w:rPr/>
        <w:t>. Osnovan je moderatorski tim koji radi na konferenciji pod nadzorom Zajedničkog tajništva u ime Izvršnog odbora kako bi se osigurala usklađenost s Poveljom i pravilima sudjelovanja. Nije došlo do prethodnog moderiranja sadržaja. Kada je doprinos skriven, korisnik je primio poruku od tima za moderiranje u kojoj je objasnio razlog. Pojedinosti o načelima i postupku moderiranja stavljene su na raspolaganje u odjeljku</w:t>
      </w:r>
      <w:hyperlink r:id="rId36">
        <w:r>
          <w:rPr>
            <w:rStyle w:val="LienInternet"/>
          </w:rPr>
          <w:t>„</w:t>
        </w:r>
      </w:hyperlink>
      <w:r>
        <w:rPr/>
        <w:t xml:space="preserve"> Često postavljana pitanja” platforme.</w:t>
      </w:r>
    </w:p>
    <w:p>
      <w:pPr>
        <w:pStyle w:val="Normal"/>
        <w:rPr/>
      </w:pPr>
      <w:r>
        <w:rPr/>
        <w:t>Između 19. travnja 2021. i 20. travnja 2022. maskirano je 430 ideja (2,4 %), 312 komentara (1,4 %) i 396 događanja (6,0 %). Oko 71 % ideja bilo je maskirano jer nisu sadržavale prijedloge, bilo da se radilo o neželjenoj pošti, zahtjevima korisnika ili zato što su sadržavale osobne podatke ili neodgovarajuću povezanu sliku; oko 17 % skrivenih ideja bile su duplikati. Samo 11 % skrivenih ideja bilo je zbog njihovog uvredljivog sadržaja. Velika većina događanja, 76 %, bila je maskirana jer su bili duplikati ili zbog toga što su informacije o događanju bile nepotpune, na zahtjev organizatora ili zato što nisu bile povezane s konferencijom.</w:t>
      </w:r>
    </w:p>
    <w:p>
      <w:pPr>
        <w:pStyle w:val="Normal"/>
        <w:rPr/>
      </w:pPr>
      <w:r>
        <w:rPr/>
        <w:t>Mogućnost doprinosa na platformi ostala je otvorena do 9. svibnja 2022. Nakon tog datuma predviđeno je dodatno izvješće kako bi se dovršio sažetak svih doprinosa zaprimljenih tijekom konferencije.</w:t>
      </w:r>
    </w:p>
    <w:p>
      <w:pPr>
        <w:pStyle w:val="Normal"/>
        <w:rPr/>
      </w:pPr>
      <w:r>
        <w:rPr/>
        <w:t>Sudjelovanje na platformi nastavilo se povećavati tijekom cijele konferencije, ali je ostalo neujednačeno među državama članicama i sociodemografskim profilima sudionika. Platforma je općenito pružila inovativan prostor za raspravu, što je omogućilo nekoliko tisuća građana i raznih dionika iz cijele Europe i šire da sudjeluju u višejezičnoj internetskoj raspravi o europskim pitanjima u svim državama članicama. Pokazao se vrijednim alatom za deliberativnu demokraciju na razini EU-a.</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Normal"/>
        <w:rPr/>
      </w:pPr>
      <w:r>
        <w:rPr/>
        <w:drawing>
          <wp:anchor behindDoc="0" distT="0" distB="0" distL="0" distR="0" simplePos="0" locked="0" layoutInCell="1" allowOverlap="1" relativeHeight="17">
            <wp:simplePos x="0" y="0"/>
            <wp:positionH relativeFrom="column">
              <wp:align>center</wp:align>
            </wp:positionH>
            <wp:positionV relativeFrom="paragraph">
              <wp:posOffset>635</wp:posOffset>
            </wp:positionV>
            <wp:extent cx="5691505" cy="4577080"/>
            <wp:effectExtent l="0" t="0" r="0" b="0"/>
            <wp:wrapSquare wrapText="largest"/>
            <wp:docPr id="15" name="Slika 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lika 6" descr=""/>
                    <pic:cNvPicPr>
                      <a:picLocks noChangeAspect="1" noChangeArrowheads="1"/>
                    </pic:cNvPicPr>
                  </pic:nvPicPr>
                  <pic:blipFill>
                    <a:blip r:embed="rId37"/>
                    <a:stretch>
                      <a:fillRect/>
                    </a:stretch>
                  </pic:blipFill>
                  <pic:spPr bwMode="auto">
                    <a:xfrm>
                      <a:off x="0" y="0"/>
                      <a:ext cx="5691505" cy="4577080"/>
                    </a:xfrm>
                    <a:prstGeom prst="rect">
                      <a:avLst/>
                    </a:prstGeom>
                  </pic:spPr>
                </pic:pic>
              </a:graphicData>
            </a:graphic>
          </wp:anchor>
        </w:drawing>
      </w:r>
    </w:p>
    <w:p>
      <w:pPr>
        <w:pStyle w:val="Normal"/>
        <w:rPr/>
      </w:pPr>
      <w:r>
        <w:rPr/>
      </w:r>
      <w:r>
        <w:br w:type="page"/>
      </w:r>
    </w:p>
    <w:p>
      <w:pPr>
        <w:pStyle w:val="Titre2"/>
        <w:numPr>
          <w:ilvl w:val="1"/>
          <w:numId w:val="2"/>
        </w:numPr>
        <w:rPr/>
      </w:pPr>
      <w:bookmarkStart w:id="9" w:name="__RefHeading___Toc298192_1346298689"/>
      <w:bookmarkEnd w:id="9"/>
      <w:r>
        <w:rPr/>
        <w:t>B. Paneli građana i građanki</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Titre3"/>
        <w:numPr>
          <w:ilvl w:val="2"/>
          <w:numId w:val="2"/>
        </w:numPr>
        <w:rPr/>
      </w:pPr>
      <w:bookmarkStart w:id="10" w:name="__RefHeading___Toc298194_1346298689"/>
      <w:bookmarkEnd w:id="10"/>
      <w:r>
        <w:rPr/>
        <w:t>1. Europski paneli građana i građanki</w:t>
      </w:r>
    </w:p>
    <w:p>
      <w:pPr>
        <w:pStyle w:val="Corpsdetexte"/>
        <w:rPr/>
      </w:pPr>
      <w:r>
        <w:rPr/>
        <w:t>Europski paneli građana bili su jedan od glavnih stupova konferencije, s nacionalnim panelima, višejezičnom digitalnom platformom i plenarnom skupštinom konferencije. Oni su u središtu konferencije o budućnosti Europe i okupili su oko 800 građana iz svih sredina i regija Europske unije. Iako se koncept građanskih panela ili skupština već desetljećima upotrebljava na općinskoj razini i sve je vidljiviji na nacionalnoj ili regionalnoj razini, paneuropska dimenzija i dalje je u velikoj mjeri neistražena u tom području. Europski paneli građana bili su prvo transnacionalno i višejezično iskustvo te veličine i razine ambicije. Izvanredan sustav usmenog prevođenja koji je pratio taj proces doveo je do uključivog, s poštovanjem i učinkovitog dijaloga među dionicima, osiguravajući poštovanje višejezičnosti.</w:t>
      </w:r>
    </w:p>
    <w:p>
      <w:pPr>
        <w:pStyle w:val="Corpsdetexte"/>
        <w:rPr/>
      </w:pPr>
      <w:r>
        <w:rPr/>
        <w:t>Europske panele građana organizirale su tri institucije na temelju Zajedničke izjave, Poslovnika i aranžmana koje su utvrdili supredsjednici, pod nadzorom Izvršnog odbora. Potporu im je pružio konzorcij vanjskih pružatelja usluga sastavljen od različitih stručnjaka u području deliberativne demokracije i tima za logističku podršku. Izvršni odbor obaviješten je o radu panela, osigurana su ažurirana praktična rješenja i prema potrebi prilagođen privremeni raspored sjednica europskih panela građana i građanki.</w:t>
      </w:r>
    </w:p>
    <w:p>
      <w:pPr>
        <w:pStyle w:val="Corpsdetexte"/>
        <w:rPr/>
      </w:pPr>
      <w:r>
        <w:rPr/>
        <w:t>Sudionici europskih panela građana odabrani su u ljeto 2021. Građani EU-a odabrani su nasumično (uglavnom s kojima je kontaktiralo 27 nacionalnih instituta za istraživanje koje koordinira vanjski pružatelj usluga) s ciljem stvaranja „panela” koji su reprezentativni za raznolikost EU-a, na temelju pet kriterija: spol, dob, zemljopisno podrijetlo (nacionalnost te urbano/ruralno okruženje), socioekonomsko podrijetlo i razina obrazovanja. Broj građana po državi članici izračunan je u skladu s načelom degresivne proporcionalnosti koje se primjenjuje na sastav Europskog parlamenta, uzimajući u obzir da bi svako povjerenstvo trebalo uključivati najmanje jednog građanina i jednog građanina po državi članici. S obzirom na to da je konferencija posvetila posebnu pozornost mladima, jedna trećina građana u svakom panelu imala je između 16 i 24 godine. Za svaku skupinu od 200 osoba odabrano je još 50 građana za uspostavu pričuve.</w:t>
      </w:r>
    </w:p>
    <w:p>
      <w:pPr>
        <w:pStyle w:val="Corpsdetexte"/>
        <w:rPr/>
      </w:pPr>
      <w:r>
        <w:rPr/>
        <w:t>Organizirana su četiri europska panela građana i građanki. Teme za raspravu za svaku od njih odgovarale su temama utvrđenima na višejezičnoj digitalnoj platformi i grupirane su na sljedeći način:</w:t>
      </w:r>
    </w:p>
    <w:p>
      <w:pPr>
        <w:pStyle w:val="Puce3"/>
        <w:rPr/>
      </w:pPr>
      <w:r>
        <w:rPr/>
        <w:t>1. Snažnije gospodarstvo, socijalna pravda i zapošljavanje; obrazovanje, kultura, mladi i sport; digitalna transformacija;</w:t>
      </w:r>
    </w:p>
    <w:p>
      <w:pPr>
        <w:pStyle w:val="Puce3"/>
        <w:rPr/>
      </w:pPr>
      <w:r>
        <w:rPr/>
        <w:t>2. Europska demokracija; vrijednosti i prava, vladavina prava, sigurnost;</w:t>
      </w:r>
    </w:p>
    <w:p>
      <w:pPr>
        <w:pStyle w:val="Puce3"/>
        <w:rPr/>
      </w:pPr>
      <w:r>
        <w:rPr/>
        <w:t>3.Klimatske promjene i okoliš; zdravlje;</w:t>
      </w:r>
    </w:p>
    <w:p>
      <w:pPr>
        <w:pStyle w:val="Puce3"/>
        <w:tabs>
          <w:tab w:val="clear" w:pos="720"/>
        </w:tabs>
        <w:rPr/>
      </w:pPr>
      <w:r>
        <w:rPr/>
        <w:t>4.EU u svijetu; migracija.</w:t>
      </w:r>
    </w:p>
    <w:p>
      <w:pPr>
        <w:pStyle w:val="Corpsdetexte"/>
        <w:rPr/>
      </w:pPr>
      <w:r>
        <w:rPr/>
        <w:t>Svaka se skupina sastala tri vikenda. Prvi niz sjednica održan je u Strasbourgu, drugi na internetu, a treći u četiri grada (Dublin, Firenca, Varšava/Natolin i Maastricht), u javnim visokoškolskim ustanovama i uz potporu lokalnih vlasti.</w:t>
      </w:r>
    </w:p>
    <w:p>
      <w:pPr>
        <w:pStyle w:val="Titre4"/>
        <w:numPr>
          <w:ilvl w:val="3"/>
          <w:numId w:val="2"/>
        </w:numPr>
        <w:rPr/>
      </w:pPr>
      <w:bookmarkStart w:id="11" w:name="__RefHeading___Toc298196_1346298689"/>
      <w:bookmarkEnd w:id="11"/>
      <w:r>
        <w:rPr/>
        <w:t>PRVI KRUG PANEL SJEDNICA</w:t>
      </w:r>
    </w:p>
    <w:p>
      <w:pPr>
        <w:pStyle w:val="Corpsdetexte"/>
        <w:rPr/>
      </w:pPr>
      <w:r>
        <w:rPr/>
        <w:t>Na prvoj sjednici svakog panela sudionici su se fizički sastali u Strasbourgu. Cilj sjednice bio je utvrditi dnevni red rasprava. Građani koji su sudjelovali u panelima počeli su odražavati i razvijati svoju viziju Europe, počevši od prazne stranice i utvrđujući pitanja o kojima će se raspravljati, u okviru glavnih tema panela. Zatim su dali prednost temama na koje su se željeli detaljnije usredotočiti s ciljem davanja posebnih preporuka institucijama EU-a za daljnje postupanje. Rasprave i zajednički rad odvijali su se u sljedeća dva formata:</w:t>
      </w:r>
    </w:p>
    <w:p>
      <w:pPr>
        <w:pStyle w:val="Alineanegatifpuce"/>
        <w:numPr>
          <w:ilvl w:val="0"/>
          <w:numId w:val="3"/>
        </w:numPr>
        <w:rPr/>
      </w:pPr>
      <w:r>
        <w:rPr/>
        <w:t xml:space="preserve"> </w:t>
      </w:r>
      <w:r>
        <w:rPr/>
        <w:t>u podskupinama koje se sastoje od 12 do 14 građana. U svakoj se podskupini govorilo četiri do pet jezika na kojima su se građani mogli izražavati na vlastitom jeziku. Rad podskupina vodili su profesionalni posrednici koje je odabrao konzorcij vanjskih pružatelja usluga.</w:t>
      </w:r>
    </w:p>
    <w:p>
      <w:pPr>
        <w:pStyle w:val="Alineanegatifpuce"/>
        <w:numPr>
          <w:ilvl w:val="0"/>
          <w:numId w:val="3"/>
        </w:numPr>
        <w:spacing w:before="3929" w:after="57"/>
        <w:rPr/>
      </w:pPr>
      <w:r>
        <mc:AlternateContent>
          <mc:Choice Requires="wps">
            <w:drawing>
              <wp:anchor behindDoc="0" distT="72390" distB="72390" distL="72390" distR="72390" simplePos="0" locked="0" layoutInCell="1" allowOverlap="1" relativeHeight="6">
                <wp:simplePos x="0" y="0"/>
                <wp:positionH relativeFrom="column">
                  <wp:posOffset>105410</wp:posOffset>
                </wp:positionH>
                <wp:positionV relativeFrom="paragraph">
                  <wp:posOffset>2555875</wp:posOffset>
                </wp:positionV>
                <wp:extent cx="6053455" cy="2495550"/>
                <wp:effectExtent l="0" t="0" r="0" b="0"/>
                <wp:wrapSquare wrapText="bothSides"/>
                <wp:docPr id="16" name="Hrvatski jezik3"/>
                <a:graphic xmlns:a="http://schemas.openxmlformats.org/drawingml/2006/main">
                  <a:graphicData uri="http://schemas.microsoft.com/office/word/2010/wordprocessingShape">
                    <wps:wsp>
                      <wps:cNvSpPr/>
                      <wps:spPr>
                        <a:xfrm>
                          <a:off x="0" y="0"/>
                          <a:ext cx="6052680" cy="2494800"/>
                        </a:xfrm>
                        <a:prstGeom prst="rect">
                          <a:avLst/>
                        </a:prstGeom>
                        <a:solidFill>
                          <a:srgbClr val="ffffff"/>
                        </a:solidFill>
                        <a:ln w="720">
                          <a:solidFill>
                            <a:srgbClr val="000000"/>
                          </a:solidFill>
                          <a:round/>
                        </a:ln>
                      </wps:spPr>
                      <wps:style>
                        <a:lnRef idx="0"/>
                        <a:fillRef idx="0"/>
                        <a:effectRef idx="0"/>
                        <a:fontRef idx="minor"/>
                      </wps:style>
                      <wps:txbx>
                        <w:txbxContent>
                          <w:tbl>
                            <w:tblPr>
                              <w:tblW w:w="9360" w:type="dxa"/>
                              <w:jc w:val="left"/>
                              <w:tblInd w:w="0" w:type="dxa"/>
                              <w:tblBorders/>
                              <w:tblCellMar>
                                <w:top w:w="0" w:type="dxa"/>
                                <w:left w:w="0" w:type="dxa"/>
                                <w:bottom w:w="0" w:type="dxa"/>
                                <w:right w:w="0" w:type="dxa"/>
                              </w:tblCellMar>
                            </w:tblPr>
                            <w:tblGrid>
                              <w:gridCol w:w="2774"/>
                              <w:gridCol w:w="345"/>
                              <w:gridCol w:w="2778"/>
                              <w:gridCol w:w="342"/>
                              <w:gridCol w:w="2719"/>
                              <w:gridCol w:w="401"/>
                            </w:tblGrid>
                            <w:tr>
                              <w:trPr/>
                              <w:tc>
                                <w:tcPr>
                                  <w:tcW w:w="9359" w:type="dxa"/>
                                  <w:gridSpan w:val="6"/>
                                  <w:tcBorders/>
                                  <w:shd w:fill="auto" w:val="clear"/>
                                </w:tcPr>
                                <w:p>
                                  <w:pPr>
                                    <w:pStyle w:val="P68B1DB1Contenudetableau9"/>
                                    <w:spacing w:before="57" w:after="57"/>
                                    <w:jc w:val="center"/>
                                    <w:rPr>
                                      <w:sz w:val="16"/>
                                    </w:rPr>
                                  </w:pPr>
                                  <w:r>
                                    <w:rPr/>
                                    <w:t>SJEDNICA 2.</w:t>
                                  </w:r>
                                </w:p>
                              </w:tc>
                            </w:tr>
                            <w:tr>
                              <w:trPr/>
                              <w:tc>
                                <w:tcPr>
                                  <w:tcW w:w="3119" w:type="dxa"/>
                                  <w:gridSpan w:val="2"/>
                                  <w:tcBorders>
                                    <w:top w:val="single" w:sz="4" w:space="0" w:color="0000FF"/>
                                    <w:left w:val="single" w:sz="4" w:space="0" w:color="0000FF"/>
                                    <w:bottom w:val="single" w:sz="4" w:space="0" w:color="0000FF"/>
                                    <w:insideH w:val="single" w:sz="4" w:space="0" w:color="0000FF"/>
                                  </w:tcBorders>
                                  <w:shd w:fill="0000FF" w:val="clear"/>
                                  <w:tcMar>
                                    <w:top w:w="28" w:type="dxa"/>
                                    <w:left w:w="23" w:type="dxa"/>
                                    <w:bottom w:w="28" w:type="dxa"/>
                                    <w:right w:w="28" w:type="dxa"/>
                                  </w:tcMar>
                                </w:tcPr>
                                <w:p>
                                  <w:pPr>
                                    <w:pStyle w:val="P68B1DB1Contenudetableau9"/>
                                    <w:spacing w:before="57" w:after="57"/>
                                    <w:jc w:val="center"/>
                                    <w:rPr>
                                      <w:sz w:val="16"/>
                                    </w:rPr>
                                  </w:pPr>
                                  <w:r>
                                    <w:rPr/>
                                    <w:t xml:space="preserve">1. DAN </w:t>
                                  </w:r>
                                </w:p>
                                <w:p>
                                  <w:pPr>
                                    <w:pStyle w:val="P68B1DB1Contenudetableau9"/>
                                    <w:spacing w:before="57" w:after="57"/>
                                    <w:jc w:val="center"/>
                                    <w:rPr>
                                      <w:sz w:val="16"/>
                                    </w:rPr>
                                  </w:pPr>
                                  <w:r>
                                    <w:rPr/>
                                    <w:t>Novi sastanak panela i priprema za vikend</w:t>
                                  </w:r>
                                </w:p>
                              </w:tc>
                              <w:tc>
                                <w:tcPr>
                                  <w:tcW w:w="3120" w:type="dxa"/>
                                  <w:gridSpan w:val="2"/>
                                  <w:tcBorders>
                                    <w:top w:val="single" w:sz="4" w:space="0" w:color="0000FF"/>
                                    <w:left w:val="single" w:sz="4" w:space="0" w:color="0000FF"/>
                                    <w:bottom w:val="single" w:sz="4" w:space="0" w:color="0000FF"/>
                                    <w:insideH w:val="single" w:sz="4" w:space="0" w:color="0000FF"/>
                                  </w:tcBorders>
                                  <w:shd w:fill="0000FF" w:val="clear"/>
                                  <w:tcMar>
                                    <w:top w:w="28" w:type="dxa"/>
                                    <w:left w:w="23" w:type="dxa"/>
                                    <w:bottom w:w="28" w:type="dxa"/>
                                    <w:right w:w="28" w:type="dxa"/>
                                  </w:tcMar>
                                </w:tcPr>
                                <w:p>
                                  <w:pPr>
                                    <w:pStyle w:val="P68B1DB1Contenudetableau9"/>
                                    <w:spacing w:before="57" w:after="57"/>
                                    <w:jc w:val="center"/>
                                    <w:rPr>
                                      <w:sz w:val="16"/>
                                    </w:rPr>
                                  </w:pPr>
                                  <w:r>
                                    <w:rPr/>
                                    <w:t xml:space="preserve">2. DAN </w:t>
                                  </w:r>
                                </w:p>
                                <w:p>
                                  <w:pPr>
                                    <w:pStyle w:val="P68B1DB1Contenudetableau9"/>
                                    <w:spacing w:before="57" w:after="57"/>
                                    <w:jc w:val="center"/>
                                    <w:rPr>
                                      <w:sz w:val="16"/>
                                    </w:rPr>
                                  </w:pPr>
                                  <w:r>
                                    <w:rPr/>
                                    <w:t>Stručni ulaz, identifikacija problema, izrada smjernica</w:t>
                                  </w:r>
                                </w:p>
                              </w:tc>
                              <w:tc>
                                <w:tcPr>
                                  <w:tcW w:w="3120" w:type="dxa"/>
                                  <w:gridSpan w:val="2"/>
                                  <w:tcBorders>
                                    <w:top w:val="single" w:sz="4" w:space="0" w:color="0000FF"/>
                                    <w:left w:val="single" w:sz="4" w:space="0" w:color="0000FF"/>
                                    <w:bottom w:val="single" w:sz="4" w:space="0" w:color="0000FF"/>
                                    <w:right w:val="single" w:sz="4" w:space="0" w:color="0000FF"/>
                                    <w:insideH w:val="single" w:sz="4" w:space="0" w:color="0000FF"/>
                                    <w:insideV w:val="single" w:sz="4" w:space="0" w:color="0000FF"/>
                                  </w:tcBorders>
                                  <w:shd w:fill="0000FF" w:val="clear"/>
                                  <w:tcMar>
                                    <w:top w:w="28" w:type="dxa"/>
                                    <w:left w:w="23" w:type="dxa"/>
                                    <w:bottom w:w="28" w:type="dxa"/>
                                    <w:right w:w="28" w:type="dxa"/>
                                  </w:tcMar>
                                </w:tcPr>
                                <w:p>
                                  <w:pPr>
                                    <w:pStyle w:val="P68B1DB1Contenudetableau9"/>
                                    <w:spacing w:before="57" w:after="57"/>
                                    <w:jc w:val="center"/>
                                    <w:rPr>
                                      <w:sz w:val="16"/>
                                    </w:rPr>
                                  </w:pPr>
                                  <w:r>
                                    <w:rPr/>
                                    <w:t xml:space="preserve">3. DAN </w:t>
                                  </w:r>
                                </w:p>
                                <w:p>
                                  <w:pPr>
                                    <w:pStyle w:val="P68B1DB1Contenudetableau9"/>
                                    <w:spacing w:before="57" w:after="57"/>
                                    <w:jc w:val="center"/>
                                    <w:rPr>
                                      <w:sz w:val="16"/>
                                    </w:rPr>
                                  </w:pPr>
                                  <w:r>
                                    <w:rPr/>
                                    <w:t>Finalizacija smjernica, Završne napomene</w:t>
                                  </w:r>
                                </w:p>
                              </w:tc>
                            </w:tr>
                            <w:tr>
                              <w:trPr/>
                              <w:tc>
                                <w:tcPr>
                                  <w:tcW w:w="3119" w:type="dxa"/>
                                  <w:gridSpan w:val="2"/>
                                  <w:tcBorders/>
                                  <w:shd w:fill="auto" w:val="clear"/>
                                </w:tcPr>
                                <w:p>
                                  <w:pPr>
                                    <w:pStyle w:val="Contenudetableau"/>
                                    <w:spacing w:before="57" w:after="57"/>
                                    <w:jc w:val="center"/>
                                    <w:rPr>
                                      <w:sz w:val="16"/>
                                    </w:rPr>
                                  </w:pPr>
                                  <w:r>
                                    <w:rPr>
                                      <w:sz w:val="16"/>
                                    </w:rPr>
                                  </w:r>
                                </w:p>
                              </w:tc>
                              <w:tc>
                                <w:tcPr>
                                  <w:tcW w:w="3120" w:type="dxa"/>
                                  <w:gridSpan w:val="2"/>
                                  <w:tcBorders/>
                                  <w:shd w:fill="0000FF" w:val="clear"/>
                                </w:tcPr>
                                <w:p>
                                  <w:pPr>
                                    <w:pStyle w:val="P68B1DB1Contenudetableau9"/>
                                    <w:spacing w:before="57" w:after="57"/>
                                    <w:jc w:val="center"/>
                                    <w:rPr>
                                      <w:sz w:val="16"/>
                                    </w:rPr>
                                  </w:pPr>
                                  <w:r>
                                    <w:rPr/>
                                    <w:t>Doprinos stručnjaka za podteme</w:t>
                                  </w:r>
                                </w:p>
                              </w:tc>
                              <w:tc>
                                <w:tcPr>
                                  <w:tcW w:w="3120" w:type="dxa"/>
                                  <w:gridSpan w:val="2"/>
                                  <w:tcBorders/>
                                  <w:shd w:fill="0000FF" w:val="clear"/>
                                </w:tcPr>
                                <w:p>
                                  <w:pPr>
                                    <w:pStyle w:val="P68B1DB1Contenudetableau9"/>
                                    <w:spacing w:before="57" w:after="57"/>
                                    <w:jc w:val="center"/>
                                    <w:rPr>
                                      <w:sz w:val="16"/>
                                    </w:rPr>
                                  </w:pPr>
                                  <w:r>
                                    <w:rPr/>
                                    <w:t>Dodatni doprinos stručnjaka</w:t>
                                  </w:r>
                                </w:p>
                              </w:tc>
                            </w:tr>
                            <w:tr>
                              <w:trPr/>
                              <w:tc>
                                <w:tcPr>
                                  <w:tcW w:w="3119" w:type="dxa"/>
                                  <w:gridSpan w:val="2"/>
                                  <w:vMerge w:val="restart"/>
                                  <w:tcBorders/>
                                  <w:shd w:fill="800000" w:val="clear"/>
                                </w:tcPr>
                                <w:p>
                                  <w:pPr>
                                    <w:pStyle w:val="P68B1DB1Contenudetableau9"/>
                                    <w:spacing w:before="57" w:after="57"/>
                                    <w:jc w:val="center"/>
                                    <w:rPr>
                                      <w:sz w:val="16"/>
                                    </w:rPr>
                                  </w:pPr>
                                  <w:r>
                                    <w:rPr/>
                                    <w:t xml:space="preserve">Dobrodošao, </w:t>
                                  </w:r>
                                </w:p>
                                <w:p>
                                  <w:pPr>
                                    <w:pStyle w:val="P68B1DB1Contenudetableau9"/>
                                    <w:spacing w:before="57" w:after="57"/>
                                    <w:jc w:val="center"/>
                                    <w:rPr>
                                      <w:sz w:val="16"/>
                                    </w:rPr>
                                  </w:pPr>
                                  <w:r>
                                    <w:rPr/>
                                    <w:t xml:space="preserve">Riječi veleposlanicima građana na povratne informacije, </w:t>
                                    <w:br/>
                                    <w:t>Ažuriranje platforme, dnevni red</w:t>
                                  </w:r>
                                </w:p>
                              </w:tc>
                              <w:tc>
                                <w:tcPr>
                                  <w:tcW w:w="3120" w:type="dxa"/>
                                  <w:gridSpan w:val="2"/>
                                  <w:tcBorders/>
                                  <w:shd w:fill="00FF00" w:val="clear"/>
                                </w:tcPr>
                                <w:p>
                                  <w:pPr>
                                    <w:pStyle w:val="P68B1DB1Contenudetableau9"/>
                                    <w:spacing w:before="57" w:after="57"/>
                                    <w:jc w:val="center"/>
                                    <w:rPr>
                                      <w:sz w:val="16"/>
                                    </w:rPr>
                                  </w:pPr>
                                  <w:r>
                                    <w:rPr/>
                                    <w:t>Izrada smjernica</w:t>
                                  </w:r>
                                </w:p>
                              </w:tc>
                              <w:tc>
                                <w:tcPr>
                                  <w:tcW w:w="3120" w:type="dxa"/>
                                  <w:gridSpan w:val="2"/>
                                  <w:tcBorders/>
                                  <w:shd w:fill="00FF00" w:val="clear"/>
                                </w:tcPr>
                                <w:p>
                                  <w:pPr>
                                    <w:pStyle w:val="P68B1DB1Contenudetableau9"/>
                                    <w:spacing w:before="57" w:after="57"/>
                                    <w:jc w:val="center"/>
                                    <w:rPr>
                                      <w:sz w:val="16"/>
                                    </w:rPr>
                                  </w:pPr>
                                  <w:r>
                                    <w:rPr/>
                                    <w:t xml:space="preserve"> </w:t>
                                  </w:r>
                                  <w:r>
                                    <w:rPr/>
                                    <w:t>Finalizacija smjernica</w:t>
                                  </w:r>
                                </w:p>
                              </w:tc>
                            </w:tr>
                            <w:tr>
                              <w:trPr/>
                              <w:tc>
                                <w:tcPr>
                                  <w:tcW w:w="3119" w:type="dxa"/>
                                  <w:gridSpan w:val="2"/>
                                  <w:vMerge w:val="continue"/>
                                  <w:tcBorders/>
                                  <w:shd w:fill="800000" w:val="clear"/>
                                </w:tcPr>
                                <w:p>
                                  <w:pPr>
                                    <w:pStyle w:val="Normal"/>
                                    <w:spacing w:before="57" w:after="57"/>
                                    <w:ind w:left="0" w:right="0" w:hanging="0"/>
                                    <w:rPr/>
                                  </w:pPr>
                                  <w:r>
                                    <w:rPr/>
                                  </w:r>
                                </w:p>
                              </w:tc>
                              <w:tc>
                                <w:tcPr>
                                  <w:tcW w:w="3120" w:type="dxa"/>
                                  <w:gridSpan w:val="2"/>
                                  <w:tcBorders/>
                                  <w:shd w:fill="auto" w:val="clear"/>
                                </w:tcPr>
                                <w:p>
                                  <w:pPr>
                                    <w:pStyle w:val="Contenudetableau"/>
                                    <w:spacing w:before="57" w:after="57"/>
                                    <w:jc w:val="center"/>
                                    <w:rPr>
                                      <w:sz w:val="16"/>
                                    </w:rPr>
                                  </w:pPr>
                                  <w:r>
                                    <w:rPr>
                                      <w:sz w:val="16"/>
                                    </w:rPr>
                                  </w:r>
                                </w:p>
                              </w:tc>
                              <w:tc>
                                <w:tcPr>
                                  <w:tcW w:w="3120" w:type="dxa"/>
                                  <w:gridSpan w:val="2"/>
                                  <w:tcBorders/>
                                  <w:shd w:fill="800000" w:val="clear"/>
                                </w:tcPr>
                                <w:p>
                                  <w:pPr>
                                    <w:pStyle w:val="P68B1DB1Contenudetableau9"/>
                                    <w:spacing w:before="57" w:after="57"/>
                                    <w:jc w:val="center"/>
                                    <w:rPr>
                                      <w:sz w:val="16"/>
                                    </w:rPr>
                                  </w:pPr>
                                  <w:r>
                                    <w:rPr/>
                                    <w:t xml:space="preserve">Dijeljenje određenih smjernica, </w:t>
                                    <w:br/>
                                    <w:t>Završne napomene</w:t>
                                  </w:r>
                                </w:p>
                              </w:tc>
                            </w:tr>
                            <w:tr>
                              <w:trPr/>
                              <w:tc>
                                <w:tcPr>
                                  <w:tcW w:w="2774" w:type="dxa"/>
                                  <w:tcBorders/>
                                  <w:shd w:fill="auto" w:val="clear"/>
                                </w:tcPr>
                                <w:p>
                                  <w:pPr>
                                    <w:pStyle w:val="Contenudetableau"/>
                                    <w:widowControl w:val="false"/>
                                    <w:suppressLineNumbers/>
                                    <w:spacing w:before="57" w:after="57"/>
                                    <w:rPr/>
                                  </w:pPr>
                                  <w:r>
                                    <w:rPr/>
                                  </w:r>
                                </w:p>
                              </w:tc>
                              <w:tc>
                                <w:tcPr>
                                  <w:tcW w:w="345" w:type="dxa"/>
                                  <w:tcBorders/>
                                  <w:shd w:fill="auto" w:val="clear"/>
                                </w:tcPr>
                                <w:p>
                                  <w:pPr>
                                    <w:pStyle w:val="Contenudetableau"/>
                                    <w:widowControl w:val="false"/>
                                    <w:suppressLineNumbers/>
                                    <w:spacing w:before="57" w:after="57"/>
                                    <w:rPr/>
                                  </w:pPr>
                                  <w:r>
                                    <w:rPr/>
                                  </w:r>
                                </w:p>
                              </w:tc>
                              <w:tc>
                                <w:tcPr>
                                  <w:tcW w:w="2778" w:type="dxa"/>
                                  <w:tcBorders/>
                                  <w:shd w:fill="auto" w:val="clear"/>
                                </w:tcPr>
                                <w:p>
                                  <w:pPr>
                                    <w:pStyle w:val="Contenudetableau"/>
                                    <w:widowControl w:val="false"/>
                                    <w:suppressLineNumbers/>
                                    <w:spacing w:before="57" w:after="57"/>
                                    <w:rPr/>
                                  </w:pPr>
                                  <w:r>
                                    <w:rPr/>
                                  </w:r>
                                </w:p>
                              </w:tc>
                              <w:tc>
                                <w:tcPr>
                                  <w:tcW w:w="342" w:type="dxa"/>
                                  <w:tcBorders/>
                                  <w:shd w:fill="auto" w:val="clear"/>
                                </w:tcPr>
                                <w:p>
                                  <w:pPr>
                                    <w:pStyle w:val="Contenudetableau"/>
                                    <w:widowControl w:val="false"/>
                                    <w:suppressLineNumbers/>
                                    <w:spacing w:before="57" w:after="57"/>
                                    <w:rPr/>
                                  </w:pPr>
                                  <w:r>
                                    <w:rPr/>
                                  </w:r>
                                </w:p>
                              </w:tc>
                              <w:tc>
                                <w:tcPr>
                                  <w:tcW w:w="2719" w:type="dxa"/>
                                  <w:tcBorders/>
                                  <w:shd w:fill="auto" w:val="clear"/>
                                </w:tcPr>
                                <w:p>
                                  <w:pPr>
                                    <w:pStyle w:val="Contenudetableau"/>
                                    <w:widowControl w:val="false"/>
                                    <w:suppressLineNumbers/>
                                    <w:spacing w:before="57" w:after="57"/>
                                    <w:rPr/>
                                  </w:pPr>
                                  <w:r>
                                    <w:rPr/>
                                  </w:r>
                                </w:p>
                              </w:tc>
                              <w:tc>
                                <w:tcPr>
                                  <w:tcW w:w="401" w:type="dxa"/>
                                  <w:tcBorders/>
                                  <w:shd w:fill="auto" w:val="clear"/>
                                </w:tcPr>
                                <w:p>
                                  <w:pPr>
                                    <w:pStyle w:val="Contenudetableau"/>
                                    <w:spacing w:before="57" w:after="57"/>
                                    <w:rPr>
                                      <w:sz w:val="16"/>
                                    </w:rPr>
                                  </w:pPr>
                                  <w:r>
                                    <w:rPr>
                                      <w:sz w:val="16"/>
                                    </w:rPr>
                                  </w:r>
                                </w:p>
                              </w:tc>
                            </w:tr>
                            <w:tr>
                              <w:trPr/>
                              <w:tc>
                                <w:tcPr>
                                  <w:tcW w:w="2774" w:type="dxa"/>
                                  <w:tcBorders/>
                                  <w:shd w:fill="auto" w:val="clear"/>
                                </w:tcPr>
                                <w:p>
                                  <w:pPr>
                                    <w:pStyle w:val="P68B1DB1Contenudetableau9"/>
                                    <w:spacing w:before="57" w:after="57"/>
                                    <w:jc w:val="right"/>
                                    <w:rPr>
                                      <w:sz w:val="16"/>
                                    </w:rPr>
                                  </w:pPr>
                                  <w:r>
                                    <w:rPr/>
                                    <w:t>Plenarno zasjedanje</w:t>
                                  </w:r>
                                </w:p>
                              </w:tc>
                              <w:tc>
                                <w:tcPr>
                                  <w:tcW w:w="345" w:type="dxa"/>
                                  <w:tcBorders/>
                                  <w:shd w:fill="800000" w:val="clear"/>
                                </w:tcPr>
                                <w:p>
                                  <w:pPr>
                                    <w:pStyle w:val="Contenudetableau"/>
                                    <w:spacing w:before="57" w:after="57"/>
                                    <w:jc w:val="right"/>
                                    <w:rPr>
                                      <w:sz w:val="16"/>
                                    </w:rPr>
                                  </w:pPr>
                                  <w:r>
                                    <w:rPr>
                                      <w:sz w:val="16"/>
                                    </w:rPr>
                                  </w:r>
                                </w:p>
                              </w:tc>
                              <w:tc>
                                <w:tcPr>
                                  <w:tcW w:w="2778" w:type="dxa"/>
                                  <w:tcBorders/>
                                  <w:shd w:fill="auto" w:val="clear"/>
                                </w:tcPr>
                                <w:p>
                                  <w:pPr>
                                    <w:pStyle w:val="P68B1DB1Contenudetableau9"/>
                                    <w:spacing w:before="57" w:after="57"/>
                                    <w:jc w:val="right"/>
                                    <w:rPr>
                                      <w:sz w:val="16"/>
                                    </w:rPr>
                                  </w:pPr>
                                  <w:r>
                                    <w:rPr/>
                                    <w:t>Plenarna sjednica teme</w:t>
                                  </w:r>
                                </w:p>
                              </w:tc>
                              <w:tc>
                                <w:tcPr>
                                  <w:tcW w:w="342" w:type="dxa"/>
                                  <w:tcBorders/>
                                  <w:shd w:fill="0000FF" w:val="clear"/>
                                </w:tcPr>
                                <w:p>
                                  <w:pPr>
                                    <w:pStyle w:val="Contenudetableau"/>
                                    <w:spacing w:before="57" w:after="57"/>
                                    <w:jc w:val="right"/>
                                    <w:rPr>
                                      <w:sz w:val="16"/>
                                    </w:rPr>
                                  </w:pPr>
                                  <w:r>
                                    <w:rPr>
                                      <w:sz w:val="16"/>
                                    </w:rPr>
                                  </w:r>
                                </w:p>
                              </w:tc>
                              <w:tc>
                                <w:tcPr>
                                  <w:tcW w:w="2719" w:type="dxa"/>
                                  <w:tcBorders/>
                                  <w:shd w:fill="auto" w:val="clear"/>
                                </w:tcPr>
                                <w:p>
                                  <w:pPr>
                                    <w:pStyle w:val="P68B1DB1Contenudetableau9"/>
                                    <w:spacing w:before="57" w:after="57"/>
                                    <w:jc w:val="right"/>
                                    <w:rPr>
                                      <w:sz w:val="16"/>
                                    </w:rPr>
                                  </w:pPr>
                                  <w:r>
                                    <w:rPr/>
                                    <w:t>Sjednica podskupine</w:t>
                                  </w:r>
                                </w:p>
                              </w:tc>
                              <w:tc>
                                <w:tcPr>
                                  <w:tcW w:w="401" w:type="dxa"/>
                                  <w:tcBorders/>
                                  <w:shd w:fill="00FF00" w:val="clear"/>
                                </w:tcPr>
                                <w:p>
                                  <w:pPr>
                                    <w:pStyle w:val="Contenudetableau"/>
                                    <w:spacing w:before="57" w:after="57"/>
                                    <w:rPr>
                                      <w:sz w:val="16"/>
                                    </w:rPr>
                                  </w:pPr>
                                  <w:r>
                                    <w:rPr>
                                      <w:sz w:val="16"/>
                                    </w:rPr>
                                  </w:r>
                                </w:p>
                              </w:tc>
                            </w:tr>
                          </w:tbl>
                          <w:p>
                            <w:pPr>
                              <w:pStyle w:val="Contenudecadre"/>
                              <w:spacing w:before="57" w:after="57"/>
                              <w:rPr>
                                <w:color w:val="auto"/>
                              </w:rPr>
                            </w:pPr>
                            <w:r>
                              <w:rPr>
                                <w:color w:val="auto"/>
                              </w:rPr>
                            </w:r>
                          </w:p>
                        </w:txbxContent>
                      </wps:txbx>
                      <wps:bodyPr lIns="54000" rIns="54000" tIns="54000" bIns="54000">
                        <a:noAutofit/>
                      </wps:bodyPr>
                    </wps:wsp>
                  </a:graphicData>
                </a:graphic>
              </wp:anchor>
            </w:drawing>
          </mc:Choice>
          <mc:Fallback>
            <w:pict>
              <v:rect id="shape_0" ID="Hrvatski jezik3" fillcolor="white" stroked="t" style="position:absolute;margin-left:8.3pt;margin-top:201.25pt;width:476.55pt;height:196.4pt">
                <w10:wrap type="none"/>
                <v:fill o:detectmouseclick="t" type="solid" color2="black"/>
                <v:stroke color="black" weight="720" joinstyle="round" endcap="flat"/>
                <v:textbox>
                  <w:txbxContent>
                    <w:tbl>
                      <w:tblPr>
                        <w:tblW w:w="9360" w:type="dxa"/>
                        <w:jc w:val="left"/>
                        <w:tblInd w:w="0" w:type="dxa"/>
                        <w:tblBorders/>
                        <w:tblCellMar>
                          <w:top w:w="0" w:type="dxa"/>
                          <w:left w:w="0" w:type="dxa"/>
                          <w:bottom w:w="0" w:type="dxa"/>
                          <w:right w:w="0" w:type="dxa"/>
                        </w:tblCellMar>
                      </w:tblPr>
                      <w:tblGrid>
                        <w:gridCol w:w="2774"/>
                        <w:gridCol w:w="345"/>
                        <w:gridCol w:w="2778"/>
                        <w:gridCol w:w="342"/>
                        <w:gridCol w:w="2719"/>
                        <w:gridCol w:w="401"/>
                      </w:tblGrid>
                      <w:tr>
                        <w:trPr/>
                        <w:tc>
                          <w:tcPr>
                            <w:tcW w:w="9359" w:type="dxa"/>
                            <w:gridSpan w:val="6"/>
                            <w:tcBorders/>
                            <w:shd w:fill="auto" w:val="clear"/>
                          </w:tcPr>
                          <w:p>
                            <w:pPr>
                              <w:pStyle w:val="P68B1DB1Contenudetableau9"/>
                              <w:spacing w:before="57" w:after="57"/>
                              <w:jc w:val="center"/>
                              <w:rPr>
                                <w:sz w:val="16"/>
                              </w:rPr>
                            </w:pPr>
                            <w:r>
                              <w:rPr/>
                              <w:t>SJEDNICA 2.</w:t>
                            </w:r>
                          </w:p>
                        </w:tc>
                      </w:tr>
                      <w:tr>
                        <w:trPr/>
                        <w:tc>
                          <w:tcPr>
                            <w:tcW w:w="3119" w:type="dxa"/>
                            <w:gridSpan w:val="2"/>
                            <w:tcBorders>
                              <w:top w:val="single" w:sz="4" w:space="0" w:color="0000FF"/>
                              <w:left w:val="single" w:sz="4" w:space="0" w:color="0000FF"/>
                              <w:bottom w:val="single" w:sz="4" w:space="0" w:color="0000FF"/>
                              <w:insideH w:val="single" w:sz="4" w:space="0" w:color="0000FF"/>
                            </w:tcBorders>
                            <w:shd w:fill="0000FF" w:val="clear"/>
                            <w:tcMar>
                              <w:top w:w="28" w:type="dxa"/>
                              <w:left w:w="23" w:type="dxa"/>
                              <w:bottom w:w="28" w:type="dxa"/>
                              <w:right w:w="28" w:type="dxa"/>
                            </w:tcMar>
                          </w:tcPr>
                          <w:p>
                            <w:pPr>
                              <w:pStyle w:val="P68B1DB1Contenudetableau9"/>
                              <w:spacing w:before="57" w:after="57"/>
                              <w:jc w:val="center"/>
                              <w:rPr>
                                <w:sz w:val="16"/>
                              </w:rPr>
                            </w:pPr>
                            <w:r>
                              <w:rPr/>
                              <w:t xml:space="preserve">1. DAN </w:t>
                            </w:r>
                          </w:p>
                          <w:p>
                            <w:pPr>
                              <w:pStyle w:val="P68B1DB1Contenudetableau9"/>
                              <w:spacing w:before="57" w:after="57"/>
                              <w:jc w:val="center"/>
                              <w:rPr>
                                <w:sz w:val="16"/>
                              </w:rPr>
                            </w:pPr>
                            <w:r>
                              <w:rPr/>
                              <w:t>Novi sastanak panela i priprema za vikend</w:t>
                            </w:r>
                          </w:p>
                        </w:tc>
                        <w:tc>
                          <w:tcPr>
                            <w:tcW w:w="3120" w:type="dxa"/>
                            <w:gridSpan w:val="2"/>
                            <w:tcBorders>
                              <w:top w:val="single" w:sz="4" w:space="0" w:color="0000FF"/>
                              <w:left w:val="single" w:sz="4" w:space="0" w:color="0000FF"/>
                              <w:bottom w:val="single" w:sz="4" w:space="0" w:color="0000FF"/>
                              <w:insideH w:val="single" w:sz="4" w:space="0" w:color="0000FF"/>
                            </w:tcBorders>
                            <w:shd w:fill="0000FF" w:val="clear"/>
                            <w:tcMar>
                              <w:top w:w="28" w:type="dxa"/>
                              <w:left w:w="23" w:type="dxa"/>
                              <w:bottom w:w="28" w:type="dxa"/>
                              <w:right w:w="28" w:type="dxa"/>
                            </w:tcMar>
                          </w:tcPr>
                          <w:p>
                            <w:pPr>
                              <w:pStyle w:val="P68B1DB1Contenudetableau9"/>
                              <w:spacing w:before="57" w:after="57"/>
                              <w:jc w:val="center"/>
                              <w:rPr>
                                <w:sz w:val="16"/>
                              </w:rPr>
                            </w:pPr>
                            <w:r>
                              <w:rPr/>
                              <w:t xml:space="preserve">2. DAN </w:t>
                            </w:r>
                          </w:p>
                          <w:p>
                            <w:pPr>
                              <w:pStyle w:val="P68B1DB1Contenudetableau9"/>
                              <w:spacing w:before="57" w:after="57"/>
                              <w:jc w:val="center"/>
                              <w:rPr>
                                <w:sz w:val="16"/>
                              </w:rPr>
                            </w:pPr>
                            <w:r>
                              <w:rPr/>
                              <w:t>Stručni ulaz, identifikacija problema, izrada smjernica</w:t>
                            </w:r>
                          </w:p>
                        </w:tc>
                        <w:tc>
                          <w:tcPr>
                            <w:tcW w:w="3120" w:type="dxa"/>
                            <w:gridSpan w:val="2"/>
                            <w:tcBorders>
                              <w:top w:val="single" w:sz="4" w:space="0" w:color="0000FF"/>
                              <w:left w:val="single" w:sz="4" w:space="0" w:color="0000FF"/>
                              <w:bottom w:val="single" w:sz="4" w:space="0" w:color="0000FF"/>
                              <w:right w:val="single" w:sz="4" w:space="0" w:color="0000FF"/>
                              <w:insideH w:val="single" w:sz="4" w:space="0" w:color="0000FF"/>
                              <w:insideV w:val="single" w:sz="4" w:space="0" w:color="0000FF"/>
                            </w:tcBorders>
                            <w:shd w:fill="0000FF" w:val="clear"/>
                            <w:tcMar>
                              <w:top w:w="28" w:type="dxa"/>
                              <w:left w:w="23" w:type="dxa"/>
                              <w:bottom w:w="28" w:type="dxa"/>
                              <w:right w:w="28" w:type="dxa"/>
                            </w:tcMar>
                          </w:tcPr>
                          <w:p>
                            <w:pPr>
                              <w:pStyle w:val="P68B1DB1Contenudetableau9"/>
                              <w:spacing w:before="57" w:after="57"/>
                              <w:jc w:val="center"/>
                              <w:rPr>
                                <w:sz w:val="16"/>
                              </w:rPr>
                            </w:pPr>
                            <w:r>
                              <w:rPr/>
                              <w:t xml:space="preserve">3. DAN </w:t>
                            </w:r>
                          </w:p>
                          <w:p>
                            <w:pPr>
                              <w:pStyle w:val="P68B1DB1Contenudetableau9"/>
                              <w:spacing w:before="57" w:after="57"/>
                              <w:jc w:val="center"/>
                              <w:rPr>
                                <w:sz w:val="16"/>
                              </w:rPr>
                            </w:pPr>
                            <w:r>
                              <w:rPr/>
                              <w:t>Finalizacija smjernica, Završne napomene</w:t>
                            </w:r>
                          </w:p>
                        </w:tc>
                      </w:tr>
                      <w:tr>
                        <w:trPr/>
                        <w:tc>
                          <w:tcPr>
                            <w:tcW w:w="3119" w:type="dxa"/>
                            <w:gridSpan w:val="2"/>
                            <w:tcBorders/>
                            <w:shd w:fill="auto" w:val="clear"/>
                          </w:tcPr>
                          <w:p>
                            <w:pPr>
                              <w:pStyle w:val="Contenudetableau"/>
                              <w:spacing w:before="57" w:after="57"/>
                              <w:jc w:val="center"/>
                              <w:rPr>
                                <w:sz w:val="16"/>
                              </w:rPr>
                            </w:pPr>
                            <w:r>
                              <w:rPr>
                                <w:sz w:val="16"/>
                              </w:rPr>
                            </w:r>
                          </w:p>
                        </w:tc>
                        <w:tc>
                          <w:tcPr>
                            <w:tcW w:w="3120" w:type="dxa"/>
                            <w:gridSpan w:val="2"/>
                            <w:tcBorders/>
                            <w:shd w:fill="0000FF" w:val="clear"/>
                          </w:tcPr>
                          <w:p>
                            <w:pPr>
                              <w:pStyle w:val="P68B1DB1Contenudetableau9"/>
                              <w:spacing w:before="57" w:after="57"/>
                              <w:jc w:val="center"/>
                              <w:rPr>
                                <w:sz w:val="16"/>
                              </w:rPr>
                            </w:pPr>
                            <w:r>
                              <w:rPr/>
                              <w:t>Doprinos stručnjaka za podteme</w:t>
                            </w:r>
                          </w:p>
                        </w:tc>
                        <w:tc>
                          <w:tcPr>
                            <w:tcW w:w="3120" w:type="dxa"/>
                            <w:gridSpan w:val="2"/>
                            <w:tcBorders/>
                            <w:shd w:fill="0000FF" w:val="clear"/>
                          </w:tcPr>
                          <w:p>
                            <w:pPr>
                              <w:pStyle w:val="P68B1DB1Contenudetableau9"/>
                              <w:spacing w:before="57" w:after="57"/>
                              <w:jc w:val="center"/>
                              <w:rPr>
                                <w:sz w:val="16"/>
                              </w:rPr>
                            </w:pPr>
                            <w:r>
                              <w:rPr/>
                              <w:t>Dodatni doprinos stručnjaka</w:t>
                            </w:r>
                          </w:p>
                        </w:tc>
                      </w:tr>
                      <w:tr>
                        <w:trPr/>
                        <w:tc>
                          <w:tcPr>
                            <w:tcW w:w="3119" w:type="dxa"/>
                            <w:gridSpan w:val="2"/>
                            <w:vMerge w:val="restart"/>
                            <w:tcBorders/>
                            <w:shd w:fill="800000" w:val="clear"/>
                          </w:tcPr>
                          <w:p>
                            <w:pPr>
                              <w:pStyle w:val="P68B1DB1Contenudetableau9"/>
                              <w:spacing w:before="57" w:after="57"/>
                              <w:jc w:val="center"/>
                              <w:rPr>
                                <w:sz w:val="16"/>
                              </w:rPr>
                            </w:pPr>
                            <w:r>
                              <w:rPr/>
                              <w:t xml:space="preserve">Dobrodošao, </w:t>
                            </w:r>
                          </w:p>
                          <w:p>
                            <w:pPr>
                              <w:pStyle w:val="P68B1DB1Contenudetableau9"/>
                              <w:spacing w:before="57" w:after="57"/>
                              <w:jc w:val="center"/>
                              <w:rPr>
                                <w:sz w:val="16"/>
                              </w:rPr>
                            </w:pPr>
                            <w:r>
                              <w:rPr/>
                              <w:t xml:space="preserve">Riječi veleposlanicima građana na povratne informacije, </w:t>
                              <w:br/>
                              <w:t>Ažuriranje platforme, dnevni red</w:t>
                            </w:r>
                          </w:p>
                        </w:tc>
                        <w:tc>
                          <w:tcPr>
                            <w:tcW w:w="3120" w:type="dxa"/>
                            <w:gridSpan w:val="2"/>
                            <w:tcBorders/>
                            <w:shd w:fill="00FF00" w:val="clear"/>
                          </w:tcPr>
                          <w:p>
                            <w:pPr>
                              <w:pStyle w:val="P68B1DB1Contenudetableau9"/>
                              <w:spacing w:before="57" w:after="57"/>
                              <w:jc w:val="center"/>
                              <w:rPr>
                                <w:sz w:val="16"/>
                              </w:rPr>
                            </w:pPr>
                            <w:r>
                              <w:rPr/>
                              <w:t>Izrada smjernica</w:t>
                            </w:r>
                          </w:p>
                        </w:tc>
                        <w:tc>
                          <w:tcPr>
                            <w:tcW w:w="3120" w:type="dxa"/>
                            <w:gridSpan w:val="2"/>
                            <w:tcBorders/>
                            <w:shd w:fill="00FF00" w:val="clear"/>
                          </w:tcPr>
                          <w:p>
                            <w:pPr>
                              <w:pStyle w:val="P68B1DB1Contenudetableau9"/>
                              <w:spacing w:before="57" w:after="57"/>
                              <w:jc w:val="center"/>
                              <w:rPr>
                                <w:sz w:val="16"/>
                              </w:rPr>
                            </w:pPr>
                            <w:r>
                              <w:rPr/>
                              <w:t xml:space="preserve"> </w:t>
                            </w:r>
                            <w:r>
                              <w:rPr/>
                              <w:t>Finalizacija smjernica</w:t>
                            </w:r>
                          </w:p>
                        </w:tc>
                      </w:tr>
                      <w:tr>
                        <w:trPr/>
                        <w:tc>
                          <w:tcPr>
                            <w:tcW w:w="3119" w:type="dxa"/>
                            <w:gridSpan w:val="2"/>
                            <w:vMerge w:val="continue"/>
                            <w:tcBorders/>
                            <w:shd w:fill="800000" w:val="clear"/>
                          </w:tcPr>
                          <w:p>
                            <w:pPr>
                              <w:pStyle w:val="Normal"/>
                              <w:spacing w:before="57" w:after="57"/>
                              <w:ind w:left="0" w:right="0" w:hanging="0"/>
                              <w:rPr/>
                            </w:pPr>
                            <w:r>
                              <w:rPr/>
                            </w:r>
                          </w:p>
                        </w:tc>
                        <w:tc>
                          <w:tcPr>
                            <w:tcW w:w="3120" w:type="dxa"/>
                            <w:gridSpan w:val="2"/>
                            <w:tcBorders/>
                            <w:shd w:fill="auto" w:val="clear"/>
                          </w:tcPr>
                          <w:p>
                            <w:pPr>
                              <w:pStyle w:val="Contenudetableau"/>
                              <w:spacing w:before="57" w:after="57"/>
                              <w:jc w:val="center"/>
                              <w:rPr>
                                <w:sz w:val="16"/>
                              </w:rPr>
                            </w:pPr>
                            <w:r>
                              <w:rPr>
                                <w:sz w:val="16"/>
                              </w:rPr>
                            </w:r>
                          </w:p>
                        </w:tc>
                        <w:tc>
                          <w:tcPr>
                            <w:tcW w:w="3120" w:type="dxa"/>
                            <w:gridSpan w:val="2"/>
                            <w:tcBorders/>
                            <w:shd w:fill="800000" w:val="clear"/>
                          </w:tcPr>
                          <w:p>
                            <w:pPr>
                              <w:pStyle w:val="P68B1DB1Contenudetableau9"/>
                              <w:spacing w:before="57" w:after="57"/>
                              <w:jc w:val="center"/>
                              <w:rPr>
                                <w:sz w:val="16"/>
                              </w:rPr>
                            </w:pPr>
                            <w:r>
                              <w:rPr/>
                              <w:t xml:space="preserve">Dijeljenje određenih smjernica, </w:t>
                              <w:br/>
                              <w:t>Završne napomene</w:t>
                            </w:r>
                          </w:p>
                        </w:tc>
                      </w:tr>
                      <w:tr>
                        <w:trPr/>
                        <w:tc>
                          <w:tcPr>
                            <w:tcW w:w="2774" w:type="dxa"/>
                            <w:tcBorders/>
                            <w:shd w:fill="auto" w:val="clear"/>
                          </w:tcPr>
                          <w:p>
                            <w:pPr>
                              <w:pStyle w:val="Contenudetableau"/>
                              <w:widowControl w:val="false"/>
                              <w:suppressLineNumbers/>
                              <w:spacing w:before="57" w:after="57"/>
                              <w:rPr/>
                            </w:pPr>
                            <w:r>
                              <w:rPr/>
                            </w:r>
                          </w:p>
                        </w:tc>
                        <w:tc>
                          <w:tcPr>
                            <w:tcW w:w="345" w:type="dxa"/>
                            <w:tcBorders/>
                            <w:shd w:fill="auto" w:val="clear"/>
                          </w:tcPr>
                          <w:p>
                            <w:pPr>
                              <w:pStyle w:val="Contenudetableau"/>
                              <w:widowControl w:val="false"/>
                              <w:suppressLineNumbers/>
                              <w:spacing w:before="57" w:after="57"/>
                              <w:rPr/>
                            </w:pPr>
                            <w:r>
                              <w:rPr/>
                            </w:r>
                          </w:p>
                        </w:tc>
                        <w:tc>
                          <w:tcPr>
                            <w:tcW w:w="2778" w:type="dxa"/>
                            <w:tcBorders/>
                            <w:shd w:fill="auto" w:val="clear"/>
                          </w:tcPr>
                          <w:p>
                            <w:pPr>
                              <w:pStyle w:val="Contenudetableau"/>
                              <w:widowControl w:val="false"/>
                              <w:suppressLineNumbers/>
                              <w:spacing w:before="57" w:after="57"/>
                              <w:rPr/>
                            </w:pPr>
                            <w:r>
                              <w:rPr/>
                            </w:r>
                          </w:p>
                        </w:tc>
                        <w:tc>
                          <w:tcPr>
                            <w:tcW w:w="342" w:type="dxa"/>
                            <w:tcBorders/>
                            <w:shd w:fill="auto" w:val="clear"/>
                          </w:tcPr>
                          <w:p>
                            <w:pPr>
                              <w:pStyle w:val="Contenudetableau"/>
                              <w:widowControl w:val="false"/>
                              <w:suppressLineNumbers/>
                              <w:spacing w:before="57" w:after="57"/>
                              <w:rPr/>
                            </w:pPr>
                            <w:r>
                              <w:rPr/>
                            </w:r>
                          </w:p>
                        </w:tc>
                        <w:tc>
                          <w:tcPr>
                            <w:tcW w:w="2719" w:type="dxa"/>
                            <w:tcBorders/>
                            <w:shd w:fill="auto" w:val="clear"/>
                          </w:tcPr>
                          <w:p>
                            <w:pPr>
                              <w:pStyle w:val="Contenudetableau"/>
                              <w:widowControl w:val="false"/>
                              <w:suppressLineNumbers/>
                              <w:spacing w:before="57" w:after="57"/>
                              <w:rPr/>
                            </w:pPr>
                            <w:r>
                              <w:rPr/>
                            </w:r>
                          </w:p>
                        </w:tc>
                        <w:tc>
                          <w:tcPr>
                            <w:tcW w:w="401" w:type="dxa"/>
                            <w:tcBorders/>
                            <w:shd w:fill="auto" w:val="clear"/>
                          </w:tcPr>
                          <w:p>
                            <w:pPr>
                              <w:pStyle w:val="Contenudetableau"/>
                              <w:spacing w:before="57" w:after="57"/>
                              <w:rPr>
                                <w:sz w:val="16"/>
                              </w:rPr>
                            </w:pPr>
                            <w:r>
                              <w:rPr>
                                <w:sz w:val="16"/>
                              </w:rPr>
                            </w:r>
                          </w:p>
                        </w:tc>
                      </w:tr>
                      <w:tr>
                        <w:trPr/>
                        <w:tc>
                          <w:tcPr>
                            <w:tcW w:w="2774" w:type="dxa"/>
                            <w:tcBorders/>
                            <w:shd w:fill="auto" w:val="clear"/>
                          </w:tcPr>
                          <w:p>
                            <w:pPr>
                              <w:pStyle w:val="P68B1DB1Contenudetableau9"/>
                              <w:spacing w:before="57" w:after="57"/>
                              <w:jc w:val="right"/>
                              <w:rPr>
                                <w:sz w:val="16"/>
                              </w:rPr>
                            </w:pPr>
                            <w:r>
                              <w:rPr/>
                              <w:t>Plenarno zasjedanje</w:t>
                            </w:r>
                          </w:p>
                        </w:tc>
                        <w:tc>
                          <w:tcPr>
                            <w:tcW w:w="345" w:type="dxa"/>
                            <w:tcBorders/>
                            <w:shd w:fill="800000" w:val="clear"/>
                          </w:tcPr>
                          <w:p>
                            <w:pPr>
                              <w:pStyle w:val="Contenudetableau"/>
                              <w:spacing w:before="57" w:after="57"/>
                              <w:jc w:val="right"/>
                              <w:rPr>
                                <w:sz w:val="16"/>
                              </w:rPr>
                            </w:pPr>
                            <w:r>
                              <w:rPr>
                                <w:sz w:val="16"/>
                              </w:rPr>
                            </w:r>
                          </w:p>
                        </w:tc>
                        <w:tc>
                          <w:tcPr>
                            <w:tcW w:w="2778" w:type="dxa"/>
                            <w:tcBorders/>
                            <w:shd w:fill="auto" w:val="clear"/>
                          </w:tcPr>
                          <w:p>
                            <w:pPr>
                              <w:pStyle w:val="P68B1DB1Contenudetableau9"/>
                              <w:spacing w:before="57" w:after="57"/>
                              <w:jc w:val="right"/>
                              <w:rPr>
                                <w:sz w:val="16"/>
                              </w:rPr>
                            </w:pPr>
                            <w:r>
                              <w:rPr/>
                              <w:t>Plenarna sjednica teme</w:t>
                            </w:r>
                          </w:p>
                        </w:tc>
                        <w:tc>
                          <w:tcPr>
                            <w:tcW w:w="342" w:type="dxa"/>
                            <w:tcBorders/>
                            <w:shd w:fill="0000FF" w:val="clear"/>
                          </w:tcPr>
                          <w:p>
                            <w:pPr>
                              <w:pStyle w:val="Contenudetableau"/>
                              <w:spacing w:before="57" w:after="57"/>
                              <w:jc w:val="right"/>
                              <w:rPr>
                                <w:sz w:val="16"/>
                              </w:rPr>
                            </w:pPr>
                            <w:r>
                              <w:rPr>
                                <w:sz w:val="16"/>
                              </w:rPr>
                            </w:r>
                          </w:p>
                        </w:tc>
                        <w:tc>
                          <w:tcPr>
                            <w:tcW w:w="2719" w:type="dxa"/>
                            <w:tcBorders/>
                            <w:shd w:fill="auto" w:val="clear"/>
                          </w:tcPr>
                          <w:p>
                            <w:pPr>
                              <w:pStyle w:val="P68B1DB1Contenudetableau9"/>
                              <w:spacing w:before="57" w:after="57"/>
                              <w:jc w:val="right"/>
                              <w:rPr>
                                <w:sz w:val="16"/>
                              </w:rPr>
                            </w:pPr>
                            <w:r>
                              <w:rPr/>
                              <w:t>Sjednica podskupine</w:t>
                            </w:r>
                          </w:p>
                        </w:tc>
                        <w:tc>
                          <w:tcPr>
                            <w:tcW w:w="401" w:type="dxa"/>
                            <w:tcBorders/>
                            <w:shd w:fill="00FF00" w:val="clear"/>
                          </w:tcPr>
                          <w:p>
                            <w:pPr>
                              <w:pStyle w:val="Contenudetableau"/>
                              <w:spacing w:before="57" w:after="57"/>
                              <w:rPr>
                                <w:sz w:val="16"/>
                              </w:rPr>
                            </w:pPr>
                            <w:r>
                              <w:rPr>
                                <w:sz w:val="16"/>
                              </w:rPr>
                            </w:r>
                          </w:p>
                        </w:tc>
                      </w:tr>
                    </w:tbl>
                    <w:p>
                      <w:pPr>
                        <w:pStyle w:val="Contenudecadre"/>
                        <w:spacing w:before="57" w:after="57"/>
                        <w:rPr>
                          <w:color w:val="auto"/>
                        </w:rPr>
                      </w:pPr>
                      <w:r>
                        <w:rPr>
                          <w:color w:val="auto"/>
                        </w:rPr>
                      </w:r>
                    </w:p>
                  </w:txbxContent>
                </v:textbox>
              </v:rect>
            </w:pict>
          </mc:Fallback>
        </mc:AlternateContent>
      </w:r>
      <w:r>
        <w:rPr/>
        <w:t xml:space="preserve"> </w:t>
      </w:r>
      <w:r>
        <w:rPr/>
        <w:t>na plenarnoj sjednici, sa svim sudionicima. Plenarne sjednice vodila su dva glavna moderatora. Prioritetne teme koje su proizašle iz rasprava podijeljene su na „os” (koja odgovara tematskim klasterima) i „podos” te su poslužile kao osnova za drugu seriju sastanaka. U tu su svrhu sudionici dobili osnovne informacije o temama, kao i relevantne doprinose, uključujući analize i konceptualne sheme, iz prvog privremenog izvješća višejezične digitalne platforme i prezentacije vanjskih stručnjaka na visokoj razini.</w:t>
      </w:r>
    </w:p>
    <w:p>
      <w:pPr>
        <w:pStyle w:val="Corpsdetexte"/>
        <w:rPr/>
      </w:pPr>
      <w:r>
        <w:rPr/>
        <w:t>Tijekom prvih sjednica 20 osoba od kojih je zatraženo da predstavljaju sva panela na plenarnoj sjednici odabrano je među dobrovoljnim građanima; pritom su ga promatrali različitost dobi i spola.</w:t>
      </w:r>
    </w:p>
    <w:p>
      <w:pPr>
        <w:pStyle w:val="Titre4"/>
        <w:numPr>
          <w:ilvl w:val="3"/>
          <w:numId w:val="2"/>
        </w:numPr>
        <w:rPr/>
      </w:pPr>
      <w:bookmarkStart w:id="12" w:name="__RefHeading___Toc298198_1346298689"/>
      <w:bookmarkEnd w:id="12"/>
      <w:r>
        <w:rPr/>
        <w:t>DRUGI KRUG PANEL SJEDNICA</w:t>
      </w:r>
    </w:p>
    <w:p>
      <w:pPr>
        <w:pStyle w:val="Corpsdetexte"/>
        <w:rPr/>
      </w:pPr>
      <w:r>
        <w:rPr/>
        <w:t>Europski paneli građana nastavili su svoj rad na sastancima na internetu tijekom studenoga. U tu je svrhu uspostavljen poseban program: Studio u Bruxellesu bio je domaćin glavne moderacije i plenarnih sjednica, dok bi građani koji sudjeluju iz cijelog EU-a mogli intervenirati putem sustava povezivanja i usmenog prevođenja.</w:t>
      </w:r>
    </w:p>
    <w:p>
      <w:pPr>
        <w:pStyle w:val="Corpsdetexte"/>
        <w:rPr/>
      </w:pPr>
      <w:r>
        <w:rPr/>
        <w:t>U drugom krugu sastanaka, uz potporu stručnjaka i provjeravatelja činjenica, građani su identificirali i raspravljali o nizu posebnih pitanja i izradili smjernice za svaku od tematskih osi koje su utvrdili tijekom prve sjednice. Posebna pozornost posvećena je rodnoj i geografskoj ravnoteži unutar stručne skupine te da svaki od tih stručnjaka svojim doprinosom detaljno informira građane priopćavajući činjenice i/ili napredak u raspravi i suzdržavajući se od davanja osobnih mišljenja. Građanima su dostavljena i privremena izvješća višejezične digitalne platforme.</w:t>
      </w:r>
    </w:p>
    <w:p>
      <w:pPr>
        <w:pStyle w:val="Corpsdetexte"/>
        <w:rPr/>
      </w:pPr>
      <w:r>
        <w:rPr/>
        <w:t>Stoga su tijekom rasprava održanih tijekom drugog kruga sjednica mogli utvrditi i raspravljati o pitanjima povezanima s temama koje su im dodijeljene, nadovezujući se na doprinos stručnjaka o obuhvaćenim temama te njihovo vlastito znanje i iskustva. Problemi su definirani kao problemi koji zahtijevaju rješenja ili situacije koje zahtijevaju promjene.</w:t>
      </w:r>
    </w:p>
    <w:p>
      <w:pPr>
        <w:pStyle w:val="Corpsdetexte"/>
        <w:rPr/>
      </w:pPr>
      <w:r>
        <w:rPr/>
        <w:t>Građani su se zatim bavili tim pitanjima izradom smjernica, što je bio prvi korak prema oblikovanju preporuka, što je bio cilj trećeg niza sjednica. Od građana se također tražilo da opravdaju te smjernice.</w:t>
      </w:r>
    </w:p>
    <w:p>
      <w:pPr>
        <w:pStyle w:val="Corpsdetexte"/>
        <w:rPr/>
      </w:pPr>
      <w:r>
        <w:rPr/>
        <w:t>Rasprave i zajednički rad odvijali su se u tri formata:</w:t>
      </w:r>
    </w:p>
    <w:p>
      <w:pPr>
        <w:pStyle w:val="Alineanegatifpuce"/>
        <w:numPr>
          <w:ilvl w:val="0"/>
          <w:numId w:val="3"/>
        </w:numPr>
        <w:spacing w:before="4842" w:after="57"/>
        <w:rPr/>
      </w:pPr>
      <w:r>
        <mc:AlternateContent>
          <mc:Choice Requires="wps">
            <w:drawing>
              <wp:anchor behindDoc="0" distT="72390" distB="72390" distL="72390" distR="72390" simplePos="0" locked="0" layoutInCell="1" allowOverlap="1" relativeHeight="9">
                <wp:simplePos x="0" y="0"/>
                <wp:positionH relativeFrom="column">
                  <wp:posOffset>46990</wp:posOffset>
                </wp:positionH>
                <wp:positionV relativeFrom="paragraph">
                  <wp:posOffset>1572260</wp:posOffset>
                </wp:positionV>
                <wp:extent cx="6087745" cy="3075305"/>
                <wp:effectExtent l="0" t="0" r="0" b="0"/>
                <wp:wrapSquare wrapText="bothSides"/>
                <wp:docPr id="18" name="Hrvatski jezik4"/>
                <a:graphic xmlns:a="http://schemas.openxmlformats.org/drawingml/2006/main">
                  <a:graphicData uri="http://schemas.microsoft.com/office/word/2010/wordprocessingShape">
                    <wps:wsp>
                      <wps:cNvSpPr/>
                      <wps:spPr>
                        <a:xfrm>
                          <a:off x="0" y="0"/>
                          <a:ext cx="6087240" cy="3074760"/>
                        </a:xfrm>
                        <a:prstGeom prst="rect">
                          <a:avLst/>
                        </a:prstGeom>
                        <a:solidFill>
                          <a:srgbClr val="ffffff"/>
                        </a:solidFill>
                        <a:ln w="720">
                          <a:solidFill>
                            <a:srgbClr val="000000"/>
                          </a:solidFill>
                          <a:round/>
                        </a:ln>
                      </wps:spPr>
                      <wps:style>
                        <a:lnRef idx="0"/>
                        <a:fillRef idx="0"/>
                        <a:effectRef idx="0"/>
                        <a:fontRef idx="minor"/>
                      </wps:style>
                      <wps:txbx>
                        <w:txbxContent>
                          <w:tbl>
                            <w:tblPr>
                              <w:tblW w:w="9414" w:type="dxa"/>
                              <w:jc w:val="left"/>
                              <w:tblInd w:w="0" w:type="dxa"/>
                              <w:tblBorders/>
                              <w:tblCellMar>
                                <w:top w:w="0" w:type="dxa"/>
                                <w:left w:w="0" w:type="dxa"/>
                                <w:bottom w:w="0" w:type="dxa"/>
                                <w:right w:w="0" w:type="dxa"/>
                              </w:tblCellMar>
                            </w:tblPr>
                            <w:tblGrid>
                              <w:gridCol w:w="3138"/>
                              <w:gridCol w:w="3138"/>
                              <w:gridCol w:w="3138"/>
                            </w:tblGrid>
                            <w:tr>
                              <w:trPr/>
                              <w:tc>
                                <w:tcPr>
                                  <w:tcW w:w="9414" w:type="dxa"/>
                                  <w:gridSpan w:val="3"/>
                                  <w:tcBorders/>
                                  <w:shd w:fill="auto" w:val="clear"/>
                                </w:tcPr>
                                <w:p>
                                  <w:pPr>
                                    <w:pStyle w:val="P68B1DB1Contenudetableau10"/>
                                    <w:spacing w:before="57" w:after="57"/>
                                    <w:jc w:val="center"/>
                                    <w:rPr>
                                      <w:b/>
                                      <w:b/>
                                    </w:rPr>
                                  </w:pPr>
                                  <w:r>
                                    <w:rPr/>
                                    <w:t>SJEDNICA 3.</w:t>
                                  </w:r>
                                </w:p>
                              </w:tc>
                            </w:tr>
                            <w:tr>
                              <w:trPr/>
                              <w:tc>
                                <w:tcPr>
                                  <w:tcW w:w="3138" w:type="dxa"/>
                                  <w:tcBorders/>
                                  <w:shd w:fill="0000FF" w:val="clear"/>
                                </w:tcPr>
                                <w:p>
                                  <w:pPr>
                                    <w:pStyle w:val="P68B1DB1Contenudetableau10"/>
                                    <w:spacing w:before="57" w:after="57"/>
                                    <w:jc w:val="center"/>
                                    <w:rPr>
                                      <w:b/>
                                      <w:b/>
                                    </w:rPr>
                                  </w:pPr>
                                  <w:r>
                                    <w:rPr/>
                                    <w:t xml:space="preserve">1. DAN </w:t>
                                  </w:r>
                                </w:p>
                                <w:p>
                                  <w:pPr>
                                    <w:pStyle w:val="Contenudetableau"/>
                                    <w:spacing w:before="57" w:after="57"/>
                                    <w:jc w:val="center"/>
                                    <w:rPr/>
                                  </w:pPr>
                                  <w:r>
                                    <w:rPr/>
                                    <w:t>Ponovno povezivanje, određivanje prioriteta i početak rada</w:t>
                                  </w:r>
                                </w:p>
                              </w:tc>
                              <w:tc>
                                <w:tcPr>
                                  <w:tcW w:w="3138" w:type="dxa"/>
                                  <w:tcBorders/>
                                  <w:shd w:fill="0000FF" w:val="clear"/>
                                </w:tcPr>
                                <w:p>
                                  <w:pPr>
                                    <w:pStyle w:val="P68B1DB1Contenudetableau10"/>
                                    <w:spacing w:before="57" w:after="57"/>
                                    <w:jc w:val="center"/>
                                    <w:rPr>
                                      <w:b/>
                                      <w:b/>
                                    </w:rPr>
                                  </w:pPr>
                                  <w:r>
                                    <w:rPr/>
                                    <w:t xml:space="preserve">2. DAN </w:t>
                                  </w:r>
                                </w:p>
                                <w:p>
                                  <w:pPr>
                                    <w:pStyle w:val="Contenudetableau"/>
                                    <w:jc w:val="center"/>
                                    <w:rPr/>
                                  </w:pPr>
                                  <w:r>
                                    <w:rPr/>
                                    <w:t xml:space="preserve">Transformacija smjernica </w:t>
                                  </w:r>
                                </w:p>
                                <w:p>
                                  <w:pPr>
                                    <w:pStyle w:val="Contenudetableau"/>
                                    <w:spacing w:before="57" w:after="57"/>
                                    <w:jc w:val="center"/>
                                    <w:rPr/>
                                  </w:pPr>
                                  <w:r>
                                    <w:rPr/>
                                    <w:t>završne preporuke</w:t>
                                  </w:r>
                                </w:p>
                              </w:tc>
                              <w:tc>
                                <w:tcPr>
                                  <w:tcW w:w="3138" w:type="dxa"/>
                                  <w:tcBorders/>
                                  <w:shd w:fill="0000FF" w:val="clear"/>
                                </w:tcPr>
                                <w:p>
                                  <w:pPr>
                                    <w:pStyle w:val="P68B1DB1Contenudetableau10"/>
                                    <w:spacing w:before="57" w:after="57"/>
                                    <w:jc w:val="center"/>
                                    <w:rPr>
                                      <w:b/>
                                      <w:b/>
                                    </w:rPr>
                                  </w:pPr>
                                  <w:r>
                                    <w:rPr/>
                                    <w:t xml:space="preserve">3. DAN </w:t>
                                  </w:r>
                                </w:p>
                                <w:p>
                                  <w:pPr>
                                    <w:pStyle w:val="Contenudetableau"/>
                                    <w:spacing w:before="57" w:after="57"/>
                                    <w:jc w:val="center"/>
                                    <w:rPr/>
                                  </w:pPr>
                                  <w:r>
                                    <w:rPr/>
                                    <w:t>Glasovanje o konačnim preporukama</w:t>
                                  </w:r>
                                </w:p>
                              </w:tc>
                            </w:tr>
                            <w:tr>
                              <w:trPr/>
                              <w:tc>
                                <w:tcPr>
                                  <w:tcW w:w="3138" w:type="dxa"/>
                                  <w:tcBorders/>
                                  <w:shd w:fill="800000" w:val="clear"/>
                                </w:tcPr>
                                <w:p>
                                  <w:pPr>
                                    <w:pStyle w:val="Contenudetableau"/>
                                    <w:spacing w:before="57" w:after="57"/>
                                    <w:jc w:val="center"/>
                                    <w:rPr/>
                                  </w:pPr>
                                  <w:r>
                                    <w:rPr/>
                                    <w:t>Dobrodošlica i ciljevi vikenda</w:t>
                                  </w:r>
                                </w:p>
                              </w:tc>
                              <w:tc>
                                <w:tcPr>
                                  <w:tcW w:w="3138" w:type="dxa"/>
                                  <w:tcBorders/>
                                  <w:shd w:fill="00FF00" w:val="clear"/>
                                </w:tcPr>
                                <w:p>
                                  <w:pPr>
                                    <w:pStyle w:val="Contenudetableau"/>
                                    <w:spacing w:before="57" w:after="57"/>
                                    <w:jc w:val="center"/>
                                    <w:rPr/>
                                  </w:pPr>
                                  <w:r>
                                    <w:rPr/>
                                    <w:t>Pretvaranje smjernica u preporuke</w:t>
                                  </w:r>
                                </w:p>
                              </w:tc>
                              <w:tc>
                                <w:tcPr>
                                  <w:tcW w:w="3138" w:type="dxa"/>
                                  <w:tcBorders/>
                                  <w:shd w:fill="800000" w:val="clear"/>
                                </w:tcPr>
                                <w:p>
                                  <w:pPr>
                                    <w:pStyle w:val="Contenudetableau"/>
                                    <w:spacing w:before="57" w:after="57"/>
                                    <w:jc w:val="center"/>
                                    <w:rPr/>
                                  </w:pPr>
                                  <w:r>
                                    <w:rPr/>
                                    <w:t>Glasovanje o konačnim preporukama</w:t>
                                  </w:r>
                                </w:p>
                              </w:tc>
                            </w:tr>
                            <w:tr>
                              <w:trPr/>
                              <w:tc>
                                <w:tcPr>
                                  <w:tcW w:w="3138" w:type="dxa"/>
                                  <w:tcBorders/>
                                  <w:shd w:fill="0000FF" w:val="clear"/>
                                </w:tcPr>
                                <w:p>
                                  <w:pPr>
                                    <w:pStyle w:val="Contenudetableau"/>
                                    <w:spacing w:before="57" w:after="57"/>
                                    <w:jc w:val="center"/>
                                    <w:rPr/>
                                  </w:pPr>
                                  <w:r>
                                    <w:rPr/>
                                    <w:t xml:space="preserve">Otvoreni forum, </w:t>
                                  </w:r>
                                </w:p>
                                <w:p>
                                  <w:pPr>
                                    <w:pStyle w:val="Contenudetableau"/>
                                    <w:spacing w:before="57" w:after="57"/>
                                    <w:jc w:val="center"/>
                                    <w:rPr/>
                                  </w:pPr>
                                  <w:r>
                                    <w:rPr/>
                                    <w:t>Čitanje i određivanje prioriteta smjernica</w:t>
                                  </w:r>
                                </w:p>
                              </w:tc>
                              <w:tc>
                                <w:tcPr>
                                  <w:tcW w:w="3138" w:type="dxa"/>
                                  <w:tcBorders/>
                                  <w:shd w:fill="00FF00" w:val="clear"/>
                                </w:tcPr>
                                <w:p>
                                  <w:pPr>
                                    <w:pStyle w:val="Contenudetableau"/>
                                    <w:spacing w:before="57" w:after="57"/>
                                    <w:jc w:val="center"/>
                                    <w:rPr/>
                                  </w:pPr>
                                  <w:r>
                                    <w:rPr/>
                                    <w:t>Povratne informacije drugim skupinama, finalizacija preporuka</w:t>
                                  </w:r>
                                </w:p>
                              </w:tc>
                              <w:tc>
                                <w:tcPr>
                                  <w:tcW w:w="3138" w:type="dxa"/>
                                  <w:tcBorders/>
                                  <w:shd w:fill="auto" w:val="clear"/>
                                </w:tcPr>
                                <w:p>
                                  <w:pPr>
                                    <w:pStyle w:val="Contenudetableau"/>
                                    <w:spacing w:before="57" w:after="57"/>
                                    <w:jc w:val="center"/>
                                    <w:rPr/>
                                  </w:pPr>
                                  <w:r>
                                    <w:rPr/>
                                  </w:r>
                                </w:p>
                              </w:tc>
                            </w:tr>
                            <w:tr>
                              <w:trPr/>
                              <w:tc>
                                <w:tcPr>
                                  <w:tcW w:w="3138" w:type="dxa"/>
                                  <w:tcBorders/>
                                  <w:shd w:fill="00FF00" w:val="clear"/>
                                </w:tcPr>
                                <w:p>
                                  <w:pPr>
                                    <w:pStyle w:val="Contenudetableau"/>
                                    <w:spacing w:before="57" w:after="57"/>
                                    <w:jc w:val="center"/>
                                    <w:rPr/>
                                  </w:pPr>
                                  <w:r>
                                    <w:rPr/>
                                    <w:t>Pretvaranje smjernica u preporuke</w:t>
                                  </w:r>
                                </w:p>
                              </w:tc>
                              <w:tc>
                                <w:tcPr>
                                  <w:tcW w:w="3138" w:type="dxa"/>
                                  <w:tcBorders/>
                                  <w:shd w:fill="auto" w:val="clear"/>
                                </w:tcPr>
                                <w:p>
                                  <w:pPr>
                                    <w:pStyle w:val="Contenudetableau"/>
                                    <w:spacing w:before="57" w:after="57"/>
                                    <w:jc w:val="center"/>
                                    <w:rPr/>
                                  </w:pPr>
                                  <w:r>
                                    <w:rPr/>
                                  </w:r>
                                </w:p>
                              </w:tc>
                              <w:tc>
                                <w:tcPr>
                                  <w:tcW w:w="3138" w:type="dxa"/>
                                  <w:tcBorders/>
                                  <w:shd w:fill="auto" w:val="clear"/>
                                </w:tcPr>
                                <w:p>
                                  <w:pPr>
                                    <w:pStyle w:val="Contenudetableau"/>
                                    <w:spacing w:before="57" w:after="57"/>
                                    <w:jc w:val="center"/>
                                    <w:rPr/>
                                  </w:pPr>
                                  <w:r>
                                    <w:rPr/>
                                  </w:r>
                                </w:p>
                              </w:tc>
                            </w:tr>
                          </w:tbl>
                          <w:p>
                            <w:pPr>
                              <w:pStyle w:val="Contenudecadre"/>
                              <w:rPr>
                                <w:color w:val="auto"/>
                              </w:rPr>
                            </w:pPr>
                            <w:r>
                              <w:rPr>
                                <w:color w:val="auto"/>
                              </w:rPr>
                            </w:r>
                          </w:p>
                          <w:tbl>
                            <w:tblPr>
                              <w:tblW w:w="9414" w:type="dxa"/>
                              <w:jc w:val="left"/>
                              <w:tblInd w:w="0" w:type="dxa"/>
                              <w:tblBorders/>
                              <w:tblCellMar>
                                <w:top w:w="0" w:type="dxa"/>
                                <w:left w:w="0" w:type="dxa"/>
                                <w:bottom w:w="0" w:type="dxa"/>
                                <w:right w:w="0" w:type="dxa"/>
                              </w:tblCellMar>
                            </w:tblPr>
                            <w:tblGrid>
                              <w:gridCol w:w="2790"/>
                              <w:gridCol w:w="347"/>
                              <w:gridCol w:w="2794"/>
                              <w:gridCol w:w="345"/>
                              <w:gridCol w:w="2735"/>
                              <w:gridCol w:w="402"/>
                            </w:tblGrid>
                            <w:tr>
                              <w:trPr/>
                              <w:tc>
                                <w:tcPr>
                                  <w:tcW w:w="2790" w:type="dxa"/>
                                  <w:tcBorders/>
                                  <w:shd w:fill="auto" w:val="clear"/>
                                </w:tcPr>
                                <w:p>
                                  <w:pPr>
                                    <w:pStyle w:val="P68B1DB1Contenudetableau9"/>
                                    <w:spacing w:before="57" w:after="57"/>
                                    <w:jc w:val="right"/>
                                    <w:rPr>
                                      <w:sz w:val="16"/>
                                    </w:rPr>
                                  </w:pPr>
                                  <w:r>
                                    <w:rPr>
                                      <w:color w:val="auto"/>
                                    </w:rPr>
                                    <w:t>Plenarno zasjedanje</w:t>
                                  </w:r>
                                </w:p>
                              </w:tc>
                              <w:tc>
                                <w:tcPr>
                                  <w:tcW w:w="347" w:type="dxa"/>
                                  <w:tcBorders/>
                                  <w:shd w:fill="800000" w:val="clear"/>
                                </w:tcPr>
                                <w:p>
                                  <w:pPr>
                                    <w:pStyle w:val="Contenudetableau"/>
                                    <w:spacing w:before="57" w:after="57"/>
                                    <w:jc w:val="right"/>
                                    <w:rPr>
                                      <w:color w:val="auto"/>
                                      <w:sz w:val="16"/>
                                    </w:rPr>
                                  </w:pPr>
                                  <w:r>
                                    <w:rPr>
                                      <w:color w:val="auto"/>
                                      <w:sz w:val="16"/>
                                    </w:rPr>
                                  </w:r>
                                </w:p>
                              </w:tc>
                              <w:tc>
                                <w:tcPr>
                                  <w:tcW w:w="2794" w:type="dxa"/>
                                  <w:tcBorders/>
                                  <w:shd w:fill="auto" w:val="clear"/>
                                </w:tcPr>
                                <w:p>
                                  <w:pPr>
                                    <w:pStyle w:val="P68B1DB1Contenudetableau9"/>
                                    <w:spacing w:before="57" w:after="57"/>
                                    <w:jc w:val="right"/>
                                    <w:rPr>
                                      <w:sz w:val="16"/>
                                    </w:rPr>
                                  </w:pPr>
                                  <w:r>
                                    <w:rPr>
                                      <w:color w:val="auto"/>
                                    </w:rPr>
                                    <w:t>Otvoren forum</w:t>
                                  </w:r>
                                </w:p>
                              </w:tc>
                              <w:tc>
                                <w:tcPr>
                                  <w:tcW w:w="345" w:type="dxa"/>
                                  <w:tcBorders/>
                                  <w:shd w:fill="0000FF" w:val="clear"/>
                                </w:tcPr>
                                <w:p>
                                  <w:pPr>
                                    <w:pStyle w:val="Contenudetableau"/>
                                    <w:spacing w:before="57" w:after="57"/>
                                    <w:jc w:val="right"/>
                                    <w:rPr>
                                      <w:color w:val="auto"/>
                                      <w:sz w:val="16"/>
                                    </w:rPr>
                                  </w:pPr>
                                  <w:r>
                                    <w:rPr>
                                      <w:color w:val="auto"/>
                                      <w:sz w:val="16"/>
                                    </w:rPr>
                                  </w:r>
                                </w:p>
                              </w:tc>
                              <w:tc>
                                <w:tcPr>
                                  <w:tcW w:w="2735" w:type="dxa"/>
                                  <w:tcBorders/>
                                  <w:shd w:fill="auto" w:val="clear"/>
                                </w:tcPr>
                                <w:p>
                                  <w:pPr>
                                    <w:pStyle w:val="P68B1DB1Contenudetableau9"/>
                                    <w:spacing w:before="57" w:after="57"/>
                                    <w:jc w:val="right"/>
                                    <w:rPr>
                                      <w:sz w:val="16"/>
                                    </w:rPr>
                                  </w:pPr>
                                  <w:r>
                                    <w:rPr>
                                      <w:color w:val="auto"/>
                                    </w:rPr>
                                    <w:t>Rad podskupine</w:t>
                                  </w:r>
                                </w:p>
                              </w:tc>
                              <w:tc>
                                <w:tcPr>
                                  <w:tcW w:w="402" w:type="dxa"/>
                                  <w:tcBorders/>
                                  <w:shd w:fill="00FF00" w:val="clear"/>
                                </w:tcPr>
                                <w:p>
                                  <w:pPr>
                                    <w:pStyle w:val="Contenudetableau"/>
                                    <w:spacing w:before="57" w:after="57"/>
                                    <w:rPr>
                                      <w:color w:val="auto"/>
                                      <w:sz w:val="16"/>
                                    </w:rPr>
                                  </w:pPr>
                                  <w:r>
                                    <w:rPr>
                                      <w:color w:val="auto"/>
                                      <w:sz w:val="16"/>
                                    </w:rPr>
                                  </w:r>
                                </w:p>
                              </w:tc>
                            </w:tr>
                          </w:tbl>
                          <w:p>
                            <w:pPr>
                              <w:pStyle w:val="Normal"/>
                              <w:spacing w:before="57" w:after="57"/>
                              <w:rPr>
                                <w:color w:val="auto"/>
                              </w:rPr>
                            </w:pPr>
                            <w:r>
                              <w:rPr>
                                <w:color w:val="auto"/>
                              </w:rPr>
                            </w:r>
                          </w:p>
                        </w:txbxContent>
                      </wps:txbx>
                      <wps:bodyPr lIns="54000" rIns="54000" tIns="54000" bIns="54000">
                        <a:noAutofit/>
                      </wps:bodyPr>
                    </wps:wsp>
                  </a:graphicData>
                </a:graphic>
              </wp:anchor>
            </w:drawing>
          </mc:Choice>
          <mc:Fallback>
            <w:pict>
              <v:rect id="shape_0" ID="Hrvatski jezik4" fillcolor="white" stroked="t" style="position:absolute;margin-left:3.7pt;margin-top:123.8pt;width:479.25pt;height:242.05pt">
                <w10:wrap type="square"/>
                <v:fill o:detectmouseclick="t" type="solid" color2="black"/>
                <v:stroke color="black" weight="720" joinstyle="round" endcap="flat"/>
                <v:textbox>
                  <w:txbxContent>
                    <w:tbl>
                      <w:tblPr>
                        <w:tblW w:w="9414" w:type="dxa"/>
                        <w:jc w:val="left"/>
                        <w:tblInd w:w="0" w:type="dxa"/>
                        <w:tblBorders/>
                        <w:tblCellMar>
                          <w:top w:w="0" w:type="dxa"/>
                          <w:left w:w="0" w:type="dxa"/>
                          <w:bottom w:w="0" w:type="dxa"/>
                          <w:right w:w="0" w:type="dxa"/>
                        </w:tblCellMar>
                      </w:tblPr>
                      <w:tblGrid>
                        <w:gridCol w:w="3138"/>
                        <w:gridCol w:w="3138"/>
                        <w:gridCol w:w="3138"/>
                      </w:tblGrid>
                      <w:tr>
                        <w:trPr/>
                        <w:tc>
                          <w:tcPr>
                            <w:tcW w:w="9414" w:type="dxa"/>
                            <w:gridSpan w:val="3"/>
                            <w:tcBorders/>
                            <w:shd w:fill="auto" w:val="clear"/>
                          </w:tcPr>
                          <w:p>
                            <w:pPr>
                              <w:pStyle w:val="P68B1DB1Contenudetableau10"/>
                              <w:spacing w:before="57" w:after="57"/>
                              <w:jc w:val="center"/>
                              <w:rPr>
                                <w:b/>
                                <w:b/>
                              </w:rPr>
                            </w:pPr>
                            <w:r>
                              <w:rPr/>
                              <w:t>SJEDNICA 3.</w:t>
                            </w:r>
                          </w:p>
                        </w:tc>
                      </w:tr>
                      <w:tr>
                        <w:trPr/>
                        <w:tc>
                          <w:tcPr>
                            <w:tcW w:w="3138" w:type="dxa"/>
                            <w:tcBorders/>
                            <w:shd w:fill="0000FF" w:val="clear"/>
                          </w:tcPr>
                          <w:p>
                            <w:pPr>
                              <w:pStyle w:val="P68B1DB1Contenudetableau10"/>
                              <w:spacing w:before="57" w:after="57"/>
                              <w:jc w:val="center"/>
                              <w:rPr>
                                <w:b/>
                                <w:b/>
                              </w:rPr>
                            </w:pPr>
                            <w:r>
                              <w:rPr/>
                              <w:t xml:space="preserve">1. DAN </w:t>
                            </w:r>
                          </w:p>
                          <w:p>
                            <w:pPr>
                              <w:pStyle w:val="Contenudetableau"/>
                              <w:spacing w:before="57" w:after="57"/>
                              <w:jc w:val="center"/>
                              <w:rPr/>
                            </w:pPr>
                            <w:r>
                              <w:rPr/>
                              <w:t>Ponovno povezivanje, određivanje prioriteta i početak rada</w:t>
                            </w:r>
                          </w:p>
                        </w:tc>
                        <w:tc>
                          <w:tcPr>
                            <w:tcW w:w="3138" w:type="dxa"/>
                            <w:tcBorders/>
                            <w:shd w:fill="0000FF" w:val="clear"/>
                          </w:tcPr>
                          <w:p>
                            <w:pPr>
                              <w:pStyle w:val="P68B1DB1Contenudetableau10"/>
                              <w:spacing w:before="57" w:after="57"/>
                              <w:jc w:val="center"/>
                              <w:rPr>
                                <w:b/>
                                <w:b/>
                              </w:rPr>
                            </w:pPr>
                            <w:r>
                              <w:rPr/>
                              <w:t xml:space="preserve">2. DAN </w:t>
                            </w:r>
                          </w:p>
                          <w:p>
                            <w:pPr>
                              <w:pStyle w:val="Contenudetableau"/>
                              <w:jc w:val="center"/>
                              <w:rPr/>
                            </w:pPr>
                            <w:r>
                              <w:rPr/>
                              <w:t xml:space="preserve">Transformacija smjernica </w:t>
                            </w:r>
                          </w:p>
                          <w:p>
                            <w:pPr>
                              <w:pStyle w:val="Contenudetableau"/>
                              <w:spacing w:before="57" w:after="57"/>
                              <w:jc w:val="center"/>
                              <w:rPr/>
                            </w:pPr>
                            <w:r>
                              <w:rPr/>
                              <w:t>završne preporuke</w:t>
                            </w:r>
                          </w:p>
                        </w:tc>
                        <w:tc>
                          <w:tcPr>
                            <w:tcW w:w="3138" w:type="dxa"/>
                            <w:tcBorders/>
                            <w:shd w:fill="0000FF" w:val="clear"/>
                          </w:tcPr>
                          <w:p>
                            <w:pPr>
                              <w:pStyle w:val="P68B1DB1Contenudetableau10"/>
                              <w:spacing w:before="57" w:after="57"/>
                              <w:jc w:val="center"/>
                              <w:rPr>
                                <w:b/>
                                <w:b/>
                              </w:rPr>
                            </w:pPr>
                            <w:r>
                              <w:rPr/>
                              <w:t xml:space="preserve">3. DAN </w:t>
                            </w:r>
                          </w:p>
                          <w:p>
                            <w:pPr>
                              <w:pStyle w:val="Contenudetableau"/>
                              <w:spacing w:before="57" w:after="57"/>
                              <w:jc w:val="center"/>
                              <w:rPr/>
                            </w:pPr>
                            <w:r>
                              <w:rPr/>
                              <w:t>Glasovanje o konačnim preporukama</w:t>
                            </w:r>
                          </w:p>
                        </w:tc>
                      </w:tr>
                      <w:tr>
                        <w:trPr/>
                        <w:tc>
                          <w:tcPr>
                            <w:tcW w:w="3138" w:type="dxa"/>
                            <w:tcBorders/>
                            <w:shd w:fill="800000" w:val="clear"/>
                          </w:tcPr>
                          <w:p>
                            <w:pPr>
                              <w:pStyle w:val="Contenudetableau"/>
                              <w:spacing w:before="57" w:after="57"/>
                              <w:jc w:val="center"/>
                              <w:rPr/>
                            </w:pPr>
                            <w:r>
                              <w:rPr/>
                              <w:t>Dobrodošlica i ciljevi vikenda</w:t>
                            </w:r>
                          </w:p>
                        </w:tc>
                        <w:tc>
                          <w:tcPr>
                            <w:tcW w:w="3138" w:type="dxa"/>
                            <w:tcBorders/>
                            <w:shd w:fill="00FF00" w:val="clear"/>
                          </w:tcPr>
                          <w:p>
                            <w:pPr>
                              <w:pStyle w:val="Contenudetableau"/>
                              <w:spacing w:before="57" w:after="57"/>
                              <w:jc w:val="center"/>
                              <w:rPr/>
                            </w:pPr>
                            <w:r>
                              <w:rPr/>
                              <w:t>Pretvaranje smjernica u preporuke</w:t>
                            </w:r>
                          </w:p>
                        </w:tc>
                        <w:tc>
                          <w:tcPr>
                            <w:tcW w:w="3138" w:type="dxa"/>
                            <w:tcBorders/>
                            <w:shd w:fill="800000" w:val="clear"/>
                          </w:tcPr>
                          <w:p>
                            <w:pPr>
                              <w:pStyle w:val="Contenudetableau"/>
                              <w:spacing w:before="57" w:after="57"/>
                              <w:jc w:val="center"/>
                              <w:rPr/>
                            </w:pPr>
                            <w:r>
                              <w:rPr/>
                              <w:t>Glasovanje o konačnim preporukama</w:t>
                            </w:r>
                          </w:p>
                        </w:tc>
                      </w:tr>
                      <w:tr>
                        <w:trPr/>
                        <w:tc>
                          <w:tcPr>
                            <w:tcW w:w="3138" w:type="dxa"/>
                            <w:tcBorders/>
                            <w:shd w:fill="0000FF" w:val="clear"/>
                          </w:tcPr>
                          <w:p>
                            <w:pPr>
                              <w:pStyle w:val="Contenudetableau"/>
                              <w:spacing w:before="57" w:after="57"/>
                              <w:jc w:val="center"/>
                              <w:rPr/>
                            </w:pPr>
                            <w:r>
                              <w:rPr/>
                              <w:t xml:space="preserve">Otvoreni forum, </w:t>
                            </w:r>
                          </w:p>
                          <w:p>
                            <w:pPr>
                              <w:pStyle w:val="Contenudetableau"/>
                              <w:spacing w:before="57" w:after="57"/>
                              <w:jc w:val="center"/>
                              <w:rPr/>
                            </w:pPr>
                            <w:r>
                              <w:rPr/>
                              <w:t>Čitanje i određivanje prioriteta smjernica</w:t>
                            </w:r>
                          </w:p>
                        </w:tc>
                        <w:tc>
                          <w:tcPr>
                            <w:tcW w:w="3138" w:type="dxa"/>
                            <w:tcBorders/>
                            <w:shd w:fill="00FF00" w:val="clear"/>
                          </w:tcPr>
                          <w:p>
                            <w:pPr>
                              <w:pStyle w:val="Contenudetableau"/>
                              <w:spacing w:before="57" w:after="57"/>
                              <w:jc w:val="center"/>
                              <w:rPr/>
                            </w:pPr>
                            <w:r>
                              <w:rPr/>
                              <w:t>Povratne informacije drugim skupinama, finalizacija preporuka</w:t>
                            </w:r>
                          </w:p>
                        </w:tc>
                        <w:tc>
                          <w:tcPr>
                            <w:tcW w:w="3138" w:type="dxa"/>
                            <w:tcBorders/>
                            <w:shd w:fill="auto" w:val="clear"/>
                          </w:tcPr>
                          <w:p>
                            <w:pPr>
                              <w:pStyle w:val="Contenudetableau"/>
                              <w:spacing w:before="57" w:after="57"/>
                              <w:jc w:val="center"/>
                              <w:rPr/>
                            </w:pPr>
                            <w:r>
                              <w:rPr/>
                            </w:r>
                          </w:p>
                        </w:tc>
                      </w:tr>
                      <w:tr>
                        <w:trPr/>
                        <w:tc>
                          <w:tcPr>
                            <w:tcW w:w="3138" w:type="dxa"/>
                            <w:tcBorders/>
                            <w:shd w:fill="00FF00" w:val="clear"/>
                          </w:tcPr>
                          <w:p>
                            <w:pPr>
                              <w:pStyle w:val="Contenudetableau"/>
                              <w:spacing w:before="57" w:after="57"/>
                              <w:jc w:val="center"/>
                              <w:rPr/>
                            </w:pPr>
                            <w:r>
                              <w:rPr/>
                              <w:t>Pretvaranje smjernica u preporuke</w:t>
                            </w:r>
                          </w:p>
                        </w:tc>
                        <w:tc>
                          <w:tcPr>
                            <w:tcW w:w="3138" w:type="dxa"/>
                            <w:tcBorders/>
                            <w:shd w:fill="auto" w:val="clear"/>
                          </w:tcPr>
                          <w:p>
                            <w:pPr>
                              <w:pStyle w:val="Contenudetableau"/>
                              <w:spacing w:before="57" w:after="57"/>
                              <w:jc w:val="center"/>
                              <w:rPr/>
                            </w:pPr>
                            <w:r>
                              <w:rPr/>
                            </w:r>
                          </w:p>
                        </w:tc>
                        <w:tc>
                          <w:tcPr>
                            <w:tcW w:w="3138" w:type="dxa"/>
                            <w:tcBorders/>
                            <w:shd w:fill="auto" w:val="clear"/>
                          </w:tcPr>
                          <w:p>
                            <w:pPr>
                              <w:pStyle w:val="Contenudetableau"/>
                              <w:spacing w:before="57" w:after="57"/>
                              <w:jc w:val="center"/>
                              <w:rPr/>
                            </w:pPr>
                            <w:r>
                              <w:rPr/>
                            </w:r>
                          </w:p>
                        </w:tc>
                      </w:tr>
                    </w:tbl>
                    <w:p>
                      <w:pPr>
                        <w:pStyle w:val="Contenudecadre"/>
                        <w:rPr>
                          <w:color w:val="auto"/>
                        </w:rPr>
                      </w:pPr>
                      <w:r>
                        <w:rPr>
                          <w:color w:val="auto"/>
                        </w:rPr>
                      </w:r>
                    </w:p>
                    <w:tbl>
                      <w:tblPr>
                        <w:tblW w:w="9414" w:type="dxa"/>
                        <w:jc w:val="left"/>
                        <w:tblInd w:w="0" w:type="dxa"/>
                        <w:tblBorders/>
                        <w:tblCellMar>
                          <w:top w:w="0" w:type="dxa"/>
                          <w:left w:w="0" w:type="dxa"/>
                          <w:bottom w:w="0" w:type="dxa"/>
                          <w:right w:w="0" w:type="dxa"/>
                        </w:tblCellMar>
                      </w:tblPr>
                      <w:tblGrid>
                        <w:gridCol w:w="2790"/>
                        <w:gridCol w:w="347"/>
                        <w:gridCol w:w="2794"/>
                        <w:gridCol w:w="345"/>
                        <w:gridCol w:w="2735"/>
                        <w:gridCol w:w="402"/>
                      </w:tblGrid>
                      <w:tr>
                        <w:trPr/>
                        <w:tc>
                          <w:tcPr>
                            <w:tcW w:w="2790" w:type="dxa"/>
                            <w:tcBorders/>
                            <w:shd w:fill="auto" w:val="clear"/>
                          </w:tcPr>
                          <w:p>
                            <w:pPr>
                              <w:pStyle w:val="P68B1DB1Contenudetableau9"/>
                              <w:spacing w:before="57" w:after="57"/>
                              <w:jc w:val="right"/>
                              <w:rPr>
                                <w:sz w:val="16"/>
                              </w:rPr>
                            </w:pPr>
                            <w:r>
                              <w:rPr>
                                <w:color w:val="auto"/>
                              </w:rPr>
                              <w:t>Plenarno zasjedanje</w:t>
                            </w:r>
                          </w:p>
                        </w:tc>
                        <w:tc>
                          <w:tcPr>
                            <w:tcW w:w="347" w:type="dxa"/>
                            <w:tcBorders/>
                            <w:shd w:fill="800000" w:val="clear"/>
                          </w:tcPr>
                          <w:p>
                            <w:pPr>
                              <w:pStyle w:val="Contenudetableau"/>
                              <w:spacing w:before="57" w:after="57"/>
                              <w:jc w:val="right"/>
                              <w:rPr>
                                <w:color w:val="auto"/>
                                <w:sz w:val="16"/>
                              </w:rPr>
                            </w:pPr>
                            <w:r>
                              <w:rPr>
                                <w:color w:val="auto"/>
                                <w:sz w:val="16"/>
                              </w:rPr>
                            </w:r>
                          </w:p>
                        </w:tc>
                        <w:tc>
                          <w:tcPr>
                            <w:tcW w:w="2794" w:type="dxa"/>
                            <w:tcBorders/>
                            <w:shd w:fill="auto" w:val="clear"/>
                          </w:tcPr>
                          <w:p>
                            <w:pPr>
                              <w:pStyle w:val="P68B1DB1Contenudetableau9"/>
                              <w:spacing w:before="57" w:after="57"/>
                              <w:jc w:val="right"/>
                              <w:rPr>
                                <w:sz w:val="16"/>
                              </w:rPr>
                            </w:pPr>
                            <w:r>
                              <w:rPr>
                                <w:color w:val="auto"/>
                              </w:rPr>
                              <w:t>Otvoren forum</w:t>
                            </w:r>
                          </w:p>
                        </w:tc>
                        <w:tc>
                          <w:tcPr>
                            <w:tcW w:w="345" w:type="dxa"/>
                            <w:tcBorders/>
                            <w:shd w:fill="0000FF" w:val="clear"/>
                          </w:tcPr>
                          <w:p>
                            <w:pPr>
                              <w:pStyle w:val="Contenudetableau"/>
                              <w:spacing w:before="57" w:after="57"/>
                              <w:jc w:val="right"/>
                              <w:rPr>
                                <w:color w:val="auto"/>
                                <w:sz w:val="16"/>
                              </w:rPr>
                            </w:pPr>
                            <w:r>
                              <w:rPr>
                                <w:color w:val="auto"/>
                                <w:sz w:val="16"/>
                              </w:rPr>
                            </w:r>
                          </w:p>
                        </w:tc>
                        <w:tc>
                          <w:tcPr>
                            <w:tcW w:w="2735" w:type="dxa"/>
                            <w:tcBorders/>
                            <w:shd w:fill="auto" w:val="clear"/>
                          </w:tcPr>
                          <w:p>
                            <w:pPr>
                              <w:pStyle w:val="P68B1DB1Contenudetableau9"/>
                              <w:spacing w:before="57" w:after="57"/>
                              <w:jc w:val="right"/>
                              <w:rPr>
                                <w:sz w:val="16"/>
                              </w:rPr>
                            </w:pPr>
                            <w:r>
                              <w:rPr>
                                <w:color w:val="auto"/>
                              </w:rPr>
                              <w:t>Rad podskupine</w:t>
                            </w:r>
                          </w:p>
                        </w:tc>
                        <w:tc>
                          <w:tcPr>
                            <w:tcW w:w="402" w:type="dxa"/>
                            <w:tcBorders/>
                            <w:shd w:fill="00FF00" w:val="clear"/>
                          </w:tcPr>
                          <w:p>
                            <w:pPr>
                              <w:pStyle w:val="Contenudetableau"/>
                              <w:spacing w:before="57" w:after="57"/>
                              <w:rPr>
                                <w:color w:val="auto"/>
                                <w:sz w:val="16"/>
                              </w:rPr>
                            </w:pPr>
                            <w:r>
                              <w:rPr>
                                <w:color w:val="auto"/>
                                <w:sz w:val="16"/>
                              </w:rPr>
                            </w:r>
                          </w:p>
                        </w:tc>
                      </w:tr>
                    </w:tbl>
                    <w:p>
                      <w:pPr>
                        <w:pStyle w:val="Normal"/>
                        <w:spacing w:before="57" w:after="57"/>
                        <w:rPr>
                          <w:color w:val="auto"/>
                        </w:rPr>
                      </w:pPr>
                      <w:r>
                        <w:rPr>
                          <w:color w:val="auto"/>
                        </w:rPr>
                      </w:r>
                    </w:p>
                  </w:txbxContent>
                </v:textbox>
              </v:rect>
            </w:pict>
          </mc:Fallback>
        </mc:AlternateContent>
      </w:r>
      <w:r>
        <w:rPr/>
        <w:t xml:space="preserve"> </w:t>
      </w:r>
      <w:r>
        <w:rPr/>
        <w:t>u podskupinama. Svaka od petnaest podskupina sastojala se od dvanaest do četrnaest građana. Četiri do pet jezika korišteno je u svakoj podskupini kako bi se građanima omogućilo da se izražavaju na vlastitom jeziku ili na jeziku na kojem se osjećaju ugodno. Svaka podskupina imala je profesionalnog posrednika iz konzorcija vanjskih pružatelja usluga.</w:t>
      </w:r>
    </w:p>
    <w:p>
      <w:pPr>
        <w:pStyle w:val="Alineanegatifpuce"/>
        <w:numPr>
          <w:ilvl w:val="0"/>
          <w:numId w:val="3"/>
        </w:numPr>
        <w:rPr/>
      </w:pPr>
      <w:r>
        <w:rPr/>
        <w:t xml:space="preserve"> </w:t>
      </w:r>
      <w:r>
        <w:rPr/>
        <w:t>na plenarnom zasjedanju posvećenom tijeku rada. Na svakom plenarnom zasjedanju posvećenom radnoj osi okupile su se podskupine koje rade na istoj tematskoj osi. Plenarne sjednice posvećene radnom tijeku olakšali su profesionalni posrednici, a usmeno prevođenje obuhvaćalo je sve jezike koji su potrebni sudionicima.</w:t>
      </w:r>
    </w:p>
    <w:p>
      <w:pPr>
        <w:pStyle w:val="Alineanegatifpuce"/>
        <w:numPr>
          <w:ilvl w:val="0"/>
          <w:numId w:val="3"/>
        </w:numPr>
        <w:rPr/>
      </w:pPr>
      <w:r>
        <w:rPr/>
        <w:t xml:space="preserve"> </w:t>
      </w:r>
      <w:r>
        <w:rPr/>
        <w:t>na plenarnoj sjednici, sa svim građanima koji sudjeluju, da predstave i zaključe sjednicu. Plenarne sjednice vodila su dva glavna moderatora konzorcija, uz usmeno prevođenje na 24 službena jezika EU-a.</w:t>
      </w:r>
    </w:p>
    <w:p>
      <w:pPr>
        <w:pStyle w:val="Alineanegatifpuce"/>
        <w:numPr>
          <w:ilvl w:val="0"/>
          <w:numId w:val="0"/>
        </w:numPr>
        <w:ind w:left="0" w:right="0" w:hanging="0"/>
        <w:rPr/>
      </w:pPr>
      <w:r>
        <w:rPr/>
      </w:r>
      <w:r>
        <w:br w:type="page"/>
      </w:r>
    </w:p>
    <w:p>
      <w:pPr>
        <w:pStyle w:val="Titre4"/>
        <w:numPr>
          <w:ilvl w:val="3"/>
          <w:numId w:val="2"/>
        </w:numPr>
        <w:rPr/>
      </w:pPr>
      <w:bookmarkStart w:id="13" w:name="__RefHeading___Toc298200_1346298689"/>
      <w:bookmarkEnd w:id="13"/>
      <w:r>
        <w:rPr/>
        <w:t>TREĆI KRUG PANEL SJEDNICA</w:t>
      </w:r>
    </w:p>
    <w:p>
      <w:pPr>
        <w:pStyle w:val="Corpsdetexte"/>
        <w:rPr/>
      </w:pPr>
      <w:r>
        <w:rPr/>
        <w:t>Treći i završni krug panela održan je osobno u obrazovnim ustanovama u četirima državama članicama. Zbog pandemije bolesti COVID-19 i povezanih mjera u Irskoj i Nizozemskoj, treći sastanak panela 1. (Jače gospodarstvo, socijalna pravda i zapošljavanje); obrazovanje, kultura, mladi i sport; digitalna transformacija) i 4 (EU u svijetu; migracije) trebalo je odgoditi do veljače 2022. uz savjetovanje s nacionalnim tijelima i pridruženim partnerima.</w:t>
      </w:r>
    </w:p>
    <w:p>
      <w:pPr>
        <w:pStyle w:val="Corpsdetexte"/>
        <w:rPr/>
      </w:pPr>
      <w:r>
        <w:rPr/>
        <w:t xml:space="preserve">Rasprave i zajednički rad odvijali su se u sljedećim oblicima: </w:t>
      </w:r>
    </w:p>
    <w:p>
      <w:pPr>
        <w:pStyle w:val="Alineanegatifpuce"/>
        <w:numPr>
          <w:ilvl w:val="0"/>
          <w:numId w:val="3"/>
        </w:numPr>
        <w:rPr/>
      </w:pPr>
      <w:r>
        <w:rPr/>
        <w:t xml:space="preserve"> </w:t>
      </w:r>
      <w:r>
        <w:rPr/>
        <w:t>na plenarnom zasjedanju sa svim sudionicima, na početku sjednice kako bi predstavili program i na kraju zasjedanja, kako je objašnjeno u nastavku. Plenarna zasjedanja vodila su dva glavna moderatora skupine za vijećanje, uz usmeno prevođenje na 24 službena jezika EU-a.</w:t>
      </w:r>
    </w:p>
    <w:p>
      <w:pPr>
        <w:pStyle w:val="Alineanegatifpuce"/>
        <w:numPr>
          <w:ilvl w:val="0"/>
          <w:numId w:val="3"/>
        </w:numPr>
        <w:rPr/>
      </w:pPr>
      <w:r>
        <w:rPr/>
        <w:t xml:space="preserve"> </w:t>
      </w:r>
      <w:r>
        <w:rPr/>
        <w:t>Građani su počeli razmatrati sve smjernice koje je povjerenstvo razvilo tijekom 2. zasjedanja u okviru „otvorenog foruma”. Svaki građanin zatim je dao prednost najviše deset orijentacija po osi rada. Nakon što je taj postupak određivanja prioriteta dovršen na razini panela, građani su se pridružili podskupini u kojoj su već radili tijekom 2. zasjedanja te su zajedno primili na znanje smjernice skupine kojima je dao prednost ostatku panela, što je prilika da se taj izbor usporedi s vlastitom procjenom. Za pripremu preporuka svakoj je podskupini dodijeljen indikativan raspon broja preporuka koje treba izraditi: od jednog do tri, s najviše pet.</w:t>
      </w:r>
    </w:p>
    <w:p>
      <w:pPr>
        <w:pStyle w:val="Alineanegatifpuce"/>
        <w:numPr>
          <w:ilvl w:val="0"/>
          <w:numId w:val="3"/>
        </w:numPr>
        <w:rPr/>
      </w:pPr>
      <w:r>
        <w:rPr/>
        <w:t xml:space="preserve"> </w:t>
      </w:r>
      <w:r>
        <w:rPr/>
        <w:t xml:space="preserve">Svaka od 15 podskupina radila je na izradi smjernica za preporuke. Građani su raspravljali o smjernicama koje su dobile najveću potporu (prema redoslijedu prioriteta) i započeli postupak izrade preporuka. </w:t>
      </w:r>
    </w:p>
    <w:p>
      <w:pPr>
        <w:pStyle w:val="Normal"/>
        <w:rPr/>
      </w:pPr>
      <w:r>
        <w:rPr/>
        <w:t>Tijekom trećeg niza sesija, stručno znanje i informacije nisu dovedeni u izravnu interakciju s građanima, već putem posebno osmišljenog sustava, „Resursa i informacijske točke”. Taj se sustav upotrebljava za centralizaciju svih zahtjeva za informacije i provjeru činjenica na licu mjesta te za pružanje kratkih i činjeničnih odgovora podskupinama stručnjaka i provjeravatelja činjenica. Taj je sustav osmišljen kako bi se osiguralo da su doprinosi stručnjaka i provjeravatelja činjenica pripremljeni u skladu s najvišim standardima kvalitete te kako bi se izbjegao neprimjeren utjecaj u ovoj fazi postupka. Građanima su dostavljena i privremena izvješća višejezične digitalne platforme.</w:t>
      </w:r>
    </w:p>
    <w:p>
      <w:pPr>
        <w:pStyle w:val="Corpsdetexte"/>
        <w:rPr/>
      </w:pPr>
      <w:r>
        <w:rPr/>
        <w:t>Tijekom rada podskupine organizirani su sastanci s povratnim informacijama kako bi se sudionicima pomoglo da razumiju rad drugih podskupina i ojačaju njihove preporuke.</w:t>
      </w:r>
    </w:p>
    <w:p>
      <w:pPr>
        <w:pStyle w:val="Corpsdetexte"/>
        <w:rPr/>
      </w:pPr>
      <w:r>
        <w:rPr/>
        <w:t>Povjerenstvo je glasovalo o preporukama svake podskupine posljednjeg dana sjednice. Prije glasovanja svi sudionici dobili su dokument koji sadržava sve nacrte preporuka koji su sastavljeni dan ranije kako bi ih mogli čitati na vlastitom jeziku (automatski prijevod s engleskog jezika). Svaka je preporuka na plenarnoj sjednici pročitana na engleskom jeziku kako bi se građanima omogućilo da simultano čuju usmeno prevođenje. Jedna za drugom, preporuke su stavljene na glasovanje sudionicima putem internetskog obrasca.</w:t>
      </w:r>
    </w:p>
    <w:p>
      <w:pPr>
        <w:pStyle w:val="Corpsdetexte"/>
        <w:rPr/>
      </w:pPr>
      <w:r>
        <w:rPr/>
        <w:t>Na temelju rezultata konačnog glasovanja preporuke su klasificirane na sljedeći način:</w:t>
      </w:r>
    </w:p>
    <w:p>
      <w:pPr>
        <w:pStyle w:val="Corpsdetexte"/>
        <w:rPr/>
      </w:pPr>
      <w:r>
        <w:rPr/>
        <w:t>Povjerenstvo je usvojilo preporuke koje su dobile 70 % ili više danih glasova; povjerenstvo smatra da preporuke koje nisu zadovoljile taj prag nisu potvrdile. Europski paneli građana donijeli su ukupno 178 preporuka.</w:t>
      </w:r>
    </w:p>
    <w:p>
      <w:pPr>
        <w:pStyle w:val="Corpsdetexte"/>
        <w:rPr/>
      </w:pPr>
      <w:r>
        <w:rPr/>
        <w:t>Postupak glasovanja nadzirao je odbor za glasovanje sastavljen od dva građanina koji su predložili izvršavanje te uloge.</w:t>
      </w:r>
    </w:p>
    <w:p>
      <w:pPr>
        <w:pStyle w:val="Titre4"/>
        <w:numPr>
          <w:ilvl w:val="3"/>
          <w:numId w:val="2"/>
        </w:numPr>
        <w:rPr/>
      </w:pPr>
      <w:bookmarkStart w:id="14" w:name="__RefHeading___Toc298202_1346298689"/>
      <w:bookmarkEnd w:id="14"/>
      <w:r>
        <w:rPr/>
        <w:t>PREDSTAVNICI EUROPSKIH PANELA GRAĐANA I GRAĐANKI NA PLENARNOJ SJEDNICI</w:t>
      </w:r>
    </w:p>
    <w:p>
      <w:pPr>
        <w:pStyle w:val="Corpsdetexte"/>
        <w:rPr/>
      </w:pPr>
      <w:r>
        <w:rPr/>
        <w:t>Preporuke koje su donijela četiri europska panela građana i građanki zatim je 80 predstavnika europskih panela građana i građanki predstavilo i o njima raspravljalo na plenarnoj sjednici Konferencije i u radnim skupinama 21. i 22. siječnja 2022. (Panel 2. i 3.) te 11. i 12. ožujka 2022. (Panel 1. i 4.). 80 predstavnika europskih panela građana (u prosjeku 70 na licu mjesta i 10 na internetu) zatim je nastavilo promicati i objašnjavati preporuke europskih panela građana i građanki na tri uzastopna sastanka Plenarne skupštine i radnih skupina (25. – 26. ožujka, 8. – 9. travnja i 29. – 30. travnja).</w:t>
      </w:r>
    </w:p>
    <w:p>
      <w:pPr>
        <w:pStyle w:val="Corpsdetexte"/>
        <w:rPr/>
      </w:pPr>
      <w:r>
        <w:rPr/>
        <w:t>Održavali su i redovite razmjene mišljenja na sastancima u okviru „komponente građana” (na internetskim pripremnim sastancima i plenarnim sastancima na licu mjesta), međusobno i s 27 predstavnika nacionalnih događanja i/ili nacionalnih panela. Predstavnici europskih panela građana sastali su se 23. travnja na internetu sa svim svojim kolegama kako bi objasnili kako se o preporukama raspravljalo i kako su uključeni u prijedloge plenarnih sjednica te kako bi dobili povratne informacije od drugih sudionika panela. Skupina članova zajedničkog tajništva i konzorcija podržala je sastavnicu građana tijekom plenarne sjednice.</w:t>
      </w:r>
    </w:p>
    <w:p>
      <w:pPr>
        <w:pStyle w:val="Titre4"/>
        <w:numPr>
          <w:ilvl w:val="3"/>
          <w:numId w:val="2"/>
        </w:numPr>
        <w:rPr/>
      </w:pPr>
      <w:bookmarkStart w:id="15" w:name="__RefHeading___Toc298204_1346298689"/>
      <w:bookmarkEnd w:id="15"/>
      <w:r>
        <w:rPr/>
        <w:t>TRANSPARENTNOST POSTUPKA</w:t>
      </w:r>
    </w:p>
    <w:p>
      <w:pPr>
        <w:pStyle w:val="Corpsdetexte"/>
        <w:rPr/>
      </w:pPr>
      <w:r>
        <w:rPr/>
        <w:t xml:space="preserve"> </w:t>
      </w:r>
      <w:r>
        <w:rPr/>
        <w:t>Cijeli proces proveden je na transparentan način. Plenarni sastanci europskih panela građana i građanki prenosili su se uživo, dok su dokumenti proizašli iz njihovih rasprava i rasprava stavljeni na raspolaganje javnosti na višejezičnoj digitalnoj platformi. Završno izvješće sa svake sjednice panela dostupno je na platformi, zajedno s preporukama. Izvješća sadržavaju i informacije o svim stručnjacima koji su podržali rad panela.</w:t>
      </w:r>
    </w:p>
    <w:p>
      <w:pPr>
        <w:pStyle w:val="Corpsdetexte"/>
        <w:rPr/>
      </w:pPr>
      <w:r>
        <w:rPr/>
        <w:t>Kao istinska demokratska inovacija, europski paneli građana privukli su veliku pozornost znanstvene zajednice. Istraživači su mogli prisustvovati sastancima europskih panela građana i građanki i promatrati ponašanje, u skladu s određenim pravilima, obavljenog posla i privatnosti sudionika.</w:t>
      </w:r>
    </w:p>
    <w:p>
      <w:pPr>
        <w:pStyle w:val="Corpsdetexte"/>
        <w:rPr/>
      </w:pPr>
      <w:r>
        <w:rPr/>
      </w:r>
      <w:r>
        <w:br w:type="page"/>
      </w:r>
    </w:p>
    <w:p>
      <w:pPr>
        <w:pStyle w:val="Titre4"/>
        <w:numPr>
          <w:ilvl w:val="3"/>
          <w:numId w:val="2"/>
        </w:numPr>
        <w:rPr/>
      </w:pPr>
      <w:bookmarkStart w:id="16" w:name="__RefHeading___Toc298206_1346298689"/>
      <w:bookmarkEnd w:id="16"/>
      <w:r>
        <w:rPr/>
        <w:t xml:space="preserve">Ploča 1 </w:t>
        <w:br/>
        <w:t>Snažnije gospodarstvo, socijalna pravda i zapošljavanje; obrazovanje, kultura, mladi i sport; digitalna transformacija</w:t>
      </w:r>
    </w:p>
    <w:p>
      <w:pPr>
        <w:pStyle w:val="Corpsdetexte"/>
        <w:rPr/>
      </w:pPr>
      <w:r>
        <w:rPr/>
        <w:t>Prva sjednica panela „Jače gospodarstvo, socijalna pravda i zapošljavanje; obrazovanje, kultura, mladi i sport; digitalna transformacija” održana je od 17. do 19. rujna 2021. u Strasbourgu. U okviru tog panela raspravljalo se o budućnosti naših gospodarstava i radnih mjesta, posebno nakon pandemije, posvećujući dužnu pozornost povezanim pitanjima socijalne pravde. Osvrnuo se i na mogućnosti i izazove digitalne transformacije, jedne od najvažnijih tema za raspravu među onima o budućnosti.</w:t>
      </w:r>
    </w:p>
    <w:p>
      <w:pPr>
        <w:pStyle w:val="Corpsdetexte"/>
        <w:spacing w:before="3316" w:after="57"/>
        <w:rPr/>
      </w:pPr>
      <w:r>
        <mc:AlternateContent>
          <mc:Choice Requires="wps">
            <w:drawing>
              <wp:anchor behindDoc="0" distT="0" distB="0" distL="0" distR="0" simplePos="0" locked="0" layoutInCell="1" allowOverlap="1" relativeHeight="48">
                <wp:simplePos x="0" y="0"/>
                <wp:positionH relativeFrom="column">
                  <wp:posOffset>476885</wp:posOffset>
                </wp:positionH>
                <wp:positionV relativeFrom="paragraph">
                  <wp:posOffset>23768685</wp:posOffset>
                </wp:positionV>
                <wp:extent cx="6120765" cy="2106295"/>
                <wp:effectExtent l="0" t="0" r="0" b="0"/>
                <wp:wrapSquare wrapText="largest"/>
                <wp:docPr id="20" name="Okvir 5"/>
                <a:graphic xmlns:a="http://schemas.openxmlformats.org/drawingml/2006/main">
                  <a:graphicData uri="http://schemas.microsoft.com/office/word/2010/wordprocessingShape">
                    <wps:wsp>
                      <wps:cNvSpPr/>
                      <wps:spPr>
                        <a:xfrm>
                          <a:off x="0" y="0"/>
                          <a:ext cx="6120000" cy="2105640"/>
                        </a:xfrm>
                        <a:prstGeom prst="rect">
                          <a:avLst/>
                        </a:prstGeom>
                        <a:solidFill>
                          <a:srgbClr val="ffffff"/>
                        </a:solidFill>
                        <a:ln>
                          <a:noFill/>
                        </a:ln>
                      </wps:spPr>
                      <wps:style>
                        <a:lnRef idx="0"/>
                        <a:fillRef idx="0"/>
                        <a:effectRef idx="0"/>
                        <a:fontRef idx="minor"/>
                      </wps:style>
                      <wps:txbx>
                        <w:txbxContent>
                          <w:p>
                            <w:pPr>
                              <w:pStyle w:val="P68B1DB1Lgende11"/>
                              <w:spacing w:before="120" w:after="120"/>
                              <w:jc w:val="left"/>
                              <w:rPr>
                                <w:color w:val="auto"/>
                              </w:rPr>
                            </w:pPr>
                            <w:r>
                              <w:rPr>
                                <w:color w:val="auto"/>
                              </w:rPr>
                              <w:drawing>
                                <wp:inline distT="0" distB="0" distL="0" distR="0">
                                  <wp:extent cx="6120130" cy="2105660"/>
                                  <wp:effectExtent l="0" t="0" r="0" b="0"/>
                                  <wp:docPr id="22" name="Slika 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lika 8" descr=""/>
                                          <pic:cNvPicPr>
                                            <a:picLocks noChangeAspect="1" noChangeArrowheads="1"/>
                                          </pic:cNvPicPr>
                                        </pic:nvPicPr>
                                        <pic:blipFill>
                                          <a:blip r:embed="rId38"/>
                                          <a:stretch>
                                            <a:fillRect/>
                                          </a:stretch>
                                        </pic:blipFill>
                                        <pic:spPr bwMode="auto">
                                          <a:xfrm>
                                            <a:off x="0" y="0"/>
                                            <a:ext cx="6120130" cy="2105660"/>
                                          </a:xfrm>
                                          <a:prstGeom prst="rect">
                                            <a:avLst/>
                                          </a:prstGeom>
                                        </pic:spPr>
                                      </pic:pic>
                                    </a:graphicData>
                                  </a:graphic>
                                </wp:inline>
                              </w:drawing>
                            </w:r>
                            <w:r>
                              <w:rPr>
                                <w:color w:val="auto"/>
                              </w:rPr>
                              <w:t xml:space="preserve">Fotografije: panel 1. europskih građana </w:t>
                              <w:tab/>
                              <w:t>Fotografije: panel 2. europskih građana</w:t>
                            </w:r>
                          </w:p>
                        </w:txbxContent>
                      </wps:txbx>
                      <wps:bodyPr lIns="0" rIns="0" tIns="0" bIns="0">
                        <a:noAutofit/>
                      </wps:bodyPr>
                    </wps:wsp>
                  </a:graphicData>
                </a:graphic>
              </wp:anchor>
            </w:drawing>
          </mc:Choice>
          <mc:Fallback>
            <w:pict>
              <v:rect id="shape_0" ID="Okvir 5" fillcolor="white" stroked="f" style="position:absolute;margin-left:37.55pt;margin-top:1871.55pt;width:481.85pt;height:165.75pt">
                <w10:wrap type="square"/>
                <v:fill o:detectmouseclick="t" type="solid" color2="black"/>
                <v:stroke color="#3465a4" joinstyle="round" endcap="flat"/>
                <v:textbox>
                  <w:txbxContent>
                    <w:p>
                      <w:pPr>
                        <w:pStyle w:val="P68B1DB1Lgende11"/>
                        <w:spacing w:before="120" w:after="120"/>
                        <w:jc w:val="left"/>
                        <w:rPr>
                          <w:color w:val="auto"/>
                        </w:rPr>
                      </w:pPr>
                      <w:r>
                        <w:rPr>
                          <w:color w:val="auto"/>
                        </w:rPr>
                        <w:drawing>
                          <wp:inline distT="0" distB="0" distL="0" distR="0">
                            <wp:extent cx="6120130" cy="2105660"/>
                            <wp:effectExtent l="0" t="0" r="0" b="0"/>
                            <wp:docPr id="23" name="Slika 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lika 8" descr=""/>
                                    <pic:cNvPicPr>
                                      <a:picLocks noChangeAspect="1" noChangeArrowheads="1"/>
                                    </pic:cNvPicPr>
                                  </pic:nvPicPr>
                                  <pic:blipFill>
                                    <a:blip r:embed="rId38"/>
                                    <a:stretch>
                                      <a:fillRect/>
                                    </a:stretch>
                                  </pic:blipFill>
                                  <pic:spPr bwMode="auto">
                                    <a:xfrm>
                                      <a:off x="0" y="0"/>
                                      <a:ext cx="6120130" cy="2105660"/>
                                    </a:xfrm>
                                    <a:prstGeom prst="rect">
                                      <a:avLst/>
                                    </a:prstGeom>
                                  </pic:spPr>
                                </pic:pic>
                              </a:graphicData>
                            </a:graphic>
                          </wp:inline>
                        </w:drawing>
                      </w:r>
                      <w:r>
                        <w:rPr>
                          <w:color w:val="auto"/>
                        </w:rPr>
                        <w:t xml:space="preserve">Fotografije: panel 1. europskih građana </w:t>
                        <w:tab/>
                        <w:t>Fotografije: panel 2. europskih građana</w:t>
                      </w:r>
                    </w:p>
                  </w:txbxContent>
                </v:textbox>
              </v:rect>
            </w:pict>
          </mc:Fallback>
        </mc:AlternateContent>
      </w:r>
      <w:r>
        <w:rPr/>
        <w:t>Na panelu se raspravljalo i o budućnosti Europe u području mladih, sporta, kulture i obrazovanja. Građane koji su sudjelovali u panelu pozdravio je supredsjedatelj Guy Verhofstadt. Rad na prvoj sjednici zaključen je na odobravanju pet područja rada: „Rad u Europi”, „gospodarstvo za budućnost”, „Pravo društvo”, „Učenje u Europi” i „Etička i sigurna digitalna transformacija”.</w:t>
      </w:r>
    </w:p>
    <w:p>
      <w:pPr>
        <w:pStyle w:val="Corpsdetexte"/>
        <w:rPr/>
      </w:pPr>
      <w:r>
        <w:rPr/>
        <w:t>Povjerenstvo 1. sastalo se od 5. do 7. studenoga 2021. drugi put, ovaj put u virtualnom obliku, te je nastavilo s raspravama na prvom sastanku. Tijekom drugog zasjedanja članovi panela utvrdili su „smjernice” za izradu konkretnih preporuka (na trećem zasjedanju) za svaku od pet osi utvrđenih na prvoj sjednici. Ukupno su građani koji su sudjelovali u panelu 1 izradili 142 skupine za usmjeravanje.</w:t>
      </w:r>
    </w:p>
    <w:p>
      <w:pPr>
        <w:pStyle w:val="Corpsdetexte"/>
        <w:rPr/>
      </w:pPr>
      <w:r>
        <w:rPr/>
        <w:t>Od 25. do 27. veljače 2022. građani koji sudjeluju u prvom panelu sastali su se treći put, nastavljajući rasprave održane tijekom 1. i 2. zasjedanja. Za ovu završnu sjednicu, sudionici panela 1 bili su domaćini u Dublinskom dvorcu od strane Instituta za međunarodne i europske poslove (IIEA), uz mogućnost sudjelovanja putem interneta.</w:t>
      </w:r>
    </w:p>
    <w:p>
      <w:pPr>
        <w:pStyle w:val="Corpsdetexte"/>
        <w:rPr/>
      </w:pPr>
      <w:r>
        <w:rPr/>
        <w:t>na temelju smjernica koje su izradili na 2. zasjedanju kao temelj za svoj rad, građani su izradili i odobrili 48 konačnih preporuka.</w:t>
      </w:r>
    </w:p>
    <w:p>
      <w:pPr>
        <w:pStyle w:val="Titre4"/>
        <w:numPr>
          <w:ilvl w:val="3"/>
          <w:numId w:val="2"/>
        </w:numPr>
        <w:rPr/>
      </w:pPr>
      <w:bookmarkStart w:id="17" w:name="__RefHeading___Toc298208_1346298689"/>
      <w:bookmarkEnd w:id="17"/>
      <w:r>
        <w:rPr/>
        <w:t xml:space="preserve">Ploča 2 </w:t>
        <w:br/>
        <w:t>Europska demokracija; vrijednosti i prava, vladavina prava, sigurnost</w:t>
      </w:r>
    </w:p>
    <w:p>
      <w:pPr>
        <w:pStyle w:val="Corpsdetexte"/>
        <w:rPr/>
      </w:pPr>
      <w:r>
        <w:rPr/>
        <w:t>Sjednica 1. panela o europskoj demokraciji; vrijednosti i prava, vladavina prava, sigurnost” održano je od 24. do 26. rujna u Strasbourgu. Panel se usredotočio na pitanja povezana s demokracijom, kao što su izbori, sudjelovanje izvan izbornih razdoblja, percipirana udaljenost između građana i njihovih izabranih predstavnika, sloboda medija i dezinformiranje. Bavila se i pitanjima povezanima s temeljnim pravima i vrijednostima, vladavinom prava i borbom protiv svih oblika diskriminacije. Istodobno se usredotočio na unutarnju sigurnost EU-a, kao što je zaštita Europljana od terorističkih djela i drugih kaznenih djela. Govornike je pozdravio supredsjedatelj Gašper Dovžan.</w:t>
      </w:r>
    </w:p>
    <w:p>
      <w:pPr>
        <w:pStyle w:val="Corpsdetexte"/>
        <w:rPr/>
      </w:pPr>
      <w:r>
        <w:rPr/>
        <w:t>Rad na prvoj sjednici zaključen je na odobravanju pet područja rada: „Osiguravanje poštovanja prava i nediskriminacije”, „Zaštita demokracije i vladavine prava”, „Reforma EU-a”, „Izgradnja europskog identiteta” i „Jačanje sudjelovanja građana”.</w:t>
      </w:r>
    </w:p>
    <w:p>
      <w:pPr>
        <w:pStyle w:val="Corpsdetexte"/>
        <w:rPr/>
      </w:pPr>
      <w:r>
        <w:rPr/>
        <w:t>Skupina 2. sastala se od 12. do 14. studenoga 2021. drugi put u virtualnom obliku i nastavila rasprave na prvom sastanku. Tijekom drugog zasjedanja članovi panela utvrdili su „smjernice” za izradu konkretnih preporuka (na trećem zasjedanju) za svaku od pet osi utvrđenih na prvoj sjednici. Ukupno su građani koji su sudjelovali u 2. panelu izradili 124 skupine za usmjeravanje.</w:t>
      </w:r>
    </w:p>
    <w:p>
      <w:pPr>
        <w:pStyle w:val="Corpsdetexte"/>
        <w:rPr/>
      </w:pPr>
      <w:r>
        <w:rPr/>
        <w:t>Od 10. do 12. prosinca 2021. građani koji sudjeluju u drugom panelu sastali su se na završnom sastanku organiziranom u Europskom sveučilišnom institutu u Firenci, uz mogućnost sudjelovanja na internetu. Na temelju smjernica koje su izradili na 2. zasjedanju kao temelj za svoj rad, građani su izradili i odobrili 39 konačnih preporuka.</w:t>
      </w:r>
    </w:p>
    <w:p>
      <w:pPr>
        <w:pStyle w:val="Titre4"/>
        <w:numPr>
          <w:ilvl w:val="3"/>
          <w:numId w:val="2"/>
        </w:numPr>
        <w:rPr/>
      </w:pPr>
      <w:bookmarkStart w:id="18" w:name="__RefHeading___Toc298210_1346298689"/>
      <w:bookmarkEnd w:id="18"/>
      <w:r>
        <w:rPr/>
        <w:t>Panel 3. Klimatske promjene i okoliš; zdravlje</w:t>
      </w:r>
    </w:p>
    <w:p>
      <w:pPr>
        <w:pStyle w:val="Corpsdetexte"/>
        <w:rPr/>
      </w:pPr>
      <w:r>
        <w:rPr/>
        <w:t>Povjerenstvo za klimatske promjene i okoliš; zdravlje” održala je svoju prvu sjednicu od 1.</w:t>
      </w:r>
      <w:r>
        <w:rPr>
          <w:vertAlign w:val="superscript"/>
        </w:rPr>
        <w:t>do</w:t>
      </w:r>
      <w:r>
        <w:rPr/>
        <w:t xml:space="preserve"> 3. listopada u Strasbourgu. Panel je bio usmjeren na učinke klimatskih promjena, pitanja okoliša i nove zdravstvene izazove za Europsku uniju. Njime su obuhvaćeni i ciljevi i strategije EU-a, kao što su poljoprivreda, promet i mobilnost, energetika i prijelaz na postugljična društva, istraživanje, zdravstveni sustavi, odgovori na zdravstvene krize, prevencija i zdrav način života. Rad na prvoj sesiji završio je na odobravanju pet područja rada: „Bolji način života”, „Zaštita našeg okoliša i zdravlja”, „Reorijentacija našeg gospodarstva i potrošnje”, „Prema održivom društvu” i „Biga za sve”. Završno izvješće sa sjednice dostupno je na višejezičnoj digitalnoj platformi.</w:t>
      </w:r>
    </w:p>
    <w:p>
      <w:pPr>
        <w:pStyle w:val="Corpsdetexte"/>
        <w:rPr/>
      </w:pPr>
      <w:r>
        <w:rPr/>
        <w:t>Skupina 3 sastala se od 19. do 21. studenoga 2021. drugi put, ovaj put u virtualnom obliku, kako bi nastavila rasprave na prvom sastanku. Tijekom drugog zasjedanja članovi panela utvrdili su „smjernice” za izradu konkretnih preporuka (na trećem zasjedanju) za svaku od pet osi utvrđenih na prvoj sjednici. Ukupno su građani koji su sudjelovali u 3. panelu izradili 130 skupina za usmjeravanje.</w:t>
      </w:r>
    </w:p>
    <w:p>
      <w:pPr>
        <w:pStyle w:val="Corpsdetexte"/>
        <w:rPr/>
      </w:pPr>
      <w:r>
        <w:rPr/>
        <w:t>Od 7. do 9. siječnja 2022. građani trećeg panela okupili su se na završnoj sjednici koju su organizirali na Europskom koledžu u Natolinu i Palači kulture i znanosti, uz potporu grada Varšave. Bilo je moguće sudjelovati online. Na temelju smjernica koje su izradili na 2. zasjedanju kao temelj za svoj rad, građani su izradili i odobrili 51 završnu preporuku.</w:t>
      </w:r>
    </w:p>
    <w:p>
      <w:pPr>
        <w:pStyle w:val="Titre4"/>
        <w:numPr>
          <w:ilvl w:val="3"/>
          <w:numId w:val="2"/>
        </w:numPr>
        <w:rPr/>
      </w:pPr>
      <w:bookmarkStart w:id="19" w:name="__RefHeading___Toc298212_1346298689"/>
      <w:bookmarkEnd w:id="19"/>
      <w:r>
        <w:rPr/>
        <w:t>Panel 4. EU u svijetu; migracije</w:t>
      </w:r>
    </w:p>
    <w:p>
      <w:pPr>
        <w:pStyle w:val="Corpsdetexte"/>
        <w:rPr/>
      </w:pPr>
      <w:r>
        <w:rPr/>
        <mc:AlternateContent>
          <mc:Choice Requires="wps">
            <w:drawing>
              <wp:anchor behindDoc="0" distT="0" distB="0" distL="0" distR="0" simplePos="0" locked="0" layoutInCell="1" allowOverlap="1" relativeHeight="25">
                <wp:simplePos x="0" y="0"/>
                <wp:positionH relativeFrom="column">
                  <wp:align>center</wp:align>
                </wp:positionH>
                <wp:positionV relativeFrom="paragraph">
                  <wp:posOffset>635</wp:posOffset>
                </wp:positionV>
                <wp:extent cx="2971165" cy="2242185"/>
                <wp:effectExtent l="0" t="0" r="0" b="0"/>
                <wp:wrapSquare wrapText="largest"/>
                <wp:docPr id="24" name="Hrvatski jezik6"/>
                <a:graphic xmlns:a="http://schemas.openxmlformats.org/drawingml/2006/main">
                  <a:graphicData uri="http://schemas.microsoft.com/office/word/2010/wordprocessingShape">
                    <wps:wsp>
                      <wps:cNvSpPr/>
                      <wps:spPr>
                        <a:xfrm>
                          <a:off x="0" y="0"/>
                          <a:ext cx="2970360" cy="224172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rPr>
                            </w:pPr>
                            <w:r>
                              <w:rPr>
                                <w:color w:val="auto"/>
                              </w:rPr>
                              <w:drawing>
                                <wp:inline distT="0" distB="0" distL="0" distR="0">
                                  <wp:extent cx="2970530" cy="2033905"/>
                                  <wp:effectExtent l="0" t="0" r="0" b="0"/>
                                  <wp:docPr id="26" name="Slika 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lika 9" descr=""/>
                                          <pic:cNvPicPr>
                                            <a:picLocks noChangeAspect="1" noChangeArrowheads="1"/>
                                          </pic:cNvPicPr>
                                        </pic:nvPicPr>
                                        <pic:blipFill>
                                          <a:blip r:embed="rId39"/>
                                          <a:stretch>
                                            <a:fillRect/>
                                          </a:stretch>
                                        </pic:blipFill>
                                        <pic:spPr bwMode="auto">
                                          <a:xfrm>
                                            <a:off x="0" y="0"/>
                                            <a:ext cx="2970530" cy="2033905"/>
                                          </a:xfrm>
                                          <a:prstGeom prst="rect">
                                            <a:avLst/>
                                          </a:prstGeom>
                                        </pic:spPr>
                                      </pic:pic>
                                    </a:graphicData>
                                  </a:graphic>
                                </wp:inline>
                              </w:drawing>
                            </w:r>
                            <w:r>
                              <w:rPr>
                                <w:color w:val="auto"/>
                              </w:rPr>
                              <w:t>Fotografije: panel 3. europskih građana</w:t>
                            </w:r>
                          </w:p>
                        </w:txbxContent>
                      </wps:txbx>
                      <wps:bodyPr lIns="0" rIns="0" tIns="0" bIns="0">
                        <a:noAutofit/>
                      </wps:bodyPr>
                    </wps:wsp>
                  </a:graphicData>
                </a:graphic>
              </wp:anchor>
            </w:drawing>
          </mc:Choice>
          <mc:Fallback>
            <w:pict>
              <v:rect id="shape_0" ID="Hrvatski jezik6" fillcolor="white" stroked="f" style="position:absolute;margin-left:0pt;margin-top:0.05pt;width:233.85pt;height:176.45pt;mso-position-horizontal:center">
                <w10:wrap type="square"/>
                <v:fill o:detectmouseclick="t" type="solid" color2="black"/>
                <v:stroke color="#3465a4" joinstyle="round" endcap="flat"/>
                <v:textbox>
                  <w:txbxContent>
                    <w:p>
                      <w:pPr>
                        <w:pStyle w:val="P68B1DB1Lgende11"/>
                        <w:spacing w:before="120" w:after="120"/>
                        <w:rPr>
                          <w:color w:val="auto"/>
                        </w:rPr>
                      </w:pPr>
                      <w:r>
                        <w:rPr>
                          <w:color w:val="auto"/>
                        </w:rPr>
                        <w:drawing>
                          <wp:inline distT="0" distB="0" distL="0" distR="0">
                            <wp:extent cx="2970530" cy="2033905"/>
                            <wp:effectExtent l="0" t="0" r="0" b="0"/>
                            <wp:docPr id="27" name="Slika 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lika 9" descr=""/>
                                    <pic:cNvPicPr>
                                      <a:picLocks noChangeAspect="1" noChangeArrowheads="1"/>
                                    </pic:cNvPicPr>
                                  </pic:nvPicPr>
                                  <pic:blipFill>
                                    <a:blip r:embed="rId39"/>
                                    <a:stretch>
                                      <a:fillRect/>
                                    </a:stretch>
                                  </pic:blipFill>
                                  <pic:spPr bwMode="auto">
                                    <a:xfrm>
                                      <a:off x="0" y="0"/>
                                      <a:ext cx="2970530" cy="2033905"/>
                                    </a:xfrm>
                                    <a:prstGeom prst="rect">
                                      <a:avLst/>
                                    </a:prstGeom>
                                  </pic:spPr>
                                </pic:pic>
                              </a:graphicData>
                            </a:graphic>
                          </wp:inline>
                        </w:drawing>
                      </w:r>
                      <w:r>
                        <w:rPr>
                          <w:color w:val="auto"/>
                        </w:rPr>
                        <w:t>Fotografije: panel 3. europskih građana</w:t>
                      </w:r>
                    </w:p>
                  </w:txbxContent>
                </v:textbox>
              </v:rect>
            </w:pict>
          </mc:Fallback>
        </mc:AlternateContent>
      </w:r>
    </w:p>
    <w:p>
      <w:pPr>
        <w:pStyle w:val="Corpsdetexte"/>
        <w:rPr/>
      </w:pPr>
      <w:r>
        <w:rPr/>
        <w:t>Četvrtom panelu pod nazivom „EU u svijetu”; migracija" prvi put se sastala od 15. do 17. listopada u Strasbourgu, tijekom koje su sudionici raspravljali o ulozi EU-a na međunarodnoj sceni.</w:t>
      </w:r>
    </w:p>
    <w:p>
      <w:pPr>
        <w:pStyle w:val="Corpsdetexte"/>
        <w:rPr/>
      </w:pPr>
      <w:r>
        <mc:AlternateContent>
          <mc:Choice Requires="wps">
            <w:drawing>
              <wp:anchor behindDoc="0" distT="0" distB="0" distL="0" distR="0" simplePos="0" locked="0" layoutInCell="1" allowOverlap="1" relativeHeight="12">
                <wp:simplePos x="0" y="0"/>
                <wp:positionH relativeFrom="column">
                  <wp:align>center</wp:align>
                </wp:positionH>
                <wp:positionV relativeFrom="paragraph">
                  <wp:posOffset>635</wp:posOffset>
                </wp:positionV>
                <wp:extent cx="2570480" cy="2101215"/>
                <wp:effectExtent l="0" t="0" r="0" b="0"/>
                <wp:wrapTopAndBottom/>
                <wp:docPr id="28" name="Hrvatski jezik 7"/>
                <a:graphic xmlns:a="http://schemas.openxmlformats.org/drawingml/2006/main">
                  <a:graphicData uri="http://schemas.microsoft.com/office/word/2010/wordprocessingShape">
                    <wps:wsp>
                      <wps:cNvSpPr/>
                      <wps:spPr>
                        <a:xfrm>
                          <a:off x="0" y="0"/>
                          <a:ext cx="2569680" cy="210060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rPr>
                            </w:pPr>
                            <w:r>
                              <w:rPr>
                                <w:color w:val="auto"/>
                              </w:rPr>
                              <w:drawing>
                                <wp:inline distT="0" distB="0" distL="0" distR="0">
                                  <wp:extent cx="2970530" cy="2036445"/>
                                  <wp:effectExtent l="0" t="0" r="0" b="0"/>
                                  <wp:docPr id="30" name="Slika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lika10" descr=""/>
                                          <pic:cNvPicPr>
                                            <a:picLocks noChangeAspect="1" noChangeArrowheads="1"/>
                                          </pic:cNvPicPr>
                                        </pic:nvPicPr>
                                        <pic:blipFill>
                                          <a:blip r:embed="rId40"/>
                                          <a:stretch>
                                            <a:fillRect/>
                                          </a:stretch>
                                        </pic:blipFill>
                                        <pic:spPr bwMode="auto">
                                          <a:xfrm>
                                            <a:off x="0" y="0"/>
                                            <a:ext cx="2970530" cy="2036445"/>
                                          </a:xfrm>
                                          <a:prstGeom prst="rect">
                                            <a:avLst/>
                                          </a:prstGeom>
                                        </pic:spPr>
                                      </pic:pic>
                                    </a:graphicData>
                                  </a:graphic>
                                </wp:inline>
                              </w:drawing>
                            </w:r>
                            <w:r>
                              <w:rPr>
                                <w:color w:val="auto"/>
                              </w:rPr>
                              <w:t>Fotografije: panel 4. europskih građana</w:t>
                              <w:br/>
                            </w:r>
                          </w:p>
                        </w:txbxContent>
                      </wps:txbx>
                      <wps:bodyPr lIns="0" rIns="0" tIns="0" bIns="0">
                        <a:noAutofit/>
                      </wps:bodyPr>
                    </wps:wsp>
                  </a:graphicData>
                </a:graphic>
              </wp:anchor>
            </w:drawing>
          </mc:Choice>
          <mc:Fallback>
            <w:pict>
              <v:rect id="shape_0" ID="Hrvatski jezik 7" fillcolor="white" stroked="f" style="position:absolute;margin-left:15.75pt;margin-top:0.05pt;width:202.3pt;height:165.35pt;mso-position-horizontal:center">
                <w10:wrap type="square"/>
                <v:fill o:detectmouseclick="t" type="solid" color2="black"/>
                <v:stroke color="#3465a4" joinstyle="round" endcap="flat"/>
                <v:textbox>
                  <w:txbxContent>
                    <w:p>
                      <w:pPr>
                        <w:pStyle w:val="P68B1DB1Lgende11"/>
                        <w:spacing w:before="120" w:after="120"/>
                        <w:rPr>
                          <w:color w:val="auto"/>
                        </w:rPr>
                      </w:pPr>
                      <w:r>
                        <w:rPr>
                          <w:color w:val="auto"/>
                        </w:rPr>
                        <w:drawing>
                          <wp:inline distT="0" distB="0" distL="0" distR="0">
                            <wp:extent cx="2970530" cy="2036445"/>
                            <wp:effectExtent l="0" t="0" r="0" b="0"/>
                            <wp:docPr id="31" name="Slika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lika10" descr=""/>
                                    <pic:cNvPicPr>
                                      <a:picLocks noChangeAspect="1" noChangeArrowheads="1"/>
                                    </pic:cNvPicPr>
                                  </pic:nvPicPr>
                                  <pic:blipFill>
                                    <a:blip r:embed="rId40"/>
                                    <a:stretch>
                                      <a:fillRect/>
                                    </a:stretch>
                                  </pic:blipFill>
                                  <pic:spPr bwMode="auto">
                                    <a:xfrm>
                                      <a:off x="0" y="0"/>
                                      <a:ext cx="2970530" cy="2036445"/>
                                    </a:xfrm>
                                    <a:prstGeom prst="rect">
                                      <a:avLst/>
                                    </a:prstGeom>
                                  </pic:spPr>
                                </pic:pic>
                              </a:graphicData>
                            </a:graphic>
                          </wp:inline>
                        </w:drawing>
                      </w:r>
                      <w:r>
                        <w:rPr>
                          <w:color w:val="auto"/>
                        </w:rPr>
                        <w:t>Fotografije: panel 4. europskih građana</w:t>
                        <w:br/>
                      </w:r>
                    </w:p>
                  </w:txbxContent>
                </v:textbox>
              </v:rect>
            </w:pict>
          </mc:Fallback>
        </mc:AlternateContent>
      </w:r>
      <w:r>
        <w:rPr/>
        <w:t>Konkretno, raspravljalo se o ciljevima i strategijama EU-a u području sigurnosti, obrane, trgovinske politike, humanitarne pomoći i razvojne suradnje, vanjske politike, politike susjedstva EU-a i proširenja te o tome kako bi se EU trebao nositi s migracijama. Građane je pozdravila supredsjedateljica Dubravka Šuica. Rad na prvoj sjednici zaključen je na odobravanju pet područja rada: „Samodostatnost i stabilnost”, „EU kao međunarodni partner”, „Snažan EU u svijetu u miru”, „Migracije s ljudskog stajališta” i „Odgovornost i solidarnost diljem EU-a”. Završno izvješće sa sjednice dostupno je na višejezičnoj digitalnoj platformi.</w:t>
      </w:r>
    </w:p>
    <w:p>
      <w:pPr>
        <w:pStyle w:val="Corpsdetexte"/>
        <w:rPr/>
      </w:pPr>
      <w:r>
        <w:rPr/>
        <w:t>Od 16. do 28. studenoga 2021. Skupina 4. održala je drugi internetski sastanak na temelju rada obavljenog tijekom prve sjednice. Tijekom drugog zasjedanja članovi panela utvrdili su „smjernice” za izradu konkretnih preporuka (na trećem zasjedanju) za svaku od pet osi utvrđenih na prvoj sjednici. Ukupno su građani koji su sudjelovali u 4. panelu izradili 95 skupina za usmjeravanje.</w:t>
      </w:r>
    </w:p>
    <w:p>
      <w:pPr>
        <w:pStyle w:val="Corpsdetexte"/>
        <w:rPr/>
      </w:pPr>
      <w:r>
        <w:rPr/>
        <w:t>Od 11. do 13. veljače 2022. u izložbenom i konferencijskom centru u Maastrichtu (MECC) u organizaciji Studija Europa Maastricht, u suradnji sa Sveučilištem u Maastrichtu i Europskim institutom za javnu upravu (IEAP), okupili su se sudionici panela 4 građana. Bilo je moguće sudjelovati online.</w:t>
      </w:r>
    </w:p>
    <w:p>
      <w:pPr>
        <w:pStyle w:val="Corpsdetexte"/>
        <w:rPr/>
      </w:pPr>
      <w:r>
        <w:rPr/>
        <w:t>na temelju smjernica koje su izradili na 2. zasjedanju kao temelj za svoj rad, građani su izradili i odobrili 40 konačnih preporuka.</w:t>
      </w:r>
    </w:p>
    <w:p>
      <w:pPr>
        <w:pStyle w:val="Normal"/>
        <w:rPr/>
      </w:pPr>
      <w:r>
        <w:rPr/>
      </w:r>
    </w:p>
    <w:p>
      <w:pPr>
        <w:pStyle w:val="Titre3"/>
        <w:numPr>
          <w:ilvl w:val="2"/>
          <w:numId w:val="2"/>
        </w:numPr>
        <w:rPr/>
      </w:pPr>
      <w:bookmarkStart w:id="20" w:name="__RefHeading___Toc298214_1346298689"/>
      <w:bookmarkEnd w:id="20"/>
      <w:r>
        <w:rPr/>
        <w:t>2.</w:t>
        <w:tab/>
        <w:t>Nacionalni paneli građana i građanki</w:t>
      </w:r>
    </w:p>
    <w:p>
      <w:pPr>
        <w:pStyle w:val="Corpsdetexte"/>
        <w:rPr/>
      </w:pPr>
      <w:r>
        <w:rPr/>
        <w:t>U skladu sa Zajedničkom izjavom, na plenarnoj sjednici Konferencije raspravljalo se o preporukama nacionalnih i europskih panela građana i građanki razvrstanih po temama. Kako bi se pomoglo državama članicama koje planiraju organizirati nacionalne panele građana, supredsjedatelji su potvrdili smjernice i proslijedili ih Izvršnom odboru 26. svibnja 2021. Slijedili su ista načela kao i europski paneli građana i građanki i uključivali načela dobrog promišljanja na temelju izvješća OECD-a</w:t>
      </w:r>
      <w:r>
        <w:rPr>
          <w:rStyle w:val="Ancredenotedebasdepage"/>
          <w:rStyle w:val="Ancredenotedebasdepage"/>
        </w:rPr>
        <w:footnoteReference w:id="5"/>
      </w:r>
      <w:r>
        <w:rPr/>
        <w:t>.</w:t>
      </w:r>
    </w:p>
    <w:p>
      <w:pPr>
        <w:pStyle w:val="Corpsdetexte"/>
        <w:rPr/>
      </w:pPr>
      <w:r>
        <w:rPr/>
        <w:t>Šest država članica – Belgija, Francuska, Njemačka, Italija, Litva i Nizozemska – organiziralo je panele nacionalnih građana poštujući načela utvrđena u ovim smjernicama. Preporuke tih nacionalnih panela građana predstavljene su i o njima se raspravljalo na plenarnim sastancima u siječnju i ožujku, kao i na plenarnim radnim skupinama, usporedno s preporukama europskih panela građana i građanki o istim temama.</w:t>
      </w:r>
    </w:p>
    <w:p>
      <w:pPr>
        <w:pStyle w:val="Titre4"/>
        <w:numPr>
          <w:ilvl w:val="3"/>
          <w:numId w:val="2"/>
        </w:numPr>
        <w:rPr/>
      </w:pPr>
      <w:bookmarkStart w:id="21" w:name="__RefHeading___Toc298216_1346298689"/>
      <w:bookmarkEnd w:id="21"/>
      <w:r>
        <w:rPr/>
        <w:t>1)</w:t>
        <w:tab/>
        <w:t>BELGIJA</w:t>
      </w:r>
    </w:p>
    <w:p>
      <w:pPr>
        <w:pStyle w:val="Normal"/>
        <w:rPr/>
      </w:pPr>
      <w:r>
        <w:rPr/>
        <mc:AlternateContent>
          <mc:Choice Requires="wps">
            <w:drawing>
              <wp:anchor behindDoc="0" distT="0" distB="0" distL="0" distR="0" simplePos="0" locked="0" layoutInCell="1" allowOverlap="1" relativeHeight="16">
                <wp:simplePos x="0" y="0"/>
                <wp:positionH relativeFrom="column">
                  <wp:align>center</wp:align>
                </wp:positionH>
                <wp:positionV relativeFrom="paragraph">
                  <wp:posOffset>635</wp:posOffset>
                </wp:positionV>
                <wp:extent cx="2783205" cy="2115185"/>
                <wp:effectExtent l="0" t="0" r="0" b="0"/>
                <wp:wrapSquare wrapText="largest"/>
                <wp:docPr id="32" name="Okvir 8"/>
                <a:graphic xmlns:a="http://schemas.openxmlformats.org/drawingml/2006/main">
                  <a:graphicData uri="http://schemas.microsoft.com/office/word/2010/wordprocessingShape">
                    <wps:wsp>
                      <wps:cNvSpPr/>
                      <wps:spPr>
                        <a:xfrm>
                          <a:off x="0" y="0"/>
                          <a:ext cx="2782440" cy="211464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rPr>
                            </w:pPr>
                            <w:r>
                              <w:rPr>
                                <w:color w:val="auto"/>
                              </w:rPr>
                              <w:drawing>
                                <wp:inline distT="0" distB="0" distL="0" distR="0">
                                  <wp:extent cx="2970530" cy="2035810"/>
                                  <wp:effectExtent l="0" t="0" r="0" b="0"/>
                                  <wp:docPr id="34" name="Slika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lika11" descr=""/>
                                          <pic:cNvPicPr>
                                            <a:picLocks noChangeAspect="1" noChangeArrowheads="1"/>
                                          </pic:cNvPicPr>
                                        </pic:nvPicPr>
                                        <pic:blipFill>
                                          <a:blip r:embed="rId41"/>
                                          <a:stretch>
                                            <a:fillRect/>
                                          </a:stretch>
                                        </pic:blipFill>
                                        <pic:spPr bwMode="auto">
                                          <a:xfrm>
                                            <a:off x="0" y="0"/>
                                            <a:ext cx="2970530" cy="2035810"/>
                                          </a:xfrm>
                                          <a:prstGeom prst="rect">
                                            <a:avLst/>
                                          </a:prstGeom>
                                        </pic:spPr>
                                      </pic:pic>
                                    </a:graphicData>
                                  </a:graphic>
                                </wp:inline>
                              </w:drawing>
                            </w:r>
                            <w:r>
                              <w:rPr>
                                <w:color w:val="auto"/>
                              </w:rPr>
                              <w:t>Fotografija: Belgijski panel građana i građanki</w:t>
                            </w:r>
                          </w:p>
                        </w:txbxContent>
                      </wps:txbx>
                      <wps:bodyPr lIns="0" rIns="0" tIns="0" bIns="0">
                        <a:noAutofit/>
                      </wps:bodyPr>
                    </wps:wsp>
                  </a:graphicData>
                </a:graphic>
              </wp:anchor>
            </w:drawing>
          </mc:Choice>
          <mc:Fallback>
            <w:pict>
              <v:rect id="shape_0" ID="Okvir 8" fillcolor="white" stroked="f" style="position:absolute;margin-left:7.4pt;margin-top:0.05pt;width:219.05pt;height:166.45pt;mso-position-horizontal:center">
                <w10:wrap type="square"/>
                <v:fill o:detectmouseclick="t" type="solid" color2="black"/>
                <v:stroke color="#3465a4" joinstyle="round" endcap="flat"/>
                <v:textbox>
                  <w:txbxContent>
                    <w:p>
                      <w:pPr>
                        <w:pStyle w:val="P68B1DB1Lgende11"/>
                        <w:spacing w:before="120" w:after="120"/>
                        <w:rPr>
                          <w:color w:val="auto"/>
                        </w:rPr>
                      </w:pPr>
                      <w:r>
                        <w:rPr>
                          <w:color w:val="auto"/>
                        </w:rPr>
                        <w:drawing>
                          <wp:inline distT="0" distB="0" distL="0" distR="0">
                            <wp:extent cx="2970530" cy="2035810"/>
                            <wp:effectExtent l="0" t="0" r="0" b="0"/>
                            <wp:docPr id="35" name="Slika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lika11" descr=""/>
                                    <pic:cNvPicPr>
                                      <a:picLocks noChangeAspect="1" noChangeArrowheads="1"/>
                                    </pic:cNvPicPr>
                                  </pic:nvPicPr>
                                  <pic:blipFill>
                                    <a:blip r:embed="rId41"/>
                                    <a:stretch>
                                      <a:fillRect/>
                                    </a:stretch>
                                  </pic:blipFill>
                                  <pic:spPr bwMode="auto">
                                    <a:xfrm>
                                      <a:off x="0" y="0"/>
                                      <a:ext cx="2970530" cy="2035810"/>
                                    </a:xfrm>
                                    <a:prstGeom prst="rect">
                                      <a:avLst/>
                                    </a:prstGeom>
                                  </pic:spPr>
                                </pic:pic>
                              </a:graphicData>
                            </a:graphic>
                          </wp:inline>
                        </w:drawing>
                      </w:r>
                      <w:r>
                        <w:rPr>
                          <w:color w:val="auto"/>
                        </w:rPr>
                        <w:t>Fotografija: Belgijski panel građana i građanki</w:t>
                      </w:r>
                    </w:p>
                  </w:txbxContent>
                </v:textbox>
              </v:rect>
            </w:pict>
          </mc:Fallback>
        </mc:AlternateContent>
      </w:r>
    </w:p>
    <w:p>
      <w:pPr>
        <w:pStyle w:val="Corpsdetexte"/>
        <w:rPr/>
      </w:pPr>
      <w:r>
        <w:rPr/>
        <w:t>U listopadu 2021. panel građana okupio je tijekom tri vikenda 50 nasumično odabranih građana, predstavnika općeg stanovništva, kako bi raspravljali o temi europske demokracije i o tome kako bi se građani mogli više uključiti u europske poslove.</w:t>
      </w:r>
    </w:p>
    <w:p>
      <w:pPr>
        <w:pStyle w:val="Corpsdetexte"/>
        <w:rPr/>
      </w:pPr>
      <w:r>
        <w:rPr/>
        <w:t>Panel je organiziran pod pokroviteljstvom Sophie Wilmès, belgijske potpredsjednice vlade i ministrice vanjskih i europskih poslova.</w:t>
      </w:r>
    </w:p>
    <w:p>
      <w:pPr>
        <w:pStyle w:val="Corpsdetexte"/>
        <w:rPr/>
      </w:pPr>
      <w:r>
        <w:rPr/>
        <w:t>Građani su dali preporuke o pet tema koje su odabrali, a to su:</w:t>
      </w:r>
    </w:p>
    <w:p>
      <w:pPr>
        <w:pStyle w:val="Alineanegatifpuce"/>
        <w:numPr>
          <w:ilvl w:val="0"/>
          <w:numId w:val="3"/>
        </w:numPr>
        <w:rPr/>
      </w:pPr>
      <w:r>
        <w:rPr/>
        <w:t xml:space="preserve"> </w:t>
      </w:r>
      <w:r>
        <w:rPr/>
        <w:t>poboljšanje komunikacije o Europskoj uniji,</w:t>
      </w:r>
    </w:p>
    <w:p>
      <w:pPr>
        <w:pStyle w:val="Alineanegatifpuce"/>
        <w:numPr>
          <w:ilvl w:val="0"/>
          <w:numId w:val="3"/>
        </w:numPr>
        <w:rPr/>
      </w:pPr>
      <w:r>
        <w:rPr/>
        <w:t xml:space="preserve"> </w:t>
      </w:r>
      <w:r>
        <w:rPr/>
        <w:t>utvrđivanje i suzbijanje dezinformacija o EU-u,</w:t>
      </w:r>
    </w:p>
    <w:p>
      <w:pPr>
        <w:pStyle w:val="Alineanegatifpuce"/>
        <w:numPr>
          <w:ilvl w:val="0"/>
          <w:numId w:val="3"/>
        </w:numPr>
        <w:rPr/>
      </w:pPr>
      <w:r>
        <w:rPr/>
        <w:t xml:space="preserve"> </w:t>
      </w:r>
      <w:r>
        <w:rPr/>
        <w:t>paneli građana kao alat za sudjelovanje,</w:t>
      </w:r>
    </w:p>
    <w:p>
      <w:pPr>
        <w:pStyle w:val="Alineanegatifpuce"/>
        <w:numPr>
          <w:ilvl w:val="0"/>
          <w:numId w:val="3"/>
        </w:numPr>
        <w:rPr/>
      </w:pPr>
      <w:r>
        <w:rPr/>
        <w:t xml:space="preserve"> </w:t>
      </w:r>
      <w:r>
        <w:rPr/>
        <w:t>referendum u europskim poslovima,</w:t>
      </w:r>
    </w:p>
    <w:p>
      <w:pPr>
        <w:pStyle w:val="Alineanegatifpuce"/>
        <w:numPr>
          <w:ilvl w:val="0"/>
          <w:numId w:val="3"/>
        </w:numPr>
        <w:rPr/>
      </w:pPr>
      <w:r>
        <w:rPr/>
        <w:t xml:space="preserve"> </w:t>
      </w:r>
      <w:r>
        <w:rPr/>
        <w:t>poboljšati postojeće participativne instrumente u Europskoj uniji.</w:t>
      </w:r>
    </w:p>
    <w:p>
      <w:pPr>
        <w:pStyle w:val="Corpsdetexte"/>
        <w:rPr/>
      </w:pPr>
      <w:r>
        <w:rPr/>
        <w:t>Rad belgijskog panela građana rezultirao je 115 preporuka koje je sastavilo, raspravljalo i glasovalo 50 nasumično odabranih belgijskih građana.</w:t>
      </w:r>
    </w:p>
    <w:p>
      <w:pPr>
        <w:pStyle w:val="Corpsdetexte"/>
        <w:rPr/>
      </w:pPr>
      <w:r>
        <w:rPr/>
      </w:r>
    </w:p>
    <w:p>
      <w:pPr>
        <w:pStyle w:val="Titre4"/>
        <w:numPr>
          <w:ilvl w:val="3"/>
          <w:numId w:val="2"/>
        </w:numPr>
        <w:rPr/>
      </w:pPr>
      <w:bookmarkStart w:id="22" w:name="__RefHeading___Toc298218_1346298689"/>
      <w:bookmarkEnd w:id="22"/>
      <w:r>
        <w:rPr/>
        <w:t>2)</w:t>
        <w:tab/>
        <w:t>NJEMAČKA</w:t>
      </w:r>
    </w:p>
    <w:p>
      <w:pPr>
        <w:pStyle w:val="Corpsdetexte"/>
        <w:rPr/>
      </w:pPr>
      <w:r>
        <w:rPr/>
        <w:t>U siječnju 2022. njemačko ministarstvo vanjskih poslova organiziralo je panel nacionalnih građana. 100 nasumično odabranih građana, predstavnika stanovništva, sudjelovalo je u ovom internetskom panelu.</w:t>
      </w:r>
    </w:p>
    <w:p>
      <w:pPr>
        <w:pStyle w:val="Corpsdetexte"/>
        <w:rPr/>
      </w:pPr>
      <w:r>
        <w:rPr/>
        <w:t>Dana 5. i 8. siječnja 2022. na internetu je organizirano pet radionica za pokretanje, od kojih je svaka okupila 20 sudionika o sljedećim temama:</w:t>
      </w:r>
    </w:p>
    <w:p>
      <w:pPr>
        <w:pStyle w:val="Corpsdetexte"/>
        <w:rPr/>
      </w:pPr>
      <w:r>
        <w:rPr/>
        <w:t xml:space="preserve">— </w:t>
      </w:r>
      <w:r>
        <w:rPr/>
        <w:t>uloga Europe u svijetu, klima i okoliš,</w:t>
      </w:r>
    </w:p>
    <w:p>
      <w:pPr>
        <w:pStyle w:val="Corpsdetexte"/>
        <w:rPr/>
      </w:pPr>
      <w:r>
        <w:rPr/>
        <w:t>vladavina prava i vrijednosti,</w:t>
      </w:r>
    </w:p>
    <w:p>
      <w:pPr>
        <w:pStyle w:val="Corpsdetexte"/>
        <w:rPr/>
      </w:pPr>
      <w:r>
        <w:rPr/>
        <w:t>snažnije gospodarstvo i socijalna pravda.</w:t>
      </w:r>
    </w:p>
    <w:p>
      <w:pPr>
        <w:pStyle w:val="Corpsdetexte"/>
        <w:rPr/>
      </w:pPr>
      <w:r>
        <w:rPr/>
        <mc:AlternateContent>
          <mc:Choice Requires="wps">
            <w:drawing>
              <wp:anchor behindDoc="0" distT="0" distB="0" distL="0" distR="0" simplePos="0" locked="0" layoutInCell="1" allowOverlap="1" relativeHeight="2">
                <wp:simplePos x="0" y="0"/>
                <wp:positionH relativeFrom="column">
                  <wp:align>center</wp:align>
                </wp:positionH>
                <wp:positionV relativeFrom="paragraph">
                  <wp:posOffset>635</wp:posOffset>
                </wp:positionV>
                <wp:extent cx="2971165" cy="2132965"/>
                <wp:effectExtent l="0" t="0" r="0" b="0"/>
                <wp:wrapSquare wrapText="largest"/>
                <wp:docPr id="36" name="Okvir 15"/>
                <a:graphic xmlns:a="http://schemas.openxmlformats.org/drawingml/2006/main">
                  <a:graphicData uri="http://schemas.microsoft.com/office/word/2010/wordprocessingShape">
                    <wps:wsp>
                      <wps:cNvSpPr/>
                      <wps:spPr>
                        <a:xfrm>
                          <a:off x="0" y="0"/>
                          <a:ext cx="2970360" cy="213228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rPr>
                            </w:pPr>
                            <w:r>
                              <w:rPr>
                                <w:color w:val="auto"/>
                              </w:rPr>
                              <w:drawing>
                                <wp:inline distT="0" distB="0" distL="0" distR="0">
                                  <wp:extent cx="2970530" cy="1900555"/>
                                  <wp:effectExtent l="0" t="0" r="0" b="0"/>
                                  <wp:docPr id="38" name="Slika 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lika 7" descr=""/>
                                          <pic:cNvPicPr>
                                            <a:picLocks noChangeAspect="1" noChangeArrowheads="1"/>
                                          </pic:cNvPicPr>
                                        </pic:nvPicPr>
                                        <pic:blipFill>
                                          <a:blip r:embed="rId42"/>
                                          <a:stretch>
                                            <a:fillRect/>
                                          </a:stretch>
                                        </pic:blipFill>
                                        <pic:spPr bwMode="auto">
                                          <a:xfrm>
                                            <a:off x="0" y="0"/>
                                            <a:ext cx="2970530" cy="1900555"/>
                                          </a:xfrm>
                                          <a:prstGeom prst="rect">
                                            <a:avLst/>
                                          </a:prstGeom>
                                        </pic:spPr>
                                      </pic:pic>
                                    </a:graphicData>
                                  </a:graphic>
                                </wp:inline>
                              </w:drawing>
                            </w:r>
                            <w:r>
                              <w:rPr>
                                <w:vanish/>
                                <w:color w:val="auto"/>
                              </w:rPr>
                              <w:br/>
                            </w:r>
                            <w:r>
                              <w:rPr>
                                <w:color w:val="auto"/>
                              </w:rPr>
                              <w:t>Fotografije: Njemački panel građana i građanki</w:t>
                            </w:r>
                          </w:p>
                        </w:txbxContent>
                      </wps:txbx>
                      <wps:bodyPr lIns="0" rIns="0" tIns="0" bIns="0">
                        <a:noAutofit/>
                      </wps:bodyPr>
                    </wps:wsp>
                  </a:graphicData>
                </a:graphic>
              </wp:anchor>
            </w:drawing>
          </mc:Choice>
          <mc:Fallback>
            <w:pict>
              <v:rect id="shape_0" ID="Okvir 15" fillcolor="white" stroked="f" style="position:absolute;margin-left:0pt;margin-top:0.05pt;width:233.85pt;height:167.85pt;mso-position-horizontal:center">
                <w10:wrap type="square"/>
                <v:fill o:detectmouseclick="t" type="solid" color2="black"/>
                <v:stroke color="#3465a4" joinstyle="round" endcap="flat"/>
                <v:textbox>
                  <w:txbxContent>
                    <w:p>
                      <w:pPr>
                        <w:pStyle w:val="P68B1DB1Lgende11"/>
                        <w:spacing w:before="120" w:after="120"/>
                        <w:rPr>
                          <w:color w:val="auto"/>
                        </w:rPr>
                      </w:pPr>
                      <w:r>
                        <w:rPr>
                          <w:color w:val="auto"/>
                        </w:rPr>
                        <w:drawing>
                          <wp:inline distT="0" distB="0" distL="0" distR="0">
                            <wp:extent cx="2970530" cy="1900555"/>
                            <wp:effectExtent l="0" t="0" r="0" b="0"/>
                            <wp:docPr id="39" name="Slika 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lika 7" descr=""/>
                                    <pic:cNvPicPr>
                                      <a:picLocks noChangeAspect="1" noChangeArrowheads="1"/>
                                    </pic:cNvPicPr>
                                  </pic:nvPicPr>
                                  <pic:blipFill>
                                    <a:blip r:embed="rId42"/>
                                    <a:stretch>
                                      <a:fillRect/>
                                    </a:stretch>
                                  </pic:blipFill>
                                  <pic:spPr bwMode="auto">
                                    <a:xfrm>
                                      <a:off x="0" y="0"/>
                                      <a:ext cx="2970530" cy="1900555"/>
                                    </a:xfrm>
                                    <a:prstGeom prst="rect">
                                      <a:avLst/>
                                    </a:prstGeom>
                                  </pic:spPr>
                                </pic:pic>
                              </a:graphicData>
                            </a:graphic>
                          </wp:inline>
                        </w:drawing>
                      </w:r>
                      <w:r>
                        <w:rPr>
                          <w:vanish/>
                          <w:color w:val="auto"/>
                        </w:rPr>
                        <w:br/>
                      </w:r>
                      <w:r>
                        <w:rPr>
                          <w:color w:val="auto"/>
                        </w:rPr>
                        <w:t>Fotografije: Njemački panel građana i građanki</w:t>
                      </w:r>
                    </w:p>
                  </w:txbxContent>
                </v:textbox>
              </v:rect>
            </w:pict>
          </mc:Fallback>
        </mc:AlternateContent>
      </w:r>
    </w:p>
    <w:p>
      <w:pPr>
        <w:pStyle w:val="Corpsdetexte"/>
        <w:rPr/>
      </w:pPr>
      <w:r>
        <w:rPr/>
        <w:t>100 nasumično odabranih građana sastalo se 15. i 16. siječnja 2022. kako bi raspravilo o izazovima povezanima s tim pitanjima i mogućim rješenjima te je donijelo svoje preporuke. Sudionici su izradili dva konkretna prijedloga za svaku od gore navedenih tema.</w:t>
      </w:r>
    </w:p>
    <w:p>
      <w:pPr>
        <w:pStyle w:val="Corpsdetexte"/>
        <w:rPr/>
      </w:pPr>
      <w:r>
        <w:rPr/>
        <w:t>Rezultati su predstavljeni 16. siječnja na završnoj internetskoj konferenciji kojoj su prisustvovali njemačka ministrica vanjskih poslova Annalena Baerbock i zamjenica ministra za Europu i klimu Anna Lührmann.</w:t>
      </w:r>
    </w:p>
    <w:p>
      <w:pPr>
        <w:pStyle w:val="Corpsdetexte"/>
        <w:rPr/>
      </w:pPr>
      <w:r>
        <w:rPr/>
      </w:r>
    </w:p>
    <w:p>
      <w:pPr>
        <w:pStyle w:val="Titre4"/>
        <w:numPr>
          <w:ilvl w:val="3"/>
          <w:numId w:val="2"/>
        </w:numPr>
        <w:rPr/>
      </w:pPr>
      <w:bookmarkStart w:id="23" w:name="__RefHeading___Toc298220_1346298689"/>
      <w:bookmarkEnd w:id="23"/>
      <w:r>
        <w:rPr/>
        <w:t>3)</w:t>
        <w:tab/>
        <w:t>FRANCUSKA</w:t>
      </w:r>
    </w:p>
    <w:p>
      <w:pPr>
        <w:pStyle w:val="Corpsdetexte"/>
        <w:rPr/>
      </w:pPr>
      <w:r>
        <w:rPr/>
        <w:t>Panele građana u Francuskoj organiziralo je francusko Ministarstvo Europe i vanjskih poslova uz potporu Ministarstva za odnose s parlamentom i sudjelovanje građana.</w:t>
      </w:r>
    </w:p>
    <w:p>
      <w:pPr>
        <w:pStyle w:val="Normal"/>
        <w:rPr/>
      </w:pPr>
      <w:r>
        <w:rPr/>
        <mc:AlternateContent>
          <mc:Choice Requires="wps">
            <w:drawing>
              <wp:anchor behindDoc="0" distT="0" distB="0" distL="0" distR="0" simplePos="0" locked="0" layoutInCell="1" allowOverlap="1" relativeHeight="21">
                <wp:simplePos x="0" y="0"/>
                <wp:positionH relativeFrom="column">
                  <wp:align>center</wp:align>
                </wp:positionH>
                <wp:positionV relativeFrom="paragraph">
                  <wp:posOffset>635</wp:posOffset>
                </wp:positionV>
                <wp:extent cx="2971165" cy="2244090"/>
                <wp:effectExtent l="0" t="0" r="0" b="0"/>
                <wp:wrapSquare wrapText="largest"/>
                <wp:docPr id="40" name="Hrvatski jezik9"/>
                <a:graphic xmlns:a="http://schemas.openxmlformats.org/drawingml/2006/main">
                  <a:graphicData uri="http://schemas.microsoft.com/office/word/2010/wordprocessingShape">
                    <wps:wsp>
                      <wps:cNvSpPr/>
                      <wps:spPr>
                        <a:xfrm>
                          <a:off x="0" y="0"/>
                          <a:ext cx="2970360" cy="224352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rPr>
                            </w:pPr>
                            <w:r>
                              <w:rPr>
                                <w:color w:val="auto"/>
                              </w:rPr>
                              <w:drawing>
                                <wp:inline distT="0" distB="0" distL="0" distR="0">
                                  <wp:extent cx="2970530" cy="2035810"/>
                                  <wp:effectExtent l="0" t="0" r="0" b="0"/>
                                  <wp:docPr id="42" name="Slika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Slika12" descr=""/>
                                          <pic:cNvPicPr>
                                            <a:picLocks noChangeAspect="1" noChangeArrowheads="1"/>
                                          </pic:cNvPicPr>
                                        </pic:nvPicPr>
                                        <pic:blipFill>
                                          <a:blip r:embed="rId43"/>
                                          <a:stretch>
                                            <a:fillRect/>
                                          </a:stretch>
                                        </pic:blipFill>
                                        <pic:spPr bwMode="auto">
                                          <a:xfrm>
                                            <a:off x="0" y="0"/>
                                            <a:ext cx="2970530" cy="2035810"/>
                                          </a:xfrm>
                                          <a:prstGeom prst="rect">
                                            <a:avLst/>
                                          </a:prstGeom>
                                        </pic:spPr>
                                      </pic:pic>
                                    </a:graphicData>
                                  </a:graphic>
                                </wp:inline>
                              </w:drawing>
                            </w:r>
                            <w:r>
                              <w:rPr>
                                <w:color w:val="auto"/>
                              </w:rPr>
                              <w:t>Fotografije: panel francuskih građana</w:t>
                            </w:r>
                          </w:p>
                        </w:txbxContent>
                      </wps:txbx>
                      <wps:bodyPr lIns="0" rIns="0" tIns="0" bIns="0">
                        <a:noAutofit/>
                      </wps:bodyPr>
                    </wps:wsp>
                  </a:graphicData>
                </a:graphic>
              </wp:anchor>
            </w:drawing>
          </mc:Choice>
          <mc:Fallback>
            <w:pict>
              <v:rect id="shape_0" ID="Hrvatski jezik9" fillcolor="white" stroked="f" style="position:absolute;margin-left:0pt;margin-top:0.05pt;width:233.85pt;height:176.6pt;mso-position-horizontal:center">
                <w10:wrap type="square"/>
                <v:fill o:detectmouseclick="t" type="solid" color2="black"/>
                <v:stroke color="#3465a4" joinstyle="round" endcap="flat"/>
                <v:textbox>
                  <w:txbxContent>
                    <w:p>
                      <w:pPr>
                        <w:pStyle w:val="P68B1DB1Lgende11"/>
                        <w:spacing w:before="120" w:after="120"/>
                        <w:rPr>
                          <w:color w:val="auto"/>
                        </w:rPr>
                      </w:pPr>
                      <w:r>
                        <w:rPr>
                          <w:color w:val="auto"/>
                        </w:rPr>
                        <w:drawing>
                          <wp:inline distT="0" distB="0" distL="0" distR="0">
                            <wp:extent cx="2970530" cy="2035810"/>
                            <wp:effectExtent l="0" t="0" r="0" b="0"/>
                            <wp:docPr id="43" name="Slika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lika12" descr=""/>
                                    <pic:cNvPicPr>
                                      <a:picLocks noChangeAspect="1" noChangeArrowheads="1"/>
                                    </pic:cNvPicPr>
                                  </pic:nvPicPr>
                                  <pic:blipFill>
                                    <a:blip r:embed="rId43"/>
                                    <a:stretch>
                                      <a:fillRect/>
                                    </a:stretch>
                                  </pic:blipFill>
                                  <pic:spPr bwMode="auto">
                                    <a:xfrm>
                                      <a:off x="0" y="0"/>
                                      <a:ext cx="2970530" cy="2035810"/>
                                    </a:xfrm>
                                    <a:prstGeom prst="rect">
                                      <a:avLst/>
                                    </a:prstGeom>
                                  </pic:spPr>
                                </pic:pic>
                              </a:graphicData>
                            </a:graphic>
                          </wp:inline>
                        </w:drawing>
                      </w:r>
                      <w:r>
                        <w:rPr>
                          <w:color w:val="auto"/>
                        </w:rPr>
                        <w:t>Fotografije: panel francuskih građana</w:t>
                      </w:r>
                    </w:p>
                  </w:txbxContent>
                </v:textbox>
              </v:rect>
            </w:pict>
          </mc:Fallback>
        </mc:AlternateContent>
      </w:r>
    </w:p>
    <w:p>
      <w:pPr>
        <w:pStyle w:val="Corpsdetexte"/>
        <w:rPr/>
      </w:pPr>
      <w:r>
        <w:rPr/>
        <w:t>U rujnu i početkom listopada 2021. u svim francuskim, velegradskim i prekomorskim regijama organizirano je osamnaest panela građana. Svaki je panel okupio između 30 i 50 nasumično odabranih građana, koji predstavljaju raznolikost stanovništva regija. Na panelima je sudjelovalo ukupno više od 700 građana. Rad regionalnih panela doveo je do popisa 101 težnji, s 515 amandmana i 1 301 konkretnim prijedlogom.</w:t>
      </w:r>
    </w:p>
    <w:p>
      <w:pPr>
        <w:pStyle w:val="Corpsdetexte"/>
        <w:rPr/>
      </w:pPr>
      <w:r>
        <mc:AlternateContent>
          <mc:Choice Requires="wps">
            <w:drawing>
              <wp:anchor behindDoc="0" distT="0" distB="0" distL="0" distR="0" simplePos="0" locked="0" layoutInCell="1" allowOverlap="1" relativeHeight="30">
                <wp:simplePos x="0" y="0"/>
                <wp:positionH relativeFrom="column">
                  <wp:posOffset>82550</wp:posOffset>
                </wp:positionH>
                <wp:positionV relativeFrom="paragraph">
                  <wp:posOffset>2325370</wp:posOffset>
                </wp:positionV>
                <wp:extent cx="2806700" cy="2136140"/>
                <wp:effectExtent l="0" t="0" r="0" b="0"/>
                <wp:wrapSquare wrapText="largest"/>
                <wp:docPr id="44" name="Okvir10"/>
                <a:graphic xmlns:a="http://schemas.openxmlformats.org/drawingml/2006/main">
                  <a:graphicData uri="http://schemas.microsoft.com/office/word/2010/wordprocessingShape">
                    <wps:wsp>
                      <wps:cNvSpPr/>
                      <wps:spPr>
                        <a:xfrm>
                          <a:off x="0" y="0"/>
                          <a:ext cx="2806200" cy="213552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rPr>
                            </w:pPr>
                            <w:r>
                              <w:rPr>
                                <w:color w:val="auto"/>
                              </w:rPr>
                              <w:drawing>
                                <wp:inline distT="0" distB="0" distL="0" distR="0">
                                  <wp:extent cx="2970530" cy="2040890"/>
                                  <wp:effectExtent l="0" t="0" r="0" b="0"/>
                                  <wp:docPr id="46" name="Slika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lika13" descr=""/>
                                          <pic:cNvPicPr>
                                            <a:picLocks noChangeAspect="1" noChangeArrowheads="1"/>
                                          </pic:cNvPicPr>
                                        </pic:nvPicPr>
                                        <pic:blipFill>
                                          <a:blip r:embed="rId44"/>
                                          <a:stretch>
                                            <a:fillRect/>
                                          </a:stretch>
                                        </pic:blipFill>
                                        <pic:spPr bwMode="auto">
                                          <a:xfrm>
                                            <a:off x="0" y="0"/>
                                            <a:ext cx="2970530" cy="2040890"/>
                                          </a:xfrm>
                                          <a:prstGeom prst="rect">
                                            <a:avLst/>
                                          </a:prstGeom>
                                        </pic:spPr>
                                      </pic:pic>
                                    </a:graphicData>
                                  </a:graphic>
                                </wp:inline>
                              </w:drawing>
                            </w:r>
                            <w:r>
                              <w:rPr>
                                <w:color w:val="auto"/>
                              </w:rPr>
                              <w:t>Fotografije: Talijanski panel građana i građanki</w:t>
                            </w:r>
                          </w:p>
                        </w:txbxContent>
                      </wps:txbx>
                      <wps:bodyPr lIns="0" rIns="0" tIns="0" bIns="0">
                        <a:noAutofit/>
                      </wps:bodyPr>
                    </wps:wsp>
                  </a:graphicData>
                </a:graphic>
              </wp:anchor>
            </w:drawing>
          </mc:Choice>
          <mc:Fallback>
            <w:pict>
              <v:rect id="shape_0" ID="Okvir10" fillcolor="white" stroked="f" style="position:absolute;margin-left:6.5pt;margin-top:183.1pt;width:220.9pt;height:168.1pt">
                <w10:wrap type="square"/>
                <v:fill o:detectmouseclick="t" type="solid" color2="black"/>
                <v:stroke color="#3465a4" joinstyle="round" endcap="flat"/>
                <v:textbox>
                  <w:txbxContent>
                    <w:p>
                      <w:pPr>
                        <w:pStyle w:val="P68B1DB1Lgende11"/>
                        <w:spacing w:before="120" w:after="120"/>
                        <w:rPr>
                          <w:color w:val="auto"/>
                        </w:rPr>
                      </w:pPr>
                      <w:r>
                        <w:rPr>
                          <w:color w:val="auto"/>
                        </w:rPr>
                        <w:drawing>
                          <wp:inline distT="0" distB="0" distL="0" distR="0">
                            <wp:extent cx="2970530" cy="2040890"/>
                            <wp:effectExtent l="0" t="0" r="0" b="0"/>
                            <wp:docPr id="47" name="Slika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lika13" descr=""/>
                                    <pic:cNvPicPr>
                                      <a:picLocks noChangeAspect="1" noChangeArrowheads="1"/>
                                    </pic:cNvPicPr>
                                  </pic:nvPicPr>
                                  <pic:blipFill>
                                    <a:blip r:embed="rId44"/>
                                    <a:stretch>
                                      <a:fillRect/>
                                    </a:stretch>
                                  </pic:blipFill>
                                  <pic:spPr bwMode="auto">
                                    <a:xfrm>
                                      <a:off x="0" y="0"/>
                                      <a:ext cx="2970530" cy="2040890"/>
                                    </a:xfrm>
                                    <a:prstGeom prst="rect">
                                      <a:avLst/>
                                    </a:prstGeom>
                                  </pic:spPr>
                                </pic:pic>
                              </a:graphicData>
                            </a:graphic>
                          </wp:inline>
                        </w:drawing>
                      </w:r>
                      <w:r>
                        <w:rPr>
                          <w:color w:val="auto"/>
                        </w:rPr>
                        <w:t>Fotografije: Talijanski panel građana i građanki</w:t>
                      </w:r>
                    </w:p>
                  </w:txbxContent>
                </v:textbox>
              </v:rect>
            </w:pict>
          </mc:Fallback>
        </mc:AlternateContent>
      </w:r>
      <w:r>
        <w:rPr/>
        <w:t>Ukupno 100 građana i građanki koji predstavljaju panele sastalo se 16. i 17. listopada 2021. u Parizu kako bi izradili i usvojili preporuke. U okviru tog postupka utvrđeno je ukupno 14 prioritetnih preporuka. Obuhvaćajući devet tema konferencije, preporuke su podnesene francuskoj vladi, uključujući državnog tajnika Clémenta Beaunea, i predstavljale su doprinos francuske vlade konferenciji.</w:t>
      </w:r>
    </w:p>
    <w:p>
      <w:pPr>
        <w:pStyle w:val="Titre4"/>
        <w:numPr>
          <w:ilvl w:val="3"/>
          <w:numId w:val="2"/>
        </w:numPr>
        <w:rPr/>
      </w:pPr>
      <w:bookmarkStart w:id="24" w:name="__RefHeading___Toc298222_1346298689"/>
      <w:bookmarkEnd w:id="24"/>
      <w:r>
        <w:rPr/>
        <w:t>4)</w:t>
        <w:tab/>
        <w:t>ITALIJA</w:t>
      </w:r>
    </w:p>
    <w:p>
      <w:pPr>
        <w:pStyle w:val="Corpsdetexte"/>
        <w:rPr/>
      </w:pPr>
      <w:r>
        <w:rPr/>
        <w:t>Panel građana organizirala je u ožujku 2022. neovisna treća strana pod nadzorom talijanskog Odjela za europske politike predsjedništva Vijeća ministara.</w:t>
      </w:r>
    </w:p>
    <w:p>
      <w:pPr>
        <w:pStyle w:val="Corpsdetexte"/>
        <w:rPr/>
      </w:pPr>
      <w:r>
        <w:rPr/>
      </w:r>
    </w:p>
    <w:p>
      <w:pPr>
        <w:pStyle w:val="Corpsdetexte"/>
        <w:rPr/>
      </w:pPr>
      <w:r>
        <w:rPr/>
        <w:t>Sudjelovalo je ukupno 55 nasumično odabranih građana, predstavnika talijanskog društva i njegovih regija. Sudionici su nasumično odabrani kako bi se osigurala prisutnost različitog spola, dobi, socijalnog podrijetla, mjesta boravišta i profesionalnog statusa.</w:t>
      </w:r>
    </w:p>
    <w:p>
      <w:pPr>
        <w:pStyle w:val="Corpsdetexte"/>
        <w:rPr/>
      </w:pPr>
      <w:r>
        <w:rPr/>
        <w:t>Građani su se 11. i 12. ožujka 2022. sastali putem interneta kako bi raspravljali o dvjema temama konferencije:</w:t>
      </w:r>
    </w:p>
    <w:p>
      <w:pPr>
        <w:pStyle w:val="Alineanegatifpuce"/>
        <w:numPr>
          <w:ilvl w:val="0"/>
          <w:numId w:val="3"/>
        </w:numPr>
        <w:rPr/>
      </w:pPr>
      <w:r>
        <w:rPr/>
        <w:t xml:space="preserve"> „</w:t>
      </w:r>
      <w:r>
        <w:rPr/>
        <w:t>Jače gospodarstvo, socijalna pravda i zapošljavanje” i</w:t>
      </w:r>
    </w:p>
    <w:p>
      <w:pPr>
        <w:pStyle w:val="Alineanegatifpuce"/>
        <w:numPr>
          <w:ilvl w:val="0"/>
          <w:numId w:val="3"/>
        </w:numPr>
        <w:rPr/>
      </w:pPr>
      <w:r>
        <w:rPr/>
        <w:t xml:space="preserve"> „</w:t>
      </w:r>
      <w:r>
        <w:rPr/>
        <w:t>Europa u svijetu”.</w:t>
      </w:r>
    </w:p>
    <w:p>
      <w:pPr>
        <w:pStyle w:val="Corpsdetexte"/>
        <w:rPr/>
      </w:pPr>
      <w:r>
        <w:rPr/>
        <w:t>Povjerenstvo je 12. ožujka 2022. donijelo ukupno 58 preporuka, uključujući 33 „Jače gospodarstvo, socijalna pravda i zapošljavanje” i 25 o „Globalnoj Europi”. Sudionici su posljednjeg dana obavili provjeru i potvrđivanje prvog nacrta preporuka iznesenih tijekom prve faze rada.</w:t>
      </w:r>
    </w:p>
    <w:p>
      <w:pPr>
        <w:pStyle w:val="Corpsdetexte"/>
        <w:rPr/>
      </w:pPr>
      <w:r>
        <w:rPr/>
      </w:r>
    </w:p>
    <w:p>
      <w:pPr>
        <w:pStyle w:val="Titre4"/>
        <w:numPr>
          <w:ilvl w:val="3"/>
          <w:numId w:val="2"/>
        </w:numPr>
        <w:rPr/>
      </w:pPr>
      <w:bookmarkStart w:id="25" w:name="__RefHeading___Toc298224_1346298689"/>
      <w:bookmarkEnd w:id="25"/>
      <w:r>
        <w:rPr/>
        <w:t>5)</w:t>
        <w:tab/>
        <w:t>LITVA</w:t>
      </w:r>
    </w:p>
    <w:p>
      <w:pPr>
        <w:pStyle w:val="Corpsdetexte"/>
        <w:rPr/>
      </w:pPr>
      <w:r>
        <w:rPr/>
        <w:t>U ime Ministarstva vanjskih poslova u siječnju 2022. neovisna treća strana organizirala je nacionalni panel građana.</w:t>
      </w:r>
    </w:p>
    <w:p>
      <w:pPr>
        <w:pStyle w:val="Corpsdetexte"/>
        <w:rPr/>
      </w:pPr>
      <w:r>
        <w:rPr/>
        <mc:AlternateContent>
          <mc:Choice Requires="wps">
            <w:drawing>
              <wp:anchor behindDoc="0" distT="0" distB="0" distL="0" distR="0" simplePos="0" locked="0" layoutInCell="1" allowOverlap="1" relativeHeight="22">
                <wp:simplePos x="0" y="0"/>
                <wp:positionH relativeFrom="column">
                  <wp:align>center</wp:align>
                </wp:positionH>
                <wp:positionV relativeFrom="paragraph">
                  <wp:posOffset>635</wp:posOffset>
                </wp:positionV>
                <wp:extent cx="2971165" cy="2247265"/>
                <wp:effectExtent l="0" t="0" r="0" b="0"/>
                <wp:wrapSquare wrapText="largest"/>
                <wp:docPr id="48" name="Tagovi11"/>
                <a:graphic xmlns:a="http://schemas.openxmlformats.org/drawingml/2006/main">
                  <a:graphicData uri="http://schemas.microsoft.com/office/word/2010/wordprocessingShape">
                    <wps:wsp>
                      <wps:cNvSpPr/>
                      <wps:spPr>
                        <a:xfrm>
                          <a:off x="0" y="0"/>
                          <a:ext cx="2970360" cy="224676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rPr>
                            </w:pPr>
                            <w:r>
                              <w:rPr>
                                <w:color w:val="auto"/>
                              </w:rPr>
                              <w:drawing>
                                <wp:inline distT="0" distB="0" distL="0" distR="0">
                                  <wp:extent cx="2970530" cy="2038985"/>
                                  <wp:effectExtent l="0" t="0" r="0" b="0"/>
                                  <wp:docPr id="50" name="Slika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Slika14" descr=""/>
                                          <pic:cNvPicPr>
                                            <a:picLocks noChangeAspect="1" noChangeArrowheads="1"/>
                                          </pic:cNvPicPr>
                                        </pic:nvPicPr>
                                        <pic:blipFill>
                                          <a:blip r:embed="rId45"/>
                                          <a:stretch>
                                            <a:fillRect/>
                                          </a:stretch>
                                        </pic:blipFill>
                                        <pic:spPr bwMode="auto">
                                          <a:xfrm>
                                            <a:off x="0" y="0"/>
                                            <a:ext cx="2970530" cy="2038985"/>
                                          </a:xfrm>
                                          <a:prstGeom prst="rect">
                                            <a:avLst/>
                                          </a:prstGeom>
                                        </pic:spPr>
                                      </pic:pic>
                                    </a:graphicData>
                                  </a:graphic>
                                </wp:inline>
                              </w:drawing>
                            </w:r>
                            <w:r>
                              <w:rPr>
                                <w:color w:val="auto"/>
                              </w:rPr>
                              <w:t>Fotografije: Litavski panel građana i građanki</w:t>
                            </w:r>
                          </w:p>
                        </w:txbxContent>
                      </wps:txbx>
                      <wps:bodyPr lIns="0" rIns="0" tIns="0" bIns="0">
                        <a:noAutofit/>
                      </wps:bodyPr>
                    </wps:wsp>
                  </a:graphicData>
                </a:graphic>
              </wp:anchor>
            </w:drawing>
          </mc:Choice>
          <mc:Fallback>
            <w:pict>
              <v:rect id="shape_0" ID="Tagovi11" fillcolor="white" stroked="f" style="position:absolute;margin-left:0pt;margin-top:0.05pt;width:233.85pt;height:176.85pt;mso-position-horizontal:center">
                <w10:wrap type="square"/>
                <v:fill o:detectmouseclick="t" type="solid" color2="black"/>
                <v:stroke color="#3465a4" joinstyle="round" endcap="flat"/>
                <v:textbox>
                  <w:txbxContent>
                    <w:p>
                      <w:pPr>
                        <w:pStyle w:val="P68B1DB1Lgende11"/>
                        <w:spacing w:before="120" w:after="120"/>
                        <w:rPr>
                          <w:color w:val="auto"/>
                        </w:rPr>
                      </w:pPr>
                      <w:r>
                        <w:rPr>
                          <w:color w:val="auto"/>
                        </w:rPr>
                        <w:drawing>
                          <wp:inline distT="0" distB="0" distL="0" distR="0">
                            <wp:extent cx="2970530" cy="2038985"/>
                            <wp:effectExtent l="0" t="0" r="0" b="0"/>
                            <wp:docPr id="51" name="Slika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Slika14" descr=""/>
                                    <pic:cNvPicPr>
                                      <a:picLocks noChangeAspect="1" noChangeArrowheads="1"/>
                                    </pic:cNvPicPr>
                                  </pic:nvPicPr>
                                  <pic:blipFill>
                                    <a:blip r:embed="rId45"/>
                                    <a:stretch>
                                      <a:fillRect/>
                                    </a:stretch>
                                  </pic:blipFill>
                                  <pic:spPr bwMode="auto">
                                    <a:xfrm>
                                      <a:off x="0" y="0"/>
                                      <a:ext cx="2970530" cy="2038985"/>
                                    </a:xfrm>
                                    <a:prstGeom prst="rect">
                                      <a:avLst/>
                                    </a:prstGeom>
                                  </pic:spPr>
                                </pic:pic>
                              </a:graphicData>
                            </a:graphic>
                          </wp:inline>
                        </w:drawing>
                      </w:r>
                      <w:r>
                        <w:rPr>
                          <w:color w:val="auto"/>
                        </w:rPr>
                        <w:t>Fotografije: Litavski panel građana i građanki</w:t>
                      </w:r>
                    </w:p>
                  </w:txbxContent>
                </v:textbox>
              </v:rect>
            </w:pict>
          </mc:Fallback>
        </mc:AlternateContent>
      </w:r>
    </w:p>
    <w:p>
      <w:pPr>
        <w:pStyle w:val="Corpsdetexte"/>
        <w:rPr/>
      </w:pPr>
      <w:r>
        <w:rPr/>
        <w:t>U njemu je sudjelovalo ukupno 25 nasumično odabranih građana u dobi od 18 do 65 godina, koji predstavljaju različite društveno-gospodarske skupine i regije Litve.</w:t>
      </w:r>
    </w:p>
    <w:p>
      <w:pPr>
        <w:pStyle w:val="Corpsdetexte"/>
        <w:rPr/>
      </w:pPr>
      <w:r>
        <w:rPr/>
        <w:t>Uvodni sastanak organiziran je 4. siječnja 2022. na internetu, a građani su raspravljali o dvjema temama:</w:t>
      </w:r>
    </w:p>
    <w:p>
      <w:pPr>
        <w:pStyle w:val="Alineanegatifpuce"/>
        <w:numPr>
          <w:ilvl w:val="0"/>
          <w:numId w:val="3"/>
        </w:numPr>
        <w:rPr/>
      </w:pPr>
      <w:r>
        <w:rPr/>
        <w:t xml:space="preserve"> </w:t>
      </w:r>
      <w:r>
        <w:rPr/>
        <w:t>uloga i nadležnosti EU-a u vanjskoj politici;</w:t>
      </w:r>
    </w:p>
    <w:p>
      <w:pPr>
        <w:pStyle w:val="Alineanegatifpuce"/>
        <w:numPr>
          <w:ilvl w:val="0"/>
          <w:numId w:val="3"/>
        </w:numPr>
        <w:rPr/>
      </w:pPr>
      <w:r>
        <w:rPr/>
        <w:t xml:space="preserve"> </w:t>
      </w:r>
      <w:r>
        <w:rPr/>
        <w:t>gospodarska uloga EU-a.</w:t>
      </w:r>
    </w:p>
    <w:p>
      <w:pPr>
        <w:pStyle w:val="Normal"/>
        <w:rPr/>
      </w:pPr>
      <w:r>
        <w:rPr/>
      </w:r>
    </w:p>
    <w:p>
      <w:pPr>
        <w:pStyle w:val="Corpsdetexte"/>
        <w:rPr/>
      </w:pPr>
      <w:r>
        <w:rPr/>
        <w:t>Sudionici su se 15. siječnja 2022. osobno sastali kako bi sastavili glavne zaključke svojih rasprava. Na virtualnoj sjednici 25. siječnja 2022. donijeli su 21 preporuku, od kojih je 10 bilo usmjereno na ulogu i nadležnosti EU-a u vanjskoj politici, a 11 o gospodarskoj ulozi EU-a.</w:t>
      </w:r>
    </w:p>
    <w:p>
      <w:pPr>
        <w:pStyle w:val="Corpsdetexte"/>
        <w:rPr/>
      </w:pPr>
      <w:r>
        <w:rPr/>
      </w:r>
    </w:p>
    <w:p>
      <w:pPr>
        <w:pStyle w:val="Titre4"/>
        <w:numPr>
          <w:ilvl w:val="3"/>
          <w:numId w:val="2"/>
        </w:numPr>
        <w:rPr/>
      </w:pPr>
      <w:bookmarkStart w:id="26" w:name="__RefHeading___Toc298226_1346298689"/>
      <w:bookmarkEnd w:id="26"/>
      <w:r>
        <w:rPr/>
        <w:t>6)</w:t>
        <w:tab/>
        <w:t>NIZOZEMSKA</w:t>
      </w:r>
    </w:p>
    <w:p>
      <w:pPr>
        <w:pStyle w:val="Corpsdetexte"/>
        <w:rPr/>
      </w:pPr>
      <w:r>
        <w:rPr/>
        <w:t>Panel građana organizirala je neovisna treća strana, a dijalozi pod nazivom „Vizije Europe” započeli su</w:t>
      </w:r>
      <w:r>
        <w:rPr>
          <w:vertAlign w:val="superscript"/>
        </w:rPr>
        <w:t>1.</w:t>
      </w:r>
      <w:r>
        <w:rPr/>
        <w:t xml:space="preserve"> rujna. Podijeljeni su na nekoliko dijelova.</w:t>
      </w:r>
    </w:p>
    <w:p>
      <w:pPr>
        <w:pStyle w:val="Corpsdetexte"/>
        <w:rPr/>
      </w:pPr>
      <w:r>
        <w:rPr/>
        <w:t>Internetska rubrika</w:t>
      </w:r>
      <w:r>
        <w:rPr>
          <w:vertAlign w:val="superscript"/>
        </w:rPr>
        <w:t>pokrenuta</w:t>
      </w:r>
      <w:r>
        <w:rPr/>
        <w:t xml:space="preserve"> 1. rujna 2021. sadržavala je questio nary i</w:t>
      </w:r>
      <w:r>
        <w:drawing>
          <wp:anchor behindDoc="0" distT="0" distB="0" distL="0" distR="0" simplePos="0" locked="0" layoutInCell="1" allowOverlap="1" relativeHeight="26">
            <wp:simplePos x="0" y="0"/>
            <wp:positionH relativeFrom="column">
              <wp:posOffset>1356995</wp:posOffset>
            </wp:positionH>
            <wp:positionV relativeFrom="paragraph">
              <wp:posOffset>1277620</wp:posOffset>
            </wp:positionV>
            <wp:extent cx="3610610" cy="2474595"/>
            <wp:effectExtent l="0" t="0" r="0" b="0"/>
            <wp:wrapTopAndBottom/>
            <wp:docPr id="52" name="Slika 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Slika 16" descr=""/>
                    <pic:cNvPicPr>
                      <a:picLocks noChangeAspect="1" noChangeArrowheads="1"/>
                    </pic:cNvPicPr>
                  </pic:nvPicPr>
                  <pic:blipFill>
                    <a:blip r:embed="rId46"/>
                    <a:stretch>
                      <a:fillRect/>
                    </a:stretch>
                  </pic:blipFill>
                  <pic:spPr bwMode="auto">
                    <a:xfrm>
                      <a:off x="0" y="0"/>
                      <a:ext cx="3610610" cy="2474595"/>
                    </a:xfrm>
                    <a:prstGeom prst="rect">
                      <a:avLst/>
                    </a:prstGeom>
                  </pic:spPr>
                </pic:pic>
              </a:graphicData>
            </a:graphic>
          </wp:anchor>
        </w:drawing>
      </w:r>
      <w:r>
        <w:rPr/>
        <w:t>p</w:t>
      </w:r>
      <w:r>
        <w:rPr/>
        <w:t>ojednostavnjeni alat za odabir kojim se građanima omogućuje da izraze svoje sklonosti, želje i preporuke o devet tema konferencije. Upitnik je podijeljen odabranoj reprezentativnoj i uključivoj skupini od 4000 građana.</w:t>
      </w:r>
    </w:p>
    <w:p>
      <w:pPr>
        <w:pStyle w:val="Corpsdetexte"/>
        <w:rPr/>
      </w:pPr>
      <w:r>
        <w:rPr/>
      </w:r>
    </w:p>
    <w:p>
      <w:pPr>
        <w:pStyle w:val="Corpsdetexte"/>
        <w:rPr/>
      </w:pPr>
      <w:r>
        <w:rPr/>
        <w:t>U listopadu i studenome 2021. na internetu i izvan njega održane su detaljne rasprave s građanima, posebno kako bi se doprlo do mladih i ciljnih skupina do kojih je teško doći.</w:t>
      </w:r>
    </w:p>
    <w:p>
      <w:pPr>
        <w:pStyle w:val="Corpsdetexte"/>
        <w:rPr/>
      </w:pPr>
      <w:r>
        <w:rPr/>
        <w:t>Objavljena su dva izvješća naslovljena „Naša vizija za Europu”; mišljenja, ideje i preporuke (Elze kijk op Europa; Meningen, ideeën en Aanbevelingen) i objedinjavanje 30 preporuka građana o devet tema konferencije.</w:t>
      </w:r>
    </w:p>
    <w:p>
      <w:pPr>
        <w:pStyle w:val="Corpsdetexte"/>
        <w:rPr/>
      </w:pPr>
      <w:r>
        <w:rPr/>
        <mc:AlternateContent>
          <mc:Choice Requires="wps">
            <w:drawing>
              <wp:anchor behindDoc="0" distT="0" distB="0" distL="0" distR="0" simplePos="0" locked="0" layoutInCell="1" allowOverlap="1" relativeHeight="67">
                <wp:simplePos x="0" y="0"/>
                <wp:positionH relativeFrom="column">
                  <wp:posOffset>25400</wp:posOffset>
                </wp:positionH>
                <wp:positionV relativeFrom="paragraph">
                  <wp:posOffset>591820</wp:posOffset>
                </wp:positionV>
                <wp:extent cx="2971165" cy="2225675"/>
                <wp:effectExtent l="0" t="0" r="0" b="0"/>
                <wp:wrapSquare wrapText="largest"/>
                <wp:docPr id="53" name="Okvir12"/>
                <a:graphic xmlns:a="http://schemas.openxmlformats.org/drawingml/2006/main">
                  <a:graphicData uri="http://schemas.microsoft.com/office/word/2010/wordprocessingShape">
                    <wps:wsp>
                      <wps:cNvSpPr/>
                      <wps:spPr>
                        <a:xfrm>
                          <a:off x="0" y="0"/>
                          <a:ext cx="2970360" cy="222516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rPr>
                            </w:pPr>
                            <w:r>
                              <w:rPr>
                                <w:color w:val="auto"/>
                              </w:rPr>
                              <w:t>Nizozemski</w:t>
                            </w:r>
                            <w:r>
                              <w:rPr>
                                <w:color w:val="auto"/>
                              </w:rPr>
                              <w:drawing>
                                <wp:inline distT="0" distB="0" distL="0" distR="0">
                                  <wp:extent cx="2970530" cy="2017395"/>
                                  <wp:effectExtent l="0" t="0" r="0" b="0"/>
                                  <wp:docPr id="55" name="Slika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Slika15" descr=""/>
                                          <pic:cNvPicPr>
                                            <a:picLocks noChangeAspect="1" noChangeArrowheads="1"/>
                                          </pic:cNvPicPr>
                                        </pic:nvPicPr>
                                        <pic:blipFill>
                                          <a:blip r:embed="rId47"/>
                                          <a:stretch>
                                            <a:fillRect/>
                                          </a:stretch>
                                        </pic:blipFill>
                                        <pic:spPr bwMode="auto">
                                          <a:xfrm>
                                            <a:off x="0" y="0"/>
                                            <a:ext cx="2970530" cy="2017395"/>
                                          </a:xfrm>
                                          <a:prstGeom prst="rect">
                                            <a:avLst/>
                                          </a:prstGeom>
                                        </pic:spPr>
                                      </pic:pic>
                                    </a:graphicData>
                                  </a:graphic>
                                </wp:inline>
                              </w:drawing>
                            </w:r>
                            <w:r>
                              <w:rPr>
                                <w:color w:val="auto"/>
                              </w:rPr>
                              <w:t>panel građana i građanki</w:t>
                            </w:r>
                          </w:p>
                        </w:txbxContent>
                      </wps:txbx>
                      <wps:bodyPr lIns="0" rIns="0" tIns="0" bIns="0">
                        <a:noAutofit/>
                      </wps:bodyPr>
                    </wps:wsp>
                  </a:graphicData>
                </a:graphic>
              </wp:anchor>
            </w:drawing>
          </mc:Choice>
          <mc:Fallback>
            <w:pict>
              <v:rect id="shape_0" ID="Okvir12" fillcolor="white" stroked="f" style="position:absolute;margin-left:2pt;margin-top:46.6pt;width:233.85pt;height:175.15pt">
                <w10:wrap type="square"/>
                <v:fill o:detectmouseclick="t" type="solid" color2="black"/>
                <v:stroke color="#3465a4" joinstyle="round" endcap="flat"/>
                <v:textbox>
                  <w:txbxContent>
                    <w:p>
                      <w:pPr>
                        <w:pStyle w:val="P68B1DB1Lgende11"/>
                        <w:spacing w:before="120" w:after="120"/>
                        <w:rPr>
                          <w:color w:val="auto"/>
                        </w:rPr>
                      </w:pPr>
                      <w:r>
                        <w:rPr>
                          <w:color w:val="auto"/>
                        </w:rPr>
                        <w:t>Nizozemski</w:t>
                      </w:r>
                      <w:r>
                        <w:rPr>
                          <w:color w:val="auto"/>
                        </w:rPr>
                        <w:drawing>
                          <wp:inline distT="0" distB="0" distL="0" distR="0">
                            <wp:extent cx="2970530" cy="2017395"/>
                            <wp:effectExtent l="0" t="0" r="0" b="0"/>
                            <wp:docPr id="56" name="Slika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Slika15" descr=""/>
                                    <pic:cNvPicPr>
                                      <a:picLocks noChangeAspect="1" noChangeArrowheads="1"/>
                                    </pic:cNvPicPr>
                                  </pic:nvPicPr>
                                  <pic:blipFill>
                                    <a:blip r:embed="rId47"/>
                                    <a:stretch>
                                      <a:fillRect/>
                                    </a:stretch>
                                  </pic:blipFill>
                                  <pic:spPr bwMode="auto">
                                    <a:xfrm>
                                      <a:off x="0" y="0"/>
                                      <a:ext cx="2970530" cy="2017395"/>
                                    </a:xfrm>
                                    <a:prstGeom prst="rect">
                                      <a:avLst/>
                                    </a:prstGeom>
                                  </pic:spPr>
                                </pic:pic>
                              </a:graphicData>
                            </a:graphic>
                          </wp:inline>
                        </w:drawing>
                      </w:r>
                      <w:r>
                        <w:rPr>
                          <w:color w:val="auto"/>
                        </w:rPr>
                        <w:t>panel građana i građanki</w:t>
                      </w:r>
                    </w:p>
                  </w:txbxContent>
                </v:textbox>
              </v:rect>
            </w:pict>
          </mc:Fallback>
        </mc:AlternateContent>
      </w:r>
    </w:p>
    <w:p>
      <w:pPr>
        <w:pStyle w:val="Normal"/>
        <w:rPr/>
      </w:pPr>
      <w:r>
        <w:rPr/>
      </w:r>
      <w:r>
        <w:br w:type="page"/>
      </w:r>
    </w:p>
    <w:p>
      <w:pPr>
        <w:pStyle w:val="Titre2"/>
        <w:numPr>
          <w:ilvl w:val="1"/>
          <w:numId w:val="2"/>
        </w:numPr>
        <w:rPr/>
      </w:pPr>
      <w:bookmarkStart w:id="27" w:name="__RefHeading___Toc298228_1346298689"/>
      <w:bookmarkEnd w:id="27"/>
      <w:r>
        <w:rPr/>
        <w:t>C.</w:t>
        <w:tab/>
        <w:t>Događanja organizirana u okviru konferencije</w:t>
      </w:r>
    </w:p>
    <w:p>
      <w:pPr>
        <w:pStyle w:val="Titre3"/>
        <w:numPr>
          <w:ilvl w:val="2"/>
          <w:numId w:val="2"/>
        </w:numPr>
        <w:rPr/>
      </w:pPr>
      <w:bookmarkStart w:id="28" w:name="__RefHeading___Toc298230_1346298689"/>
      <w:bookmarkEnd w:id="28"/>
      <w:r>
        <w:rPr/>
        <w:t>1.</w:t>
        <w:tab/>
        <w:t>Nacionalna događanja</w:t>
      </w:r>
    </w:p>
    <w:p>
      <w:pPr>
        <w:pStyle w:val="Corpsdetexte"/>
        <w:rPr/>
      </w:pPr>
      <w:r>
        <w:rPr/>
        <w:t xml:space="preserve">Države članice pridonijele su konferenciji putem širokog raspona događanja i inicijativa. U tim je događanjima sudjelovalo nekoliko tisuća građana iz cijelog EU-a. U </w:t>
      </w:r>
      <w:hyperlink r:id="rId48">
        <w:r>
          <w:rPr>
            <w:rStyle w:val="LienInternet"/>
          </w:rPr>
          <w:t>posebnom naslovu</w:t>
        </w:r>
      </w:hyperlink>
      <w:r>
        <w:rPr/>
        <w:t xml:space="preserve"> višejezične digitalne platforme nalazi se pregled glavnih aktivnosti koje su tijela država članica organizirala ili poduprla. Događanja su na plenarnim skupštinama konferencije 23. listopada 2021. i 25. ožujka 2022. predstavili predstavnici nacionalnih događanja i/ili nacionalnih panela građana i građanki, ali su pridonijeli i konferenciji putem </w:t>
      </w:r>
      <w:hyperlink r:id="rId49">
        <w:r>
          <w:rPr>
            <w:rStyle w:val="LienInternet"/>
          </w:rPr>
          <w:t>izvješća Platforme</w:t>
        </w:r>
      </w:hyperlink>
      <w:r>
        <w:rPr/>
        <w:t>, čime su obogatili raspravu na europskoj razini.</w:t>
      </w:r>
    </w:p>
    <w:p>
      <w:pPr>
        <w:pStyle w:val="Corpsdetexte"/>
        <w:rPr/>
      </w:pPr>
      <w:r>
        <w:rPr/>
        <w:t xml:space="preserve"> </w:t>
      </w:r>
      <w:r>
        <w:rPr/>
        <w:t>Glavni cilj tih događanja i inicijativa bio je saslušati građane i uključiti ih u rasprave o Europskoj uniji. Uključivanje i dijalog s građanima također su bili prioritet, uz napore da se uključe osobe koje obično nisu uključene u rasprave povezane s EU-om.</w:t>
      </w:r>
    </w:p>
    <w:p>
      <w:pPr>
        <w:pStyle w:val="Corpsdetexte"/>
        <w:rPr/>
      </w:pPr>
      <w:r>
        <w:rPr/>
        <w:t>Održane su različite vrste događanja u kojima su se kombinirali centralizirani i decentralizirani pristupi, među ostalim s različitim oblicima potpore inicijativama odozdo prema gore. Aktivnosti i događanja u državama članicama organizirale su različite institucije i akteri, uključujući nacionalna, regionalna i lokalna tijela, organizacije civilnog društva, socijalne partnere, udruge i građane. U nekim su slučajevima nevladine organizacije, kulturne institucije, skupine za strateško promišljanje, sveučilišta i istraživački instituti također aktivno sudjelovali u organizaciji događanja na konferenciji. U mnogim od tih aktivnosti i događanja poseban naglasak stavljen je na sudjelovanje mlađe generacije.</w:t>
      </w:r>
    </w:p>
    <w:p>
      <w:pPr>
        <w:pStyle w:val="Corpsdetexte"/>
        <w:rPr/>
      </w:pPr>
      <w:r>
        <w:rPr/>
        <w:drawing>
          <wp:anchor behindDoc="0" distT="0" distB="0" distL="0" distR="0" simplePos="0" locked="0" layoutInCell="1" allowOverlap="1" relativeHeight="68">
            <wp:simplePos x="0" y="0"/>
            <wp:positionH relativeFrom="column">
              <wp:posOffset>31750</wp:posOffset>
            </wp:positionH>
            <wp:positionV relativeFrom="paragraph">
              <wp:posOffset>123190</wp:posOffset>
            </wp:positionV>
            <wp:extent cx="2518410" cy="7244080"/>
            <wp:effectExtent l="0" t="0" r="0" b="0"/>
            <wp:wrapTopAndBottom/>
            <wp:docPr id="57" name="Slika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Slika17" descr=""/>
                    <pic:cNvPicPr>
                      <a:picLocks noChangeAspect="1" noChangeArrowheads="1"/>
                    </pic:cNvPicPr>
                  </pic:nvPicPr>
                  <pic:blipFill>
                    <a:blip r:embed="rId50"/>
                    <a:stretch>
                      <a:fillRect/>
                    </a:stretch>
                  </pic:blipFill>
                  <pic:spPr bwMode="auto">
                    <a:xfrm>
                      <a:off x="0" y="0"/>
                      <a:ext cx="2518410" cy="7244080"/>
                    </a:xfrm>
                    <a:prstGeom prst="rect">
                      <a:avLst/>
                    </a:prstGeom>
                  </pic:spPr>
                </pic:pic>
              </a:graphicData>
            </a:graphic>
          </wp:anchor>
        </w:drawing>
      </w:r>
      <w:r>
        <w:br w:type="page"/>
      </w:r>
    </w:p>
    <w:p>
      <w:pPr>
        <w:pStyle w:val="Titre4"/>
        <w:numPr>
          <w:ilvl w:val="3"/>
          <w:numId w:val="2"/>
        </w:numPr>
        <w:rPr/>
      </w:pPr>
      <w:bookmarkStart w:id="29" w:name="__RefHeading___Toc298232_1346298689"/>
      <w:bookmarkEnd w:id="29"/>
      <w:r>
        <w:rPr/>
        <w:t>Pregled glavnih događanja i inicijativa u državama članicama:</w:t>
      </w:r>
    </w:p>
    <w:p>
      <w:pPr>
        <w:pStyle w:val="P68B1DB1Corpsdetexte12"/>
        <w:rPr>
          <w:b/>
          <w:b/>
          <w:i/>
          <w:i/>
          <w:u w:val="single"/>
        </w:rPr>
      </w:pPr>
      <w:r>
        <w:rPr/>
        <w:t>1 Belgija</w:t>
      </w:r>
    </w:p>
    <w:p>
      <w:pPr>
        <w:pStyle w:val="Corpsdetexte"/>
        <w:rPr/>
      </w:pPr>
      <w:r>
        <w:rPr/>
        <w:t>Savezne i regionalne vlasti organizirale su nekoliko događanja. Održano je nekoliko rasprava s građanima, primjerice o EU-u u svijetu te o klimatskim promjenama i okolišu. Održan je i strukturirani dijalog s građanima o temi „Živjeti u pograničnom području” i hakaton na temu „Utjecaj zdravog načina života i klimatskih promjena na kvalitetu života” i „prepreke zapošljavanju mladih”.</w:t>
      </w:r>
    </w:p>
    <w:p>
      <w:pPr>
        <w:pStyle w:val="Corpsdetexte"/>
        <w:rPr/>
      </w:pPr>
      <w:r>
        <w:rPr/>
        <w:t>Osim toga, organizirano je događanje o digitalizaciji i održivom gospodarstvu te je održan niz rasprava između mladih i političara na temu „Europa sluša vas”.</w:t>
      </w:r>
    </w:p>
    <w:p>
      <w:pPr>
        <w:pStyle w:val="P68B1DB1Corpsdetexte12"/>
        <w:rPr>
          <w:b/>
          <w:b/>
          <w:i/>
          <w:i/>
          <w:u w:val="single"/>
        </w:rPr>
      </w:pPr>
      <w:r>
        <w:rPr/>
        <w:t>2 Bugarska</w:t>
      </w:r>
    </w:p>
    <w:p>
      <w:pPr>
        <w:pStyle w:val="Corpsdetexte"/>
        <w:rPr/>
      </w:pPr>
      <w:r>
        <w:rPr/>
        <w:t>Bugarska vježba pokrenuta je na svečanosti pod nazivom „Kako čuti glas građana putem konferencije o budućnosti Europe?” na kojoj su sudjelovala javna tijela i predstavnici građana. U sklopu organiziranih događanja uspostavljen je dijalog o demografiji i demokraciji.</w:t>
      </w:r>
    </w:p>
    <w:p>
      <w:pPr>
        <w:pStyle w:val="Corpsdetexte"/>
        <w:rPr/>
      </w:pPr>
      <w:r>
        <w:rPr/>
        <w:t>Nekoliko lokalnih događanja održano je u velikim sveučilišnim gradovima uz pomoć centara Europe Direct.</w:t>
      </w:r>
    </w:p>
    <w:p>
      <w:pPr>
        <w:pStyle w:val="P68B1DB1Corpsdetexte12"/>
        <w:rPr>
          <w:b/>
          <w:b/>
          <w:i/>
          <w:i/>
          <w:u w:val="single"/>
        </w:rPr>
      </w:pPr>
      <w:r>
        <w:rPr/>
        <w:t>3 Češka Republika</w:t>
      </w:r>
    </w:p>
    <w:p>
      <w:pPr>
        <w:pStyle w:val="Corpsdetexte"/>
        <w:rPr/>
      </w:pPr>
      <w:r>
        <w:rPr/>
        <w:t>Češka je organizirala središnje rasprave s javnošću i informativne događaje za relevantne dionike. Ta su događanja dopunjena događanjima za mlade i događanjima s međunarodnim sudjelovanjem. Konkretno, organizirano je transnacionalno događanje s njemačkim i češkim građanima. U cijeloj zemlji održano je nekoliko regionalnih rasprava, kao i regionalnih seminara za učenike srednjih škola na temu „Odluka o Europi”.</w:t>
      </w:r>
    </w:p>
    <w:p>
      <w:pPr>
        <w:pStyle w:val="Normal"/>
        <w:rPr/>
      </w:pPr>
      <w:r>
        <w:rPr/>
      </w:r>
    </w:p>
    <w:p>
      <w:pPr>
        <w:pStyle w:val="P68B1DB1Corpsdetexte12"/>
        <w:tabs>
          <w:tab w:val="left" w:pos="1391" w:leader="none"/>
        </w:tabs>
        <w:rPr>
          <w:b/>
          <w:b/>
          <w:i/>
          <w:i/>
          <w:u w:val="single"/>
        </w:rPr>
      </w:pPr>
      <w:r>
        <w:rPr/>
        <w:t>4 Danska</w:t>
      </w:r>
    </w:p>
    <w:p>
      <w:pPr>
        <w:pStyle w:val="Corpsdetexte"/>
        <w:rPr/>
      </w:pPr>
      <w:r>
        <w:rPr/>
        <w:t>Organizirana je široka i uključiva nacionalna rasprava u kojoj su civilno društvo i drugi nevladini akteri imali središnju ulogu. Određeni skup javnih sredstava dodijeljen je skupini različitih organizacija, uključujući nevladine organizacije, medije, organizacije mladih, kulturne institucije, skupine za strateško promišljanje i istraživačke institute kako bi se poduprle rasprave i inicijative nevladinih organizacija. Održano je više od 180 rasprava, od kojih je polovica bila posebno usmjerena na mlade. Osim toga, vlada i parlament organizirali su niz službenih događanja, kao što su savjetovanja s građanima i rasprave.</w:t>
      </w:r>
    </w:p>
    <w:p>
      <w:pPr>
        <w:pStyle w:val="P68B1DB1Corpsdetexte12"/>
        <w:rPr>
          <w:b/>
          <w:b/>
          <w:i/>
          <w:i/>
          <w:u w:val="single"/>
        </w:rPr>
      </w:pPr>
      <w:r>
        <w:rPr/>
        <w:t>5 Njemačka</w:t>
      </w:r>
    </w:p>
    <w:p>
      <w:pPr>
        <w:pStyle w:val="Corpsdetexte"/>
        <w:rPr/>
      </w:pPr>
      <w:r>
        <w:rPr/>
        <w:t>Događaji u Njemačkoj uključivali su saveznu vladu, Bundestag, savezne države i civilno društvo. Osim događaja koje je organizirala savezna vlada, više od 50 regionalnih događanja organiziralo je šesnaest njemačkih saveznih država, a oko 300 ih je organiziralo civilno društvo.</w:t>
      </w:r>
    </w:p>
    <w:p>
      <w:pPr>
        <w:pStyle w:val="Corpsdetexte"/>
        <w:rPr/>
      </w:pPr>
      <w:r>
        <w:rPr/>
        <w:t>Prekogranična događanja i dijalozi sa studentima i mladima bili su središnji element mnogih inicijativa, stavljajući mlade na čelo rasprava usmjerenih na oblikovanje budućnosti Europe.</w:t>
      </w:r>
    </w:p>
    <w:p>
      <w:pPr>
        <w:pStyle w:val="P68B1DB1Corpsdetexte12"/>
        <w:rPr>
          <w:b/>
          <w:b/>
          <w:i/>
          <w:i/>
          <w:u w:val="single"/>
        </w:rPr>
      </w:pPr>
      <w:r>
        <w:rPr/>
        <w:t>6 Estonija</w:t>
      </w:r>
    </w:p>
    <w:p>
      <w:pPr>
        <w:pStyle w:val="Corpsdetexte"/>
        <w:rPr/>
      </w:pPr>
      <w:r>
        <w:rPr/>
        <w:t>Državni kancelar organizirao je razne događaje, seminare i rasprave u suradnji s predstavništvom Europske komisije u Estoniji, Ministarstvom vanjskih poslova i drugim ministarstvima te, među ostalim, organizacijama civilnog društva i mladih. Konkretno, održana je rasprava za srednjoškolce o ključnim pitanjima povezanima s klimatskim promjenama, energetskim politikama i konferencijom općenito. Pokrenuta je i rasprava o „Estonskoj diplomaciji za postizanje klimatskih ciljeva”.</w:t>
      </w:r>
    </w:p>
    <w:p>
      <w:pPr>
        <w:pStyle w:val="P68B1DB1Corpsdetexte12"/>
        <w:rPr>
          <w:b/>
          <w:b/>
          <w:i/>
          <w:i/>
          <w:u w:val="single"/>
        </w:rPr>
      </w:pPr>
      <w:r>
        <w:rPr/>
        <w:t>7 Irska</w:t>
      </w:r>
    </w:p>
    <w:p>
      <w:pPr>
        <w:pStyle w:val="Corpsdetexte"/>
        <w:rPr/>
      </w:pPr>
      <w:r>
        <w:rPr/>
        <w:t>Uključivanje i dijalog s cijelim stanovništvom, posebno s mladima, bili su središnja tema aktivnosti organiziranih u Irskoj.</w:t>
      </w:r>
    </w:p>
    <w:p>
      <w:pPr>
        <w:pStyle w:val="Corpsdetexte"/>
        <w:rPr/>
      </w:pPr>
      <w:r>
        <w:rPr/>
        <w:t>U suradnji s Europskim pokretom Irska (EMI) 2021. i 2022. pokrenut je program regionalnih i sektorskih obveza. Prva faza regionalnih sastanaka održana je u lipnju i srpnju u obliku virtualnih savjetovanja. Druga faza regionalnih događanja održana je u obliku javnih sastanaka uživo za početak 2022. Od srpnja je u tijeku program vladinih događanja.</w:t>
      </w:r>
    </w:p>
    <w:p>
      <w:pPr>
        <w:pStyle w:val="P68B1DB1Corpsdetexte12"/>
        <w:rPr>
          <w:b/>
          <w:b/>
          <w:i/>
          <w:i/>
          <w:u w:val="single"/>
        </w:rPr>
      </w:pPr>
      <w:r>
        <w:rPr/>
        <w:t>8 Grčka</w:t>
      </w:r>
    </w:p>
    <w:p>
      <w:pPr>
        <w:pStyle w:val="Corpsdetexte"/>
        <w:rPr/>
      </w:pPr>
      <w:r>
        <w:rPr/>
        <w:t>Ministarstvo vanjskih poslova bilo je odgovorno za koordinaciju nacionalnog dijaloga. Agencije središnje i lokalne vlasti te civilno društvo snažno su ohrabrene da organiziraju rasprave i druga događanja. Na primjer, održana su događanja o euromediteranskoj suradnji, zapadnom Balkanu, demografskom izazovu, migracijama i demokraciji, u kojima su sudjelovali građani i različiti dionici.</w:t>
      </w:r>
    </w:p>
    <w:p>
      <w:pPr>
        <w:pStyle w:val="P68B1DB1Corpsdetexte12"/>
        <w:rPr>
          <w:b/>
          <w:b/>
          <w:i/>
          <w:i/>
          <w:u w:val="single"/>
        </w:rPr>
      </w:pPr>
      <w:r>
        <w:rPr/>
        <w:t>9 Španjolska</w:t>
      </w:r>
    </w:p>
    <w:p>
      <w:pPr>
        <w:pStyle w:val="Corpsdetexte"/>
        <w:rPr/>
      </w:pPr>
      <w:r>
        <w:rPr/>
        <w:t>Španjolski okvir uključivao je šest događanja na nacionalnoj razini (npr. savjetovanje sa španjolskim građanima o budućnosti Europe) i oko 20 na regionalnoj razini. Organizirano je i događanje s portugalskim i španjolskim građanima kako bi se raspravljalo o ključnim temama od interesa za budućnost njihovih regija i EU-a. Na regionalnoj i lokalnoj razini nadležna tijela organizirala su događanja o nekoliko tema, kao što su prekogranična suradnja, utjecaj demografskih promjena, održivi promet i mobilnost, klimatske promjene, migracije i budućnost najudaljenijih regija.</w:t>
      </w:r>
    </w:p>
    <w:p>
      <w:pPr>
        <w:pStyle w:val="Normal"/>
        <w:rPr/>
      </w:pPr>
      <w:r>
        <w:rPr/>
      </w:r>
    </w:p>
    <w:p>
      <w:pPr>
        <w:pStyle w:val="P68B1DB1Corpsdetexte12"/>
        <w:rPr>
          <w:b/>
          <w:b/>
          <w:i/>
          <w:i/>
          <w:u w:val="single"/>
        </w:rPr>
      </w:pPr>
      <w:r>
        <w:rPr/>
        <w:t>10 Francuska</w:t>
      </w:r>
    </w:p>
    <w:p>
      <w:pPr>
        <w:pStyle w:val="Corpsdetexte"/>
        <w:rPr/>
      </w:pPr>
      <w:r>
        <w:rPr/>
        <w:t>Francuska vlada provela je opsežno internetsko savjetovanje za mlade od svibnja do srpnja 2021. Pedeset tisuća mladih Francuza izrazilo je svoja stajališta i podržalo šesnaest glavnih ideja za budućnost Europe. Rezultati tog postupka sastavljeni su zajedno s rezultatima francuskog panela građana i građanki u završnom izvješću koje predstavlja doprinos Francuske konferenciji. Francuska vlada također je potaknula sve francuske aktere koji to žele (udruge, lokalne vlasti, izabrane dužnosnike, predstavnike civilnog društva) da organiziraju događanja.</w:t>
      </w:r>
    </w:p>
    <w:p>
      <w:pPr>
        <w:pStyle w:val="P68B1DB1Corpsdetexte12"/>
        <w:rPr>
          <w:b/>
          <w:b/>
          <w:i/>
          <w:i/>
          <w:u w:val="single"/>
        </w:rPr>
      </w:pPr>
      <w:r>
        <w:rPr/>
        <w:t>11 Hrvatska</w:t>
      </w:r>
    </w:p>
    <w:p>
      <w:pPr>
        <w:pStyle w:val="Corpsdetexte"/>
        <w:rPr/>
      </w:pPr>
      <w:r>
        <w:rPr/>
        <w:t>Osnovana je radna skupina za koordinaciju aktivnosti koja je prikupila ideje i planove za provedbu aktivnosti na nacionalnoj razini. Ministarstva, središnji državni uredi, regionalne razvojne agencije, sveučilišta, nevladine organizacije i instituti organizirali su događanja u obliku konferencija, dijaloga s građanima i rasprava s građanima, javnih rasprava i edukativnih radionica, s posebnim naglaskom na mlade.</w:t>
      </w:r>
    </w:p>
    <w:p>
      <w:pPr>
        <w:pStyle w:val="Corpsdetexte"/>
        <w:rPr/>
      </w:pPr>
      <w:r>
        <w:rPr/>
        <w:t>Obuhvaćene teme uključuju migracije, demografiju, klimatsku neutralnost i kružno gospodarstvo. Neka događanja organizirana su s drugim državama članicama i susjednim zemljama izvan EU-a.</w:t>
      </w:r>
    </w:p>
    <w:p>
      <w:pPr>
        <w:pStyle w:val="P68B1DB1Corpsdetexte12"/>
        <w:rPr>
          <w:b/>
          <w:b/>
          <w:i/>
          <w:i/>
          <w:u w:val="single"/>
        </w:rPr>
      </w:pPr>
      <w:r>
        <w:rPr/>
        <w:t>12 Italija</w:t>
      </w:r>
    </w:p>
    <w:p>
      <w:pPr>
        <w:pStyle w:val="Corpsdetexte"/>
        <w:rPr/>
      </w:pPr>
      <w:r>
        <w:rPr/>
        <w:t>Organizirano je nekoliko događanja, posebno usmjerenih na mlade, kako bi se doprlo do što većeg broja građana, među ostalim uz aktivnu potporu lokalnih vlasti. Pokrenuta je medijska kampanja kako bi se što je više moguće podigla svijest o tim događajima. Te aktivnosti uključuju Forum mladih EU-a i Balkana, organiziran s mladima sa zapadnog Balkana, Forum mladih „Med Dialogues” u kojem sudjeluju mladi iz južnog susjedstva, kao i natjecanja za srednjoškolske i sveučilišne studente pod nazivom „Europa je u vašim rukama”.</w:t>
      </w:r>
    </w:p>
    <w:p>
      <w:pPr>
        <w:pStyle w:val="P68B1DB1Corpsdetexte12"/>
        <w:rPr>
          <w:b/>
          <w:b/>
          <w:i/>
          <w:i/>
          <w:u w:val="single"/>
        </w:rPr>
      </w:pPr>
      <w:r>
        <w:rPr/>
        <w:t>13 Cipar</w:t>
      </w:r>
    </w:p>
    <w:p>
      <w:pPr>
        <w:pStyle w:val="Corpsdetexte"/>
        <w:rPr/>
      </w:pPr>
      <w:r>
        <w:rPr/>
        <w:t>Organiziran je niz aktivnosti usmjerenih na mlade u kojima su sudjelovali brojni akteri. Održan je početni događaj, uključujući raspravu s mlađom generacijom o njihovim očekivanjima, zabrinutostima i viziji za Europu i Cipar unutar EU-a. Otvoren je i dijalog o ulozi mladih u raspravi o Europi i problemima s kojima se suočavaju na nacionalnoj i europskoj razini. Održan je i događaj na kojem se raspravljalo o budućnosti europske sigurnosti i obrane.</w:t>
      </w:r>
    </w:p>
    <w:p>
      <w:pPr>
        <w:pStyle w:val="P68B1DB1Corpsdetexte12"/>
        <w:rPr>
          <w:b/>
          <w:b/>
          <w:i/>
          <w:i/>
          <w:u w:val="single"/>
        </w:rPr>
      </w:pPr>
      <w:r>
        <w:rPr/>
        <w:t>14 Latvija</w:t>
      </w:r>
    </w:p>
    <w:p>
      <w:pPr>
        <w:pStyle w:val="Corpsdetexte"/>
        <w:rPr/>
      </w:pPr>
      <w:r>
        <w:rPr/>
        <w:t>Organizirano je nekoliko događanja, uključujući internetsku raspravu s učenicima pod nazivom „Budućnost je u vašim rukama” o ekonomskim, socijalnim i sigurnosnim pitanjima. Uspostavljena je nacionalna anketa i rasprave u skupinama za strateško promišljanje kako bi se prikupilo mišljenje javnosti o stajalištima građana o budućim prioritetima Europske unije o svim temama konferencije. Održane su regionalne rasprave licem u lice kako bi se podigla svijest o konferenciji među osobama u dobi od 55 godina te su održane rasprave licem u lice s učenicima srednjih škola.</w:t>
      </w:r>
    </w:p>
    <w:p>
      <w:pPr>
        <w:pStyle w:val="P68B1DB1Corpsdetexte12"/>
        <w:rPr>
          <w:b/>
          <w:b/>
          <w:i/>
          <w:i/>
          <w:u w:val="single"/>
        </w:rPr>
      </w:pPr>
      <w:r>
        <w:rPr/>
        <w:t>15 Litva</w:t>
      </w:r>
    </w:p>
    <w:p>
      <w:pPr>
        <w:pStyle w:val="Corpsdetexte"/>
        <w:rPr/>
      </w:pPr>
      <w:r>
        <w:rPr/>
        <w:t>Događanja su uglavnom organizirana na decentraliziranoj osnovi, a naglasak je stavljen na različite regije Litve i mlade (npr. u okviru rasprave o mladima u baltičkim državama). Održan je niz dijaloga s građanima (o demokraciji, digitalizaciji, klimatskim promjenama itd.), transnacionalnih dijaloga (npr. s Francuskom, Irskom i Italijom) i događanjima civilnog društva. Osim toga, škole su poticane na rješavanje pitanja budućnosti Europe.</w:t>
      </w:r>
    </w:p>
    <w:p>
      <w:pPr>
        <w:pStyle w:val="Normal"/>
        <w:rPr/>
      </w:pPr>
      <w:r>
        <w:rPr/>
      </w:r>
    </w:p>
    <w:p>
      <w:pPr>
        <w:pStyle w:val="P68B1DB1Corpsdetexte12"/>
        <w:rPr>
          <w:b/>
          <w:b/>
          <w:i/>
          <w:i/>
          <w:u w:val="single"/>
        </w:rPr>
      </w:pPr>
      <w:r>
        <w:rPr/>
        <w:t>16 Luksemburg</w:t>
      </w:r>
    </w:p>
    <w:p>
      <w:pPr>
        <w:pStyle w:val="Corpsdetexte"/>
        <w:rPr/>
      </w:pPr>
      <w:r>
        <w:rPr/>
        <w:t>Na nacionalnoj razini organiziran je niz događanja s otvorenim, uključivim i transparentnim pristupom. Na primjer, parlament je organizirao niz događanja u novim formatima, kao što su „bistrotski razgovori”. Organiziran je i hakaton za studente i mlade poduzetnike kako bi se raspravilo o digitalnom kompasu i industrijskoj strategiji EU-a.</w:t>
      </w:r>
    </w:p>
    <w:p>
      <w:pPr>
        <w:pStyle w:val="Corpsdetexte"/>
        <w:rPr/>
      </w:pPr>
      <w:r>
        <w:rPr/>
        <w:t>Osim toga, održana je tronacionalna razmjena učenika njemačkih, francuskih i luksemburških srednjih škola.</w:t>
      </w:r>
    </w:p>
    <w:p>
      <w:pPr>
        <w:pStyle w:val="P68B1DB1Corpsdetexte12"/>
        <w:rPr>
          <w:b/>
          <w:b/>
          <w:i/>
          <w:i/>
          <w:u w:val="single"/>
        </w:rPr>
      </w:pPr>
      <w:r>
        <w:rPr/>
        <w:t>17 Mađarska</w:t>
      </w:r>
    </w:p>
    <w:p>
      <w:pPr>
        <w:pStyle w:val="Corpsdetexte"/>
        <w:rPr/>
      </w:pPr>
      <w:r>
        <w:rPr/>
        <w:t>Organiziran je širok raspon događanja u cijelom društvu (više od 800). Institucionalna događanja uključuju međunarodne konferencije na visokoj razini koje organizira nekoliko ministarstava (npr. o proširenju EU-a i digitalnoj agendi) te okrugle stolove sa studentima i organizacijama mladih (npr. o europskoj integraciji). Nekoliko organizacija održalo je panele na kojima se raspravljalo o sljedećim temama: institucije EU-a; snažnije gospodarstvo, socijalna pravda i zapošljavanje, digitalna transformacija, obrazovanje, kultura, mladi i sport; vrijednosti i prava, vladavina prava i sigurnost; Nevladine organizacije; migracije; kao i demografija, obitelj, zdravlje, klimatske promjene i okoliš.</w:t>
      </w:r>
    </w:p>
    <w:p>
      <w:pPr>
        <w:pStyle w:val="P68B1DB1Corpsdetexte12"/>
        <w:rPr>
          <w:b/>
          <w:b/>
          <w:i/>
          <w:i/>
          <w:u w:val="single"/>
        </w:rPr>
      </w:pPr>
      <w:r>
        <w:rPr/>
        <w:t>18 Malta</w:t>
      </w:r>
    </w:p>
    <w:p>
      <w:pPr>
        <w:pStyle w:val="Corpsdetexte"/>
        <w:rPr/>
      </w:pPr>
      <w:r>
        <w:rPr/>
        <w:t>Nakon uvodnog događaja osnovan je Nacionalni koordinacijski odbor za promicanje inicijative različitim komunikacijskim kanalima i pomoć pri usmjeravanju rasprave putem nacionalnih i lokalnih događanja.</w:t>
      </w:r>
    </w:p>
    <w:p>
      <w:pPr>
        <w:pStyle w:val="Corpsdetexte"/>
        <w:rPr/>
      </w:pPr>
      <w:r>
        <w:rPr/>
        <w:t>Tematski javni dijalozi (npr. o zdravlju, europskim vrijednostima i budućnosti rada za pravedno društvo), konferencije za medije, savjetovanja s dionicima iz relevantnih sektora i interaktivni sastanci s djecom i studentima organizirani su u fizičkom ili hibridnom obliku.</w:t>
      </w:r>
    </w:p>
    <w:p>
      <w:pPr>
        <w:pStyle w:val="Corpsdetexte"/>
        <w:rPr/>
      </w:pPr>
      <w:r>
        <w:rPr/>
      </w:r>
    </w:p>
    <w:p>
      <w:pPr>
        <w:pStyle w:val="P68B1DB1Corpsdetexte12"/>
        <w:rPr>
          <w:b/>
          <w:b/>
          <w:i/>
          <w:i/>
          <w:u w:val="single"/>
        </w:rPr>
      </w:pPr>
      <w:r>
        <w:rPr/>
        <w:t>19 Nizozemska</w:t>
      </w:r>
    </w:p>
    <w:p>
      <w:pPr>
        <w:pStyle w:val="Corpsdetexte"/>
        <w:rPr/>
      </w:pPr>
      <w:r>
        <w:rPr/>
        <w:t>U Nizozemskoj je naglasak stavljen na organizaciju nacionalnog panela građana „Vizije Europe – Kijk op Europa”, koji se održao na internetu i uživo. Temeljio se na pristupu u dvije faze: prvi je bio prikupiti razmišljanja i mišljenja građana o „što” odnosno o onome što su očekivali i željeli; druga faza zatim je nastojala razumjeti njihova temeljna stajališta („zašto” i „kako”) kroz grupne dijaloge.</w:t>
      </w:r>
    </w:p>
    <w:p>
      <w:pPr>
        <w:pStyle w:val="Corpsdetexte"/>
        <w:rPr/>
      </w:pPr>
      <w:r>
        <w:rPr/>
      </w:r>
    </w:p>
    <w:p>
      <w:pPr>
        <w:pStyle w:val="P68B1DB1Corpsdetexte12"/>
        <w:rPr>
          <w:b/>
          <w:b/>
          <w:i/>
          <w:i/>
          <w:u w:val="single"/>
        </w:rPr>
      </w:pPr>
      <w:r>
        <w:rPr/>
        <w:t>20 Austrija</w:t>
      </w:r>
    </w:p>
    <w:p>
      <w:pPr>
        <w:pStyle w:val="Corpsdetexte"/>
        <w:rPr/>
      </w:pPr>
      <w:r>
        <w:rPr/>
        <w:t>Rasprave su se odvijale u različitim oblicima, na saveznoj, regionalnoj i lokalnoj razini. „Budući laboratoriji” i „budući dijalozi” omogućili su dubinsku razmjenu mišljenja sa stručnjacima na visokoj razini o različitim temama i traženje sveobuhvatnijih rješenja za budućnost. Osim toga, niz događanja organizirali su austrijski općinski vijećnici zaduženi za europske poslove i za njih. Nekoliko događanja izravno je upućeno mladima i studentima.</w:t>
      </w:r>
    </w:p>
    <w:p>
      <w:pPr>
        <w:pStyle w:val="P68B1DB1Corpsdetexte12"/>
        <w:rPr>
          <w:b/>
          <w:b/>
          <w:i/>
          <w:i/>
          <w:u w:val="single"/>
        </w:rPr>
      </w:pPr>
      <w:r>
        <w:rPr/>
        <w:t>21 Poljska</w:t>
      </w:r>
    </w:p>
    <w:p>
      <w:pPr>
        <w:pStyle w:val="Corpsdetexte"/>
        <w:rPr/>
      </w:pPr>
      <w:r>
        <w:rPr/>
        <w:t>Događanja su uglavnom organizirana u okviru decentraliziranog pristupa. Na regionalnoj razini regionalni centri za međunarodnu raspravu organizirali su javna događanja u 16 poljskih regija u fizičkom i virtualnom formatu. Teme za raspravu obuhvaćale su tematska područja konferencije, kao što su solidarnost u kriznim vremenima, poljoprivreda i nove tehnologije.</w:t>
      </w:r>
    </w:p>
    <w:p>
      <w:pPr>
        <w:pStyle w:val="Corpsdetexte"/>
        <w:rPr/>
      </w:pPr>
      <w:r>
        <w:rPr/>
        <w:t>Održana je i nacionalna rasprava o klimi, digitalizaciji, unutarnjem tržištu, zdravlju, EU-u u svijetu i migracijama.</w:t>
      </w:r>
    </w:p>
    <w:p>
      <w:pPr>
        <w:pStyle w:val="P68B1DB1Corpsdetexte12"/>
        <w:rPr>
          <w:b/>
          <w:b/>
          <w:i/>
          <w:i/>
          <w:u w:val="single"/>
        </w:rPr>
      </w:pPr>
      <w:r>
        <w:rPr/>
        <w:t>22 Portugal</w:t>
      </w:r>
    </w:p>
    <w:p>
      <w:pPr>
        <w:pStyle w:val="Corpsdetexte"/>
        <w:rPr/>
      </w:pPr>
      <w:r>
        <w:rPr/>
        <w:t>Nakon prvog građanskog događanja u Lisabonu, na kojem je započelo sudjelovanje građana na konferenciji, mnoga su događanja organizirana u suradnji s lokalnim vlastima, sveučilištima, školama, socijalnim partnerima, organizacijama mladih i lokalnim organizacijama civilnog društva, među ostalim. Na primjer, organizirano je transnacionalno događanje sa Španjolskom kako bi se raspravljalo o ključnim temama od interesa za budućnost regija obiju zemalja i EU-a. Osim toga, održana su decentralizirana nacionalna događanja o raznim temama kao što su migracije i međunarodna partnerstva, budućnost europske demokracije i digitalna transformacija.</w:t>
      </w:r>
    </w:p>
    <w:p>
      <w:pPr>
        <w:pStyle w:val="P68B1DB1Corpsdetexte12"/>
        <w:rPr>
          <w:b/>
          <w:b/>
          <w:i/>
          <w:i/>
          <w:u w:val="single"/>
        </w:rPr>
      </w:pPr>
      <w:r>
        <w:rPr/>
        <w:t>23 Rumunjska</w:t>
      </w:r>
    </w:p>
    <w:p>
      <w:pPr>
        <w:pStyle w:val="Corpsdetexte"/>
        <w:rPr/>
      </w:pPr>
      <w:r>
        <w:rPr/>
        <w:t>Događanja su uglavnom organizirala ili suorganizirala uprava i instituti, posebno uz aktivno sudjelovanje civilnog društva i organizacija mladih.</w:t>
      </w:r>
    </w:p>
    <w:p>
      <w:pPr>
        <w:pStyle w:val="Corpsdetexte"/>
        <w:rPr/>
      </w:pPr>
      <w:r>
        <w:rPr/>
        <w:t>Rasprave su bile usmjerene na širok raspon tema, kao što su digitalna tranzicija, obrazovanje, zdravstvo, okoliš, održivi razvoj, gospodarstvo, poljoprivreda i strateška partnerstva EU-a. Događaji su se odvijali u glavnom gradu i na lokalnoj razini, a sudjelovale su sve dobne skupine.</w:t>
      </w:r>
    </w:p>
    <w:p>
      <w:pPr>
        <w:pStyle w:val="P68B1DB1Corpsdetexte12"/>
        <w:rPr>
          <w:b/>
          <w:b/>
          <w:i/>
          <w:i/>
          <w:u w:val="single"/>
        </w:rPr>
      </w:pPr>
      <w:r>
        <w:rPr/>
        <w:t>24 Slovenija</w:t>
      </w:r>
    </w:p>
    <w:p>
      <w:pPr>
        <w:pStyle w:val="Corpsdetexte"/>
        <w:rPr/>
      </w:pPr>
      <w:r>
        <w:rPr/>
        <w:t>Ideja je bila potaknuti široku raspravu u kojoj civilno društvo ima središnju ulogu, kao i posebno sudjelovanje mladih.</w:t>
      </w:r>
    </w:p>
    <w:p>
      <w:pPr>
        <w:pStyle w:val="Corpsdetexte"/>
        <w:rPr/>
      </w:pPr>
      <w:r>
        <w:rPr/>
        <w:t>Vlada je organizirala uvodno događanje, nakon kojeg je uslijedilo nekoliko inicijativa, kao što je Bledski strateški forum, čija je glavna tema bila budućnost Europe, s posebnim naglaskom na proširenju EU-a i zapadnom Balkanu. Ostala događanja bila su usmjerena na teme kao što su monetarna politika, klimatska neutralnost, mladi i uloga EU-a u multipolarnom međunarodnom okruženju.</w:t>
      </w:r>
    </w:p>
    <w:p>
      <w:pPr>
        <w:pStyle w:val="P68B1DB1Corpsdetexte12"/>
        <w:rPr>
          <w:b/>
          <w:b/>
          <w:i/>
          <w:i/>
          <w:u w:val="single"/>
        </w:rPr>
      </w:pPr>
      <w:r>
        <w:rPr/>
        <w:t>25 Slovačka</w:t>
      </w:r>
    </w:p>
    <w:p>
      <w:pPr>
        <w:pStyle w:val="Corpsdetexte"/>
        <w:rPr/>
      </w:pPr>
      <w:r>
        <w:rPr/>
        <w:t>Organizirana događanja organizirana su oko dva glavna stupa. Prvi stup bio je projekt „WeAreEU”, usmjeren na širu javnost, uključujući rasprave sa studentima i javna savjetovanja, a uključivao je niz regionalnih događanja organiziranih u sklopu WeAreEU Road Showa. Drugi stup bila je nacionalna konvencija o EU-u, s naglaskom na stručnim doprinosima i analizama o temama kao što su jedinstveno tržište, dezinformacije i populizam te digitalna i ekološka tranzicija.</w:t>
      </w:r>
    </w:p>
    <w:p>
      <w:pPr>
        <w:pStyle w:val="P68B1DB1Corpsdetexte12"/>
        <w:rPr>
          <w:b/>
          <w:b/>
          <w:i/>
          <w:i/>
          <w:u w:val="single"/>
        </w:rPr>
      </w:pPr>
      <w:r>
        <w:rPr/>
        <w:t>26 Finska</w:t>
      </w:r>
    </w:p>
    <w:p>
      <w:pPr>
        <w:pStyle w:val="Corpsdetexte"/>
        <w:rPr/>
      </w:pPr>
      <w:r>
        <w:rPr/>
        <w:t>Vlada je organizirala niz regionalnih savjetovanja, uključujući „događaj najsjevernije konferencije u EU-u”, o raznim temama, kao što su održivi rast, obrazovanje i vladavina prava. Provedena je i anketa koja će poslužiti kao temelj za raspravu.</w:t>
      </w:r>
    </w:p>
    <w:p>
      <w:pPr>
        <w:pStyle w:val="Corpsdetexte"/>
        <w:spacing w:before="6264" w:after="57"/>
        <w:rPr/>
      </w:pPr>
      <w:r>
        <w:rPr/>
        <w:t xml:space="preserve">Događanja je organizirala vlada u suradnji s gradovima, lokalnim vlastima, sveučilištima, nevladinim organizacijama i organizacijama mladih te finskim parlamentom, Europskim parlamentom i </w:t>
      </w:r>
      <w:r>
        <w:drawing>
          <wp:anchor behindDoc="0" distT="0" distB="0" distL="0" distR="0" simplePos="0" locked="0" layoutInCell="1" allowOverlap="1" relativeHeight="23">
            <wp:simplePos x="0" y="0"/>
            <wp:positionH relativeFrom="column">
              <wp:posOffset>5080</wp:posOffset>
            </wp:positionH>
            <wp:positionV relativeFrom="paragraph">
              <wp:posOffset>3077845</wp:posOffset>
            </wp:positionV>
            <wp:extent cx="6120130" cy="3977640"/>
            <wp:effectExtent l="0" t="0" r="0" b="0"/>
            <wp:wrapSquare wrapText="largest"/>
            <wp:docPr id="58" name="Slika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Slika18" descr=""/>
                    <pic:cNvPicPr>
                      <a:picLocks noChangeAspect="1" noChangeArrowheads="1"/>
                    </pic:cNvPicPr>
                  </pic:nvPicPr>
                  <pic:blipFill>
                    <a:blip r:embed="rId51"/>
                    <a:stretch>
                      <a:fillRect/>
                    </a:stretch>
                  </pic:blipFill>
                  <pic:spPr bwMode="auto">
                    <a:xfrm>
                      <a:off x="0" y="0"/>
                      <a:ext cx="6120130" cy="3977640"/>
                    </a:xfrm>
                    <a:prstGeom prst="rect">
                      <a:avLst/>
                    </a:prstGeom>
                  </pic:spPr>
                </pic:pic>
              </a:graphicData>
            </a:graphic>
          </wp:anchor>
        </w:drawing>
      </w:r>
      <w:r>
        <w:rPr/>
        <w:t>i</w:t>
      </w:r>
      <w:r>
        <w:rPr/>
        <w:t>nformacijskim uredima Europske komisije u Finskoj.</w:t>
      </w:r>
    </w:p>
    <w:p>
      <w:pPr>
        <w:pStyle w:val="Normal"/>
        <w:rPr/>
      </w:pPr>
      <w:r>
        <w:rPr/>
      </w:r>
    </w:p>
    <w:p>
      <w:pPr>
        <w:pStyle w:val="P68B1DB1Corpsdetexte12"/>
        <w:rPr>
          <w:b/>
          <w:b/>
          <w:i/>
          <w:i/>
          <w:u w:val="single"/>
        </w:rPr>
      </w:pPr>
      <w:r>
        <w:rPr/>
        <w:t>27 Švedska</w:t>
      </w:r>
    </w:p>
    <w:p>
      <w:pPr>
        <w:pStyle w:val="Corpsdetexte"/>
        <w:rPr/>
      </w:pPr>
      <w:r>
        <w:rPr/>
        <w:t>Događanja su uglavnom organizirana na decentraliziranoj osnovi kao zajednička vježba između vlade, nacionalnog parlamenta, političkih stranaka, socijalnih partnera, lokalnih i regionalnih predstavnika, organizacija civilnog društva i drugih relevantnih aktera u društvu.</w:t>
      </w:r>
    </w:p>
    <w:p>
      <w:pPr>
        <w:pStyle w:val="Corpsdetexte"/>
        <w:rPr/>
      </w:pPr>
      <w:r>
        <w:rPr/>
        <w:t>Na primjer, švedski ministar europskih poslova raspravljao je o budućnosti Europe s učenicima iz različitih škola i sudjelovao na sastancima na općinskoj razini kako bi s građanima raspravljali o budućnosti Europe i demokraciji. Digitalni mediji upotrebljavali su se i za sudjelovanje u dijalozima s građanima putem, primjerice, sastanaka s pitanjima i odgovorima.</w:t>
      </w:r>
    </w:p>
    <w:p>
      <w:pPr>
        <w:pStyle w:val="Corpsdetexte"/>
        <w:rPr/>
      </w:pPr>
      <w:r>
        <w:rPr/>
        <w:t>Gore navedeni opisi nisu iscrpni. Više informacija o nacionalnim događanjima dostupno je u posebnom odjeljku višejezične digitalne platforme.</w:t>
      </w:r>
    </w:p>
    <w:p>
      <w:pPr>
        <w:pStyle w:val="Corpsdetexte"/>
        <w:rPr/>
      </w:pPr>
      <w:r>
        <w:rPr/>
      </w:r>
    </w:p>
    <w:p>
      <w:pPr>
        <w:pStyle w:val="Corpsdetexte"/>
        <w:rPr/>
      </w:pPr>
      <w:r>
        <w:rPr/>
      </w:r>
      <w:r>
        <w:br w:type="page"/>
      </w:r>
    </w:p>
    <w:p>
      <w:pPr>
        <w:pStyle w:val="Titre3"/>
        <w:numPr>
          <w:ilvl w:val="2"/>
          <w:numId w:val="2"/>
        </w:numPr>
        <w:rPr/>
      </w:pPr>
      <w:bookmarkStart w:id="30" w:name="__RefHeading___Toc298234_1346298689"/>
      <w:bookmarkEnd w:id="30"/>
      <w:r>
        <w:rPr/>
        <w:t>2.</w:t>
        <w:tab/>
        <w:t xml:space="preserve">Susret mladih Europljana </w:t>
      </w:r>
    </w:p>
    <w:p>
      <w:pPr>
        <w:pStyle w:val="Normal"/>
        <w:rPr/>
      </w:pPr>
      <w:hyperlink r:id="rId52">
        <w:r>
          <w:rPr>
            <w:rStyle w:val="LienInternet"/>
          </w:rPr>
          <w:t>Europski skup mladih (EYE 2021)</w:t>
        </w:r>
      </w:hyperlink>
      <w:r>
        <w:rPr/>
        <w:t xml:space="preserve"> održan je 8. i 9. listopada 2021. i okupio je 10 000 mladih na internetu i Europski parlament u Strasbourgu kako bi oblikovali i razmijenili ideje o budućnosti Europe. Europski skup mladih </w:t>
      </w:r>
      <w:r>
        <w:rPr>
          <w:i/>
        </w:rPr>
        <w:t>bio je jedinstvena prilika za mlade u dobi od 16 do 30 godina da osobno i na internetu komuniciraju, da se međusobno inspiriraju i da razmjenjuju mišljenja sa stručnjacima, aktivistima, utjecajnim osobama i donositeljima odluka, u samom središtu europske demokracije</w:t>
      </w:r>
      <w:r>
        <w:rPr/>
        <w:t>.</w:t>
      </w:r>
    </w:p>
    <w:p>
      <w:pPr>
        <w:pStyle w:val="Normal"/>
        <w:spacing w:before="6132" w:after="57"/>
        <w:rPr/>
      </w:pPr>
      <w:r>
        <w:rPr/>
        <w:t xml:space="preserve">Od svibnja 2021. u suradnji s paneuropskim organizacijama mladih prikupljeno je više od 2000 prijedloga mladih građana iz cijele Europske </w:t>
      </w:r>
      <w:r>
        <w:drawing>
          <wp:anchor behindDoc="0" distT="0" distB="0" distL="0" distR="0" simplePos="0" locked="0" layoutInCell="1" allowOverlap="1" relativeHeight="24">
            <wp:simplePos x="0" y="0"/>
            <wp:positionH relativeFrom="column">
              <wp:posOffset>53340</wp:posOffset>
            </wp:positionH>
            <wp:positionV relativeFrom="paragraph">
              <wp:posOffset>2400300</wp:posOffset>
            </wp:positionV>
            <wp:extent cx="5980430" cy="3893820"/>
            <wp:effectExtent l="0" t="0" r="0" b="0"/>
            <wp:wrapTopAndBottom/>
            <wp:docPr id="59" name="Slika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Slika19" descr=""/>
                    <pic:cNvPicPr>
                      <a:picLocks noChangeAspect="1" noChangeArrowheads="1"/>
                    </pic:cNvPicPr>
                  </pic:nvPicPr>
                  <pic:blipFill>
                    <a:blip r:embed="rId53"/>
                    <a:stretch>
                      <a:fillRect/>
                    </a:stretch>
                  </pic:blipFill>
                  <pic:spPr bwMode="auto">
                    <a:xfrm>
                      <a:off x="0" y="0"/>
                      <a:ext cx="5980430" cy="3893820"/>
                    </a:xfrm>
                    <a:prstGeom prst="rect">
                      <a:avLst/>
                    </a:prstGeom>
                  </pic:spPr>
                </pic:pic>
              </a:graphicData>
            </a:graphic>
          </wp:anchor>
        </w:drawing>
      </w:r>
      <w:r>
        <w:rPr/>
        <w:t>u</w:t>
      </w:r>
      <w:r>
        <w:rPr/>
        <w:t xml:space="preserve">nije. Osim toga, nekoliko sjednica, na internetu prije događanja i tijekom Europskog skupa mladih u Strasbourgu, bilo je usmjereno na Konferenciju o budućnosti Europe. Nakon događanja, 20 glavnih ideja sudionika, dvije ideje po temi konferencije, prikupljene su u </w:t>
      </w:r>
      <w:hyperlink r:id="rId54">
        <w:r>
          <w:rPr>
            <w:rStyle w:val="LienInternet"/>
          </w:rPr>
          <w:t>Izvješću o idejama mladih za</w:t>
        </w:r>
      </w:hyperlink>
      <w:r>
        <w:rPr/>
        <w:t xml:space="preserve"> konferenciju o budućnosti Europe, objavljenom na 23 jezika.</w:t>
      </w:r>
    </w:p>
    <w:p>
      <w:pPr>
        <w:pStyle w:val="Normal"/>
        <w:rPr/>
      </w:pPr>
      <w:r>
        <w:rPr/>
        <w:t xml:space="preserve">Izvješće o idejama mladih predstavili su na plenarnom zasjedanju konferencije 23. listopada mladi sudionici europskih panela građana i građanki koji su sudjelovali i na Europskom skupu mladih 2021. Sve prikupljene ideje dostupne su na: </w:t>
      </w:r>
      <w:hyperlink r:id="rId55">
        <w:r>
          <w:rPr>
            <w:rStyle w:val="LienInternet"/>
          </w:rPr>
          <w:t>traži.youthideas.eu.</w:t>
        </w:r>
      </w:hyperlink>
    </w:p>
    <w:p>
      <w:pPr>
        <w:pStyle w:val="Titre3"/>
        <w:numPr>
          <w:ilvl w:val="2"/>
          <w:numId w:val="2"/>
        </w:numPr>
        <w:rPr/>
      </w:pPr>
      <w:bookmarkStart w:id="31" w:name="__RefHeading___Toc298236_1346298689"/>
      <w:bookmarkEnd w:id="31"/>
      <w:r>
        <w:rPr/>
        <w:t>3.</w:t>
        <w:tab/>
        <w:t>Ostali događaji</w:t>
      </w:r>
    </w:p>
    <w:p>
      <w:pPr>
        <w:pStyle w:val="Normal"/>
        <w:rPr/>
      </w:pPr>
      <w:r>
        <w:rPr/>
        <w:t>Osim navedenih događanja, mnoge druge institucije i dionici okupili su građane kako bi raspravljali o budućnosti Europe</w:t>
      </w:r>
      <w:r>
        <w:rPr>
          <w:rStyle w:val="Ancredenotedebasdepage"/>
          <w:rStyle w:val="Ancredenotedebasdepage"/>
        </w:rPr>
        <w:footnoteReference w:id="6"/>
      </w:r>
      <w:r>
        <w:rPr/>
        <w:t>.</w:t>
      </w:r>
    </w:p>
    <w:p>
      <w:pPr>
        <w:pStyle w:val="Normal"/>
        <w:rPr/>
      </w:pPr>
      <w:r>
        <w:rPr/>
        <w:t xml:space="preserve">Tijekom konferencije o budućnosti Europe Europski gospodarski i socijalni odbor (EGSO) radio je na informiranju i pružanju pomoći svojoj opsežnoj mreži organizacija civilnog društva u državama članicama u organizaciji nacionalnih savjetovanja. Ukupno je podržala uvođenje 75 događanja, uključujući 33 na nacionalnoj razini i 42 na središnjoj razini. Od tih događanja 60 % je objavilo izvješća na konferencijskoj platformi, a samo tih 45 događanja okupilo je više od 7 300 sudionika. Konkretno, EGSO je u lipnju 2021. pokrenuo svoje aktivnosti velikom konferencijom – </w:t>
      </w:r>
      <w:hyperlink r:id="rId56">
        <w:r>
          <w:rPr>
            <w:rStyle w:val="LienInternet"/>
          </w:rPr>
          <w:t>Povratak europskog projekta građanima</w:t>
        </w:r>
      </w:hyperlink>
      <w:r>
        <w:rPr/>
        <w:t xml:space="preserve"> – te je u studenome 2021. u Lisabonu organizirao seminar „</w:t>
      </w:r>
      <w:hyperlink r:id="rId57">
        <w:r>
          <w:rPr>
            <w:rStyle w:val="LienInternet"/>
          </w:rPr>
          <w:t>Povezivanje EU-a</w:t>
        </w:r>
      </w:hyperlink>
      <w:r>
        <w:rPr/>
        <w:t>” i događaj na visokoj razini u Bruxellesu u veljači 2022. pod nazivom „</w:t>
      </w:r>
      <w:hyperlink r:id="rId58">
        <w:r>
          <w:rPr>
            <w:rStyle w:val="LienInternet"/>
          </w:rPr>
          <w:t>Oblikovanje Europe zajedno</w:t>
        </w:r>
      </w:hyperlink>
      <w:r>
        <w:rPr/>
        <w:t>”. Odbor je također potaknuo upotrebu internetske platforme na kojoj je učitalo 60 novih ideja te je pokrenuo opsežnu komunikacijsku kampanju na društvenim mrežama, s potencijalnom publikom od 32 milijuna ljudi samo na Twitteru, kako bi promicao nacionalna događanja na engleskom i lokalnom jeziku te pružao informacije prije i nakon svake plenarne skupštine i sastanka povezanog s konferencijama.</w:t>
      </w:r>
    </w:p>
    <w:p>
      <w:pPr>
        <w:pStyle w:val="Normal"/>
        <w:rPr/>
      </w:pPr>
      <w:r>
        <w:rPr/>
        <w:t xml:space="preserve">Europski odbor regija (OR) organizirao je tematske rasprave u svojim povjerenstvima i plenarnim zasjedanjima, kao i 140 događanja na lokalnoj, prekograničnoj i međuregionalnoj razini u kojima je sudjelovalo 10 000 građana i 200 lokalnih političara. Osim toga, u </w:t>
      </w:r>
      <w:hyperlink r:id="rId59">
        <w:r>
          <w:rPr>
            <w:rStyle w:val="LienInternet"/>
          </w:rPr>
          <w:t>listopadu 2021. objavljeno je prvo istraživanje koje je obuhvatilo 1,2 milijuna lokalnih političara</w:t>
        </w:r>
      </w:hyperlink>
      <w:r>
        <w:rPr/>
        <w:t xml:space="preserve"> u EU-27 o njihovim stajalištima o budućnosti Europe. Osim toga, Cdr je predložio </w:t>
      </w:r>
      <w:hyperlink r:id="rId60">
        <w:r>
          <w:rPr>
            <w:rStyle w:val="LienInternet"/>
          </w:rPr>
          <w:t>44 ideje</w:t>
        </w:r>
      </w:hyperlink>
      <w:r>
        <w:rPr/>
        <w:t xml:space="preserve"> o višejezičnoj digitalnoj platformi. Početkom 2022.</w:t>
      </w:r>
      <w:hyperlink r:id="rId61">
        <w:r>
          <w:rPr>
            <w:rStyle w:val="LienInternet"/>
          </w:rPr>
          <w:t xml:space="preserve"> neovisna skupina na visokoj razini za europsku demokraciju</w:t>
        </w:r>
      </w:hyperlink>
      <w:r>
        <w:rPr/>
        <w:t xml:space="preserve"> predstavila je ideje o tome kako poboljšati demokraciju u EU-u. OR je usvojio rezoluciju s prijedlozima za završno izvješće s konferencije, a na </w:t>
      </w:r>
      <w:hyperlink r:id="rId62">
        <w:r>
          <w:rPr>
            <w:rStyle w:val="LienInternet"/>
          </w:rPr>
          <w:t>Europskom samitu regija i gradova u ožujku 2022. usvojen je manifest u 12 točaka sastavljen u ime milijuna lokalnih i</w:t>
        </w:r>
      </w:hyperlink>
      <w:r>
        <w:rPr/>
        <w:t xml:space="preserve"> regionalnih političara u EU-u. U izvješću</w:t>
      </w:r>
      <w:hyperlink r:id="rId63">
        <w:r>
          <w:rPr>
            <w:rStyle w:val="LienInternet"/>
          </w:rPr>
          <w:t>pod nazivom Građani, lokalni političari i budućnost Europe</w:t>
        </w:r>
      </w:hyperlink>
      <w:r>
        <w:rPr/>
        <w:t>(ožujak 2022.) sažete su sve aktivnosti OR-a u kontekstu konferencije.</w:t>
      </w:r>
    </w:p>
    <w:p>
      <w:pPr>
        <w:pStyle w:val="Normal"/>
        <w:rPr/>
      </w:pPr>
      <w:r>
        <w:rPr/>
      </w:r>
    </w:p>
    <w:p>
      <w:pPr>
        <w:pStyle w:val="Normal"/>
        <w:rPr/>
      </w:pPr>
      <w:r>
        <w:rPr/>
        <w:t xml:space="preserve">Tri organizacije poslodavaca povezane sa socijalnim partnerstvom EU-a, </w:t>
      </w:r>
      <w:hyperlink r:id="rId64">
        <w:r>
          <w:rPr>
            <w:rStyle w:val="LienInternet"/>
          </w:rPr>
          <w:t>BusinessEurope</w:t>
        </w:r>
      </w:hyperlink>
      <w:r>
        <w:rPr/>
        <w:t xml:space="preserve">, </w:t>
      </w:r>
      <w:hyperlink r:id="rId65">
        <w:r>
          <w:rPr>
            <w:rStyle w:val="LienInternet"/>
          </w:rPr>
          <w:t>SGI Europe</w:t>
        </w:r>
      </w:hyperlink>
      <w:r>
        <w:rPr/>
        <w:t xml:space="preserve"> i </w:t>
      </w:r>
      <w:hyperlink r:id="rId66">
        <w:r>
          <w:rPr>
            <w:rStyle w:val="LienInternet"/>
          </w:rPr>
          <w:t>UEAPME</w:t>
        </w:r>
      </w:hyperlink>
      <w:r>
        <w:rPr/>
        <w:t>, objavile su svoje prioritete i doprinose na digitalnoj platformi i predstavile ih relevantnim radnim skupinama i plenarnoj sjednici. Osim toga, svi su promicali konferenciju, kako interno tako i izvana, organizirali događanja i sudjelovali u dijalogu s dionicima na različitim forumima. Europska konfederacija sindikata (ETUC) mobilizirala se kako bi doprinijela konferenciji i sudjelovala na sastancima Plenarne skupštine i radnih skupina. ETUC je utvrdio sindikalne prijedloge za pravedniju budućnost Europe i objavio ih na internetskoj platformi (oni su bili među prijedlozima s najvećom podrškom). ETUC i njegove podružnice organizirali su događanja i komunikacijske aktivnosti kako bi predstavili i raspravljali o sindikalnim prijedlozima.</w:t>
      </w:r>
    </w:p>
    <w:p>
      <w:pPr>
        <w:pStyle w:val="Normal"/>
        <w:rPr/>
      </w:pPr>
      <w:r>
        <w:rPr/>
        <w:t xml:space="preserve">Predstavnici civilnog društva – </w:t>
      </w:r>
      <w:hyperlink r:id="rId67">
        <w:r>
          <w:rPr>
            <w:rStyle w:val="LienInternet"/>
          </w:rPr>
          <w:t>Konvencija civilnog društva za konferenciju o budućnosti</w:t>
        </w:r>
      </w:hyperlink>
      <w:r>
        <w:rPr/>
        <w:t xml:space="preserve"> Europe i </w:t>
      </w:r>
      <w:hyperlink r:id="rId68">
        <w:r>
          <w:rPr>
            <w:rStyle w:val="LienInternet"/>
          </w:rPr>
          <w:t>Europski međunarodni pokret</w:t>
        </w:r>
      </w:hyperlink>
      <w:r>
        <w:rPr/>
        <w:t xml:space="preserve"> – organizirali su </w:t>
      </w:r>
      <w:hyperlink r:id="rId69">
        <w:r>
          <w:rPr>
            <w:rStyle w:val="LienInternet"/>
          </w:rPr>
          <w:t>brojna događanja</w:t>
        </w:r>
      </w:hyperlink>
      <w:r>
        <w:rPr/>
        <w:t xml:space="preserve"> diljem Europe i bili </w:t>
      </w:r>
      <w:hyperlink r:id="rId70">
        <w:r>
          <w:rPr>
            <w:rStyle w:val="LienInternet"/>
          </w:rPr>
          <w:t>aktivni na plenarnoj razini</w:t>
        </w:r>
      </w:hyperlink>
      <w:r>
        <w:rPr/>
        <w:t xml:space="preserve">. Civilno društvo uključilo je stotine organizacija civilnog društva u pristup „odozdo prema gore” putem </w:t>
      </w:r>
      <w:hyperlink r:id="rId71">
        <w:r>
          <w:rPr>
            <w:rStyle w:val="LienInternet"/>
          </w:rPr>
          <w:t>tematskih skupina</w:t>
        </w:r>
      </w:hyperlink>
      <w:r>
        <w:rPr/>
        <w:t xml:space="preserve"> kako bi razradilo zajedničke i sveobuhvatne prijedloge u </w:t>
      </w:r>
      <w:hyperlink r:id="rId72">
        <w:r>
          <w:rPr>
            <w:rStyle w:val="LienInternet"/>
          </w:rPr>
          <w:t>različitim područjima politika obuhvaćenima konferencijom</w:t>
        </w:r>
      </w:hyperlink>
      <w:r>
        <w:rPr/>
        <w:t>. Ideje su pridonijele konferenciji putem platforme, radnih skupina, plenarnih sastanaka i u izravnom kontaktu s Izvršnim odborom, supredsjedateljima i Zajedničkim tajništvom.</w:t>
      </w:r>
    </w:p>
    <w:p>
      <w:pPr>
        <w:pStyle w:val="Normal"/>
        <w:rPr/>
      </w:pPr>
      <w:r>
        <w:rPr/>
        <w:t>Predstavništva Europske komisije u državama članicama, centri Europe Direct, europski dokumentacijski centri i uredi za vezu EP-a aktivno su informirali građane o Konferenciji o budućnosti Europe. Predstavništva Europske komisije izvijestila su o 1400 aktivnosti koje su pomogle u komunikaciji i provedbi konferencije diljem Europe. Organizirali su ili aktivno sudjelovali u više od 850 događanja, od kojih je oko 65 % bilo usmjereno na mlade i žene kako bi potaknuli njihovo sudjelovanje na konferenciji općenito. Uredi za vezu EP-a organizirali su više od 1300 promotivnih aktivnosti diljem država članica.</w:t>
      </w:r>
    </w:p>
    <w:p>
      <w:pPr>
        <w:pStyle w:val="Normal"/>
        <w:rPr/>
      </w:pPr>
      <w:r>
        <w:rPr/>
        <w:t>Tematske radionice o glavnim temama konferencije također su organizirane u nazočnosti zastupnika u Europskom parlamentu, građana, dionika, nacionalnih i regionalnih vlasti te lokalnih medija kako bi se povećala vidljivost konferencije. Europski dokumentacijski centri izvijestili su o više od 120 mjera povezanih s komunikacijom s konferencije.</w:t>
      </w:r>
    </w:p>
    <w:p>
      <w:pPr>
        <w:pStyle w:val="Normal"/>
        <w:rPr/>
      </w:pPr>
      <w:r>
        <w:rPr/>
        <w:t>Centri Europe Direct izvijestili su o više od 1000 tematskih događanja o konferenciji i više od 600 promotivnih aktivnosti, uključujući širok raspon skupina i organizacija mladih. Europski dokumentacijski centri izvijestili su o više od 120 mjera povezanih s komunikacijom s konferencije.</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1"/>
        <w:numPr>
          <w:ilvl w:val="0"/>
          <w:numId w:val="2"/>
        </w:numPr>
        <w:rPr/>
      </w:pPr>
      <w:bookmarkStart w:id="32" w:name="__RefHeading___Toc298238_1346298689"/>
      <w:bookmarkEnd w:id="32"/>
      <w:r>
        <w:rPr/>
        <w:t>ŠTO SE DOGAĐA? Plenarna skupština Konferencije</w:t>
      </w:r>
    </w:p>
    <w:p>
      <w:pPr>
        <w:pStyle w:val="Normal"/>
        <w:rPr/>
      </w:pPr>
      <w:r>
        <w:rPr/>
      </w:r>
      <w:r>
        <w:br w:type="page"/>
      </w:r>
    </w:p>
    <w:p>
      <w:pPr>
        <w:pStyle w:val="Titre2"/>
        <w:numPr>
          <w:ilvl w:val="1"/>
          <w:numId w:val="2"/>
        </w:numPr>
        <w:rPr/>
      </w:pPr>
      <w:bookmarkStart w:id="33" w:name="__RefHeading___Toc298240_1346298689"/>
      <w:bookmarkEnd w:id="33"/>
      <w:r>
        <w:rPr/>
        <w:t>A. Uloga i funkcioniranje plenarne skupštine</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Corpsdetexte"/>
        <w:rPr/>
      </w:pPr>
      <w:r>
        <w:rPr/>
        <w:t>Održana je plenarna skupština konferencije kako bi se raspravilo o preporukama nacionalnih i europskih panela građana i građanki, razvrstanih prema temi, bez prethodnog utvrđivanja ishoda rasprava ili ograničavanja njihova područja primjene na unaprijed definirana područja politike.</w:t>
      </w:r>
    </w:p>
    <w:p>
      <w:pPr>
        <w:pStyle w:val="Corpsdetexte"/>
        <w:rPr/>
      </w:pPr>
      <w:r>
        <w:rPr/>
        <w:t>Prema potrebi raspravljalo se i o doprinosima prikupljenima na višejezičnoj platformi. Plenarna skupština imala je jedinstven sastav: prvi je put uključivao građane koji predstavljaju europska i nacionalna događanja i panele građana, predstavnike institucija EU-a i njegovih savjetodavnih tijela, izabrane predstavnike na nacionalnoj, regionalnoj i lokalnoj razini te predstavnike civilnog društva i socijalnih partnera.</w:t>
      </w:r>
    </w:p>
    <w:p>
      <w:pPr>
        <w:pStyle w:val="Corpsdetexte"/>
        <w:rPr/>
      </w:pPr>
      <w:r>
        <w:rPr/>
        <w:t>Građani su predstavili preporuke i raspravljali s njima; zatim je na plenarnoj sjednici Izvršnom odboru morala predstaviti svoje prijedloge</w:t>
      </w:r>
      <w:r>
        <w:rPr>
          <w:rStyle w:val="Ancredenotedebasdepage"/>
          <w:rStyle w:val="Ancredenotedebasdepage"/>
        </w:rPr>
        <w:footnoteReference w:id="7"/>
      </w:r>
      <w:r>
        <w:rPr/>
        <w:t xml:space="preserve"> na sporazumnoj osnovi. Plenarna skupština Konferencije sastala se sedam puta od lipnja 2021. do travnja 2022.</w:t>
      </w:r>
    </w:p>
    <w:p>
      <w:pPr>
        <w:pStyle w:val="Corpsdetexte"/>
        <w:rPr/>
      </w:pPr>
      <w:r>
        <w:rPr/>
        <w:t>Plenarna skupština konferencije sastojala se od 108 predstavnika Europskog parlamenta, 54 predstavnika Vijeća i triju predstavnika</w:t>
      </w:r>
      <w:r>
        <w:rPr>
          <w:rStyle w:val="Ancredenotedebasdepage"/>
          <w:rStyle w:val="Ancredenotedebasdepage"/>
        </w:rPr>
        <w:footnoteReference w:id="8"/>
      </w:r>
      <w:r>
        <w:rPr/>
        <w:t>Europske komisije te 108 ravnopravnih predstavnika svih nacionalnih parlamenata i građana.</w:t>
      </w:r>
    </w:p>
    <w:p>
      <w:pPr>
        <w:pStyle w:val="Corpsdetexte"/>
        <w:rPr/>
      </w:pPr>
      <w:r>
        <w:rPr/>
        <w:t>Sudjelovalo je i osamdeset predstavnika europskih panela građana, od kojih je najmanje jedna trećina bila mlađa od 25 godina, predsjednik Europskog foruma mladih i 27</w:t>
      </w:r>
      <w:r>
        <w:rPr>
          <w:rStyle w:val="Ancredenotedebasdepage"/>
          <w:rStyle w:val="Ancredenotedebasdepage"/>
        </w:rPr>
        <w:footnoteReference w:id="9"/>
      </w:r>
      <w:r>
        <w:rPr/>
        <w:t xml:space="preserve"> predstavnika nacionalnih događanja i/ili nacionalnih panela građana.</w:t>
      </w:r>
    </w:p>
    <w:p>
      <w:pPr>
        <w:pStyle w:val="Corpsdetexte"/>
        <w:rPr/>
      </w:pPr>
      <w:r>
        <w:rPr/>
        <w:t>Sudjelovalo je i osamnaest predstavnika Odbora regija i 18 predstavnika Gospodarskog i socijalnog odbora, šest izabranih predstavnika regionalnih vlasti i šest izabranih predstavnika lokalnih vlasti, 12 predstavnika socijalnih partnera i osam predstavnika civilnog društva. Visoka predstavnica Unije za vanjske poslove i sigurnosnu politiku pozvana je da raspravi o međunarodnoj ulozi EU-a.</w:t>
      </w:r>
    </w:p>
    <w:p>
      <w:pPr>
        <w:pStyle w:val="Corpsdetexte"/>
        <w:rPr/>
      </w:pPr>
      <w:r>
        <w:rPr/>
        <w:t>Pozvani su i predstavnici ključnih dionika, kao što su predstavnici partnera sa zapadnog Balkana, Ukrajine, vjerskih, filozofskih i nekonfesionalnih skupina.</w:t>
      </w:r>
    </w:p>
    <w:p>
      <w:pPr>
        <w:pStyle w:val="Corpsdetexte"/>
        <w:rPr/>
      </w:pPr>
      <w:r>
        <w:rPr/>
        <w:t>Sastancima Plenarne skupštine zajednički su predsjedali supredsjedatelji Konferencije. Plenarne sjednice konferencije održane su u zgradama Europskog parlamenta u Strasbourgu. Zbog primjenjivih zdravstvenih i sigurnosnih propisa prvih pet sastanaka plenarne skupštine Konferencije održano je u hibridnom obliku, a posljednja dva održana su osobno. Plenarni sastanci konferencije prenosili su se uživo, a svi dokumenti sa sastanaka stavljeni su na raspolaganje javnosti na višejezičnoj digitalnoj platformi.</w:t>
      </w:r>
    </w:p>
    <w:p>
      <w:pPr>
        <w:pStyle w:val="Normal"/>
        <w:rPr/>
      </w:pPr>
      <w:r>
        <w:rPr/>
      </w:r>
    </w:p>
    <w:p>
      <w:pPr>
        <w:pStyle w:val="Normal"/>
        <w:rPr/>
      </w:pPr>
      <w:r>
        <w:rPr/>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2"/>
        <w:numPr>
          <w:ilvl w:val="1"/>
          <w:numId w:val="2"/>
        </w:numPr>
        <w:rPr/>
      </w:pPr>
      <w:bookmarkStart w:id="34" w:name="__RefHeading___Toc298242_1346298689"/>
      <w:bookmarkEnd w:id="34"/>
      <w:r>
        <w:rPr/>
        <w:t>B. Radne skupine</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U skladu s poslovnikom Konferencije supredsjedatelji su predložili da se na plenarnoj sjednici Konferencije osnuje devet tematskih radnih skupina na temelju tema višejezične digitalne platforme kako bi se pružio doprinos pripremi rasprava i prijedloga plenarne skupštine Konferencije, u skladu s parametrima Zajedničke izjave. U listopadu 2021. supredsjedatelji su postigli dogovor o mandatu radnih skupina. Različite radne skupine obuhvatile su sljedeće teme: Klimatske promjene i okoliš; Zdravlje; Snažnije gospodarstvo, socijalna pravda i zapošljavanje; EU u svijetu; Vrijednosti i prava, vladavina prava, sigurnost; Digitalna transformacija; Europska demokracija; Migracije; obrazovanje, kultura, mladi i sport.</w:t>
      </w:r>
    </w:p>
    <w:p>
      <w:pPr>
        <w:pStyle w:val="Normal"/>
        <w:rPr/>
      </w:pPr>
      <w:r>
        <w:rPr/>
        <w:t>Radne skupine predstavile su svoj doprinos plenarnom zasjedanju Konferencije razmatranjem preporuka odgovarajućih nacionalnih i europskih panela građana i građanki te doprinosa objavljenih na višejezičnoj digitalnoj platformi o devet tema prikupljenih u okviru konferencije. Članovi plenarne skupštine konferencije podijeljeni su između devet radnih skupina kako slijedi: dvanaest članova po radnoj skupini za Europski parlament i nacionalne parlamente, šest članova za Vijeće, tri predstavnika nacionalnih panela građana ili nacionalnih događanja, dva za Odbor regija i dva za Gospodarski i socijalni odbor, jedan ili dva za socijalne partnere, jedan za civilno društvo i jedan za izabrane članove lokalnih i regionalnih vlasti te predstavnici europskih panela građana. Predstavnici europskih panela građana sudjelovali su u radu radne skupine odgovorne za njihovo povjerenstvo. Osim toga, poduzete su posebne mjere kako bi se članovima Kolegija povjerenika omogućilo sudjelovanje u radnim skupinama u skladu s njihovim portfeljima.</w:t>
      </w:r>
    </w:p>
    <w:p>
      <w:pPr>
        <w:pStyle w:val="Normal"/>
        <w:rPr/>
      </w:pPr>
      <w:r>
        <w:rPr/>
        <w:t>Radne skupine održavale su intenzivne rasprave i radile na nacrtima prijedloga pripremljenima pod vodstvom predsjednika i glasnogovornika, odabranih među predstavnicima europskih panela građana i građanki u radnoj skupini, uz pomoć Zajedničkog tajništva. Radne skupine trebale su raditi na temelju konsenzusa utvrđenog u pravilu 17. Poslovnika Konferencije. Predsjednik i glasnogovornica zatim su Plenarnoj skupštini predstavili rezultate radne skupine. Predsjedniku radne skupine pomoglo je Zajedničko tajništvo. Zajedničko tajništvo konferencije pripremilo je sažeta izvješća sa svakog sastanka radne skupine pod vodstvom predsjednika i uz savjetovanje s članovima radne skupine.</w:t>
      </w:r>
    </w:p>
    <w:p>
      <w:pPr>
        <w:pStyle w:val="Normal"/>
        <w:rPr/>
      </w:pPr>
      <w:r>
        <w:rPr/>
        <w:t>Radne skupine sastale su se na marginama plenarnih sastanaka Konferencije od listopada 2021. do 8. travnja 2022., kao i putem interneta u prosincu 2021. Neke su radne skupine organizirale dodatne sastanke. Sastanci radne skupine emitirani su uživo od 20. siječnja 2022. Njihova objedinjena izvješća propisno su objavljena u odjeljku Plenarna skupština konferencije o višejezičnoj digitalnoj platformi.</w:t>
      </w:r>
    </w:p>
    <w:p>
      <w:pPr>
        <w:pStyle w:val="Normal"/>
        <w:rPr/>
      </w:pPr>
      <w:r>
        <w:rPr/>
      </w:r>
    </w:p>
    <w:p>
      <w:pPr>
        <w:pStyle w:val="Normal"/>
        <w:rPr/>
      </w:pPr>
      <w:r>
        <w:rPr/>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2"/>
        <w:numPr>
          <w:ilvl w:val="1"/>
          <w:numId w:val="2"/>
        </w:numPr>
        <w:rPr/>
      </w:pPr>
      <w:bookmarkStart w:id="35" w:name="__RefHeading___Toc298244_1346298689"/>
      <w:bookmarkEnd w:id="35"/>
      <w:r>
        <w:rPr/>
        <w:t>C. Kronološki sažetak</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KONSTITUIRAJUĆA PLENARNA SKUPŠTINA KONFERENCIJE, 19. LIPNJA 2021.</w:t>
      </w:r>
    </w:p>
    <w:p>
      <w:pPr>
        <w:pStyle w:val="Normal"/>
        <w:rPr/>
      </w:pPr>
      <w:r>
        <w:rPr/>
        <w:t>Konstituirajuće plenarno zasjedanje konferencije održano je 19. lipnja 2021. u hibridnom obliku</w:t>
      </w:r>
      <w:r>
        <w:rPr>
          <w:rStyle w:val="Ancredenotedebasdepage"/>
          <w:rStyle w:val="Ancredenotedebasdepage"/>
        </w:rPr>
        <w:footnoteReference w:id="10"/>
      </w:r>
      <w:r>
        <w:rPr/>
        <w:t>. Članovima plenarne sjednice omogućeno je da slušaju prezentaciju i održe opću raspravu o svrsi i očekivanjima konferencije. Supredsjedatelji su naglasili dosad nezabilježenu prirodu te deliberativne demokracije na razini EU-a, koja je ojačala predstavničku demokraciju i građane stavila u središte donošenja politika u Europskoj uniji. Supredsjedatelji su također predstavili funkcioniranje triju stupova konferencije: višejezična digitalna platforma, europski i nacionalni paneli građana i plenarna skupština.</w:t>
      </w:r>
    </w:p>
    <w:p>
      <w:pPr>
        <w:pStyle w:val="Normal"/>
        <w:rPr/>
      </w:pPr>
      <w:r>
        <w:rPr/>
        <w:t>Osim toga, članovi plenarne sjednice obaviješteni su o namjeri osnivanja devet tematskih radnih skupina, kao i o rasporedu konferencije. U raspravi koja je uslijedila, u kojoj je sudjelovalo više od 150 sudionika, raspravljalo se o širokom rasponu tema. Budući da odabir sudionika u europskim panelima građana još nije dovršen, predsjednik Europskog foruma mladih i 27 predstavnika nacionalnih događanja i/ili nacionalnih panela građana sudjelovali su kako bi predstavljali sastavnicu za građane.</w:t>
      </w:r>
    </w:p>
    <w:p>
      <w:pPr>
        <w:pStyle w:val="Normal"/>
        <w:rPr/>
      </w:pPr>
      <w:r>
        <w:rPr>
          <w:b/>
          <w:i/>
          <w:u w:val="single"/>
        </w:rPr>
        <w:t>DRUGA PLENARNA SKUPŠTINA KONFERENCIJE, 22. I 23. LISTOPADA 2021.</w:t>
      </w:r>
      <w:r>
        <w:rPr/>
        <w:t xml:space="preserve"> </w:t>
      </w:r>
    </w:p>
    <w:p>
      <w:pPr>
        <w:pStyle w:val="Normal"/>
        <w:rPr/>
      </w:pPr>
      <w:r>
        <w:rPr/>
        <w:t>Druga plenarna skupština konferencije održana je 22. i 23. listopada 2021. u hibridnom obliku na kojem su prvi put sudjelovali predstavnici europskih panela građana i građanki. Članovi plenarne sjednice imali su priliku saslušati prezentaciju o trenutačnom stanju četiriju europskih panela građana i građanki i održati raspravu. Osim toga, predstavnici nacionalnih događanja i panela mogli su predstaviti događanja organizirana na nacionalnoj razini. Izvješće o Europskom skupu mladih predstavljeno je na plenarnoj sjednici Konferencije; pružio je pregled 20 konkretnih ideja koje su odabrali mladi građani koji su sudjelovali na sastanku.</w:t>
      </w:r>
    </w:p>
    <w:p>
      <w:pPr>
        <w:pStyle w:val="Normal"/>
        <w:rPr/>
      </w:pPr>
      <w:r>
        <w:rPr/>
        <w:t>U raspravi koja je uslijedila naglasak je stavljen na inovativnu prirodu višejezične digitalne platforme, koja je građanima dala glas u poglavlju i mjesto za raspravu na svim službenim jezicima EU-a. Ta se rasprava temeljila na drugom privremenom izvješću o Platformi. Partneri sa zapadnog Balkana pozvani su da sudjeluju na ovom plenarnom sastanku kao ključni dionici.</w:t>
      </w:r>
    </w:p>
    <w:p>
      <w:pPr>
        <w:pStyle w:val="Normal"/>
        <w:rPr/>
      </w:pPr>
      <w:r>
        <w:rPr>
          <w:b/>
          <w:i/>
          <w:u w:val="single"/>
        </w:rPr>
        <w:t>TREĆA PLENARNA SKUPŠTINA KONFERENCIJE, 21. I 22. SIJEČNJA 2022.</w:t>
      </w:r>
      <w:r>
        <w:rPr/>
        <w:t xml:space="preserve"> </w:t>
      </w:r>
    </w:p>
    <w:p>
      <w:pPr>
        <w:pStyle w:val="Normal"/>
        <w:rPr/>
      </w:pPr>
      <w:r>
        <w:rPr/>
        <w:t>Treća plenarna skupština konferencije, koja je održana 21. i 22. siječnja 2022., bila je prva posvećena službenom predstavljanju preporuka europskih panela građana i građanki i povezanih nacionalnih panela građana i građanki. Ovo je plenarno zasjedanje bilo prvo koje je održano nakon finalizacije preporuka nekih europskih panela građana i građanki, a to su: paneli 2. (Europska demokracija; vrijednosti i prava, vladavina prava, sigurnost) i 3 (Klimatske promjene i okoliš; zdravlje) Plenarno zasjedanje održano je u hibridnom obliku, na kojem je sudjelovalo više od 400 članova plenarnog zasjedanja konferencije na licu mjesta ili na daljinu.</w:t>
      </w:r>
    </w:p>
    <w:p>
      <w:pPr>
        <w:pStyle w:val="Normal"/>
        <w:rPr/>
      </w:pPr>
      <w:r>
        <w:rPr/>
        <w:t>Plenarnu sjednicu obilježila je i smrt predsjednika Europskog parlamenta Davida Marije Sassoli, neposredno prije toga. Supredsjedatelji su odali počast njegovu sjećanju na otvaranju sjednice. Rasprave na plenarnom zasjedanju organizirane su po temama o temama obuhvaćenima europskim panelima građana i građanki 2 i 3.</w:t>
      </w:r>
    </w:p>
    <w:p>
      <w:pPr>
        <w:pStyle w:val="Normal"/>
        <w:rPr/>
      </w:pPr>
      <w:r>
        <w:rPr/>
        <w:t>Rasprave su se odvijale u inovativnom interaktivnom formatu, uključujući trenutke posvećene povratnim informacijama građana, kao i poseban sustav pitanja „plave kartice” koji su omogućili spontanu i živu razmjenu mišljenja o preporukama građana.</w:t>
      </w:r>
    </w:p>
    <w:p>
      <w:pPr>
        <w:pStyle w:val="Normal"/>
        <w:rPr/>
      </w:pPr>
      <w:r>
        <w:rPr>
          <w:b/>
          <w:i/>
          <w:u w:val="single"/>
        </w:rPr>
        <w:t>ČETVRTA PLENARNA SKUPŠTINA KONFERENCIJE, 11. I 12. OŽUJKA 2022.</w:t>
      </w:r>
      <w:r>
        <w:rPr/>
        <w:t xml:space="preserve"> </w:t>
      </w:r>
    </w:p>
    <w:p>
      <w:pPr>
        <w:pStyle w:val="Normal"/>
        <w:rPr/>
      </w:pPr>
      <w:r>
        <w:rPr/>
        <w:t>Četvrta plenarna skupština konferencije posvećena je i predstavljanju preporuka europskih panela građana i građanki i povezanih nacionalnih panela građana i građanki. Plenarno zasjedanje održano je nakon finalizacije preporuka dvaju preostalih europskih panela građana i građanki i građanki i građanki i građanki i građanki i građanki i građanki i građanki i građanki: paneli 1. (Jače gospodarstvo, socijalna pravda i zapošljavanje; obrazovanje, kultura, mladi i sport; digitalna transformacija) i 4 (EU u svijetu; migracije)</w:t>
      </w:r>
    </w:p>
    <w:p>
      <w:pPr>
        <w:pStyle w:val="Normal"/>
        <w:rPr/>
      </w:pPr>
      <w:r>
        <w:rPr/>
        <w:t>Kao i na siječanjskom plenarnom zasjedanju, rasprave s ovog plenarnog zasjedanja organizirane su po temama. Teme o kojima se ovaj put raspravljalo bile su teme europskih panela građana i građanki 1 i 4. Rasprave o preporukama građana ponovno su dovele do živahnih i temeljitih razmjena, uz potporu inovativnog interaktivnog formata.</w:t>
      </w:r>
    </w:p>
    <w:p>
      <w:pPr>
        <w:pStyle w:val="Normal"/>
        <w:rPr/>
      </w:pPr>
      <w:r>
        <w:rPr>
          <w:b/>
          <w:i/>
          <w:u w:val="single"/>
        </w:rPr>
        <w:t>PETA PLENARNA SKUPŠTINA KONFERENCIJE, 25. I 26. OŽUJKA 2022.</w:t>
      </w:r>
      <w:r>
        <w:rPr/>
        <w:t xml:space="preserve"> </w:t>
      </w:r>
    </w:p>
    <w:p>
      <w:pPr>
        <w:pStyle w:val="Normal"/>
        <w:rPr/>
      </w:pPr>
      <w:r>
        <w:rPr/>
        <w:t>Peta plenarna skupština obilježila je ulazak konferencije u sljedeću fazu, pokretanjem postupka definiranja prijedloga plenarne sjednice na temelju preporuka građana. Stoga su članovi plenarnog zasjedanja, koji su se pripremili za manji tematski okvir radnih skupina, prvi put održali rasprave o devet tema konferencije: snažnije gospodarstvo, socijalna pravda i zapošljavanje; obrazovanje, kultura, mladi i sport; digitalna transformacija; Europska demokracija; vrijednosti i prava, vladavina prava, sigurnost; klimatske promjene i okoliš; zdravlje; EU u svijetu; migracija. Ovo je plenarno zasjedanje ujedno bila prilika za predstavnike nacionalnih događanja organiziranih u 27 država članica EU-a da predstave rezultate svojih inicijativa.</w:t>
      </w:r>
    </w:p>
    <w:p>
      <w:pPr>
        <w:pStyle w:val="Normal"/>
        <w:rPr/>
      </w:pPr>
      <w:r>
        <w:rPr>
          <w:b/>
          <w:i/>
          <w:u w:val="single"/>
        </w:rPr>
        <w:t>ŠESTA PLENARNA SKUPŠTINA KONFERENCIJE, 8. I 9. TRAVNJA 2022.</w:t>
      </w:r>
      <w:r>
        <w:rPr/>
        <w:t xml:space="preserve"> </w:t>
      </w:r>
    </w:p>
    <w:p>
      <w:pPr>
        <w:pStyle w:val="Normal"/>
        <w:rPr/>
      </w:pPr>
      <w:r>
        <w:rPr/>
        <w:t>Na šestom plenarnom zasjedanju konferencije dovršeno je finaliziranje nacrta prijedloga plenarne sjednice.</w:t>
      </w:r>
    </w:p>
    <w:p>
      <w:pPr>
        <w:pStyle w:val="Normal"/>
        <w:rPr/>
      </w:pPr>
      <w:r>
        <w:rPr/>
        <w:t>Nakon završetka posljednjih sastanaka tematskih radnih skupina, svi članovi plenarne sjednice u devet sadržajnih rasprava izrazili su svoja stajališta i komentare o nacrtima prijedloga koje su pripremili posljednjih mjeseci. Ta je razmjena ujedno bila prilika da promisle o jedinstvenom postupku izrade prijedloga plenarne sjednice na temelju preporuka građana i o radu obavljenom od njihova sastavljanja. Građani su posebno naglasili jedinstveno ljudsko iskustvo i dodanu vrijednost tog procesa razmatranja, koji ih je ujedinio oko tog zajedničkog projekta. Ta je rasprava uključena u konačne nacrte prijedloga koji će se podnijeti posljednjoj plenarnoj skupštini Konferencije.</w:t>
      </w:r>
    </w:p>
    <w:p>
      <w:pPr>
        <w:pStyle w:val="Normal"/>
        <w:rPr/>
      </w:pPr>
      <w:r>
        <w:rPr>
          <w:b/>
          <w:i/>
          <w:u w:val="single"/>
        </w:rPr>
        <w:t>SEDMA PLENARNA SKUPŠTINA KONFERENCIJE, 29. I 30. TRAVNJA 2022.</w:t>
      </w:r>
      <w:r>
        <w:rPr/>
        <w:t xml:space="preserve"> </w:t>
      </w:r>
    </w:p>
    <w:p>
      <w:pPr>
        <w:pStyle w:val="Normal"/>
        <w:rPr/>
      </w:pPr>
      <w:r>
        <w:rPr/>
        <w:t>Sedma i završna plenarna skupština Konferencije o budućnosti Europe bila je važna prekretnica, čime je zaključen proces intenzivnih rasprava koje su trajale nekoliko mjeseci uz izradu 49 prijedloga. Plenarna sjednica predstavila je i sastavila 49 prijedloga Izvršnom odboru na sporazumnoj osnovi. Taj su konsenzus postigli predstavnici Europskog parlamenta, Vijeća, Europske komisije i nacionalnih parlamenata.</w:t>
      </w:r>
    </w:p>
    <w:p>
      <w:pPr>
        <w:pStyle w:val="Normal"/>
        <w:rPr/>
      </w:pPr>
      <w:r>
        <w:rPr/>
        <w:t xml:space="preserve">Predstavnici Odbora regija i Europskog gospodarskog i socijalnog odbora, regionalni i lokalni izabrani predstavnici te predstavnici socijalnih partnera i civilnog društva također su izrazili potporu procesu i podržali prijedloge. </w:t>
      </w:r>
    </w:p>
    <w:p>
      <w:pPr>
        <w:pStyle w:val="Normal"/>
        <w:rPr/>
      </w:pPr>
      <w:r>
        <w:rPr/>
        <w:t>Komponenta za građane predstavila je svoje konačno stajalište o prijedlozima (vidjeti ključne poruke u nastavku).</w:t>
      </w:r>
    </w:p>
    <w:p>
      <w:pPr>
        <w:sectPr>
          <w:footnotePr>
            <w:numFmt w:val="upperRoman"/>
          </w:footnotePr>
          <w:type w:val="continuous"/>
          <w:pgSz w:w="11906" w:h="16838"/>
          <w:pgMar w:left="1134" w:right="1134" w:header="1134" w:top="1700" w:footer="1134" w:bottom="1727" w:gutter="0"/>
          <w:cols w:num="2" w:space="170" w:equalWidth="true" w:sep="false"/>
          <w:formProt w:val="false"/>
          <w:textDirection w:val="lrTb"/>
          <w:docGrid w:type="default" w:linePitch="312" w:charSpace="0"/>
        </w:sectPr>
      </w:pPr>
    </w:p>
    <w:p>
      <w:pPr>
        <w:pStyle w:val="Normal"/>
        <w:rPr/>
      </w:pPr>
      <w:r>
        <w:rPr/>
      </w:r>
    </w:p>
    <w:p>
      <w:pPr>
        <w:pStyle w:val="P68B1DB1Normal13"/>
        <w:shd w:val="clear" w:fill="EEEEEE"/>
        <w:rPr>
          <w:i/>
          <w:i/>
          <w:sz w:val="20"/>
        </w:rPr>
      </w:pPr>
      <w:r>
        <w:rPr/>
        <w:t>Na završnom plenarnom zasjedanju (29. – 30. travnja 2022.) komponenta od 108 građana predstavila je svoje konačno stajalište o prijedlozima na plenarnoj sjednici. Njihovo predstavljanje zamišljeno je kolektivno i predstavilo ih je 17 u obliku narativnog govora tijekom završne rasprave. Tekst u nastavku sažetak je ključnih poruka njihovih intervencija.</w:t>
      </w:r>
    </w:p>
    <w:p>
      <w:pPr>
        <w:pStyle w:val="P68B1DB1Normal14"/>
        <w:shd w:val="clear" w:fill="EEEEEE"/>
        <w:jc w:val="center"/>
        <w:rPr>
          <w:sz w:val="20"/>
        </w:rPr>
      </w:pPr>
      <w:r>
        <w:rPr/>
        <w:t>**</w:t>
      </w:r>
    </w:p>
    <w:p>
      <w:pPr>
        <w:pStyle w:val="P68B1DB1Normal14"/>
        <w:shd w:val="clear" w:fill="EEEEEE"/>
        <w:rPr>
          <w:sz w:val="20"/>
        </w:rPr>
      </w:pPr>
      <w:r>
        <w:rPr/>
        <w:t>Za početak zahvaljujemo Europskom parlamentu, Vijeću i Komisiji što su nam pružili priliku da pomognemo oblikovati budućnost Europe. Susreli smo se s europskim kolegama iz cijele Unije, iz različitih panela i događanja, s političkim predstavnicima i društvenim akterima te smo proširili svoje horizonte. Odrasli smo kao Europljani. Zbog toga smo svi prinijeli žrtve: izvučeni smo iz svakodnevnog života, uzeti slobodni dani i proveli devet vikenda od naših obitelji za članove europskih panela građana. Ali imali smo nevjerojatno i jedinstveno iskustvo. Za nas to nije bilo gubljenje vremena.</w:t>
      </w:r>
    </w:p>
    <w:p>
      <w:pPr>
        <w:pStyle w:val="P68B1DB1Normal14"/>
        <w:shd w:val="clear" w:fill="EEEEEE"/>
        <w:rPr>
          <w:sz w:val="20"/>
        </w:rPr>
      </w:pPr>
      <w:r>
        <w:rPr/>
        <w:t>Bilo je uspona i padova na putu. Nismo uvijek dobili odgovor na naša pitanja. Znamo da će trebati vremena da se prijedlozi provedu. Ali uvjereni smo da ćete učiniti sve što je potrebno da se to postigne, iz poštovanja prema našem zajedničkom radu. Ako smo mi, građani, uspjeli prevladati naše razlike, jezične barijere, surađivati i podići se na svoju razinu, možete i vi.</w:t>
      </w:r>
    </w:p>
    <w:p>
      <w:pPr>
        <w:pStyle w:val="P68B1DB1Normal14"/>
        <w:shd w:val="clear" w:fill="EEEEEE"/>
        <w:jc w:val="center"/>
        <w:rPr>
          <w:sz w:val="20"/>
        </w:rPr>
      </w:pPr>
      <w:r>
        <w:rPr/>
        <w:t>**</w:t>
      </w:r>
    </w:p>
    <w:p>
      <w:pPr>
        <w:pStyle w:val="P68B1DB1Normal14"/>
        <w:shd w:val="clear" w:fill="EEEEEE"/>
        <w:rPr>
          <w:sz w:val="20"/>
        </w:rPr>
      </w:pPr>
      <w:r>
        <w:rPr/>
        <w:t>Svi smo prešli dug put i sada kada je naš rad na plenarnoj sjednici završen, možemo biti ponosni na to. Vidimo osam međusektorskih tema koje daju jasan i snažan mandat za budućnost Europe.</w:t>
      </w:r>
    </w:p>
    <w:p>
      <w:pPr>
        <w:pStyle w:val="P68B1DB1Normal14"/>
        <w:shd w:val="clear" w:fill="EEEEEE"/>
        <w:rPr>
          <w:sz w:val="20"/>
        </w:rPr>
      </w:pPr>
      <w:r>
        <w:rPr>
          <w:b/>
        </w:rPr>
        <w:t>Prvo</w:t>
      </w:r>
      <w:r>
        <w:rPr/>
        <w:t>, Europska unija utemeljena na solidarnosti, socijalnoj pravdi i jednakosti. Doista, velika je briga za građane pronaći jednake uvjete i prava u različitim područjima: zdravstvena skrb, socijalne usluge, cjeloživotno učenje, jednake mogućnosti za ljude koji žive u ruralnim i urbanim područjima, uzimajući u obzir demografska razmatranja. U budućnosti se Europljani u svim državama članicama i regijama više ne bi trebali diskriminirati na temelju njihove dobi, mjesta boravišta, nacionalnosti, spola, vjere ili političkih preferencija. Trebalo bi im ponuditi pristojan životni standard, plaće i radne uvjete. EU mora biti više od gospodarske unije. Države članice moraju pokazati veću međusobnu solidarnost. Mi smo obitelj i moramo se ponašati kao takvi u kriznim situacijama.</w:t>
      </w:r>
    </w:p>
    <w:p>
      <w:pPr>
        <w:pStyle w:val="P68B1DB1Normal14"/>
        <w:shd w:val="clear" w:fill="EEEEEE"/>
        <w:rPr>
          <w:sz w:val="20"/>
        </w:rPr>
      </w:pPr>
      <w:r>
        <w:rPr>
          <w:b/>
        </w:rPr>
        <w:t>Drugo</w:t>
      </w:r>
      <w:r>
        <w:rPr/>
        <w:t>, EU se mora odvažiti i djelovati brzo kako bi postao predvodnik u okolišu i klimi, ubrzavajući prelazak na zelenu energiju, poboljšavajući svoju željezničku mrežu, potičući održivi promet i istinski kružno gospodarstvo. Nema vremena za gubljenje. EU mora potaknuti promjene u mnogim područjima politika: poljoprivreda, biološka raznolikost, gospodarstvo, energetika, promet, obrazovanje, zdravstvo, digitalna transformacija i klimatska diplomacija. Za to imamo istraživačke sposobnosti, gospodarsku snagu i geopolitički utjecaj. Ako učinimo klimu prioritetom, možemo se nadati prosperitetnoj budućnosti.</w:t>
      </w:r>
    </w:p>
    <w:p>
      <w:pPr>
        <w:pStyle w:val="P68B1DB1Normal14"/>
        <w:shd w:val="clear" w:fill="EEEEEE"/>
        <w:rPr>
          <w:sz w:val="20"/>
        </w:rPr>
      </w:pPr>
      <w:r>
        <w:rPr>
          <w:b/>
        </w:rPr>
        <w:t>Kao treće</w:t>
      </w:r>
      <w:r>
        <w:rPr/>
        <w:t>, Europi je potrebna demokratskija Unija. Europski građani vole EU, ali budimo iskreni: nije uvijek lako. Pozvao si nas da ti pomogneš i pitao si nas: kako bi europska demokracija trebala izgledati u budućnosti? A mi smo ti odgovorili: Mi, građani, želimo Europu u kojoj se odluke donose na transparentan i brz način, u kojoj se ponovno razmatra načelo jednoglasnosti i u kojoj smo mi, građani, redovito i ozbiljno uključeni.</w:t>
      </w:r>
    </w:p>
    <w:p>
      <w:pPr>
        <w:pStyle w:val="P68B1DB1Normal14"/>
        <w:shd w:val="clear" w:fill="EEEEEE"/>
        <w:rPr>
          <w:sz w:val="20"/>
        </w:rPr>
      </w:pPr>
      <w:r>
        <w:rPr>
          <w:b/>
        </w:rPr>
        <w:t>Četvrto</w:t>
      </w:r>
      <w:r>
        <w:rPr/>
        <w:t>, EU-u je potrebna veća usklađenost u nekim područjima i približavanje kao Unija. Rat je pogodio naša vrata na istoku, što nas poziva da budemo ujedinjeniji nego ikad i da EU-u pružimo više vještina u području vanjskih poslova. Ta konferencija može poslužiti kao temelj za stvaranje ujedinjenije i politički usklađenije Europe. Sve se svodi na ovu riječ: Što? -Unija. Ne možemo se opisati kao takvi ako ne uspijemo ostvariti suradnju koju je ova konferencija ilustrirala.</w:t>
      </w:r>
    </w:p>
    <w:p>
      <w:pPr>
        <w:pStyle w:val="P68B1DB1Normal14"/>
        <w:shd w:val="clear" w:fill="EEEEEE"/>
        <w:rPr>
          <w:sz w:val="20"/>
        </w:rPr>
      </w:pPr>
      <w:r>
        <w:rPr>
          <w:b/>
        </w:rPr>
        <w:t>Peto</w:t>
      </w:r>
      <w:r>
        <w:rPr/>
        <w:t>, EU mora steći autonomiju i osigurati svoju globalnu konkurentnost. Tijekom tog procesa razgovarali smo o postizanju tog cilja u ključnim strateškim područjima: poljoprivreda, energetika, industrija, zdravstvo. Moramo izbjeći ovisnost o trećim zemljama za mnoge osjetljive proizvode. Moramo se osloniti na talent naše radne snage, spriječiti odljev mozgova i osigurati odgovarajuće osposobljavanje za vještine građanima u svim fazama njihova života, bez obzira na to gdje žive u EU-u. Ne možemo imati velike razlike unutar EU-a i mladih bez perspektive u jednoj zemlji koja je prisiljena ići u drugu.</w:t>
      </w:r>
    </w:p>
    <w:p>
      <w:pPr>
        <w:pStyle w:val="P68B1DB1Normal14"/>
        <w:shd w:val="clear" w:fill="EEEEEE"/>
        <w:rPr>
          <w:sz w:val="20"/>
        </w:rPr>
      </w:pPr>
      <w:r>
        <w:rPr>
          <w:b/>
        </w:rPr>
        <w:t>Šesto</w:t>
      </w:r>
      <w:r>
        <w:rPr/>
        <w:t>, budućnost EU-a temelji se na njegovim vrijednostima. Oni su vodili naš rad. Kad smo počeli, nitko nije mogao zamisliti da će izbiti rat na našem kontinentu. Ova borba za slobodu čini nas svjesnim mogućnosti da živimo u mirnoj zajednici. Iza svih naših prijedloga izražene su te vrijednosti: human i dostojanstven prihvat migranata, jednak pristup zdravlju, borba protiv korupcije, poziv na zaštitu prirode i biološke raznolikosti te demokratskija Unija.</w:t>
      </w:r>
    </w:p>
    <w:p>
      <w:pPr>
        <w:pStyle w:val="P68B1DB1Normal14"/>
        <w:shd w:val="clear" w:fill="EEEEEE"/>
        <w:rPr>
          <w:sz w:val="20"/>
        </w:rPr>
      </w:pPr>
      <w:r>
        <w:rPr>
          <w:b/>
        </w:rPr>
        <w:t>Sedmo</w:t>
      </w:r>
      <w:r>
        <w:rPr/>
        <w:t>, građani bi se u budućnosti trebali osjećati više Europljana i bolje upoznati EU. To je međusektorsko pitanje na kojem se temelji rad svih panela. Digitalna transformacija, obrazovanje, mobilnost i razmjene mogu dati smisao tom europskom identitetu koji nadopunjuje naše nacionalne identitete ne dovodeći ih u pitanje. Mnogi od nas nisu se osjećali Europljanima prije ove konferencije: ovdje se pojavio polako, razmjenjujući jedni s drugima. Imali smo dovoljno sreće da imamo ovu priliku, ali mnogi to nemaju. Zato su informacije, komunikacija i svijest toliko važni.</w:t>
      </w:r>
    </w:p>
    <w:p>
      <w:pPr>
        <w:pStyle w:val="P68B1DB1Normal14"/>
        <w:shd w:val="clear" w:fill="EEEEEE"/>
        <w:rPr>
          <w:sz w:val="20"/>
        </w:rPr>
      </w:pPr>
      <w:r>
        <w:rPr/>
        <w:t xml:space="preserve">Naposljetku, </w:t>
      </w:r>
      <w:r>
        <w:rPr>
          <w:b/>
        </w:rPr>
        <w:t>osma</w:t>
      </w:r>
      <w:r>
        <w:rPr/>
        <w:t xml:space="preserve"> međusektorska tema, iznimno važna za nas, je obrazovanje i osnaživanje građana općenito. Na ovu konferenciju odlučili ste pozvati građane u dobi od 16 godina. Zahvalni smo na tome jer je, više nego ikad, potrebno osnažiti mlade ljude. Visoka stopa suzdržanosti mladih pokazuje da je potrebno ponovno povezati vezu između mladih i politike. Oni također moraju biti gospodarski i društveno odgovorni: još uvijek je preteško ući na tržište rada kako bi se ostvarila socijalna prava. Tijekom pandemije bolesti COVID-19 osjećali su se napuštenima i mnogi još uvijek trpe posljedice za svoje mentalno zdravlje. Međutim, potrebno je osnažiti sve Europljane, a ne samo mlade: programima mobilnosti i cjeloživotnom učenju moramo proširiti horizonte svih Europljana. Također moramo osposobiti građane u području demokracije, građanskog sudjelovanja i medijske pismenosti. Potreban nam je istinski holistički pristup.</w:t>
      </w:r>
    </w:p>
    <w:p>
      <w:pPr>
        <w:pStyle w:val="P68B1DB1Normal14"/>
        <w:shd w:val="clear" w:fill="EEEEEE"/>
        <w:jc w:val="center"/>
        <w:rPr>
          <w:sz w:val="20"/>
        </w:rPr>
      </w:pPr>
      <w:r>
        <w:rPr/>
        <w:t>**</w:t>
      </w:r>
    </w:p>
    <w:p>
      <w:pPr>
        <w:pStyle w:val="P68B1DB1Normal14"/>
        <w:shd w:val="clear" w:fill="EEEEEE"/>
        <w:rPr>
          <w:sz w:val="20"/>
        </w:rPr>
      </w:pPr>
      <w:r>
        <w:rPr/>
        <w:t>Nitko nije znao kakav će biti rezultat. 27 zemalja, 24 jezika, različite dobi. A ipak, kada smo radili zajedno, osjećali smo se povezani: naš mozak, naše misli, naša iskustva. Mi nismo stručnjaci iz EU-a ili jedna od tema konferencije, ali smo stručnjaci iz stvarnog života i imamo svoje priče. Idemo na posao, živimo na selu i u predgrađima, radimo noću, učimo, imamo djecu, uzimamo javni prijevoz. Možemo se osloniti na našu raznolikost. Postignut je konsenzus o prijedlozima između četiriju različitih sastavnica i unutar komponente za građane. Slažemo se i podržavamo sve prijedloge koji su sada u vašim rukama. Izražavamo različito stajalište o mjeri 38.4, trećoj točki, jer ona ne proizlazi iz europskih panela ili nacionalnih panela te se o njoj nije dovoljno raspravljalo u radnoj skupini cijele skupine. Zbog toga ne komentiramo sadržaj ili relevantnost ove mjere. Imajući to na umu, pozivamo vas da razmotrite ove prijedloge u cjelini, da ih provedete, a ne samo one koji vam najviše odgovaraju i koji su lako primjenjivi. Učinite to transparentno. Radili smo na tim prijedlozima s predanošću i strašću, ponosni smo na naš rad: poštuj ga.</w:t>
      </w:r>
    </w:p>
    <w:p>
      <w:pPr>
        <w:pStyle w:val="P68B1DB1Normal14"/>
        <w:shd w:val="clear" w:fill="EEEEEE"/>
        <w:rPr>
          <w:sz w:val="20"/>
        </w:rPr>
      </w:pPr>
      <w:r>
        <w:rPr/>
        <w:t>Konferencija o budućnosti Europe prošla je kroz pandemiju i svjedočila ratu u Europi, pokazujući njezinu potpunu solidarnost s ukrajinskim narodom. Godina je bila užurbana za sudionike i za sve Europljane. No, konferencija je nastavila svoj rad, protiv vjetrova i plime. U ime građana Konferencije, dopustite nam da zaključimo slanjem jednostavne poruke: osjećamo se Europljanima, osjećamo se predanima i slušanima u procesu demokratizacije, vjerujemo u EU i želimo nastaviti vjerovati u njega. Stoga, iz dubine naših srca dobro čitajte prijedloge i provodite ih radi budućnosti Europe.</w:t>
      </w:r>
    </w:p>
    <w:p>
      <w:pPr>
        <w:pStyle w:val="Normal"/>
        <w:shd w:val="clear" w:fill="EEEEEE"/>
        <w:rPr/>
      </w:pPr>
      <w:r>
        <w:rPr/>
      </w:r>
      <w:r>
        <w:br w:type="page"/>
      </w:r>
    </w:p>
    <w:p>
      <w:pPr>
        <w:pStyle w:val="Corpsdetexte"/>
        <w:rPr/>
      </w:pPr>
      <w:r>
        <w:rPr/>
        <w:t>Predstavnici Vijeća Plenarne skupštine suzdržali su se od komentiranja sadržaja prijedloga, ali su umjesto toga podržali i poticali aktivnosti građana te su primili na znanje njihove preporuke. Nakon 9. svibnja 2022. Vijeće će odlučiti kako postupiti u skladu s ishodom konferencije, u okviru svoje nadležnosti i u skladu s Ugovorima.</w:t>
      </w:r>
    </w:p>
    <w:p>
      <w:pPr>
        <w:pStyle w:val="Normal"/>
        <w:rPr/>
      </w:pPr>
      <w:r>
        <w:rPr/>
      </w:r>
    </w:p>
    <w:p>
      <w:pPr>
        <w:pStyle w:val="Corpsdetexte"/>
        <w:rPr/>
      </w:pPr>
      <w:r>
        <w:rPr/>
        <w:t>Izvršni odbor Konferencije o budućnosti Europe prima na znanje prijedloge Plenarne skupštine i predstavlja ih kao konačni ishod konferencije. Dajući smjernice o budućnosti Europe, ti su prijedlozi dobiveni nakon gotovo godinu dana rasprava, u okviru utvrđenom Zajedničkom izjavom i Poslovnikom Konferencije.</w:t>
      </w:r>
    </w:p>
    <w:p>
      <w:pPr>
        <w:pStyle w:val="Normal"/>
        <w:rPr/>
      </w:pPr>
      <w:r>
        <w:rPr/>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spacing w:before="9574" w:after="57"/>
        <w:rPr/>
      </w:pPr>
      <w:r>
        <w:rPr/>
        <w:drawing>
          <wp:anchor behindDoc="0" distT="0" distB="0" distL="0" distR="0" simplePos="0" locked="0" layoutInCell="1" allowOverlap="1" relativeHeight="5">
            <wp:simplePos x="0" y="0"/>
            <wp:positionH relativeFrom="column">
              <wp:align>center</wp:align>
            </wp:positionH>
            <wp:positionV relativeFrom="paragraph">
              <wp:posOffset>635</wp:posOffset>
            </wp:positionV>
            <wp:extent cx="6120130" cy="6079490"/>
            <wp:effectExtent l="0" t="0" r="0" b="0"/>
            <wp:wrapSquare wrapText="largest"/>
            <wp:docPr id="60" name="Slika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Slika20" descr=""/>
                    <pic:cNvPicPr>
                      <a:picLocks noChangeAspect="1" noChangeArrowheads="1"/>
                    </pic:cNvPicPr>
                  </pic:nvPicPr>
                  <pic:blipFill>
                    <a:blip r:embed="rId73"/>
                    <a:stretch>
                      <a:fillRect/>
                    </a:stretch>
                  </pic:blipFill>
                  <pic:spPr bwMode="auto">
                    <a:xfrm>
                      <a:off x="0" y="0"/>
                      <a:ext cx="6120130" cy="6079490"/>
                    </a:xfrm>
                    <a:prstGeom prst="rect">
                      <a:avLst/>
                    </a:prstGeom>
                  </pic:spPr>
                </pic:pic>
              </a:graphicData>
            </a:graphic>
          </wp:anchor>
        </w:drawing>
      </w:r>
      <w:r>
        <w:br w:type="page"/>
      </w:r>
    </w:p>
    <w:p>
      <w:pPr>
        <w:pStyle w:val="Titre1"/>
        <w:numPr>
          <w:ilvl w:val="0"/>
          <w:numId w:val="2"/>
        </w:numPr>
        <w:rPr/>
      </w:pPr>
      <w:bookmarkStart w:id="36" w:name="__RefHeading___Toc298246_1346298689"/>
      <w:bookmarkEnd w:id="36"/>
      <w:r>
        <w:rPr/>
        <w:t xml:space="preserve">IV. Prijedlozi plenarne skupštine </w:t>
      </w:r>
      <w:r>
        <w:br w:type="page"/>
      </w:r>
    </w:p>
    <w:p>
      <w:pPr>
        <w:pStyle w:val="Normal"/>
        <w:rPr/>
      </w:pPr>
      <w:r>
        <w:rPr/>
        <w:drawing>
          <wp:anchor behindDoc="0" distT="0" distB="0" distL="0" distR="0" simplePos="0" locked="0" layoutInCell="1" allowOverlap="1" relativeHeight="3">
            <wp:simplePos x="0" y="0"/>
            <wp:positionH relativeFrom="column">
              <wp:posOffset>1270</wp:posOffset>
            </wp:positionH>
            <wp:positionV relativeFrom="paragraph">
              <wp:posOffset>635</wp:posOffset>
            </wp:positionV>
            <wp:extent cx="913765" cy="913765"/>
            <wp:effectExtent l="0" t="0" r="0" b="0"/>
            <wp:wrapSquare wrapText="largest"/>
            <wp:docPr id="61" name="Slika 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Slika 21" descr=""/>
                    <pic:cNvPicPr>
                      <a:picLocks noChangeAspect="1" noChangeArrowheads="1"/>
                    </pic:cNvPicPr>
                  </pic:nvPicPr>
                  <pic:blipFill>
                    <a:blip r:embed="rId74"/>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37" w:name="__RefHeading___Toc298248_1346298689"/>
      <w:bookmarkEnd w:id="37"/>
      <w:r>
        <w:rPr/>
        <w:t>Klimatske promjene i okoliš</w:t>
      </w:r>
    </w:p>
    <w:p>
      <w:pPr>
        <w:pStyle w:val="Titre3"/>
        <w:numPr>
          <w:ilvl w:val="2"/>
          <w:numId w:val="2"/>
        </w:numPr>
        <w:rPr/>
      </w:pPr>
      <w:bookmarkStart w:id="38" w:name="__RefHeading___Toc298250_1346298689"/>
      <w:bookmarkEnd w:id="38"/>
      <w:r>
        <w:rPr/>
        <w:t>1. Prijedlog: Poljoprivreda, proizvodnja hrane, biološka raznolikost i ekosustavi, onečišćenje</w:t>
      </w:r>
    </w:p>
    <w:p>
      <w:pPr>
        <w:pStyle w:val="P68B1DB1Normal15"/>
        <w:rPr>
          <w:b/>
          <w:b/>
        </w:rPr>
      </w:pPr>
      <w:r>
        <w:rPr/>
        <w:t>Cilj: Sigurna, održiva, pravedna, klimatski osjetljiva i cjenovno pristupačna proizvodnja hrane kojom se poštuju načela održivosti i okoliša te štite bioraznolikost i ekosustavi uz istodobno osiguravanje sigurnosti opskrbe hranom.</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Mjere:</w:t>
      </w:r>
    </w:p>
    <w:p>
      <w:pPr>
        <w:pStyle w:val="Puce3"/>
        <w:rPr/>
      </w:pPr>
      <w:r>
        <w:rPr/>
        <w:t>1.</w:t>
        <w:tab/>
        <w:t>U prvi plan staviti koncepte zelenih i plavih gospodarstava promicanjem učinkovite i ekološki i klimatski prihvatljive poljoprivrede i ribarstva u EU-u i diljem svijeta, uključujući ekološku poljoprivredu i druge inovativne i održive oblike poljoprivrede, kao što je vertikalna poljoprivreda, koji omogućuju veću proizvodnju s manje ulaznih sredstava uz istodobno smanjenje emisija i utjecaja na okoliš, ali i dalje jamče produktivnost i sigurnost opskrbe hranom (Panel 3. – preporuke 1., 2. i 10.; panel 2. – 4. preporuka).</w:t>
      </w:r>
    </w:p>
    <w:p>
      <w:pPr>
        <w:pStyle w:val="Puce3"/>
        <w:rPr/>
      </w:pPr>
      <w:r>
        <w:rPr/>
        <w:t>2.</w:t>
        <w:tab/>
        <w:t>Preusmjeravanje subvencija i jačanje poticaja za ekološku i održivu poljoprivredu koji ispunjavaju posebne ekološke standarde i doprinose postizanju globalnih klimatskih ciljeva (Panel 3 – Preporuke 1. i 12.).</w:t>
      </w:r>
    </w:p>
    <w:p>
      <w:pPr>
        <w:pStyle w:val="Puce3"/>
        <w:rPr/>
      </w:pPr>
      <w:r>
        <w:rPr/>
        <w:t>3.</w:t>
        <w:tab/>
        <w:t>Primjena načela kružnog gospodarstva na poljoprivredu i poticanje mjera za borbu protiv rasipanja hrane (rasprava u radnoj skupini, višejezična digitalna platforma – NPC).</w:t>
      </w:r>
    </w:p>
    <w:p>
      <w:pPr>
        <w:pStyle w:val="Puce3"/>
        <w:rPr/>
      </w:pPr>
      <w:r>
        <w:rPr/>
        <w:t>4.</w:t>
        <w:tab/>
        <w:t>Znatno smanjiti upotrebu pesticida i kemijskih gnojiva, u skladu s postojećim ciljevima, uz nastavak osiguravanja sigurnosti hrane, te podupirati istraživanja za razvoj održivijih alternativa temeljenih na prirodi (panel 3. – preporuka 10., rasprava u radnoj skupini).</w:t>
      </w:r>
    </w:p>
    <w:p>
      <w:pPr>
        <w:pStyle w:val="Puce3"/>
        <w:rPr/>
      </w:pPr>
      <w:r>
        <w:rPr/>
        <w:t>5.</w:t>
        <w:tab/>
        <w:t>Uvođenje certificiranja uklanjanja ugljika na temelju pouzdanog, pouzdanog i transparentnog obračuna ugljika (plenarna rasprava).</w:t>
      </w:r>
    </w:p>
    <w:p>
      <w:pPr>
        <w:pStyle w:val="Puce3"/>
        <w:rPr/>
      </w:pPr>
      <w:r>
        <w:rPr/>
        <w:t>6.</w:t>
        <w:tab/>
        <w:t>Povećati istraživanja i inovacije, posebno u pogledu tehnoloških rješenja povezanih s održivom proizvodnjom, otpornošću na nametnike i preciznom poljoprivredom, kao i komunikacijom, savjetodavnim sustavima i osposobljavanjem poljoprivrednika i poljoprivrednika (panel 3. – preporuka br. 10, rasprava u radnoj skupini, rasprava na plenarnoj sjednici).</w:t>
      </w:r>
    </w:p>
    <w:p>
      <w:pPr>
        <w:pStyle w:val="Puce3"/>
        <w:rPr/>
      </w:pPr>
      <w:r>
        <w:rPr/>
        <w:t>7.</w:t>
        <w:tab/>
        <w:t>Ukloniti socijalni damping i promicati pravednu zelenu tranziciju na bolja radna mjesta u poljoprivrednom sektoru s visokokvalitetnim sigurnosnim, zdravstvenim i radnim uvjetima (rasprava u radnoj skupini).</w:t>
      </w:r>
    </w:p>
    <w:p>
      <w:pPr>
        <w:pStyle w:val="Puce3"/>
        <w:rPr/>
      </w:pPr>
      <w:r>
        <w:rPr/>
        <w:t>8.</w:t>
        <w:tab/>
        <w:t>Raspravite o aspektima kao što su upotreba plastike u poljoprivrednim filmovima i načini smanjenja potrošnje vode u poljoprivredi (PNM).</w:t>
      </w:r>
    </w:p>
    <w:p>
      <w:pPr>
        <w:pStyle w:val="Puce3"/>
        <w:rPr/>
      </w:pPr>
      <w:r>
        <w:rPr/>
        <w:t>9.</w:t>
        <w:tab/>
        <w:t>Obrazloženi uzgoj i proizvodnja mesa usmjereni su na dobrobit i održivost životinja mjerama kao što su jasno označivanje, visokokvalitetni i zajednički standardi uzgoja i prijevoza životinja, jačanje veze između stoke i hrane za životinje (panel 3. – preporuke 16. i 30.).</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39" w:name="__RefHeading___Toc298252_1346298689"/>
      <w:bookmarkEnd w:id="39"/>
      <w:r>
        <w:rPr/>
        <w:t>2. Prijedlog: Poljoprivreda, proizvodnja hrane, biološka raznolikost i ekosustavi, onečišćenje</w:t>
      </w:r>
    </w:p>
    <w:p>
      <w:pPr>
        <w:pStyle w:val="P68B1DB1Normal15"/>
        <w:rPr>
          <w:b/>
          <w:b/>
        </w:rPr>
      </w:pPr>
      <w:r>
        <w:rPr/>
        <w:t>Cilj: Zaštita i obnova bioraznolikosti, krajobraza i oceana te uklanjanje onečišćenja.</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40" w:name="__RefHeading___Toc298254_1346298689"/>
      <w:bookmarkEnd w:id="40"/>
      <w:r>
        <w:rPr/>
        <w:t>Mjere:</w:t>
      </w:r>
    </w:p>
    <w:p>
      <w:pPr>
        <w:pStyle w:val="Puce3"/>
        <w:tabs>
          <w:tab w:val="clear" w:pos="720"/>
        </w:tabs>
        <w:rPr/>
      </w:pPr>
      <w:r>
        <w:rPr/>
        <w:t>1.</w:t>
        <w:tab/>
        <w:t>Stvaranje, obnova, upravljanje i širenje zaštićenih područja radi očuvanja biološke raznolikosti (Preporuka FR, 3. preporuka – preporuka 11.).</w:t>
      </w:r>
    </w:p>
    <w:p>
      <w:pPr>
        <w:pStyle w:val="Puce3"/>
        <w:tabs>
          <w:tab w:val="clear" w:pos="720"/>
        </w:tabs>
        <w:rPr/>
      </w:pPr>
      <w:r>
        <w:rPr/>
        <w:t>2.</w:t>
        <w:tab/>
        <w:t>Uspostaviti sustav prisile i nagrađivanja za borbu protiv onečišćenja primjenom načela „onečišćivač plaća”, koji bi također trebao biti integriran u porezne mjere te uz bolju osviještenost i poticaje (panel 3. – preporuka 32., preporuka Francuske, rasprava na plenarnoj sjednici).</w:t>
      </w:r>
    </w:p>
    <w:p>
      <w:pPr>
        <w:pStyle w:val="Puce3"/>
        <w:tabs>
          <w:tab w:val="clear" w:pos="720"/>
        </w:tabs>
        <w:rPr/>
      </w:pPr>
      <w:r>
        <w:rPr/>
        <w:t>3.</w:t>
        <w:tab/>
        <w:t>Proširiti ulogu općina u urbanističkom planiranju i izgradnji novih zgrada kojima se podupire plava i zelena infrastruktura, izbjeći daljnje brtvljenje zemljišta i okončati ga, obvezne zelene površine za nove građevine radi promicanja biološke raznolikosti i urbanih šuma (panel 3. – preporuka 5., 1. preporuka – 18. preporuka, preporuka FR).</w:t>
      </w:r>
    </w:p>
    <w:p>
      <w:pPr>
        <w:pStyle w:val="Puce3"/>
        <w:tabs>
          <w:tab w:val="clear" w:pos="720"/>
        </w:tabs>
        <w:rPr/>
      </w:pPr>
      <w:r>
        <w:rPr/>
        <w:t>4.</w:t>
        <w:tab/>
        <w:t>Zaštita insekata, posebno autohtonih i oprašivačkih vrsta, među ostalim zaštitom od invazivnih vrsta i boljom provedbom postojećih pravila (panel 1. – preporuka 18.).</w:t>
      </w:r>
    </w:p>
    <w:p>
      <w:pPr>
        <w:pStyle w:val="Puce3"/>
        <w:tabs>
          <w:tab w:val="clear" w:pos="720"/>
        </w:tabs>
        <w:rPr/>
      </w:pPr>
      <w:r>
        <w:rPr/>
        <w:t>5.</w:t>
        <w:tab/>
        <w:t>Podupiranje pošumljavanja i ponovnog pošumljavanja, uključujući šume uništene u požaru, primjena odgovornog gospodarenja šumama i poticanje boljeg korištenja drva za zamjenu drugih materijala. Utvrditi obvezujuće nacionalne ciljeve u svim državama članicama EU-a za ponovno pošumljavanje autohtonim drvećem i lokalnom florom, uzimajući u obzir različite nacionalne situacije i posebnosti (panel 3. preporuka 14., panel 1. – 18. preporuka).</w:t>
      </w:r>
    </w:p>
    <w:p>
      <w:pPr>
        <w:pStyle w:val="Puce3"/>
        <w:tabs>
          <w:tab w:val="clear" w:pos="720"/>
        </w:tabs>
        <w:rPr/>
      </w:pPr>
      <w:r>
        <w:rPr/>
        <w:t>6.</w:t>
        <w:tab/>
        <w:t>Provedba i proširenje zabrane plastike za jednokratnu upotrebu (SMP).</w:t>
      </w:r>
    </w:p>
    <w:p>
      <w:pPr>
        <w:pStyle w:val="Puce3"/>
        <w:tabs>
          <w:tab w:val="clear" w:pos="720"/>
        </w:tabs>
        <w:rPr/>
      </w:pPr>
      <w:r>
        <w:rPr/>
        <w:t>7.</w:t>
        <w:tab/>
        <w:t>Zaštita izvora vode i borba protiv onečišćenja rijeka i oceana, među ostalim istraživanjem i borbom protiv onečišćenja mikroplastikom, te promicanje ekološki prihvatljivog prometa korištenjem najboljih dostupnih tehnologija i uspostavljanje istraživanja i financiranja Unije za alternativna pomorska goriva i tehnologije (NMP, rasprava u radnoj skupini).</w:t>
      </w:r>
    </w:p>
    <w:p>
      <w:pPr>
        <w:pStyle w:val="Puce3"/>
        <w:tabs>
          <w:tab w:val="clear" w:pos="720"/>
        </w:tabs>
        <w:rPr/>
      </w:pPr>
      <w:r>
        <w:rPr/>
        <w:t>8.</w:t>
        <w:tab/>
        <w:t>Ograničiti svjetlosno onečišćenje (rasprava u radnoj skupini).</w:t>
      </w:r>
    </w:p>
    <w:p>
      <w:pPr>
        <w:pStyle w:val="Normal"/>
        <w:rPr/>
      </w:pPr>
      <w:r>
        <w:rPr/>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41" w:name="__RefHeading___Toc298256_1346298689"/>
      <w:bookmarkEnd w:id="41"/>
      <w:r>
        <w:rPr/>
        <w:t>3. Prijedlog: Klimatske promjene, energija, promet</w:t>
      </w:r>
    </w:p>
    <w:p>
      <w:pPr>
        <w:pStyle w:val="P68B1DB1Normal15"/>
        <w:rPr>
          <w:b/>
          <w:b/>
        </w:rPr>
      </w:pPr>
      <w:r>
        <w:rPr/>
        <w:t>Cilj: Povećanje europske energetske sigurnosti i postizanje energetske neovisnosti Unije uz istodobno osiguravanje pravedne tranzicije i osiguravanje dostatne održive i cjenovno pristupačne energije za Europljane. Borba protiv klimatskih promjena davanjem EU-a vodećoj ulozi u održivoj energetskoj politici i poštovanjem globalnih ciljeva zaštite klime.</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42" w:name="__RefHeading___Toc298258_1346298689"/>
      <w:bookmarkEnd w:id="42"/>
      <w:r>
        <w:rPr/>
        <w:t>Mjere:</w:t>
      </w:r>
    </w:p>
    <w:p>
      <w:pPr>
        <w:pStyle w:val="Puce3"/>
        <w:tabs>
          <w:tab w:val="clear" w:pos="720"/>
        </w:tabs>
        <w:rPr/>
      </w:pPr>
      <w:r>
        <w:rPr/>
        <w:t>1.</w:t>
        <w:tab/>
        <w:t>Ostvariti i, gdje je to moguće, ubrzati zelenu tranziciju, među ostalim većim ulaganjem u obnovljivu energiju, kako bi se smanjila vanjska energetska ovisnost, prepoznajući i ulogu lokalnih i regionalnih vlasti u zelenoj tranziciji (rasprava u radnoj skupini).</w:t>
      </w:r>
    </w:p>
    <w:p>
      <w:pPr>
        <w:pStyle w:val="Puce3"/>
        <w:tabs>
          <w:tab w:val="clear" w:pos="720"/>
        </w:tabs>
        <w:rPr/>
      </w:pPr>
      <w:r>
        <w:rPr/>
        <w:t>2.</w:t>
        <w:tab/>
        <w:t>U okviru energetskih politika ispitati geopolitičke i sigurnosne implikacije svih dobavljača energije iz trećih zemalja, posebno u pogledu ljudskih prava, ekologije, dobrog upravljanja i vladavine prava (rasprava u radnoj skupini).</w:t>
      </w:r>
    </w:p>
    <w:p>
      <w:pPr>
        <w:pStyle w:val="Puce3"/>
        <w:tabs>
          <w:tab w:val="clear" w:pos="720"/>
        </w:tabs>
        <w:rPr/>
      </w:pPr>
      <w:r>
        <w:rPr/>
        <w:t>3.</w:t>
        <w:tab/>
        <w:t>Smanjiti ovisnost o uvozu nafte i plina s pomoću projekata energetske učinkovitosti, potpore cjenovno pristupačnom javnom prijevozu, željezničke mreže velikih brzina i širenja opskrbe čistom i obnovljivom energijom (panel 4. – 2. preporuka, panel 1. – preporuka 10., FR i DE).</w:t>
      </w:r>
    </w:p>
    <w:p>
      <w:pPr>
        <w:pStyle w:val="Puce3"/>
        <w:tabs>
          <w:tab w:val="clear" w:pos="720"/>
        </w:tabs>
        <w:rPr/>
      </w:pPr>
      <w:r>
        <w:rPr/>
        <w:t>4.</w:t>
        <w:tab/>
        <w:t>Poboljšati kvalitetu i međusobnu povezanost, osigurati održavanje i preobrazbu elektroenergetske infrastrukture i mreža kako bi se povećala sigurnost i omogućio prijelaz na obnovljive izvore energije (raspon 1. – 10. preporuka, rasprava u radnoj skupini).</w:t>
      </w:r>
    </w:p>
    <w:p>
      <w:pPr>
        <w:pStyle w:val="Puce3"/>
        <w:tabs>
          <w:tab w:val="clear" w:pos="720"/>
        </w:tabs>
        <w:rPr/>
      </w:pPr>
      <w:r>
        <w:rPr/>
        <w:t>5.</w:t>
        <w:tab/>
        <w:t>Ulagati u tehnologije sposobne za proizvodnju energije iz obnovljivih izvora, kao što je učinkovita proizvodnja zelenog vodika, posebno u sektorima koje je teško elektrificirati (panel 3. – preporuka 31., rasprava u radnoj skupini).</w:t>
      </w:r>
    </w:p>
    <w:p>
      <w:pPr>
        <w:pStyle w:val="Puce3"/>
        <w:tabs>
          <w:tab w:val="clear" w:pos="720"/>
        </w:tabs>
        <w:rPr/>
      </w:pPr>
      <w:r>
        <w:rPr/>
        <w:t>6.</w:t>
        <w:tab/>
        <w:t>Ulagati u istraživanje novih izvora energije i ekološki prihvatljivih metoda skladištenja te, u očekivanju opipljivog rješenja, uložiti dodatna ulaganja u postojeća optimalna rješenja za proizvodnju i skladištenje energije (Panel 3 – Preporuke 9 i 31).</w:t>
      </w:r>
    </w:p>
    <w:p>
      <w:pPr>
        <w:pStyle w:val="Puce3"/>
        <w:tabs>
          <w:tab w:val="clear" w:pos="720"/>
        </w:tabs>
        <w:rPr/>
      </w:pPr>
      <w:r>
        <w:rPr/>
        <w:t>7.</w:t>
        <w:tab/>
        <w:t>Uvođenje</w:t>
      </w:r>
      <w:r>
        <w:rPr>
          <w:vertAlign w:val="subscript"/>
        </w:rPr>
        <w:t>obveznih filtara CO2</w:t>
      </w:r>
      <w:r>
        <w:rPr/>
        <w:t xml:space="preserve"> u elektranama na fosilna goriva i pružanje financijske potpore državama članicama koje nemaju financijska sredstva za primjenu filtara CO2 (Planina 3</w:t>
      </w:r>
      <w:r>
        <w:rPr>
          <w:vertAlign w:val="subscript"/>
        </w:rPr>
        <w:t>.</w:t>
      </w:r>
      <w:r>
        <w:rPr/>
        <w:t xml:space="preserve"> – preporuka 29.).</w:t>
      </w:r>
    </w:p>
    <w:p>
      <w:pPr>
        <w:pStyle w:val="Puce3"/>
        <w:tabs>
          <w:tab w:val="clear" w:pos="720"/>
        </w:tabs>
        <w:rPr/>
      </w:pPr>
      <w:r>
        <w:rPr/>
        <w:t>8.</w:t>
        <w:tab/>
        <w:t>Osiguravanje pravedne tranzicije, zaštita radnika i radnih mjesta odgovarajućim financiranjem za tranziciju i daljnje istraživanje, reforma poreznog sustava s pomoću pravednijeg oporezivanja i mjera za borbu protiv poreznih prijevara te osiguravanje uključivog pristupa upravljanju u donošenju politika na svim razinama (npr. ambiciozne mjere prekvalifikacije i usavršavanja, snažna socijalna zaštita, zadržavanje javnih usluga u rukama države, održavanje pravila o zdravlju i sigurnosti na radnom mjestu) (Plenarna rasprava, rasprava u Radnoj skupini, NPC).</w:t>
      </w:r>
    </w:p>
    <w:p>
      <w:pPr>
        <w:pStyle w:val="Puce3"/>
        <w:tabs>
          <w:tab w:val="clear" w:pos="720"/>
        </w:tabs>
        <w:rPr/>
      </w:pPr>
      <w:r>
        <w:rPr/>
        <w:t>9.</w:t>
        <w:tab/>
        <w:t>Uvesti paket ulaganja za klimatski prihvatljive tehnologije i inovacije, koji bi se trebao financirati uvoznim carinama povezanima s klimom i pristojbama za prilagodbu ugljika povezanima s klimatskim promjenama (Preporuka DE).</w:t>
      </w:r>
    </w:p>
    <w:p>
      <w:pPr>
        <w:pStyle w:val="Puce3"/>
        <w:tabs>
          <w:tab w:val="clear" w:pos="720"/>
        </w:tabs>
        <w:rPr/>
      </w:pPr>
      <w:r>
        <w:rPr/>
        <w:t>10.</w:t>
        <w:tab/>
        <w:t>Na kraju prijelaznog razdoblja fosilna goriva više ne bi trebala primati subvencije i ne bi trebalo financirati tradicionalnu plinsku infrastrukturu (rasprava u radnoj skupini).</w:t>
      </w:r>
    </w:p>
    <w:p>
      <w:pPr>
        <w:pStyle w:val="Puce3"/>
        <w:tabs>
          <w:tab w:val="clear" w:pos="720"/>
        </w:tabs>
        <w:rPr/>
      </w:pPr>
      <w:r>
        <w:rPr/>
        <w:t>11.</w:t>
        <w:tab/>
        <w:t>Povećanje vodstva, uloge i odgovornosti EU-a u promicanju ambicioznog djelovanja u području klime i pravedne tranzicije te doprinos odgovaranju na gubitke i štetu na međunarodnoj razini, pri čemu UN mora biti u središtu djelovanja (Preporuka o nacionalnoj razini, rasprava radne skupine).</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43" w:name="__RefHeading___Toc298260_1346298689"/>
      <w:bookmarkEnd w:id="43"/>
      <w:r>
        <w:rPr/>
        <w:t>4. Prijedlog: Klimatske promjene, energija, promet</w:t>
      </w:r>
    </w:p>
    <w:p>
      <w:pPr>
        <w:pStyle w:val="P68B1DB1Normal15"/>
        <w:rPr>
          <w:b/>
          <w:b/>
        </w:rPr>
      </w:pPr>
      <w:r>
        <w:rPr/>
        <w:t>Cilj: Osigurati modernu, sigurnu, ekološku i kvalitetnu infrastrukturu kojom se osigurava povezanost, među ostalim u ruralnim i otočnim područjima, među ostalim cjenovno pristupačnim javnim prijevozom.</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44" w:name="__RefHeading___Toc298262_1346298689"/>
      <w:bookmarkEnd w:id="44"/>
      <w:r>
        <w:rPr/>
        <w:t>Mjere:</w:t>
      </w:r>
    </w:p>
    <w:p>
      <w:pPr>
        <w:pStyle w:val="Puce3"/>
        <w:tabs>
          <w:tab w:val="clear" w:pos="720"/>
        </w:tabs>
        <w:rPr/>
      </w:pPr>
      <w:r>
        <w:rPr/>
        <w:t>1.</w:t>
        <w:tab/>
        <w:t>Podupirati javni prijevoz i razviti učinkovitu, pouzdanu i cjenovno pristupačnu europsku mrežu javnog prijevoza, posebno u ruralnim i otočnim područjima, dodatnim poticajima za korištenje javnim prijevozom (panel 3. – preporuka 36., panel 4. – 2. preporuka).</w:t>
      </w:r>
    </w:p>
    <w:p>
      <w:pPr>
        <w:pStyle w:val="Puce3"/>
        <w:tabs>
          <w:tab w:val="clear" w:pos="720"/>
        </w:tabs>
        <w:rPr/>
      </w:pPr>
      <w:r>
        <w:rPr/>
        <w:t>2.</w:t>
        <w:tab/>
        <w:t>Ulaganje u noćne vlakove velikih brzina i uspostava jedinstvenog standarda ekološki prihvatljive željezničke tehnologije u Europi kako bi se ponudila vjerodostojna alternativa i olakšala mogućnost zamjene i obeshrabrivanja letova kratkog doleta (rasprava u Radnoj skupini, NPM).</w:t>
      </w:r>
    </w:p>
    <w:p>
      <w:pPr>
        <w:pStyle w:val="Puce3"/>
        <w:tabs>
          <w:tab w:val="clear" w:pos="720"/>
        </w:tabs>
        <w:rPr/>
      </w:pPr>
      <w:r>
        <w:rPr/>
        <w:t>3.</w:t>
        <w:tab/>
        <w:t>Poticati kupnju, uzimajući u obzir njihovu cjenovnu pristupačnost za kućanstva, i (zajedničku) uporabu električnih vozila koja zadovoljavaju dobar standard životnog vijeka baterija, kao i ulaganja u potrebnu infrastrukturu za punjenje i ulaganja u razvoj drugih čistih tehnologija za vozila čija je elektrifikacija teško postići (skup 3. preporuka 38.).</w:t>
      </w:r>
    </w:p>
    <w:p>
      <w:pPr>
        <w:pStyle w:val="Puce3"/>
        <w:tabs>
          <w:tab w:val="clear" w:pos="720"/>
        </w:tabs>
        <w:rPr/>
      </w:pPr>
      <w:r>
        <w:rPr/>
        <w:t>4.</w:t>
        <w:tab/>
        <w:t>Uspostaviti širokopojasnu povezivost na internet i mobilnu mrežu u ruralnim i otočnim područjima (panel 3. – Preporuka 36.).</w:t>
      </w:r>
    </w:p>
    <w:p>
      <w:pPr>
        <w:pStyle w:val="Puce3"/>
        <w:tabs>
          <w:tab w:val="clear" w:pos="720"/>
        </w:tabs>
        <w:rPr/>
      </w:pPr>
      <w:r>
        <w:rPr/>
        <w:t>5.</w:t>
        <w:tab/>
        <w:t>Poboljšati postojeću prometnu infrastrukturu s ekološkog stajališta (panel 3. – Preporuka 37.).</w:t>
      </w:r>
    </w:p>
    <w:p>
      <w:pPr>
        <w:pStyle w:val="Puce3"/>
        <w:tabs>
          <w:tab w:val="clear" w:pos="720"/>
        </w:tabs>
        <w:rPr/>
      </w:pPr>
      <w:r>
        <w:rPr/>
        <w:t>6.</w:t>
        <w:tab/>
        <w:t>Zahtijevati programe urbanog razvoja za „zelenije” gradove s manje emisija, s posebnim područjima bez automobila u gradovima, bez nanošenja štete komercijalnim područjima (panel 3. – 6. preporuka).</w:t>
      </w:r>
    </w:p>
    <w:p>
      <w:pPr>
        <w:pStyle w:val="Puce3"/>
        <w:tabs>
          <w:tab w:val="clear" w:pos="720"/>
        </w:tabs>
        <w:rPr/>
      </w:pPr>
      <w:r>
        <w:rPr/>
        <w:t>7.</w:t>
        <w:tab/>
        <w:t>Poboljšati infrastrukturu za bicikle i pružiti veća prava i pravnu zaštitu biciklistima i pješacima, posebno u slučaju nesreća s motornim vozilom, osiguravanjem sigurnosti na cestama i pružanjem osposobljavanja o cestovnom kodeksu (Panel 3. – 4. preporuka).</w:t>
      </w:r>
    </w:p>
    <w:p>
      <w:pPr>
        <w:pStyle w:val="Puce3"/>
        <w:tabs>
          <w:tab w:val="clear" w:pos="720"/>
        </w:tabs>
        <w:rPr/>
      </w:pPr>
      <w:r>
        <w:rPr/>
        <w:t>8.</w:t>
        <w:tab/>
        <w:t>Regulirajte rudarenje kriptovaluta, koje koriste znatnu količinu energije (PNM).</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Normal"/>
        <w:rPr/>
      </w:pPr>
      <w:r>
        <w:rPr/>
      </w:r>
      <w:r>
        <w:br w:type="page"/>
      </w:r>
    </w:p>
    <w:p>
      <w:pPr>
        <w:pStyle w:val="Titre3"/>
        <w:numPr>
          <w:ilvl w:val="2"/>
          <w:numId w:val="2"/>
        </w:numPr>
        <w:rPr/>
      </w:pPr>
      <w:bookmarkStart w:id="45" w:name="__RefHeading___Toc298264_1346298689"/>
      <w:bookmarkEnd w:id="45"/>
      <w:r>
        <w:rPr/>
        <w:t>5. Prijedlog: Održiva potrošnja, pakiranje i proizvodnja</w:t>
      </w:r>
    </w:p>
    <w:p>
      <w:pPr>
        <w:pStyle w:val="P68B1DB1Normal15"/>
        <w:rPr>
          <w:b/>
          <w:b/>
        </w:rPr>
      </w:pPr>
      <w:r>
        <w:rPr/>
        <w:t>Cilj: Poboljšati upotrebu materijala u Uniji i upravljanje njima kako bi se poticalo kružno gospodarstvo, kako bi postali autonomniji i manje ovisni. Razviti kružno gospodarstvo poticanjem održive proizvodnje i proizvoda u Uniji. Osigurava da su svi proizvodi koji se stavljaju na tržište Unije u skladu sa zajedničkim ekološkim standardima Unije.</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46" w:name="__RefHeading___Toc298266_1346298689"/>
      <w:bookmarkEnd w:id="46"/>
      <w:r>
        <w:rPr/>
        <w:t>Mjere:</w:t>
      </w:r>
    </w:p>
    <w:p>
      <w:pPr>
        <w:pStyle w:val="Puce3"/>
        <w:tabs>
          <w:tab w:val="clear" w:pos="720"/>
        </w:tabs>
        <w:rPr/>
      </w:pPr>
      <w:r>
        <w:rPr/>
        <w:t>1.</w:t>
        <w:tab/>
        <w:t>Stroži i usklađeniji standardi proizvodnje Unije i transparentni sustav označivanja za sve proizvode koji se prodaju na tržištu EU-a s obzirom na njihovu održivost/okolišni otisak i dugovječnost s pomoću QR koda i ekoscore ili digitalne putovnice za proizvode (panel 3. – preporuke 8., 13., 20. i 21., panel 1. – 16. preporuka, 4. preporuka – 13. preporuka).</w:t>
      </w:r>
    </w:p>
    <w:p>
      <w:pPr>
        <w:pStyle w:val="Puce3"/>
        <w:tabs>
          <w:tab w:val="clear" w:pos="720"/>
        </w:tabs>
        <w:rPr/>
      </w:pPr>
      <w:r>
        <w:rPr/>
        <w:t>2.</w:t>
        <w:tab/>
        <w:t>Preispitivanje globalnih lanaca opskrbe, među ostalim u poljoprivrednoj proizvodnji, kako bi se smanjila ovisnost EU-a i skratili krugovi (PNM).</w:t>
      </w:r>
    </w:p>
    <w:p>
      <w:pPr>
        <w:pStyle w:val="Puce3"/>
        <w:tabs>
          <w:tab w:val="clear" w:pos="720"/>
        </w:tabs>
        <w:rPr/>
      </w:pPr>
      <w:r>
        <w:rPr/>
        <w:t>3.</w:t>
        <w:tab/>
        <w:t>Dodatno spriječiti stvaranje otpada postavljanjem ciljeva sprečavanja i ponovne uporabe te utvrđivanjem standarda kvalitete za sustave razvrstavanja otpada (rasprava u Radnoj skupini za Francusku).</w:t>
      </w:r>
    </w:p>
    <w:p>
      <w:pPr>
        <w:pStyle w:val="Puce3"/>
        <w:tabs>
          <w:tab w:val="clear" w:pos="720"/>
        </w:tabs>
        <w:rPr/>
      </w:pPr>
      <w:r>
        <w:rPr/>
        <w:t>4.</w:t>
        <w:tab/>
        <w:t>Postupno ukidaju neodržive oblike ambalaže, reguliraju ekološki prihvatljivu ambalažu i izbjegavaju otpad od materijala u ambalaži financijskim poticajima i sankcijama te ulaganjem u alternativna istraživanja (panel 3. – preporuke 15. i 25., panel 1. – 12. preporuka, 4. preporuka – 16. preporuka).</w:t>
      </w:r>
    </w:p>
    <w:p>
      <w:pPr>
        <w:pStyle w:val="Puce3"/>
        <w:tabs>
          <w:tab w:val="clear" w:pos="720"/>
        </w:tabs>
        <w:rPr/>
      </w:pPr>
      <w:r>
        <w:rPr/>
        <w:t>5.</w:t>
        <w:tab/>
        <w:t>Uvođenje europskog sustava za odlaganje ambalaže i naprednih standarda za spremnike (ploča 3. – preporuke 22. i 23., NPC).</w:t>
      </w:r>
    </w:p>
    <w:p>
      <w:pPr>
        <w:pStyle w:val="Puce3"/>
        <w:tabs>
          <w:tab w:val="clear" w:pos="720"/>
        </w:tabs>
        <w:rPr/>
      </w:pPr>
      <w:r>
        <w:rPr/>
        <w:t>6.</w:t>
        <w:tab/>
        <w:t>Pokrenuti platformu EU-a za znanje o tome kako osigurati održivu i dugoročnu upotrebu proizvoda i kako ih „popraviti”, uključujući informacije dostupne od udruga potrošača (panel 3. – Preporuka 20.).</w:t>
      </w:r>
    </w:p>
    <w:p>
      <w:pPr>
        <w:pStyle w:val="Puce3"/>
        <w:tabs>
          <w:tab w:val="clear" w:pos="720"/>
        </w:tabs>
        <w:rPr/>
      </w:pPr>
      <w:r>
        <w:rPr/>
        <w:t>7.</w:t>
        <w:tab/>
        <w:t>Uvesti mjere za borbu protiv ranog ili prijevremenog zastarijevanja, uključujući planirano zastarijevanje, osigurati dulje zaštitne mjere, promicati pravo na popravak te osigurati dostupnost i dostupnost kompatibilnih rezervnih dijelova (raspon 3. – preporuka 20., preporuka FR, preporuka DE, 1. preporuka – 14. preporuka).</w:t>
      </w:r>
    </w:p>
    <w:p>
      <w:pPr>
        <w:pStyle w:val="Puce3"/>
        <w:tabs>
          <w:tab w:val="clear" w:pos="720"/>
        </w:tabs>
        <w:rPr/>
      </w:pPr>
      <w:r>
        <w:rPr/>
        <w:t>8.</w:t>
        <w:tab/>
        <w:t>Stvaranje tržišta sekundarnih sirovina uzimajući u obzir obvezne stope recikliranog sadržaja poticanjem smanjene uporabe sirovina (rasprava u radnoj skupini).</w:t>
      </w:r>
    </w:p>
    <w:p>
      <w:pPr>
        <w:pStyle w:val="Puce3"/>
        <w:tabs>
          <w:tab w:val="clear" w:pos="720"/>
        </w:tabs>
        <w:rPr/>
      </w:pPr>
      <w:r>
        <w:rPr/>
        <w:t>9.</w:t>
        <w:tab/>
        <w:t>Brza provedba ambiciozne tekstilne strategije i definiranje mehanizma za potrošače kako bi znali da proizvod ispunjava kriterije održivosti (panel 3. – preporuka 28., rasprava u radnoj skupini).</w:t>
      </w:r>
    </w:p>
    <w:p>
      <w:pPr>
        <w:pStyle w:val="Puce3"/>
        <w:tabs>
          <w:tab w:val="clear" w:pos="720"/>
        </w:tabs>
        <w:rPr/>
      </w:pPr>
      <w:r>
        <w:rPr/>
        <w:t>10.</w:t>
        <w:tab/>
        <w:t>Mjere EU-a kako bi se potrošačima omogućilo da dulje upotrebljavaju proizvode i kako bi ih se potaknulo da to učine (panel 3. – Preporuka 20.).</w:t>
      </w:r>
    </w:p>
    <w:p>
      <w:pPr>
        <w:pStyle w:val="Puce3"/>
        <w:tabs>
          <w:tab w:val="clear" w:pos="720"/>
        </w:tabs>
        <w:rPr/>
      </w:pPr>
      <w:r>
        <w:rPr/>
        <w:t>11.</w:t>
        <w:tab/>
        <w:t>Jačanje standarda zaštite okoliša i provedba propisa o izvozu otpada u EU i u treće zemlje (panel 4. – preporuka 15., NPC).</w:t>
      </w:r>
    </w:p>
    <w:p>
      <w:pPr>
        <w:pStyle w:val="Puce3"/>
        <w:tabs>
          <w:tab w:val="clear" w:pos="720"/>
        </w:tabs>
        <w:rPr/>
      </w:pPr>
      <w:r>
        <w:rPr/>
        <w:t>12.</w:t>
        <w:tab/>
        <w:t>Uvesti mjere za ograničavanje oglašavanja proizvoda štetnih za okoliš uvođenjem obvezne izjave o ograničenju odgovornosti za proizvode koji su posebno štetni za okoliš (Plan 3 – Preporuka 22.).</w:t>
      </w:r>
    </w:p>
    <w:p>
      <w:pPr>
        <w:pStyle w:val="Puce3"/>
        <w:tabs>
          <w:tab w:val="clear" w:pos="720"/>
        </w:tabs>
        <w:rPr/>
      </w:pPr>
      <w:r>
        <w:rPr/>
        <w:t>13.</w:t>
        <w:tab/>
        <w:t>Primjena strožih standarda proizvodnje i pravednih radnih uvjeta u cijelom proizvodnom i vrijednosnom lancu (panel 3. – Preporuka 21.).</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47" w:name="__RefHeading___Toc298268_1346298689"/>
      <w:bookmarkEnd w:id="47"/>
      <w:r>
        <w:rPr/>
        <w:t>6. Prijedlog: Informiranje, svijest, dijalog i način života</w:t>
      </w:r>
    </w:p>
    <w:p>
      <w:pPr>
        <w:pStyle w:val="P68B1DB1Normal15"/>
        <w:rPr>
          <w:b/>
          <w:b/>
        </w:rPr>
      </w:pPr>
      <w:r>
        <w:rPr/>
        <w:t>Cilj: Poticati znanje, svijest, obrazovanje i dijalog o okolišu, klimatskim promjenama, uporabi energije i održivosti.</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48" w:name="__RefHeading___Toc298270_1346298689"/>
      <w:bookmarkEnd w:id="48"/>
      <w:r>
        <w:rPr/>
        <w:t>Mjere:</w:t>
      </w:r>
    </w:p>
    <w:p>
      <w:pPr>
        <w:pStyle w:val="Puce3"/>
        <w:tabs>
          <w:tab w:val="clear" w:pos="720"/>
        </w:tabs>
        <w:rPr/>
      </w:pPr>
      <w:r>
        <w:rPr/>
        <w:t>1.</w:t>
        <w:tab/>
        <w:t>Stvoriti interaktivnu platformu čije su činjenice provjerene kako bi se pružile raznolike i redovito ažurirane znanstvene informacije u području okoliša (panel 3. – preporuka 33.).</w:t>
      </w:r>
    </w:p>
    <w:p>
      <w:pPr>
        <w:pStyle w:val="Puce3"/>
        <w:tabs>
          <w:tab w:val="clear" w:pos="720"/>
        </w:tabs>
        <w:rPr/>
      </w:pPr>
      <w:r>
        <w:rPr/>
        <w:t>2.</w:t>
        <w:tab/>
        <w:t>Podržati kampanje za ekološku osviještenost, uključujući dugoročnu europsku kampanju za održivu potrošnju i način života (preporuke DE, NL i FR, Panel 3 – preporuka 7.).</w:t>
      </w:r>
    </w:p>
    <w:p>
      <w:pPr>
        <w:pStyle w:val="Puce3"/>
        <w:tabs>
          <w:tab w:val="clear" w:pos="720"/>
        </w:tabs>
        <w:rPr/>
      </w:pPr>
      <w:r>
        <w:rPr/>
        <w:t>3.</w:t>
        <w:tab/>
        <w:t>Poticati i olakšavati dijalog i savjetovanja među svim razinama donošenja odluka, posebno s mladima i na lokalnoj razini (preporuke DE, NL i FR, 3. panel – preporuke 27. i 35., plenarna rasprava).</w:t>
      </w:r>
    </w:p>
    <w:p>
      <w:pPr>
        <w:pStyle w:val="Puce3"/>
        <w:tabs>
          <w:tab w:val="clear" w:pos="720"/>
        </w:tabs>
        <w:rPr/>
      </w:pPr>
      <w:r>
        <w:rPr/>
        <w:t>4.</w:t>
        <w:tab/>
        <w:t>Definicija od strane Unije, uz pomoć država članica, zajedničke Europske povelje usmjerene na pitanja okoliša i promicanje svijesti o okolišu među svim građanima (panel 3. – 7. preporuka).</w:t>
      </w:r>
    </w:p>
    <w:p>
      <w:pPr>
        <w:pStyle w:val="Puce3"/>
        <w:tabs>
          <w:tab w:val="clear" w:pos="720"/>
        </w:tabs>
        <w:rPr/>
      </w:pPr>
      <w:r>
        <w:rPr/>
        <w:t>5.</w:t>
        <w:tab/>
        <w:t>Osiguravanje tečajeva osposobljavanja i nastavnih materijala za sve kako bi se unaprijedilo znanje o klimi i održivosti te omogućilo cjeloživotno učenje o pitanjima okoliša (panel 1. – preporuke 15. i 35., 3. panel – 24. preporuka, rasprava radne skupine).</w:t>
      </w:r>
    </w:p>
    <w:p>
      <w:pPr>
        <w:pStyle w:val="Puce3"/>
        <w:tabs>
          <w:tab w:val="clear" w:pos="720"/>
        </w:tabs>
        <w:rPr/>
      </w:pPr>
      <w:r>
        <w:rPr/>
        <w:t>6.</w:t>
        <w:tab/>
        <w:t>Integrirati proizvodnju hrane i zaštitu biološke raznolikosti u obrazovni sustav, uključujući koristi od neprerađene hrane u odnosu na prerađenu hranu, te poticati stvaranje školskih vrtova i bespovratnih sredstava za projekte urbanog vrtlarstva i vertikalnu poljoprivredu (panel 3. – 5. preporuka, 1. preporuka – 18. preporuka). Razmotriti uvođenje obveznog pitanja biološke raznolikosti u školama i podizanje javne svijesti o biološkoj raznolikosti medijskim kampanjama i „tržišnim natjecanjima” koje se promiču diljem EU-a (natjecanja lokalnih vlasti) (3. panel – 5. preporuka, 1. preporuka – 18. preporuka).</w:t>
      </w:r>
    </w:p>
    <w:p>
      <w:pPr>
        <w:pStyle w:val="Puce3"/>
        <w:tabs>
          <w:tab w:val="clear" w:pos="720"/>
        </w:tabs>
        <w:rPr/>
      </w:pPr>
      <w:r>
        <w:rPr/>
        <w:t>7.</w:t>
        <w:tab/>
        <w:t>Jačanje uloge i djelovanja Unije u području okoliša i obrazovanja proširenjem nadležnosti Unije u području obrazovanja za klimatske promjene i okoliš te proširenjem donošenja odluka kvalificiranom većinom na teme definirane kao „europski interes”, kao što je okoliš (preporuke NL i FR).</w:t>
      </w:r>
    </w:p>
    <w:p>
      <w:pPr>
        <w:pStyle w:val="Puce3"/>
        <w:tabs>
          <w:tab w:val="clear" w:pos="720"/>
        </w:tabs>
        <w:rPr/>
      </w:pPr>
      <w:r>
        <w:rPr/>
        <w:t>8.</w:t>
        <w:tab/>
        <w:t>Promicati biljnu prehranu radi zaštite klime i očuvanja okoliša (PNM).</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Normal"/>
        <w:rPr/>
      </w:pPr>
      <w:r>
        <w:rPr/>
      </w:r>
      <w:r>
        <w:br w:type="page"/>
      </w:r>
    </w:p>
    <w:p>
      <w:pPr>
        <w:pStyle w:val="Normal"/>
        <w:rPr/>
      </w:pPr>
      <w:r>
        <w:rPr/>
        <w:drawing>
          <wp:anchor behindDoc="0" distT="0" distB="0" distL="0" distR="0" simplePos="0" locked="0" layoutInCell="1" allowOverlap="1" relativeHeight="20">
            <wp:simplePos x="0" y="0"/>
            <wp:positionH relativeFrom="column">
              <wp:posOffset>23495</wp:posOffset>
            </wp:positionH>
            <wp:positionV relativeFrom="paragraph">
              <wp:posOffset>51435</wp:posOffset>
            </wp:positionV>
            <wp:extent cx="913765" cy="913765"/>
            <wp:effectExtent l="0" t="0" r="0" b="0"/>
            <wp:wrapSquare wrapText="largest"/>
            <wp:docPr id="62" name="Slika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Slika22" descr=""/>
                    <pic:cNvPicPr>
                      <a:picLocks noChangeAspect="1" noChangeArrowheads="1"/>
                    </pic:cNvPicPr>
                  </pic:nvPicPr>
                  <pic:blipFill>
                    <a:blip r:embed="rId75"/>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49" w:name="__RefHeading___Toc298272_1346298689"/>
      <w:bookmarkEnd w:id="49"/>
      <w:r>
        <w:rPr/>
        <w:t>„</w:t>
      </w:r>
      <w:r>
        <w:rPr/>
        <w:t>Zdravlje”</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Titre2"/>
        <w:numPr>
          <w:ilvl w:val="1"/>
          <w:numId w:val="2"/>
        </w:numPr>
        <w:rPr/>
      </w:pPr>
      <w:r>
        <w:rPr/>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Titre3"/>
        <w:numPr>
          <w:ilvl w:val="2"/>
          <w:numId w:val="2"/>
        </w:numPr>
        <w:rPr/>
      </w:pPr>
      <w:bookmarkStart w:id="50" w:name="__RefHeading___Toc298274_1346298689"/>
      <w:bookmarkEnd w:id="50"/>
      <w:r>
        <w:rPr/>
        <w:t xml:space="preserve">7. Prijedlog: Zdrava prehrana i zdrav način života </w:t>
      </w:r>
    </w:p>
    <w:p>
      <w:pPr>
        <w:pStyle w:val="P68B1DB1Normal15"/>
        <w:rPr>
          <w:b/>
          <w:b/>
        </w:rPr>
      </w:pPr>
      <w:r>
        <w:rPr/>
        <w:t>Cilj: Osigurati da svi Europljani imaju pristup obrazovanju o zdravoj prehrani i pristup zdravoj i cjenovno pristupačnoj hrani kao temelj zdravog načina života, posebno sljedećim mjerama:</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51" w:name="__RefHeading___Toc298276_1346298689"/>
      <w:bookmarkEnd w:id="51"/>
      <w:r>
        <w:rPr/>
        <w:t>Mjere</w:t>
      </w:r>
      <w:r>
        <w:rPr>
          <w:rStyle w:val="Ancredenotedefin"/>
          <w:rStyle w:val="Ancredenotedefin"/>
        </w:rPr>
        <w:endnoteReference w:id="2"/>
      </w:r>
      <w:r>
        <w:rPr/>
        <w:t>:</w:t>
      </w:r>
    </w:p>
    <w:p>
      <w:pPr>
        <w:pStyle w:val="Puce3"/>
        <w:tabs>
          <w:tab w:val="clear" w:pos="720"/>
        </w:tabs>
        <w:rPr/>
      </w:pPr>
      <w:r>
        <w:rPr/>
        <w:t>1.</w:t>
        <w:tab/>
        <w:t>Uspostaviti minimalne standarde kvalitete i sljedivosti hrane, posebno ograničavanjem uporabe antibiotika i drugih veterinarsko-medicinskih proizvoda na ono što je nužno za zaštitu zdravlja i dobrobiti životinja, umjesto njihove preventivne uporabe, te osigurati jačanje kontrola u tom pogledu. [#23, #17]</w:t>
      </w:r>
    </w:p>
    <w:p>
      <w:pPr>
        <w:pStyle w:val="Puce3"/>
        <w:tabs>
          <w:tab w:val="clear" w:pos="720"/>
        </w:tabs>
        <w:rPr/>
      </w:pPr>
      <w:r>
        <w:rPr/>
        <w:t>2.</w:t>
        <w:tab/>
        <w:t>Educirati građane o zdravim navikama koje treba usvojiti od rane dobi i poticati ih da donose sigurne i zdrave odluke oporezivanjem prerađene hrane koja nije i omogućavanjem da informacije o zdravlju o hrani budu lako dostupne; u tu svrhu uspostaviti sustav procjene prerađene hrane na europskoj razini koji se temelji na znanstvenom i neovisnom stručnom znanju, kao i oznaku o upotrebi hormonskih tvari i endokrinih disruptora u proizvodnji hrane te u tom pogledu ojačati praćenje i provedbu postojećih pravila i razmotriti njihovo jačanje. [#18, #19, GT]</w:t>
      </w:r>
    </w:p>
    <w:p>
      <w:pPr>
        <w:pStyle w:val="Puce3"/>
        <w:tabs>
          <w:tab w:val="clear" w:pos="720"/>
        </w:tabs>
        <w:rPr/>
      </w:pPr>
      <w:r>
        <w:rPr/>
        <w:t>3.</w:t>
        <w:tab/>
        <w:t>Poticati dijalog s dionicima u prehrambenom lancu, od proizvodnje do prodaje, kao dio korporativne društvene odgovornosti za zdravu hranu. [#19, GT]</w:t>
      </w:r>
    </w:p>
    <w:p>
      <w:pPr>
        <w:pStyle w:val="Puce3"/>
        <w:tabs>
          <w:tab w:val="clear" w:pos="720"/>
        </w:tabs>
        <w:rPr/>
      </w:pPr>
      <w:r>
        <w:rPr/>
        <w:t>4.</w:t>
        <w:tab/>
        <w:t>Potpora, na razini Unije, pružanju zdrave, raznolike i cjenovno pristupačne hrane u javnim uslužnim ustanovama, kao što su školske kantine, bolnice ili zdravstvene ustanove, među ostalim posebnim financiranjem. [#3, plenarna sjednica, radna skupina]</w:t>
      </w:r>
    </w:p>
    <w:p>
      <w:pPr>
        <w:pStyle w:val="Puce3"/>
        <w:tabs>
          <w:tab w:val="clear" w:pos="720"/>
        </w:tabs>
        <w:rPr/>
      </w:pPr>
      <w:r>
        <w:rPr/>
        <w:t>5.</w:t>
        <w:tab/>
        <w:t>Ulaganje u istraživanja o posljedicama uporabe antibiotika i učincima hormonskih tvari i endokrinih disruptora na zdravlje ljudi. [#17, #18]</w:t>
      </w:r>
      <w:r>
        <w:rPr>
          <w:rStyle w:val="Ancredenotedefin"/>
          <w:rStyle w:val="Ancredenotedefin"/>
        </w:rPr>
        <w:endnoteReference w:id="3"/>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52" w:name="__RefHeading___Toc298278_1346298689"/>
      <w:bookmarkEnd w:id="52"/>
      <w:r>
        <w:rPr/>
        <w:t>8. Prijedlog: Jačanje zdravstvenog sustava</w:t>
      </w:r>
    </w:p>
    <w:p>
      <w:pPr>
        <w:pStyle w:val="P68B1DB1Normal15"/>
        <w:rPr>
          <w:b/>
          <w:b/>
        </w:rPr>
      </w:pPr>
      <w:r>
        <w:rPr/>
        <w:t>Cilj: Jačanje otpornosti i kvalitete naših zdravstvenih sustava, među ostalim:</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53" w:name="__RefHeading___Toc298280_1346298689"/>
      <w:bookmarkEnd w:id="53"/>
      <w:r>
        <w:rPr/>
        <w:t>Mjere</w:t>
      </w:r>
      <w:r>
        <w:rPr>
          <w:rStyle w:val="Ancredenotedefin"/>
          <w:rStyle w:val="Ancredenotedefin"/>
        </w:rPr>
        <w:endnoteReference w:id="4"/>
      </w:r>
      <w:r>
        <w:rPr/>
        <w:t>:</w:t>
      </w:r>
    </w:p>
    <w:p>
      <w:pPr>
        <w:pStyle w:val="Puce3"/>
        <w:tabs>
          <w:tab w:val="clear" w:pos="720"/>
        </w:tabs>
        <w:rPr/>
      </w:pPr>
      <w:r>
        <w:rPr/>
        <w:t>1.</w:t>
        <w:tab/>
        <w:t>Stvaranje europskog područja podataka o zdravlju, čime bi se olakšala razmjena zdravstvenih podataka; pojedinačni zdravstveni kartoni mogli bi se dobrovoljno staviti na raspolaganje s pomoću pojedinačne elektroničke zdravstvene putovnice EU-a, u skladu s pravilima o zaštiti podataka. [#41, GT]</w:t>
      </w:r>
    </w:p>
    <w:p>
      <w:pPr>
        <w:pStyle w:val="Puce3"/>
        <w:tabs>
          <w:tab w:val="clear" w:pos="720"/>
        </w:tabs>
        <w:rPr/>
      </w:pPr>
      <w:r>
        <w:rPr/>
        <w:t>2.</w:t>
        <w:tab/>
        <w:t>Odgovarajuće radne uvjete, posebno snažnim socijalnim dijalogom, uključujući plaće i radne uvjete, te usklađivanjem standarda osposobljavanja i certificiranja za zdravstvene djelatnike; trebalo bi razviti programe umrežavanja i razmjene, kao što je Erasmus za medicinske škole, koji bi znatno pridonio razvoju vještina. Kako bi se zadržali talenti u Europi i mladim stručnjacima omogućilo da prošire svoje znanje i steknu radno iskustvo, trebalo bi uspostaviti programe razmjene EU-a kako bi se osiguralo da naši najbolji mozgovi u području znanosti o životu ne privuku treće zemlje. [#39, GT]</w:t>
      </w:r>
    </w:p>
    <w:p>
      <w:pPr>
        <w:pStyle w:val="Puce3"/>
        <w:tabs>
          <w:tab w:val="clear" w:pos="720"/>
        </w:tabs>
        <w:rPr/>
      </w:pPr>
      <w:r>
        <w:rPr/>
        <w:t>3.</w:t>
        <w:tab/>
        <w:t>Osigurati stratešku autonomiju na razini Unije kako bi se izbjegla ovisnost o trećim zemljama [</w:t>
      </w:r>
      <w:r>
        <w:rPr>
          <w:rStyle w:val="Ancredenotedefin"/>
          <w:rStyle w:val="Ancredenotedefin"/>
        </w:rPr>
        <w:endnoteReference w:id="5"/>
      </w:r>
      <w:r>
        <w:rPr/>
        <w:t>NL2] za lijekove (posebno aktivne sastojke) i medicinske proizvode (uključujući sirovine); konkretno, na razini Unije trebalo bi sastaviti popis ključnih i prioritetnih lijekova i liječenja, ali i inovativnih lijekova i liječenja (kao što su biotehnološka rješenja), na temelju postojećih europskih agencija i HERA-e, kako bi se osigurala njihova dostupnost građanima. Razmotriti organizaciju koordiniranog strateškog skladištenja diljem Unije. Kako bi se postiglo potrebno koordinirano i dugoročno djelovanje na razini Unije, uključivanje zdravstva i zdravstvene skrbi u nadležnosti koje dijele Unija i njezine države članice izmjenom članka 4. UFEU-a. [#40, #49, plenarno zasjedanje, radna skupina]</w:t>
      </w:r>
    </w:p>
    <w:p>
      <w:pPr>
        <w:pStyle w:val="Puce3"/>
        <w:tabs>
          <w:tab w:val="clear" w:pos="720"/>
        </w:tabs>
        <w:rPr/>
      </w:pPr>
      <w:r>
        <w:rPr/>
        <w:t>4.</w:t>
        <w:tab/>
        <w:t>Nastavak razvoja, koordinacije i financiranja postojećih programa istraživanja i inovacija u području zdravstva bez ugrožavanja drugih programa povezanih sa zdravljem, posebno za europske referentne mreže, s obzirom na to da su oni temelj za razvoj mreža zdravstvene skrbi za visokospecijalizirana i složena liječenja. [#42, #43, GT]</w:t>
      </w:r>
    </w:p>
    <w:p>
      <w:pPr>
        <w:pStyle w:val="Puce3"/>
        <w:tabs>
          <w:tab w:val="clear" w:pos="720"/>
        </w:tabs>
        <w:rPr/>
      </w:pPr>
      <w:r>
        <w:rPr/>
        <w:t>5.</w:t>
        <w:tab/>
        <w:t>Ulagati u zdravstvene sustave, posebno u javno i neprofitno područje, infrastrukturu i digitalno zdravstvo te osigurati da pružatelji zdravstvene zaštite poštuju načela potpune dostupnosti, cjenovne pristupačnosti i kvalitete usluga, čime se osigurava da zdravstveni djelatnici koji su malo ili uopće ne brinu za javni interes ne iscrpljuju resurse. [#51, GT]</w:t>
      </w:r>
    </w:p>
    <w:p>
      <w:pPr>
        <w:pStyle w:val="Puce3"/>
        <w:tabs>
          <w:tab w:val="clear" w:pos="720"/>
        </w:tabs>
        <w:rPr/>
      </w:pPr>
      <w:r>
        <w:rPr/>
        <w:t>6.</w:t>
        <w:tab/>
        <w:t>Davati čvrste preporuke državama članicama za ulaganje u učinkovite, pristupačne, cjenovno pristupačne, kvalitetne i otporne zdravstvene sustave, među ostalim u kontekstu europskog semestra. Utjecaj rata u Ukrajini na javno zdravlje pokazuje potrebu za daljnjim razvojem otpornih zdravstvenih sustava i mehanizama solidarnosti. [#51, GT]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54" w:name="__RefHeading___Toc298282_1346298689"/>
      <w:bookmarkEnd w:id="54"/>
      <w:r>
        <w:rPr/>
        <w:t>9. Prijedlog: Širi pogled na zdravlje</w:t>
      </w:r>
    </w:p>
    <w:p>
      <w:pPr>
        <w:pStyle w:val="P68B1DB1Normal15"/>
        <w:rPr>
          <w:b/>
          <w:b/>
        </w:rPr>
      </w:pPr>
      <w:r>
        <w:rPr/>
        <w:t>Cilj: Usvojiti holistički pristup zdravlju rješavanjem, uz bolesti i liječenja, zdravstvene kulture i prevencije te promicanjem zajedničkog razumijevanja problema s kojima se suočavaju bolesne osobe ili osobe s invaliditetom, u skladu s pristupom „Jedno zdravlje”, koji bi trebalo istaknuti kao međusektorsko i temeljno načelo koje obuhvaća sve politike Unije.</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55" w:name="__RefHeading___Toc298284_1346298689"/>
      <w:bookmarkEnd w:id="55"/>
      <w:r>
        <w:rPr/>
        <w:t>Mjere</w:t>
      </w:r>
      <w:r>
        <w:rPr>
          <w:rStyle w:val="Ancredenotedefin"/>
          <w:rStyle w:val="Ancredenotedefin"/>
        </w:rPr>
        <w:endnoteReference w:id="6"/>
      </w:r>
      <w:r>
        <w:rPr/>
        <w:t>:</w:t>
      </w:r>
    </w:p>
    <w:p>
      <w:pPr>
        <w:pStyle w:val="Puce3"/>
        <w:tabs>
          <w:tab w:val="clear" w:pos="720"/>
        </w:tabs>
        <w:rPr/>
      </w:pPr>
      <w:r>
        <w:rPr/>
        <w:t>1.</w:t>
        <w:tab/>
        <w:t>Poboljšati razumijevanje problema mentalnog zdravlja i načina njihova rješavanja, uključujući rano djetinjstvo i rano dijagnosticiranje, nadovezujući se na dobre prakse uspostavljene diljem Unije, koje bi trebale biti lako dostupne na Portalu dobre prakse u području javnog zdravlja. Kako bi se podigla razina osviještenosti, institucije Unije i relevantni dionici trebali bi organizirati događanja za razmjenu najboljih praksi i pomoći svojim članovima da ih šire u svojoj izbornoj jedinici. Trebalo bi razviti akcijski plan EU-a za mentalno zdravlje, kojim bi se pružila dugoročna strategija za mentalno zdravlje, uključujući istraživanja, te obuhvatila dostupnost stručnjaka, među ostalim za maloljetnike, te uspostava Europske godine mentalnog zdravlja u bliskoj budućnosti.</w:t>
      </w:r>
    </w:p>
    <w:p>
      <w:pPr>
        <w:pStyle w:val="Puce3"/>
        <w:tabs>
          <w:tab w:val="clear" w:pos="720"/>
        </w:tabs>
        <w:rPr/>
      </w:pPr>
      <w:r>
        <w:rPr/>
        <w:t>2.</w:t>
        <w:tab/>
        <w:t>Na razini EU-a razviti standardni obrazovni program o zdravom načinu života, koji obuhvaća i spolni odgoj. Program bi također trebao uključivati mjere usmjerene na zdrav način života i zaštitu okoliša te načine na koje mogu pomoći u sprečavanju mnogih bolesti, kao što je vožnja biciklom kao zdravo sredstvo dnevnog putovanja. Bila bi besplatno dostupna državama članicama i školama koje bi ga, prema potrebi, mogle koristiti u svojim programima. Takav program bi se bavio stereotipima o osobama koje su bolesne ili invalidne. [#46, GT]</w:t>
      </w:r>
    </w:p>
    <w:p>
      <w:pPr>
        <w:pStyle w:val="Puce3"/>
        <w:tabs>
          <w:tab w:val="clear" w:pos="720"/>
        </w:tabs>
        <w:rPr/>
      </w:pPr>
      <w:r>
        <w:rPr/>
        <w:t>3.</w:t>
        <w:tab/>
        <w:t>Razviti praktičnu obuku za pružanje prve pomoći koja bi se besplatno nudila svim građanima te razmotriti mogućnost redovitih tečajeva kao uobičajene prakse za studente i na radnom mjestu. Minimalni broj defibrilatora trebao bi biti dostupan i na javnim mjestima u svim državama članicama. [#50]</w:t>
      </w:r>
    </w:p>
    <w:p>
      <w:pPr>
        <w:pStyle w:val="Puce3"/>
        <w:tabs>
          <w:tab w:val="clear" w:pos="720"/>
        </w:tabs>
        <w:rPr/>
      </w:pPr>
      <w:r>
        <w:rPr/>
        <w:t>4.</w:t>
        <w:tab/>
        <w:t>Proširiti inicijativu Tjedan zdravlja, koja bi se održala u cijeloj Uniji u istom tjednu i tijekom koje bi trebalo rješavati sva zdravstvena pitanja i raspravljati o njima. Također razmotrite inicijative Godine zdravlja, počevši od Godine mentalnog zdravlja. [#44, GT]</w:t>
      </w:r>
    </w:p>
    <w:p>
      <w:pPr>
        <w:pStyle w:val="Puce3"/>
        <w:tabs>
          <w:tab w:val="clear" w:pos="720"/>
        </w:tabs>
        <w:rPr/>
      </w:pPr>
      <w:r>
        <w:rPr/>
        <w:t>5.</w:t>
        <w:tab/>
        <w:t>Prepoznati kao redoviti medicinski tretman za oporezivanje hormonskih kontracepcijskih proizvoda koji se koriste iz medicinskih razloga, na primjer u slučajevima fibromijalgije i endometrioze, kao i ženskih higijenskih proizvoda. Osigurati pristup reproduktivnim tretmanima za sve osobe s problemima plodnosti. [#45, GT]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56" w:name="__RefHeading___Toc298286_1346298689"/>
      <w:bookmarkEnd w:id="56"/>
      <w:r>
        <w:rPr/>
        <w:t>10. Prijedlog: Jednak pristup zdravlju za sve</w:t>
      </w:r>
    </w:p>
    <w:p>
      <w:pPr>
        <w:pStyle w:val="Normal"/>
        <w:rPr/>
      </w:pPr>
      <w:r>
        <w:rPr/>
        <w:t>Cilj: Uspostaviti „pravo na zdravlje” jamčeći svim Europljanima jednak i univerzalan pristup cjenovno pristupačnoj, preventivnoj, kurativnoj i kvalitetnoj zdravstvenoj skrbi.</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Mjere</w:t>
      </w:r>
      <w:r>
        <w:rPr>
          <w:rStyle w:val="Ancredenotedefin"/>
          <w:rStyle w:val="Ancredenotedefin"/>
        </w:rPr>
        <w:endnoteReference w:id="7"/>
      </w:r>
      <w:r>
        <w:rPr/>
        <w:t>:</w:t>
      </w:r>
    </w:p>
    <w:p>
      <w:pPr>
        <w:pStyle w:val="Puce3"/>
        <w:tabs>
          <w:tab w:val="clear" w:pos="720"/>
        </w:tabs>
        <w:rPr/>
      </w:pPr>
      <w:r>
        <w:rPr/>
        <w:t>1.</w:t>
        <w:tab/>
        <w:t>Uspostaviti zajedničke minimalne zdravstvene standarde na razini Unije, koji obuhvaćaju i prevenciju i dostupnost skrbi, kao i blizinu skrbi, te pružati potporu uspostavi takvih standarda. [#39, GT]</w:t>
      </w:r>
    </w:p>
    <w:p>
      <w:pPr>
        <w:pStyle w:val="Puce3"/>
        <w:tabs>
          <w:tab w:val="clear" w:pos="720"/>
        </w:tabs>
        <w:rPr/>
      </w:pPr>
      <w:r>
        <w:rPr/>
        <w:t>2.</w:t>
        <w:tab/>
        <w:t>Prepoznaju potrebu da se u potpunosti uzme u obzir načelo supsidijarnosti i ključna uloga lokalnih, regionalnih i nacionalnih zdravstvenih aktera [NL3], kako bi se osiguralo da se mjere mogu poduzeti na razini Unije kada se bolje riješi pitanje prava na zdravlje. Omogućiti brže i snažnije donošenje odluka o ključnim pitanjima i poboljšati učinkovitost europskog upravljanja za razvoj europske zdravstvene unije (npr. pandemija ili rijetke bolesti). [#49, FRsouhait11, digitalna platforma]</w:t>
      </w:r>
    </w:p>
    <w:p>
      <w:pPr>
        <w:pStyle w:val="Puce3"/>
        <w:tabs>
          <w:tab w:val="clear" w:pos="720"/>
        </w:tabs>
        <w:rPr/>
      </w:pPr>
      <w:r>
        <w:rPr/>
        <w:t>3.</w:t>
        <w:tab/>
        <w:t>Ojačati europsku zdravstvenu uniju iskorištavanjem punog potencijala postojećeg okvira i uključiti zdravlje i zdravstvenu skrb u nadležnosti koje dijele Unija i njezine države članice izmjenom članka 4. UFEU-a. [#49, FRsouhait11, digitalna platforma, GT]</w:t>
      </w:r>
      <w:r>
        <w:rPr>
          <w:rStyle w:val="Ancredenotedefin"/>
          <w:rStyle w:val="Ancredenotedefin"/>
        </w:rPr>
        <w:endnoteReference w:id="8"/>
      </w:r>
      <w:r>
        <w:rPr/>
        <w:t>.</w:t>
      </w:r>
    </w:p>
    <w:p>
      <w:pPr>
        <w:pStyle w:val="Puce3"/>
        <w:tabs>
          <w:tab w:val="clear" w:pos="720"/>
        </w:tabs>
        <w:rPr/>
      </w:pPr>
      <w:r>
        <w:rPr/>
        <w:t>4.</w:t>
        <w:tab/>
        <w:t>Osigurati da svatko ima pristup postojećim tretmanima u prvoj zemlji EU-a u kojoj su dostupna; u tu svrhu poboljšati prekograničnu suradnju, posebno u području rijetkih bolesti, raka, kardiovaskularnih bolesti i visokospecijaliziranog liječenja, kao što su transplantacija organa i liječenje teških opeklina. Potrebno je uspostaviti europsku mrežu transplantacije i darivanja organa za sve europske pacijente kojima je potrebna transplantacija. [plenarni i GT]</w:t>
      </w:r>
    </w:p>
    <w:p>
      <w:pPr>
        <w:pStyle w:val="Puce3"/>
        <w:tabs>
          <w:tab w:val="clear" w:pos="720"/>
        </w:tabs>
        <w:rPr/>
      </w:pPr>
      <w:r>
        <w:rPr/>
        <w:t>5.</w:t>
        <w:tab/>
        <w:t>Osigurati cjenovno pristupačnu skrb većim ulaganjima u zdravstvenu skrb, posebno stomatološke usluge, uključujući profilaksu, te osigurati dostupnost povoljne stomatološke skrbi svima u roku od 15 do 20 godina. [#48, GT]</w:t>
      </w:r>
    </w:p>
    <w:p>
      <w:pPr>
        <w:pStyle w:val="Puce3"/>
        <w:tabs>
          <w:tab w:val="clear" w:pos="720"/>
        </w:tabs>
        <w:rPr/>
      </w:pPr>
      <w:r>
        <w:rPr/>
        <w:t>6.</w:t>
        <w:tab/>
        <w:t>Osigurati da su tretmani i lijekovi diljem Unije jednake kvalitete i da imaju pravedne lokalne troškove, među ostalim rješavanjem trenutačne rascjepkanosti unutarnjeg tržišta. [#40, NL3, radna skupina, plenarna sjednica]</w:t>
      </w:r>
    </w:p>
    <w:p>
      <w:pPr>
        <w:pStyle w:val="Puce3"/>
        <w:tabs>
          <w:tab w:val="clear" w:pos="720"/>
        </w:tabs>
        <w:rPr/>
      </w:pPr>
      <w:r>
        <w:rPr/>
        <w:t>7.</w:t>
        <w:tab/>
        <w:t>Borba protiv zdravstvene nesigurnosti poticanjem pružanja besplatne stomatološke skrbi djeci, skupinama s niskim prihodima i drugim ranjivim skupinama, kao što su osobe s invaliditetom. Proučavajte i zdravstvene posljedice lošeg stanovanja. [#48, GT]</w:t>
      </w:r>
    </w:p>
    <w:p>
      <w:pPr>
        <w:pStyle w:val="Puce3"/>
        <w:tabs>
          <w:tab w:val="clear" w:pos="720"/>
        </w:tabs>
        <w:rPr/>
      </w:pPr>
      <w:r>
        <w:rPr/>
        <w:t>8.</w:t>
        <w:tab/>
        <w:t>Uzeti u obzir međunarodnu dimenziju zdravlja i prepoznati da bi lijekovi trebali biti univerzalno dostupni, uključujući u najsiromašnijim zemljama. [NL2]</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Normal"/>
        <w:rPr/>
      </w:pPr>
      <w:r>
        <w:rPr/>
        <w:drawing>
          <wp:anchor behindDoc="0" distT="0" distB="0" distL="0" distR="0" simplePos="0" locked="0" layoutInCell="1" allowOverlap="1" relativeHeight="15">
            <wp:simplePos x="0" y="0"/>
            <wp:positionH relativeFrom="column">
              <wp:posOffset>44450</wp:posOffset>
            </wp:positionH>
            <wp:positionV relativeFrom="paragraph">
              <wp:posOffset>43180</wp:posOffset>
            </wp:positionV>
            <wp:extent cx="913765" cy="913765"/>
            <wp:effectExtent l="0" t="0" r="0" b="0"/>
            <wp:wrapSquare wrapText="largest"/>
            <wp:docPr id="63" name="Slika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Slika23" descr=""/>
                    <pic:cNvPicPr>
                      <a:picLocks noChangeAspect="1" noChangeArrowheads="1"/>
                    </pic:cNvPicPr>
                  </pic:nvPicPr>
                  <pic:blipFill>
                    <a:blip r:embed="rId76"/>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57" w:name="__RefHeading___Toc298288_1346298689"/>
      <w:bookmarkEnd w:id="57"/>
      <w:r>
        <w:rPr/>
        <w:t>Snažnije gospodarstvo, socijalna pravda i zapošljavanje</w:t>
      </w:r>
    </w:p>
    <w:p>
      <w:pPr>
        <w:pStyle w:val="P68B1DB1Normal15"/>
        <w:rPr>
          <w:b/>
          <w:b/>
        </w:rPr>
      </w:pPr>
      <w:r>
        <w:rPr/>
        <w:t>Uvod</w:t>
      </w:r>
    </w:p>
    <w:p>
      <w:pPr>
        <w:pStyle w:val="Normal"/>
        <w:rPr/>
      </w:pPr>
      <w:r>
        <w:rPr/>
        <w:t>Živimo u iznimnim okolnostima, a Europska unija ocjenjivat će se prema njezinim nastojanjima da iz trenutačnih kriza izađe snažnije, s održivijim, uključivijim, konkurentnijim i otpornijim modelom rasta. Ruska invazija na Ukrajinu i pandemija bolesti COVID-19 promijenile su lice EU-a. Konferencija će se također morati baviti društvenim i gospodarskim posljedicama ovog rata u već vrlo teškom postpandemijskom kontekstu. Istodobno, klimatske promjene i dalje predstavljaju prijetnju čovječanstvu te će imati dramatičan učinak na gospodarstvo i naša društva. Iz zaprimljenih preporuka jasno je da građani pozivaju na snažnije djelovanje EU-a. Za neriješene transnacionalne izazove kao što su nejednakost, konkurentnost, zdravlje, klimatske promjene, migracije, digitalizacija ili pravedno oporezivanje potrebna su odgovarajuća europska rješenja. Iz preporuka i rasprava jasno je da nam je potrebna sveobuhvatna strategija kako bismo osigurali veću dobrobit europskih građana u različitim aspektima njihovih života. Neki elementi te strategije uključeni su u postojeće politike i mogu se postići potpunim iskorištavanjem postojećeg institucionalnog okvira na europskoj i nacionalnoj razini; drugi će zahtijevati nove politike i, u nekim slučajevima, izmjene ugovora. Međutim, nove politike i promjene ugovora treba promatrati kao sredstvo za poboljšanje dobrobiti, a ne kao cilj sam po sebi. Moguće je i nužno redefinirati Uniju kako bi se zajamčila njezina strateška autonomija, održiv rast, poboljšanje životnih i radnih uvjeta te ljudski napredak, bez iscrpljivanja ili uništavanja resursa našeg planeta, u okviru obnovljenog društvenog ugovora. Tim se preporukama nastoje postići ti ciljevi. Prijedloge u nastavku trebalo bi pročitati uzimajući u obzir da su građani diljem Europe iznijeli različita stajališta i preporuke. Upravo je ta raznolikost stajališta jedna od neusporedivih prednosti Europe.</w:t>
      </w:r>
    </w:p>
    <w:p>
      <w:pPr>
        <w:pStyle w:val="Normal"/>
        <w:rPr/>
      </w:pPr>
      <w:r>
        <w:rPr/>
      </w:r>
      <w:r>
        <w:br w:type="page"/>
      </w:r>
    </w:p>
    <w:p>
      <w:pPr>
        <w:pStyle w:val="Titre3"/>
        <w:numPr>
          <w:ilvl w:val="2"/>
          <w:numId w:val="2"/>
        </w:numPr>
        <w:rPr/>
      </w:pPr>
      <w:bookmarkStart w:id="58" w:name="__RefHeading___Toc298290_1346298689"/>
      <w:bookmarkEnd w:id="58"/>
      <w:r>
        <w:rPr/>
        <w:t>11. Prijedlog: Održivi rast i inovacije</w:t>
      </w:r>
    </w:p>
    <w:p>
      <w:pPr>
        <w:pStyle w:val="P68B1DB1Normal15"/>
        <w:rPr>
          <w:b/>
          <w:b/>
        </w:rPr>
      </w:pPr>
      <w:r>
        <w:rPr/>
        <w:t>Cilj: Predlažemo da EU podrži prijelaz na održiv i otporan model rasta, uzimajući u obzir zelenu i digitalnu tranziciju sa snažnom socijalnom dimenzijom u europskom semestru i osnaživanje građana, sindikata i poduzeća. Konvencionalni makroekonomski pokazatelji i BDP mogli bi se dopuniti novim pokazateljima kako bi se odgovorilo na nove europske prioritete, kao što su europski zeleni plan ili europski stup socijalnih prava, te kako bi se bolje odražavala zelena i digitalna tranzicija te dobrobit ljudi. To bi se moglo postići sljedećim mjerama:</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Mjere</w:t>
      </w:r>
      <w:r>
        <w:rPr>
          <w:rStyle w:val="Ancredenotedefin"/>
          <w:rStyle w:val="Ancredenotedefin"/>
        </w:rPr>
        <w:endnoteReference w:id="9"/>
      </w:r>
      <w:r>
        <w:rPr/>
        <w:t>:</w:t>
      </w:r>
    </w:p>
    <w:p>
      <w:pPr>
        <w:pStyle w:val="Puce3"/>
        <w:rPr/>
      </w:pPr>
      <w:r>
        <w:rPr/>
        <w:t>1.</w:t>
        <w:tab/>
        <w:t>Promicanje zelenijih proizvodnih procesa poduzeća, pomoć poduzećima u pronalaženju najboljih rješenja te pružanje pozitivnih i negativnih poticaja. (PCE 11 i 12) i povećati lokalnu proizvodnju i potrošnju (rasprave).</w:t>
      </w:r>
    </w:p>
    <w:p>
      <w:pPr>
        <w:pStyle w:val="Puce3"/>
        <w:tabs>
          <w:tab w:val="clear" w:pos="720"/>
        </w:tabs>
        <w:rPr/>
      </w:pPr>
      <w:r>
        <w:rPr/>
        <w:t>2.</w:t>
        <w:tab/>
        <w:t>Rad na održivijem i kružnom gospodarstvu rješavanjem problema planiranog zastarijevanja i jamčenjem prava na naknadu štete (PCE 14).</w:t>
      </w:r>
    </w:p>
    <w:p>
      <w:pPr>
        <w:pStyle w:val="Puce3"/>
        <w:tabs>
          <w:tab w:val="clear" w:pos="720"/>
        </w:tabs>
        <w:rPr/>
      </w:pPr>
      <w:r>
        <w:rPr/>
        <w:t>3.</w:t>
        <w:tab/>
        <w:t>Ispitati gospodarsko upravljanje Unijom i europski semestar kako bi se osiguralo da zelena i digitalna tranzicija, socijalna pravda i socijalni napredak idu ruku pod ruku s gospodarskom konkurentnošću, a da se pritom ne zanemari gospodarska i proračunska priroda europskog semestra. Osim toga, potrebno je bolje uključiti socijalne partnere te lokalne i regionalne vlasti u provedbu europskog semestra kako bi se poboljšala njegova primjena i odgovornost (e-platforma, rasprave).</w:t>
      </w:r>
    </w:p>
    <w:p>
      <w:pPr>
        <w:pStyle w:val="Puce3"/>
        <w:tabs>
          <w:tab w:val="clear" w:pos="720"/>
        </w:tabs>
        <w:rPr/>
      </w:pPr>
      <w:r>
        <w:rPr/>
        <w:t>4.</w:t>
        <w:tab/>
        <w:t>Borba protiv upotrebe plastične ambalaže/spremnika za jednokratnu upotrebu (PCE 12).</w:t>
      </w:r>
    </w:p>
    <w:p>
      <w:pPr>
        <w:pStyle w:val="Puce3"/>
        <w:tabs>
          <w:tab w:val="clear" w:pos="720"/>
        </w:tabs>
        <w:rPr/>
      </w:pPr>
      <w:r>
        <w:rPr/>
        <w:t>5.</w:t>
        <w:tab/>
        <w:t>Proširiti upotrebu europske tehnologije i učiniti je održivom alternativom inozemnoj tehnologiji (rasprave).</w:t>
      </w:r>
    </w:p>
    <w:p>
      <w:pPr>
        <w:pStyle w:val="Puce3"/>
        <w:tabs>
          <w:tab w:val="clear" w:pos="720"/>
        </w:tabs>
        <w:rPr/>
      </w:pPr>
      <w:r>
        <w:rPr/>
        <w:t>6.</w:t>
        <w:tab/>
        <w:t>Promicati istraživanje novih materijala i tehnologija, kao i inovativnu upotrebu postojećih materijala, izbjegavajući pritom udvostručavanje istraživačkih napora (PCE 9, NL 1).</w:t>
      </w:r>
    </w:p>
    <w:p>
      <w:pPr>
        <w:pStyle w:val="Puce3"/>
        <w:tabs>
          <w:tab w:val="clear" w:pos="720"/>
        </w:tabs>
        <w:rPr/>
      </w:pPr>
      <w:r>
        <w:rPr/>
        <w:t>7.</w:t>
        <w:tab/>
        <w:t>Razmotriti održivost, cjenovnu pristupačnost i dostupnost energije, uzimajući u obzir energetsko siromaštvo i ovisnost o trećim zemljama, povećanjem udjela održivo proizvedene energije (CEP 10, LT 3, IT 1.1).</w:t>
      </w:r>
    </w:p>
    <w:p>
      <w:pPr>
        <w:pStyle w:val="Puce3"/>
        <w:tabs>
          <w:tab w:val="clear" w:pos="720"/>
        </w:tabs>
        <w:rPr/>
      </w:pPr>
      <w:r>
        <w:rPr/>
        <w:t>8.</w:t>
        <w:tab/>
        <w:t>Podizanje svijesti među poduzećima i građanima radi usvajanja održivijeg ponašanja i osiguravanja pravedne tranzicije na temelju socijalnog dijaloga i kvalitetnih radnih mjesta (CEP 12 i internetska platforma).</w:t>
      </w:r>
    </w:p>
    <w:p>
      <w:pPr>
        <w:pStyle w:val="Puce3"/>
        <w:tabs>
          <w:tab w:val="clear" w:pos="720"/>
        </w:tabs>
        <w:rPr/>
      </w:pPr>
      <w:r>
        <w:rPr/>
        <w:t>9.</w:t>
        <w:tab/>
        <w:t>Uključiti ambiciozne socijalne, radne i zdravstvene standarde, uključujući zdravlje i sigurnost na radu, u nove trgovinske sporazume EU-a. (PREUSMJERENO SA LT8)</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59" w:name="__RefHeading___Toc298292_1346298689"/>
      <w:bookmarkEnd w:id="59"/>
      <w:r>
        <w:rPr/>
        <w:t>12. Prijedlog: Jačanje konkurentnosti Unije i daljnje produbljivanje jedinstvenog tržišta</w:t>
      </w:r>
    </w:p>
    <w:p>
      <w:pPr>
        <w:pStyle w:val="Normal"/>
        <w:rPr/>
      </w:pPr>
      <w:r>
        <w:rPr/>
        <w:t>Cilj: Predlažemo jačanje konkurentnosti i otpornosti gospodarstva, jedinstvenog tržišta i industrije EU-a te rješavanje strateških ovisnosti. Moramo promicati poduzetničku kulturu u EU-u u kojoj se potiču inovativna poduzeća svih veličina, posebno mikropoduzeća te mala i srednja poduzeća te novoosnovana poduzeća, te koja mogu napredovati kako bi doprinijeli otpornijim i uključivijim društvima. Potrebno je snažno i održivo tržišno gospodarstvo kako bi se olakšala vizija socijalne Europe. To bi se moglo postići sljedećim mjerama:</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Mjere</w:t>
      </w:r>
      <w:r>
        <w:rPr>
          <w:rStyle w:val="Ancredenotedefin"/>
          <w:rStyle w:val="Ancredenotedefin"/>
        </w:rPr>
        <w:endnoteReference w:id="10"/>
      </w:r>
      <w:r>
        <w:rPr/>
        <w:t>:</w:t>
      </w:r>
    </w:p>
    <w:p>
      <w:pPr>
        <w:pStyle w:val="Puce3"/>
        <w:tabs>
          <w:tab w:val="clear" w:pos="720"/>
        </w:tabs>
        <w:rPr/>
      </w:pPr>
      <w:r>
        <w:rPr/>
        <w:t>1.</w:t>
        <w:tab/>
        <w:t>Razviti jasnu viziju europskog gospodarstva i nadovezati se na prednosti, kvalitetu i raznolikost Europe, uzimajući pritom u obzir gospodarske i druge razlike među državama članicama, te promicati suradnju i tržišno natjecanje među poduzećima. (NL 1 i 2)</w:t>
      </w:r>
    </w:p>
    <w:p>
      <w:pPr>
        <w:pStyle w:val="Puce3"/>
        <w:tabs>
          <w:tab w:val="clear" w:pos="720"/>
        </w:tabs>
        <w:rPr/>
      </w:pPr>
      <w:r>
        <w:rPr/>
        <w:t>2.</w:t>
        <w:tab/>
        <w:t>Konsolidirati ono što je učinjeno u pogledu jedinstvene valute i međupovezanosti platnih sustava i telekomunikacija. (Preusmjereno sa 4.a.2)</w:t>
      </w:r>
    </w:p>
    <w:p>
      <w:pPr>
        <w:pStyle w:val="Puce3"/>
        <w:tabs>
          <w:tab w:val="clear" w:pos="720"/>
        </w:tabs>
        <w:rPr/>
      </w:pPr>
      <w:r>
        <w:rPr/>
        <w:t>3.</w:t>
        <w:tab/>
        <w:t>Smanjiti standardizaciju proizvoda i prepoznati lokalne i regionalne posebnosti u pogledu kulture i proizvodnje (poštovanje proizvodnih tradicija). (PREUSMJERENO SA 2.2)</w:t>
      </w:r>
    </w:p>
    <w:p>
      <w:pPr>
        <w:pStyle w:val="Puce3"/>
        <w:tabs>
          <w:tab w:val="clear" w:pos="720"/>
        </w:tabs>
        <w:rPr/>
      </w:pPr>
      <w:r>
        <w:rPr/>
        <w:t>4.</w:t>
        <w:tab/>
        <w:t>Jačanje uzlazne socijalne i gospodarske konvergencije unutar jedinstvenog tržišta dovršenjem postojećih inicijativa kao što su bankovna unija i unija tržišta kapitala te provedbom reforme naše ekonomske i monetarne unije (rasprave) usmjerene na budućnost.</w:t>
      </w:r>
    </w:p>
    <w:p>
      <w:pPr>
        <w:pStyle w:val="Puce3"/>
        <w:tabs>
          <w:tab w:val="clear" w:pos="720"/>
        </w:tabs>
        <w:rPr/>
      </w:pPr>
      <w:r>
        <w:rPr/>
        <w:t>5.</w:t>
        <w:tab/>
        <w:t>Promicati politike za snažnu industrijsku bazu i inovacije u ključnim razvojnim tehnologijama, kao i klimatsku politiku usmjerenu na budućnost, zajedno s industrijskom konkurentnošću sa snažnom socijalnom dimenzijom, koja se temelji na socijalnom dijalogu i dobrim industrijskim odnosima (raspravama).</w:t>
      </w:r>
    </w:p>
    <w:p>
      <w:pPr>
        <w:pStyle w:val="Puce3"/>
        <w:tabs>
          <w:tab w:val="clear" w:pos="720"/>
        </w:tabs>
        <w:rPr/>
      </w:pPr>
      <w:r>
        <w:rPr/>
        <w:t>6.</w:t>
        <w:tab/>
        <w:t>U svim novim inicijativama posebnu pozornost treba posvetiti MSP-ovima, koji su okosnica našeg gospodarstva. Načelo „počnimo od malih i srednjih poduzeća” mora se poštovati u svim zakonodavnim prijedlozima EU-a, a test utjecaja na MSP-ove treba ojačati u Komisijinim procjenama učinka, u skladu s jasnim načelima, uz potpuno poštovanje socijalnih i ekoloških standarda i prava potrošača (rasprave).</w:t>
      </w:r>
    </w:p>
    <w:p>
      <w:pPr>
        <w:pStyle w:val="Puce3"/>
        <w:tabs>
          <w:tab w:val="clear" w:pos="720"/>
        </w:tabs>
        <w:rPr/>
      </w:pPr>
      <w:r>
        <w:rPr/>
        <w:t>7.</w:t>
        <w:tab/>
        <w:t>Osigurati sudjelovanje MSP-ova u prijavama za financiranje, pozivima na podnošenje ponuda i mrežama, uz najmanji mogući administrativni napor. Subjekti kao što su Europsko vijeće za inovacije i Europska investicijska banka (rasprave) trebali bi dodatno razvijati pristup financiranju za MSP-ove s visokorizičnim inovacijskim projektima.</w:t>
      </w:r>
    </w:p>
    <w:p>
      <w:pPr>
        <w:pStyle w:val="Puce3"/>
        <w:tabs>
          <w:tab w:val="clear" w:pos="720"/>
        </w:tabs>
        <w:rPr/>
      </w:pPr>
      <w:r>
        <w:rPr/>
        <w:t>8.</w:t>
        <w:tab/>
        <w:t>Stvoriti bolji okvir za ulaganja u istraživanje i inovacije kako bi se izgradili održiviji poslovni modeli bogatiji bioraznolikošću (CEP 10, 11 i 14); usredotočenost na tehnologiju i inovacije kao pokretače rasta. (PREUSMJERENO SA 1.3)</w:t>
      </w:r>
    </w:p>
    <w:p>
      <w:pPr>
        <w:pStyle w:val="Puce3"/>
        <w:tabs>
          <w:tab w:val="clear" w:pos="720"/>
        </w:tabs>
        <w:rPr/>
      </w:pPr>
      <w:r>
        <w:rPr/>
        <w:t>9.</w:t>
        <w:tab/>
        <w:t>Promicati kolektivne gospodarske rezultate putem autonomne i konkurentne industrije. (FR3)</w:t>
      </w:r>
    </w:p>
    <w:p>
      <w:pPr>
        <w:pStyle w:val="Puce3"/>
        <w:tabs>
          <w:tab w:val="clear" w:pos="720"/>
        </w:tabs>
        <w:rPr/>
      </w:pPr>
      <w:r>
        <w:rPr/>
        <w:t>10.</w:t>
        <w:tab/>
        <w:t>Utvrđivanje i razvoj strateških sektora, uključujući svemir, robotiku i umjetnu inteligenciju. (Hr 3 i 9)</w:t>
      </w:r>
    </w:p>
    <w:p>
      <w:pPr>
        <w:pStyle w:val="Puce3"/>
        <w:tabs>
          <w:tab w:val="clear" w:pos="720"/>
        </w:tabs>
        <w:rPr/>
      </w:pPr>
      <w:r>
        <w:rPr/>
        <w:t>11.</w:t>
        <w:tab/>
        <w:t>Ulagati u turizam i kulturnu ekonomiju te vrednovati brojna mala odredišta u Europi. (PREUSMJERENO SA 1.2)</w:t>
      </w:r>
    </w:p>
    <w:p>
      <w:pPr>
        <w:pStyle w:val="Puce3"/>
        <w:tabs>
          <w:tab w:val="clear" w:pos="720"/>
        </w:tabs>
        <w:rPr/>
      </w:pPr>
      <w:r>
        <w:rPr/>
        <w:t>12.</w:t>
        <w:tab/>
        <w:t>Osigurati sigurnost opskrbe diversifikacijom izvora ulaznih/sirovina i povećanjem proizvodnje osnovnih dobara u Europi, kao što su zdravlje, hrana, energija, obrana i promet. (HR 9, LT 1, TO 1.4)</w:t>
      </w:r>
    </w:p>
    <w:p>
      <w:pPr>
        <w:pStyle w:val="Puce3"/>
        <w:tabs>
          <w:tab w:val="clear" w:pos="720"/>
        </w:tabs>
        <w:rPr/>
      </w:pPr>
      <w:r>
        <w:rPr/>
        <w:t>13.</w:t>
        <w:tab/>
        <w:t>Promicanje digitalizacije europskih poduzeća, na primjer s pomoću posebnog pregleda pokazatelja kojim se poduzećima omogućuje da usporede svoj stupanj digitalizacije, s općim ciljem povećanja njihove konkurentnosti. (PREUSMJERENO SA 2.1)</w:t>
      </w:r>
    </w:p>
    <w:p>
      <w:pPr>
        <w:pStyle w:val="Puce3"/>
        <w:tabs>
          <w:tab w:val="clear" w:pos="720"/>
        </w:tabs>
        <w:rPr/>
      </w:pPr>
      <w:r>
        <w:rPr/>
        <w:t>14.</w:t>
        <w:tab/>
        <w:t>Promicati digitalnu koheziju kako bi se doprinijelo gospodarskoj, socijalnoj i teritorijalnoj koheziji kako je definirana u Ugovoru o funkcioniranju Europske unije (rasprave).</w:t>
      </w:r>
    </w:p>
    <w:p>
      <w:pPr>
        <w:pStyle w:val="Puce3"/>
        <w:tabs>
          <w:tab w:val="clear" w:pos="720"/>
        </w:tabs>
        <w:rPr/>
      </w:pPr>
      <w:r>
        <w:rPr/>
        <w:t>15.</w:t>
        <w:tab/>
        <w:t>Jačanje prekogranične suradnje radi jačanja kohezije i otpornosti unutar i izvan regija poticanjem europskog prekograničnog mehanizma i sličnih alata (rasprave).</w:t>
      </w:r>
    </w:p>
    <w:p>
      <w:pPr>
        <w:pStyle w:val="Puce3"/>
        <w:tabs>
          <w:tab w:val="clear" w:pos="720"/>
        </w:tabs>
        <w:rPr/>
      </w:pPr>
      <w:r>
        <w:rPr/>
        <w:t>16.</w:t>
        <w:tab/>
        <w:t>Jačanje i promicanje mogućnosti prekograničnog osposobljavanja kako bi se unaprijedile vještine europske radne snage i povećala konkurentnost, uz istodobno jačanje vještina građana u području gospodarstva. (DE 2.2, LT7). Promicati trgovinu među radnicima u Europi putem Europskog centra za zapošljavanje; (Točka 6.1.) poticati mlade da studiraju znanstvene predmete. (PREUSMJERENO SA 1.5)</w:t>
      </w:r>
    </w:p>
    <w:p>
      <w:pPr>
        <w:pStyle w:val="Puce3"/>
        <w:tabs>
          <w:tab w:val="clear" w:pos="720"/>
        </w:tabs>
        <w:rPr/>
      </w:pPr>
      <w:r>
        <w:rPr/>
        <w:t>17.</w:t>
        <w:tab/>
        <w:t>Smanjiti birokraciju (odobrenja, certifikati) ako to nije nužno. (PREUSMJERENO SA 2.1)</w:t>
      </w:r>
    </w:p>
    <w:p>
      <w:pPr>
        <w:pStyle w:val="Puce3"/>
        <w:tabs>
          <w:tab w:val="clear" w:pos="720"/>
        </w:tabs>
        <w:rPr/>
      </w:pPr>
      <w:r>
        <w:rPr/>
        <w:t>18.</w:t>
        <w:tab/>
        <w:t>Borba protiv krivotvorenja i nepoštenog tržišnog natjecanja. (PREUSMJERENO SA 2.4)</w:t>
      </w:r>
    </w:p>
    <w:p>
      <w:pPr>
        <w:pStyle w:val="Puce3"/>
        <w:tabs>
          <w:tab w:val="clear" w:pos="720"/>
        </w:tabs>
        <w:rPr/>
      </w:pPr>
      <w:r>
        <w:rPr/>
        <w:t>19.</w:t>
        <w:tab/>
        <w:t>Osigurati veće sudjelovanje novoosnovanih poduzeća i MSP-ova u inovacijskim projektima jer se time jača njihova inovacijska snaga, konkurentnost i umrežavanje (e-platforma, rasprave).</w:t>
      </w:r>
    </w:p>
    <w:p>
      <w:pPr>
        <w:pStyle w:val="Puce3"/>
        <w:tabs>
          <w:tab w:val="clear" w:pos="720"/>
        </w:tabs>
        <w:rPr/>
      </w:pPr>
      <w:r>
        <w:rPr/>
        <w:t>20.</w:t>
        <w:tab/>
        <w:t>Konsolidacija i zaštita jedinstvenog tržišta trebale bi ostati prioritet; mjerama i inicijativama poduzetima na nacionalnoj razini i razini Unije ne bi se smjelo dovoditi u pitanje jedinstveno tržište te bi se njima trebalo doprinijeti slobodnom kretanju osoba, robe, usluga i kapitala (rasprave).</w:t>
      </w:r>
    </w:p>
    <w:p>
      <w:pPr>
        <w:pStyle w:val="Puce3"/>
        <w:tabs>
          <w:tab w:val="clear" w:pos="720"/>
        </w:tabs>
        <w:rPr/>
      </w:pPr>
      <w:r>
        <w:rPr/>
        <w:t>21.</w:t>
        <w:tab/>
        <w:t>Nove političke inicijative EU-a trebale bi podlijegati „provjeri konkurentnosti” kako bi se analizirao njihov učinak na poduzeća i njihovo poslovno okruženje (trošak gospodarske aktivnosti, inovacijski kapacitet, međunarodna konkurentnost, jednaki uvjeti itd.). To je praćenje u skladu s Pariškim sporazumom i ciljevima održivog razvoja, uključujući rodnu ravnopravnost, te se njime ne ugrožava zaštita ljudskih prava, socijalnih i radničkih prava ili standarda zaštite okoliša i potrošača. U tu svrhu predlažemo i osnivanje Europskog savjetodavnog tijela za konkurentnost kako bi se pratio način praćenja konkurentnosti, a posebno kako bi se procijenili kumulativni učinci zakonodavstva te iznijeli prijedlozi za poboljšanje odgovarajućih okvirnih uvjeta za konkurentnost poduzeća iz EU-a. To bi tijelo u svoje upravljanje trebalo uključiti organizirano civilno društvo i socijalne partnere; (razgovori)</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60" w:name="__RefHeading___Toc298294_1346298689"/>
      <w:bookmarkEnd w:id="60"/>
      <w:r>
        <w:rPr/>
        <w:t>13. Prijedlog: Uključiva tržišta rada</w:t>
      </w:r>
    </w:p>
    <w:p>
      <w:pPr>
        <w:pStyle w:val="P68B1DB1Normal15"/>
        <w:rPr>
          <w:b/>
          <w:b/>
        </w:rPr>
      </w:pPr>
      <w:r>
        <w:rPr/>
        <w:t>Cilj: Predlažemo poboljšanje funkcioniranja tržišta rada kako bi se osigurali pravedniji radni uvjeti i promicala rodna ravnopravnost i zapošljavanje, posebno za mlade i ranjive skupine. EU, države članice i socijalni partneri moraju raditi na iskorjenjivanju siromaštva radnika, jačanju prava radnika koji rade putem platformi, zabraniti neplaćeno pripravništvo i osigurati pravednu mobilnost radne snage u Uniji. Moramo promicati socijalni dijalog i kolektivno pregovaranje. Moramo osigurati potpunu provedbu europskog stupa socijalnih prava, uključujući njegove relevantne glavne ciljeve za 2030., na europskoj, nacionalnoj, regionalnoj i lokalnoj razini u područjima „jednakih mogućnosti i pristupa tržištu rada” i „poštenih radnih uvjeta”, uz poštovanje nadležnosti i načela supsidijarnosti i proporcionalnosti, te uključiti Protokol o socijalnom napretku u Ugovore. Pritom je potrebno poštovati nacionalne tradicije i autonomiju socijalnih partnera te surađivati s civilnim društvom. To bi se moglo postići sljedećim mjerama:</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Mjere</w:t>
      </w:r>
      <w:r>
        <w:rPr>
          <w:rStyle w:val="Ancredenotedefin"/>
          <w:rStyle w:val="Ancredenotedefin"/>
        </w:rPr>
        <w:endnoteReference w:id="11"/>
      </w:r>
      <w:r>
        <w:rPr/>
        <w:t>:</w:t>
      </w:r>
    </w:p>
    <w:p>
      <w:pPr>
        <w:pStyle w:val="Puce3"/>
        <w:tabs>
          <w:tab w:val="clear" w:pos="720"/>
        </w:tabs>
        <w:rPr/>
      </w:pPr>
      <w:r>
        <w:rPr/>
        <w:t>1.</w:t>
        <w:tab/>
        <w:t>Osigurati da zakonom propisane minimalne plaće svakom radniku jamče pristojnu i sličnu kvalitetu života u svim državama članicama. Trebalo bi definirati jasne kriterije (npr. trošak života, inflaciju, razinu iznad granice siromaštva, prosječne i srednje plaće na nacionalnoj razini) koji će se uzeti u obzir pri određivanju razine minimalne plaće. Razine zakonskih minimalnih plaća trebalo bi redovito preispitivati s obzirom na te kriterije kako bi se osigurala njihova primjerenost. Posebnu pozornost trebalo bi posvetiti učinkovitoj provedbi tih pravila te praćenju i praćenju poboljšanja životnog standarda. Istodobno bi trebalo ojačati i promicati kolektivno pregovaranje u cijeloj Uniji (PCE 1 i 30; 4.2; internetska platforma).</w:t>
      </w:r>
    </w:p>
    <w:p>
      <w:pPr>
        <w:pStyle w:val="Puce3"/>
        <w:tabs>
          <w:tab w:val="clear" w:pos="720"/>
        </w:tabs>
        <w:rPr/>
      </w:pPr>
      <w:r>
        <w:rPr/>
        <w:t>2.</w:t>
        <w:tab/>
        <w:t>Razmotriti i dodatno ojačati provedbu Direktive o radnom vremenu (Direktiva 2003/88/EZ) i drugog relevantnog zakonodavstva kojima se osigurava zdrava ravnoteža između poslovnog i privatnog života, uzimajući u obzir nove nacionalne politike u tom području (CEP 2).</w:t>
      </w:r>
    </w:p>
    <w:p>
      <w:pPr>
        <w:pStyle w:val="Puce3"/>
        <w:tabs>
          <w:tab w:val="clear" w:pos="720"/>
        </w:tabs>
        <w:rPr/>
      </w:pPr>
      <w:r>
        <w:rPr/>
        <w:t>3.</w:t>
        <w:tab/>
        <w:t>Uvođenje ili jačanje postojećeg zakonodavstva o „pametnom radu” i poticanje poduzeća na promicanje tog novog načina rada. (PCE 7) Unija bi trebala jamčiti pravo na isključivanje, učiniti više za rješavanje digitalnog jaza na radnom mjestu i procijeniti posljedice rada na daljinu na zdravlje, radno vrijeme i uspješnost. Potrebno je osigurati pravednu digitalizaciju na temelju ljudskih prava, poboljšanih radnih uvjeta i kolektivnog pregovaranja (rasprave).</w:t>
      </w:r>
    </w:p>
    <w:p>
      <w:pPr>
        <w:pStyle w:val="Puce3"/>
        <w:tabs>
          <w:tab w:val="clear" w:pos="720"/>
        </w:tabs>
        <w:rPr/>
      </w:pPr>
      <w:r>
        <w:rPr/>
        <w:t>4.</w:t>
        <w:tab/>
        <w:t>Integriranje politika zapošljavanja na razini EU-a, gdje su aktivne politike tržišta rada i dalje središnje i sve usklađenije (IT 6.2), dok se države članice usredotočuju na daljnje reformske napore za stvaranje povoljnih uvjeta za otvaranje kvalitetnih radnih mjesta (rasprave).</w:t>
      </w:r>
    </w:p>
    <w:p>
      <w:pPr>
        <w:pStyle w:val="Puce3"/>
        <w:tabs>
          <w:tab w:val="clear" w:pos="720"/>
        </w:tabs>
        <w:rPr/>
      </w:pPr>
      <w:r>
        <w:rPr/>
        <w:t>5.</w:t>
        <w:tab/>
        <w:t>Poduzeti mjere kako bi se osiguralo da su socijalna prava u potpunosti zaštićena i da imaju prednost pred gospodarskim slobodama u slučaju sukoba, među ostalim uvođenjem protokola o socijalnom napretku u ugovore (internetska platforma, rasprave).</w:t>
      </w:r>
    </w:p>
    <w:p>
      <w:pPr>
        <w:pStyle w:val="Puce3"/>
        <w:tabs>
          <w:tab w:val="clear" w:pos="720"/>
        </w:tabs>
        <w:rPr/>
      </w:pPr>
      <w:r>
        <w:rPr/>
        <w:t>6.</w:t>
        <w:tab/>
        <w:t>Osiguravanje rodne ravnopravnosti u skladu sa Strategijom EU-a za rodnu ravnopravnost 2020. 2025. Unija bi trebala nastaviti mjeriti rodnu ravnopravnost s pomoću indeksa rodne ravnopravnosti (stavovi, razlike u plaćama, zapošljavanje, vodstvo itd.), svake godine pratiti strategiju, biti transparentna u pogledu postignutih rezultata, poticati razmjenu stručnog znanja i najboljih praksi te uspostaviti mogući izravan mehanizam za povratne informacije građana (npr. pravobranitelj) (ECP 28; 5.a.1.) Potrebno je riješiti pitanje razlike u plaćama između spolova i uvesti kvote za radna mjesta višeg rukovodstva. Poduzetnice bi trebale imati koristi od povećane potpore u poslovnom okruženju, kao i žene u znanosti, tehnologiji, inženjerstvu i matematici (rasprave).</w:t>
      </w:r>
    </w:p>
    <w:p>
      <w:pPr>
        <w:pStyle w:val="Puce3"/>
        <w:tabs>
          <w:tab w:val="clear" w:pos="720"/>
        </w:tabs>
        <w:rPr/>
      </w:pPr>
      <w:r>
        <w:rPr/>
        <w:t>7.</w:t>
        <w:tab/>
        <w:t>Promicati zapošljavanje mladih, među ostalim financijskom potporom poduzećima, ali i pružanjem dodatne potpore poslodavcima i radnicima (NL 4) te potporom mladim poduzetnicima i mladim samozaposlenim radnicima, primjerice obrazovnim alatima i tečajevima (rasprave).</w:t>
      </w:r>
    </w:p>
    <w:p>
      <w:pPr>
        <w:pStyle w:val="Puce3"/>
        <w:tabs>
          <w:tab w:val="clear" w:pos="720"/>
        </w:tabs>
        <w:rPr/>
      </w:pPr>
      <w:r>
        <w:rPr/>
        <w:t>8.</w:t>
        <w:tab/>
        <w:t>Promicanje zapošljavanja skupina u nepovoljnom položaju (NL 4), posebno za osobe s invaliditetom (internetska platforma).</w:t>
      </w:r>
    </w:p>
    <w:p>
      <w:pPr>
        <w:pStyle w:val="Puce3"/>
        <w:tabs>
          <w:tab w:val="clear" w:pos="720"/>
        </w:tabs>
        <w:rPr/>
      </w:pPr>
      <w:r>
        <w:rPr/>
        <w:t>9.</w:t>
        <w:tab/>
        <w:t>Promicati zapošljavanje i socijalnu mobilnost kako bi ljudi imali svaku priliku za osobni razvoj i samoodređenje. (Točka 5.a.4 i IT 6.1) Može postojati dugoročna strategija kako bi se osiguralo da svatko u našem društvu ima odgovarajuće vještine za pronalaženje posla i povećanje talenata, posebno mlađe generacije (rasprave). Važno je ulagati u vještine prilagođene promjenjivim potrebama tržišta rada i promicati cjeloživotno učenje putem, među ostalim, programa razmjene u svim fazama života te zajamčiti pravo na cjeloživotno učenje i pravo na osposobljavanje. (FR 6); U tu je svrhu potrebno ojačati suradnju između poduzeća, sindikata i pružatelja usluga strukovnog obrazovanja i osposobljavanja (rasprave).</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61" w:name="__RefHeading___Toc298296_1346298689"/>
      <w:bookmarkEnd w:id="61"/>
      <w:r>
        <w:rPr/>
        <w:t>14. Prijedlog: Snažnije socijalne politike</w:t>
      </w:r>
    </w:p>
    <w:p>
      <w:pPr>
        <w:pStyle w:val="Normal"/>
        <w:rPr/>
      </w:pPr>
      <w:r>
        <w:rPr/>
        <w:t>Cilj: Predlažemo smanjenje nejednakosti, borbu protiv socijalne isključenosti i siromaštva. Moramo uspostaviti sveobuhvatnu strategiju za borbu protiv siromaštva koja bi, među ostalim, mogla uključivati jačanje jamstva za djecu i Garancije za mlade, uvođenje minimalnih plaća, zajednički europski okvir za programe minimalnog dohotka i pristojno socijalno stanovanje. Moramo osigurati potpunu provedbu europskog stupa socijalnih prava, uključujući njegove relevantne glavne ciljeve za 2030., na europskoj, nacionalnoj, regionalnoj i lokalnoj razini u područjima „socijalne zaštite i uključenosti”, poštujući pritom nadležnosti i načela supsidijarnosti i proporcionalnosti, te uključiti Protokol o socijalnom napretku u Ugovore. To bi se moglo postići sljedećim mjerama:</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Mjere</w:t>
      </w:r>
      <w:r>
        <w:rPr>
          <w:rStyle w:val="Ancredenotedefin"/>
          <w:rStyle w:val="Ancredenotedefin"/>
        </w:rPr>
        <w:endnoteReference w:id="12"/>
      </w:r>
      <w:r>
        <w:rPr/>
        <w:t>:</w:t>
      </w:r>
    </w:p>
    <w:p>
      <w:pPr>
        <w:pStyle w:val="Puce3"/>
        <w:tabs>
          <w:tab w:val="clear" w:pos="720"/>
        </w:tabs>
        <w:rPr/>
      </w:pPr>
      <w:r>
        <w:rPr/>
        <w:t>1.</w:t>
        <w:tab/>
        <w:t>Jačanje nadležnosti Unije u području socijalnih politika i predlaganje usklađenog zakonodavstva na razini Unije za promicanje socijalnih politika i osiguravanje jednakih prava, uključujući zdravstvena prava, uzimajući u obzir donesene propise i minimalne zahtjeve na cijelom državnom području. (CEP 19 i 21) EU bi mogao podupirati i nadopunjavati politike država članica, među ostalim predlaganjem zajedničkog okvira za osiguravanje minimalnog dohotka kako nitko ne bi bio zapostavljen. Te bi se mjere trebale provoditi u okviru potpune provedbe europskog stupa socijalnih prava i njegova akcijskog plana (rasprave).</w:t>
      </w:r>
    </w:p>
    <w:p>
      <w:pPr>
        <w:pStyle w:val="Puce3"/>
        <w:tabs>
          <w:tab w:val="clear" w:pos="720"/>
        </w:tabs>
        <w:rPr/>
      </w:pPr>
      <w:r>
        <w:rPr/>
        <w:t>2.</w:t>
        <w:tab/>
        <w:t>Ne dovoditi u pitanje socijalna prava (javno zdravstvo, javno obrazovanje, politike rada). (Točka 4.a.1.)</w:t>
      </w:r>
    </w:p>
    <w:p>
      <w:pPr>
        <w:pStyle w:val="Puce3"/>
        <w:tabs>
          <w:tab w:val="clear" w:pos="720"/>
        </w:tabs>
        <w:rPr/>
      </w:pPr>
      <w:r>
        <w:rPr/>
        <w:t>3.</w:t>
        <w:tab/>
        <w:t>Promicati društvena i zdravstvena istraživanja u EU-u u skladu s prioritetnim linijama za koje se smatra da su od javnog interesa i koje su odobrile države članice te osigurati odgovarajuća financijska sredstva. To bi se djelomično moglo postići jačanjem suradnje između područja stručnosti, zemalja i studijskih centara (sveučilišta itd.) (CEP 20).</w:t>
      </w:r>
    </w:p>
    <w:p>
      <w:pPr>
        <w:pStyle w:val="Puce3"/>
        <w:tabs>
          <w:tab w:val="clear" w:pos="720"/>
        </w:tabs>
        <w:rPr/>
      </w:pPr>
      <w:r>
        <w:rPr/>
        <w:t>4.</w:t>
        <w:tab/>
        <w:t>Omogućiti pristup zdravstvenim uslugama svim osobama mlađima od 16 godina diljem EU-a ako te usluge nisu dostupne u nacionalnom kontekstu (rasprave).</w:t>
      </w:r>
    </w:p>
    <w:p>
      <w:pPr>
        <w:pStyle w:val="Puce3"/>
        <w:tabs>
          <w:tab w:val="clear" w:pos="720"/>
        </w:tabs>
        <w:rPr/>
      </w:pPr>
      <w:r>
        <w:rPr/>
        <w:t>5.</w:t>
        <w:tab/>
        <w:t>Osigurati da EU, zajedno sa socijalnim partnerima i nacionalnim vladama, podupre ciljani pristup pristojnom socijalnom stanovanju za građane, u skladu s njihovim posebnim potrebama; financijski napor trebali bi dijeliti privatni donatori, vlasnici kuća, korisnici stambenog prostora, vlade država članica na središnjoj i lokalnoj razini te Europska unija (ECP 25).</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62" w:name="__RefHeading___Toc298298_1346298689"/>
      <w:bookmarkEnd w:id="62"/>
      <w:r>
        <w:rPr/>
        <w:t>15. Prijedlog: Demografska tranzicija</w:t>
      </w:r>
    </w:p>
    <w:p>
      <w:pPr>
        <w:pStyle w:val="P68B1DB1Normal15"/>
        <w:rPr>
          <w:b/>
          <w:b/>
        </w:rPr>
      </w:pPr>
      <w:r>
        <w:rPr/>
        <w:t>Cilj: predlažemo da se odgovori na izazove koji proizlaze iz demografske tranzicije kao ključne sastavnice opće otpornosti Europe, posebno niske stope nataliteta i stalno starenje stanovništva, pružajući potporu ljudima tijekom cijelog života. To bi trebalo biti sveobuhvatno djelovanje usmjereno na sve generacije, od djece i mladih do obitelji, radno sposobnog stanovništva, starijih osoba koje su još uvijek spremne za rad i onih koji su u mirovini ili kojima je potrebna skrb. To bi se moglo postići sljedećim mjerama:</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Mjere</w:t>
      </w:r>
      <w:r>
        <w:rPr>
          <w:rStyle w:val="Ancredenotedefin"/>
          <w:rStyle w:val="Ancredenotedefin"/>
        </w:rPr>
        <w:endnoteReference w:id="13"/>
      </w:r>
      <w:r>
        <w:rPr/>
        <w:t>:</w:t>
      </w:r>
    </w:p>
    <w:p>
      <w:pPr>
        <w:pStyle w:val="Puce3"/>
        <w:tabs>
          <w:tab w:val="clear" w:pos="720"/>
        </w:tabs>
        <w:rPr/>
      </w:pPr>
      <w:r>
        <w:rPr/>
        <w:t>1.</w:t>
        <w:tab/>
        <w:t>Osigurati kvalitetne, cjenovno pristupačne i pristupačne usluge skrbi o djeci diljem EU-a kako bi majke i očevi mogli pouzdano uskladiti poslovni i obiteljski život. Prema potrebi, to bi moglo uključivati mogućnosti skrbi za djecu na radnom mjestu ili u blizini radnog mjesta. U nekim državama članicama dostupna je i skrb o djeci preko noći, što bi trebalo poslužiti kao primjer. Osim toga, te bi mjere mogle biti popraćene mjerama potpore kao što su snižene stope PDV-a na opremu potrebnu za djecu. Ključno je spriječiti siromaštvo i socijalnu isključenost djece. (CEP 22 – 26) Jamstvo za djecu osiguravanjem pristupa djeci kojima je potrebna pomoć uslugama kao što su obrazovanje i skrb o djeci, zdravstvena skrb, prehrana i stanovanje moglo bi biti instrument za postizanje tog cilja (e-platforma, rasprave).</w:t>
      </w:r>
    </w:p>
    <w:p>
      <w:pPr>
        <w:pStyle w:val="Puce3"/>
        <w:tabs>
          <w:tab w:val="clear" w:pos="720"/>
        </w:tabs>
        <w:rPr/>
      </w:pPr>
      <w:r>
        <w:rPr/>
        <w:t>2.</w:t>
        <w:tab/>
        <w:t>Uspostaviti posebnu potporu i zaštitu rada za mlade. Mjere usmjerene na radno sposobno stanovništvo trebale bi uključivati pristup znanju za majke i očeve po povratku na posao (CEP 22). Jačanje Garancije za mlade moglo bi biti instrument za poboljšanje pristupa kvalitetnih radnih mjesta, kontinuiranog obrazovanja, naukovanja ili pripravništva za mlade mlađe od 30 godina. (razgovori)</w:t>
      </w:r>
    </w:p>
    <w:p>
      <w:pPr>
        <w:pStyle w:val="Puce3"/>
        <w:tabs>
          <w:tab w:val="clear" w:pos="720"/>
        </w:tabs>
        <w:rPr/>
      </w:pPr>
      <w:r>
        <w:rPr/>
        <w:t>3.</w:t>
        <w:tab/>
        <w:t>Promicati pravo na slobodno kretanje obrazovanja unutar Unije, posebno uzajamnim priznavanjem diploma, razreda, kompetencija i kvalifikacija. (razgovori)</w:t>
      </w:r>
    </w:p>
    <w:p>
      <w:pPr>
        <w:pStyle w:val="Puce3"/>
        <w:tabs>
          <w:tab w:val="clear" w:pos="720"/>
        </w:tabs>
        <w:rPr/>
      </w:pPr>
      <w:r>
        <w:rPr/>
        <w:t>4.</w:t>
        <w:tab/>
        <w:t>Poboljšati zakonodavstvo i njegovu provedbu kako bi se pružila potpora obiteljima u svim državama članicama, na primjer u pogledu roditeljskog dopusta i doplataka za porođaj i skrb o djeci. (PCE 26 i IT 5.a.1) Stambeni prostor ima ključnu ulogu u pružanju potpore obiteljima i trebalo bi ga rješavati (internetska platforma, rasprave).</w:t>
      </w:r>
    </w:p>
    <w:p>
      <w:pPr>
        <w:pStyle w:val="Puce3"/>
        <w:tabs>
          <w:tab w:val="clear" w:pos="720"/>
        </w:tabs>
        <w:rPr/>
      </w:pPr>
      <w:r>
        <w:rPr/>
        <w:t>5.</w:t>
        <w:tab/>
        <w:t>Poduzeti mjere kako bi se osiguralo da sve obitelji uživaju jednaka obiteljska prava u svim državama članicama. To bi trebalo uključivati pravo na brak i posvojenje. (PCE 27)</w:t>
      </w:r>
    </w:p>
    <w:p>
      <w:pPr>
        <w:pStyle w:val="Puce3"/>
        <w:tabs>
          <w:tab w:val="clear" w:pos="720"/>
        </w:tabs>
        <w:rPr/>
      </w:pPr>
      <w:r>
        <w:rPr/>
        <w:t>6.</w:t>
        <w:tab/>
        <w:t>Promicati fleksibilnu dob za umirovljenje uzimajući u obzir specifičnu situaciju starijih osoba. Pri određivanju dobi za umirovljenje potrebno je razlikovati ovisno o struci i stoga uzeti u obzir posebno zahtjevan rad, kako mentalni tako i fizički. (PCE 21 i IT 5.a.1)</w:t>
      </w:r>
    </w:p>
    <w:p>
      <w:pPr>
        <w:pStyle w:val="Puce3"/>
        <w:tabs>
          <w:tab w:val="clear" w:pos="720"/>
        </w:tabs>
        <w:rPr/>
      </w:pPr>
      <w:r>
        <w:rPr/>
        <w:t>7.</w:t>
        <w:tab/>
        <w:t>Spriječiti siromaštvo među starijim osobama uvođenjem minimalnih mirovina. Tim minimalnim razinama trebalo bi uzeti u obzir životni standard, liniju siromaštva i kupovnu moć u dotičnoj državi članici. (PCE 21)</w:t>
      </w:r>
    </w:p>
    <w:p>
      <w:pPr>
        <w:pStyle w:val="Puce3"/>
        <w:tabs>
          <w:tab w:val="clear" w:pos="720"/>
        </w:tabs>
        <w:rPr/>
      </w:pPr>
      <w:r>
        <w:rPr/>
        <w:t>8.</w:t>
        <w:tab/>
        <w:t>Osigurati odgovarajuću socijalnu pomoć i zdravstvenu skrb za starije osobe. Pritom je važno usredotočiti se i na skrb u zajednici i na skrb u kućanstvu. Isto tako, mjerama se moraju uzeti u obzir i primatelji skrbi i pružatelji skrbi. (PCE 23)</w:t>
      </w:r>
    </w:p>
    <w:p>
      <w:pPr>
        <w:pStyle w:val="Puce3"/>
        <w:tabs>
          <w:tab w:val="clear" w:pos="720"/>
        </w:tabs>
        <w:rPr/>
      </w:pPr>
      <w:r>
        <w:rPr/>
        <w:t>9.</w:t>
        <w:tab/>
        <w:t>Osigurati održivi razvoj i demografsku otpornost regija koje zaostaju kako bi bile dinamičnije i privlačnije, među ostalim putem kohezijske politike. (internetska platforma i rasprave)</w:t>
      </w:r>
    </w:p>
    <w:p>
      <w:pPr>
        <w:pStyle w:val="Puce3"/>
        <w:tabs>
          <w:tab w:val="clear" w:pos="720"/>
        </w:tabs>
        <w:rPr/>
      </w:pPr>
      <w:r>
        <w:rPr/>
        <w:t>10.</w:t>
        <w:tab/>
        <w:t>Poduzeti koordinirane mjere na europskoj razini radi prikupljanja podataka razvrstanih prema čimbenicima kao što su rodna pitanja i analize demografskih trendova, razmjene najboljih praksi i znanja te pomoći državama članicama u razvoju i provedbi odgovarajućih politika, među ostalim osnivanjem tijela EU-a specijaliziranog za to područje. (internetska platforma i rasprave).</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63" w:name="__RefHeading___Toc298300_1346298689"/>
      <w:bookmarkEnd w:id="63"/>
      <w:r>
        <w:rPr/>
        <w:t>16. Prijedlog: Fiskalna i fiskalna politika</w:t>
      </w:r>
    </w:p>
    <w:p>
      <w:pPr>
        <w:pStyle w:val="P68B1DB1Normal15"/>
        <w:rPr>
          <w:b/>
          <w:b/>
        </w:rPr>
      </w:pPr>
      <w:r>
        <w:rPr/>
        <w:t>Cilj: predlažemo da EU potiče ulaganja usmjerena na budućnost usmjerena na zelenu i digitalnu tranziciju sa snažnom socijalnom i rodnom dimenzijom, uzimajući u obzir primjere instrumenta Next Generation EU i Europskog instrumenta za privremenu potporu za ublažavanje rizika od nezaposlenosti u kriznim situacijama (SURE). Unija mora uzeti u obzir društveni i gospodarski učinak rata protiv Ukrajine i vezu između njezina gospodarskog upravljanja i novog geopolitičkog konteksta jačanjem vlastitog proračuna novim vlastitim sredstvima. Građani žele da se oporezivanje odvrati od građana i MSP-ova te da se usmjeri na porezne prijevare, velike zagađivače i digitalne divove, a istovremeno žele da EU podupre sposobnost država članica i lokalnih vlasti da se same financiraju i koriste sredstva EU-a. Taj bi se cilj trebao postići sljedećim mjerama:</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Mjere</w:t>
      </w:r>
      <w:r>
        <w:rPr>
          <w:rStyle w:val="Ancredenotedefin"/>
          <w:rStyle w:val="Ancredenotedefin"/>
        </w:rPr>
        <w:endnoteReference w:id="14"/>
      </w:r>
      <w:r>
        <w:rPr/>
        <w:t>:</w:t>
      </w:r>
    </w:p>
    <w:p>
      <w:pPr>
        <w:pStyle w:val="Puce3"/>
        <w:tabs>
          <w:tab w:val="clear" w:pos="720"/>
        </w:tabs>
        <w:rPr/>
      </w:pPr>
      <w:r>
        <w:rPr/>
        <w:t>1.</w:t>
        <w:tab/>
        <w:t>Uskladiti i koordinirati porezne politike unutar država članica EU-a radi sprečavanja utaje i izbjegavanja plaćanja poreza, izbjegavanja poreznih oaza unutar EU-a i usmjeravanja premještanja unutar Europe, među ostalim osiguravanjem da se porezne odluke mogu donositi kvalificiranom većinom u Vijeću EU-a. S druge strane, postoje preporuke panela građana da je oporezivanje u nadležnosti različitih zemalja koje imaju vlastite ciljeve i okolnosti. (PCE 13 i 31, IT 4.b.3, NL 2.3)</w:t>
      </w:r>
    </w:p>
    <w:p>
      <w:pPr>
        <w:pStyle w:val="Puce3"/>
        <w:tabs>
          <w:tab w:val="clear" w:pos="720"/>
        </w:tabs>
        <w:rPr/>
      </w:pPr>
      <w:r>
        <w:rPr/>
        <w:t>2.</w:t>
        <w:tab/>
        <w:t>Promicati suradnju među državama članicama EU-a kako bi se osiguralo da sva poduzeća iz EU-a plaćaju svoj dio poreza; uvesti zajedničku osnovicu poreza na dobit (CCTB) ili minimalnu efektivnu stopu. (PREUSMJERENO SA NL 3)</w:t>
      </w:r>
    </w:p>
    <w:p>
      <w:pPr>
        <w:pStyle w:val="Puce3"/>
        <w:tabs>
          <w:tab w:val="clear" w:pos="720"/>
        </w:tabs>
        <w:rPr/>
      </w:pPr>
      <w:r>
        <w:rPr/>
        <w:t>3.</w:t>
        <w:tab/>
        <w:t>Osigurati da poduzeća plaćaju porez tamo gdje se ostvaruje dobit. (PCE 13)</w:t>
      </w:r>
    </w:p>
    <w:p>
      <w:pPr>
        <w:pStyle w:val="Puce3"/>
        <w:tabs>
          <w:tab w:val="clear" w:pos="720"/>
        </w:tabs>
        <w:rPr/>
      </w:pPr>
      <w:r>
        <w:rPr/>
        <w:t>4.</w:t>
        <w:tab/>
        <w:t>Osigurati da se poreznom politikom podupire europska industrija i spriječi gubitak radnih mjesta u Europi. (PCE 13 i 31)</w:t>
      </w:r>
    </w:p>
    <w:p>
      <w:pPr>
        <w:pStyle w:val="Puce3"/>
        <w:tabs>
          <w:tab w:val="clear" w:pos="720"/>
        </w:tabs>
        <w:rPr/>
      </w:pPr>
      <w:r>
        <w:rPr/>
        <w:t>5.</w:t>
        <w:tab/>
        <w:t>Detaljnije istražiti mogućnost zajedničkog zaduživanja na razini Unije s ciljem stvaranja povoljnijih uvjeta zaduživanja, uz istodobno zadržavanje odgovornih fiskalnih politika na razini država članica. (PREUSMJERENO SA TT 9)</w:t>
      </w:r>
    </w:p>
    <w:p>
      <w:pPr>
        <w:pStyle w:val="Puce3"/>
        <w:tabs>
          <w:tab w:val="clear" w:pos="720"/>
        </w:tabs>
        <w:rPr/>
      </w:pPr>
      <w:r>
        <w:rPr/>
        <w:t>6.</w:t>
        <w:tab/>
        <w:t>Jačanje praćenja apsorpcije i upotrebe sredstava Unije, među ostalim na lokalnoj i općinskoj razini (LT 10)</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Normal"/>
        <w:rPr/>
      </w:pPr>
      <w:r>
        <w:rPr/>
        <w:drawing>
          <wp:anchor behindDoc="0" distT="0" distB="0" distL="0" distR="0" simplePos="0" locked="0" layoutInCell="1" allowOverlap="1" relativeHeight="14">
            <wp:simplePos x="0" y="0"/>
            <wp:positionH relativeFrom="column">
              <wp:posOffset>14605</wp:posOffset>
            </wp:positionH>
            <wp:positionV relativeFrom="paragraph">
              <wp:posOffset>8890</wp:posOffset>
            </wp:positionV>
            <wp:extent cx="913765" cy="913765"/>
            <wp:effectExtent l="0" t="0" r="0" b="0"/>
            <wp:wrapSquare wrapText="largest"/>
            <wp:docPr id="64" name="Slika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Slika24" descr=""/>
                    <pic:cNvPicPr>
                      <a:picLocks noChangeAspect="1" noChangeArrowheads="1"/>
                    </pic:cNvPicPr>
                  </pic:nvPicPr>
                  <pic:blipFill>
                    <a:blip r:embed="rId77"/>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64" w:name="__RefHeading___Toc298302_1346298689"/>
      <w:bookmarkEnd w:id="64"/>
      <w:r>
        <w:rPr/>
        <w:t>„</w:t>
      </w:r>
      <w:r>
        <w:rPr/>
        <w:t>EU u svijetu”</w:t>
      </w:r>
    </w:p>
    <w:p>
      <w:pPr>
        <w:pStyle w:val="Titre3"/>
        <w:numPr>
          <w:ilvl w:val="2"/>
          <w:numId w:val="2"/>
        </w:numPr>
        <w:rPr/>
      </w:pPr>
      <w:bookmarkStart w:id="65" w:name="__RefHeading___Toc298304_1346298689"/>
      <w:bookmarkEnd w:id="65"/>
      <w:r>
        <w:rPr/>
        <w:t>17. Prijedlog: Smanjenje ovisnosti EU-a o stranim akterima u strateškim sektorima s gospodarskog stajališta</w:t>
      </w:r>
    </w:p>
    <w:p>
      <w:pPr>
        <w:pStyle w:val="P68B1DB1Normal15"/>
        <w:rPr>
          <w:b/>
          <w:b/>
        </w:rPr>
      </w:pPr>
      <w:r>
        <w:rPr/>
        <w:t>Cilj: Predlažemo da EU poduzme korake za jačanje svoje autonomije u ključnim strateškim sektorima kao što su poljoprivredni proizvodi, strateška gospodarska roba, poluvodiči, medicinski proizvodi, inovativne digitalne i ekološke tehnologije i energija, i to sljedećim mjerama:</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Mjere:</w:t>
      </w:r>
    </w:p>
    <w:p>
      <w:pPr>
        <w:pStyle w:val="Puce3"/>
        <w:tabs>
          <w:tab w:val="clear" w:pos="720"/>
        </w:tabs>
        <w:rPr/>
      </w:pPr>
      <w:r>
        <w:rPr/>
        <w:t>1.</w:t>
        <w:tab/>
        <w:t>Promicanje aktivnosti istraživanja, razvoja i inovacija te suradnja između javnih i privatnih partnera u tom području.</w:t>
      </w:r>
    </w:p>
    <w:p>
      <w:pPr>
        <w:pStyle w:val="Puce3"/>
        <w:tabs>
          <w:tab w:val="clear" w:pos="720"/>
        </w:tabs>
        <w:rPr/>
      </w:pPr>
      <w:r>
        <w:rPr/>
        <w:t>2.</w:t>
        <w:tab/>
        <w:t>Održavanje ambicioznog programa za trgovinske pregovore koji može pomoći u jačanju otpornosti i diversifikacije lanaca opskrbe, posebno sirovina, uz pravedniju raspodjelu koristi trgovine s većim brojem partnera, čime se ograničava naša izloženost i ovisnost o malom broju dobavljača koji mogu predstavljati rizik</w:t>
      </w:r>
      <w:r>
        <w:rPr>
          <w:rStyle w:val="Ancredenotedefin"/>
          <w:rStyle w:val="Ancredenotedefin"/>
        </w:rPr>
        <w:endnoteReference w:id="15"/>
      </w:r>
      <w:r>
        <w:rPr/>
        <w:t>.</w:t>
      </w:r>
    </w:p>
    <w:p>
      <w:pPr>
        <w:pStyle w:val="Puce3"/>
        <w:tabs>
          <w:tab w:val="clear" w:pos="720"/>
        </w:tabs>
        <w:rPr/>
      </w:pPr>
      <w:r>
        <w:rPr/>
        <w:t>3.</w:t>
        <w:tab/>
        <w:t>Veća otpornost lanaca opskrbe EU-a promicanjem ulaganja u strateške sektore u Uniji, skladištenjem kritične proizvodnje i uređaja te diversifikacijom izvora opskrbe kritičnim sirovinama.</w:t>
      </w:r>
    </w:p>
    <w:p>
      <w:pPr>
        <w:pStyle w:val="Puce3"/>
        <w:tabs>
          <w:tab w:val="clear" w:pos="720"/>
        </w:tabs>
        <w:rPr/>
      </w:pPr>
      <w:r>
        <w:rPr/>
        <w:t>4.</w:t>
        <w:tab/>
        <w:t>Nova ulaganja u dovršenje unutarnjeg tržišta i stvaranje jednakih uvjeta kako bi proizvodnja i kupnja tih proizvoda postale privlačnije u Europskoj uniji.</w:t>
      </w:r>
    </w:p>
    <w:p>
      <w:pPr>
        <w:pStyle w:val="Puce3"/>
        <w:tabs>
          <w:tab w:val="clear" w:pos="720"/>
        </w:tabs>
        <w:rPr/>
      </w:pPr>
      <w:r>
        <w:rPr/>
        <w:t>5.</w:t>
        <w:tab/>
        <w:t>Podupiranje dostupnosti i cjenovne pristupačnosti tih proizvoda europskim potrošačima te doprinos smanjenju ovisnosti o vanjskim čimbenicima, primjerice strukturnim i regionalnim politikama, poreznim olakšicama, subvencijama, infrastrukturnim i istraživačkim ulaganjima, poticanjem konkurentnosti MSP-ova, kao i obrazovnim programima kako bi se zadržale odgovarajuće vještine i radna mjesta u Europi, koji su relevantni za osiguravanje osnovnih potreba</w:t>
      </w:r>
      <w:r>
        <w:rPr>
          <w:rStyle w:val="Ancredenotedefin"/>
          <w:rStyle w:val="Ancredenotedefin"/>
        </w:rPr>
        <w:endnoteReference w:id="16"/>
      </w:r>
      <w:r>
        <w:rPr/>
        <w:t>.</w:t>
      </w:r>
    </w:p>
    <w:p>
      <w:pPr>
        <w:pStyle w:val="Puce3"/>
        <w:tabs>
          <w:tab w:val="clear" w:pos="720"/>
        </w:tabs>
        <w:rPr/>
      </w:pPr>
      <w:r>
        <w:rPr/>
        <w:t>6.</w:t>
        <w:tab/>
        <w:t>Europski program za potporu malim lokalnim proizvođačima u strateškim sektorima u svim</w:t>
      </w:r>
      <w:r>
        <w:rPr>
          <w:rStyle w:val="Ancredenotedefin"/>
          <w:rStyle w:val="Ancredenotedefin"/>
        </w:rPr>
        <w:endnoteReference w:id="17"/>
      </w:r>
      <w:r>
        <w:rPr/>
        <w:t>državama članicama, uz veću upotrebu programa i financijskih instrumenata EU-a, kao što je InvestEU.</w:t>
      </w:r>
    </w:p>
    <w:p>
      <w:pPr>
        <w:pStyle w:val="Puce3"/>
        <w:tabs>
          <w:tab w:val="clear" w:pos="720"/>
        </w:tabs>
        <w:rPr/>
      </w:pPr>
      <w:r>
        <w:rPr/>
        <w:t>7.</w:t>
        <w:tab/>
        <w:t>Bolja suradnja među državama članicama u upravljanju rizicima u lancu opskrbe.</w:t>
      </w:r>
      <w:r>
        <w:rPr>
          <w:rStyle w:val="Ancredenotedefin"/>
          <w:rStyle w:val="Ancredenotedefin"/>
        </w:rPr>
        <w:endnoteReference w:id="18"/>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66" w:name="__RefHeading___Toc298306_1346298689"/>
      <w:bookmarkEnd w:id="66"/>
      <w:r>
        <w:rPr/>
        <w:t>18. Prijedlog: Smanjenje ovisnosti EU-a o stranim energetskim akterima</w:t>
      </w:r>
    </w:p>
    <w:p>
      <w:pPr>
        <w:pStyle w:val="P68B1DB1Normal15"/>
        <w:rPr>
          <w:b/>
          <w:b/>
        </w:rPr>
      </w:pPr>
      <w:r>
        <w:rPr/>
        <w:t>Cilj: Predlažemo da EU u kontekstu tekuće ekološke tranzicije ostvari veću autonomiju u pogledu proizvodnje i opskrbe energijom sljedećim mjerama:</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Mjere:</w:t>
      </w:r>
    </w:p>
    <w:p>
      <w:pPr>
        <w:pStyle w:val="Puce3"/>
        <w:tabs>
          <w:tab w:val="clear" w:pos="720"/>
        </w:tabs>
        <w:rPr/>
      </w:pPr>
      <w:r>
        <w:rPr/>
        <w:t>1.</w:t>
        <w:tab/>
        <w:t>Donošenje strategije kojom će se povećati njegova autonomija u proizvodnji energije. Europsko tijelo trebalo bi integrirati postojeće europske energetske agencije, koordinirati razvoj obnovljive energije i promicati razmjenu znanja</w:t>
      </w:r>
      <w:r>
        <w:rPr>
          <w:rStyle w:val="Ancredenotedefin"/>
          <w:rStyle w:val="Ancredenotedefin"/>
        </w:rPr>
        <w:endnoteReference w:id="19"/>
      </w:r>
      <w:r>
        <w:rPr/>
        <w:t>.</w:t>
      </w:r>
    </w:p>
    <w:p>
      <w:pPr>
        <w:pStyle w:val="Puce3"/>
        <w:tabs>
          <w:tab w:val="clear" w:pos="720"/>
        </w:tabs>
        <w:rPr/>
      </w:pPr>
      <w:r>
        <w:rPr/>
        <w:t>2.</w:t>
        <w:tab/>
        <w:t>Aktivna potpora projektima javnog prijevoza i energetske učinkovitosti, europskoj željezničkoj mreži za prijevoz tereta velike brzine, širenju opskrbe čistom i obnovljivom energijom (uključujući solarnu energiju i energiju vjetra), alternativnim tehnologijama (kao što su vodik ili energetska obnova otpada) i prijelaz u gradskim područjima iz kulture jedinstvenog automobila na kulturu javnog prijevoza, dijeljenja električnih automobila i bicikliranja</w:t>
      </w:r>
      <w:r>
        <w:rPr>
          <w:rStyle w:val="Ancredenotedefin"/>
          <w:rStyle w:val="Ancredenotedefin"/>
        </w:rPr>
        <w:endnoteReference w:id="20"/>
      </w:r>
      <w:r>
        <w:rPr/>
        <w:t>.</w:t>
      </w:r>
    </w:p>
    <w:p>
      <w:pPr>
        <w:pStyle w:val="Puce3"/>
        <w:tabs>
          <w:tab w:val="clear" w:pos="720"/>
        </w:tabs>
        <w:rPr/>
      </w:pPr>
      <w:r>
        <w:rPr/>
        <w:t>3.</w:t>
        <w:tab/>
        <w:t>Osiguravanje pravedne i pravedne tranzicije, posebno pružanjem potpore ugroženim građanima koji se suočavaju s najvećim izazovima u tranziciji prema klimatskoj neutralnosti i koji već trpe više cijene energije zbog energetske ovisnosti i nedavnog utrostručenja cijena energije.</w:t>
      </w:r>
    </w:p>
    <w:p>
      <w:pPr>
        <w:pStyle w:val="Normal"/>
        <w:rPr/>
      </w:pPr>
      <w:r>
        <w:rPr/>
      </w:r>
    </w:p>
    <w:p>
      <w:pPr>
        <w:pStyle w:val="Puce3"/>
        <w:tabs>
          <w:tab w:val="clear" w:pos="720"/>
        </w:tabs>
        <w:rPr/>
      </w:pPr>
      <w:r>
        <w:rPr/>
        <w:t>4.</w:t>
        <w:tab/>
        <w:t>Pojačana suradnja u procjeni uporabe nuklearne energije u kontekstu trenutačne zelene tranzicije na obnovljivu energiju u Europi, ispitujući kolektivna pitanja koja bi ona mogla riješiti ili stvoriti, s obzirom na to da je još uvijek koriste mnoge države članice</w:t>
      </w:r>
      <w:r>
        <w:rPr>
          <w:rStyle w:val="Ancredenotedefin"/>
          <w:rStyle w:val="Ancredenotedefin"/>
        </w:rPr>
        <w:endnoteReference w:id="21"/>
      </w:r>
      <w:r>
        <w:rPr/>
        <w:t>.</w:t>
      </w:r>
    </w:p>
    <w:p>
      <w:pPr>
        <w:pStyle w:val="Puce3"/>
        <w:tabs>
          <w:tab w:val="clear" w:pos="720"/>
        </w:tabs>
        <w:rPr/>
      </w:pPr>
      <w:r>
        <w:rPr/>
        <w:t>5.</w:t>
        <w:tab/>
        <w:t>Suradnja s međunarodnim partnerima kako bi ih se obvezalo na postizanje ambicioznijih ciljeva u pogledu klimatskih promjena na raznim međunarodnim forumima, uključujući skupine G7 i G20.</w:t>
      </w:r>
    </w:p>
    <w:p>
      <w:pPr>
        <w:pStyle w:val="Puce3"/>
        <w:tabs>
          <w:tab w:val="clear" w:pos="720"/>
        </w:tabs>
        <w:rPr/>
      </w:pPr>
      <w:r>
        <w:rPr/>
        <w:t>6.</w:t>
        <w:tab/>
        <w:t>Povezivanje vanjske trgovine s mjerama politike u području klimatskih promjena (npr. pokretanjem paketa mjera ulaganja za klimatski prihvatljive tehnologije i inovacije, uključujući programe financiranja)</w:t>
      </w:r>
      <w:r>
        <w:rPr>
          <w:rStyle w:val="Ancredenotedefin"/>
          <w:rStyle w:val="Ancredenotedefin"/>
        </w:rPr>
        <w:endnoteReference w:id="22"/>
      </w:r>
      <w:r>
        <w:rPr/>
        <w:t>.</w:t>
      </w:r>
    </w:p>
    <w:p>
      <w:pPr>
        <w:pStyle w:val="Puce3"/>
        <w:tabs>
          <w:tab w:val="clear" w:pos="720"/>
        </w:tabs>
        <w:rPr/>
      </w:pPr>
      <w:r>
        <w:rPr/>
        <w:t>7.</w:t>
        <w:tab/>
        <w:t>Zajedničke nabave uvezene energije i održivih energetskih partnerstava kako bi se smanjila ovisnost Europe o uvozu energije, posebno u području plina i nafte, te kako bi se razvili domaći izvori energije u EU-u.</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67" w:name="__RefHeading___Toc298308_1346298689"/>
      <w:bookmarkEnd w:id="67"/>
      <w:r>
        <w:rPr/>
        <w:t>19. Prijedlog: Utvrđivanje standarda unutar i izvan EU-a u trgovinskim i ulagačkim odnosima</w:t>
      </w:r>
    </w:p>
    <w:p>
      <w:pPr>
        <w:pStyle w:val="P68B1DB1Normal15"/>
        <w:rPr>
          <w:b/>
          <w:b/>
        </w:rPr>
      </w:pPr>
      <w:r>
        <w:rPr/>
        <w:t>Cilj: Predlažemo da EU ojača etičku dimenziju svojih trgovinskih i ulagačkih odnosa sljedećim mjerama:</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Mjere:</w:t>
      </w:r>
    </w:p>
    <w:p>
      <w:pPr>
        <w:pStyle w:val="Puce3"/>
        <w:tabs>
          <w:tab w:val="clear" w:pos="720"/>
        </w:tabs>
        <w:rPr/>
      </w:pPr>
      <w:r>
        <w:rPr/>
        <w:t>1.</w:t>
        <w:tab/>
        <w:t>Očuvanje i reforma naše multilateralne međunarodne trgovinske arhitekture utemeljene na pravilima i partnerstvo s demokracijama sličnih stavova.</w:t>
      </w:r>
    </w:p>
    <w:p>
      <w:pPr>
        <w:pStyle w:val="Puce3"/>
        <w:tabs>
          <w:tab w:val="clear" w:pos="720"/>
        </w:tabs>
        <w:rPr/>
      </w:pPr>
      <w:r>
        <w:rPr/>
        <w:t>2.</w:t>
        <w:tab/>
        <w:t>Učinkovito i razmjerno zakonodavstvo EU-a kojim se osigurava da se standardi dostojanstvenog rada u potpunosti primjenjuju u globalnim lancima vrijednosti, među ostalim u postupcima proizvodnje i opskrbe EU-a, te da uvezena roba bude u skladu s kvalitativnim etičkim standardima, održivim razvojem i standardima ljudskih prava, uključujući radnička i sindikalna prava, nudeći certifikaciju proizvoda u skladu s tim zakonodavstvom EU-a</w:t>
      </w:r>
      <w:r>
        <w:rPr>
          <w:rStyle w:val="Ancredenotedefin"/>
          <w:rStyle w:val="Ancredenotedefin"/>
        </w:rPr>
        <w:endnoteReference w:id="23"/>
      </w:r>
      <w:r>
        <w:rPr/>
        <w:t xml:space="preserve"> i sudjelujući u procesu dijaloga na razini EU-a čiji je cilj informiranje i obrazovanje o ekološkim i etičkim učincima strateških promjena u međunarodnoj trgovini.</w:t>
      </w:r>
    </w:p>
    <w:p>
      <w:pPr>
        <w:pStyle w:val="Normal"/>
        <w:rPr/>
      </w:pPr>
      <w:r>
        <w:rPr/>
      </w:r>
    </w:p>
    <w:p>
      <w:pPr>
        <w:pStyle w:val="Puce3"/>
        <w:tabs>
          <w:tab w:val="clear" w:pos="720"/>
        </w:tabs>
        <w:rPr/>
      </w:pPr>
      <w:r>
        <w:rPr/>
        <w:t>3.</w:t>
        <w:tab/>
        <w:t>Ograničenja uvoza i prodaje proizvoda iz zemalja koje omogućuju prisilni rad i dječji rad, redovito ažurirana crna lista poduzeća i osviještenost potrošača o dječjem radu putem informacija objavljenih službenim kanalima EU-a</w:t>
      </w:r>
      <w:r>
        <w:rPr>
          <w:rStyle w:val="Ancredenotedefin"/>
          <w:rStyle w:val="Ancredenotedefin"/>
        </w:rPr>
        <w:endnoteReference w:id="24"/>
      </w:r>
      <w:r>
        <w:rPr/>
        <w:t>.</w:t>
      </w:r>
    </w:p>
    <w:p>
      <w:pPr>
        <w:pStyle w:val="Puce3"/>
        <w:tabs>
          <w:tab w:val="clear" w:pos="720"/>
        </w:tabs>
        <w:rPr/>
      </w:pPr>
      <w:r>
        <w:rPr/>
        <w:t>4.</w:t>
        <w:tab/>
        <w:t>Praćenje i provedba provedivih poglavlja o trgovini i održivom razvoju u sporazumima EU-a o slobodnoj trgovini, uključujući mogućnost mehanizma koji se temelji na sankcijama u krajnjoj nuždi.</w:t>
      </w:r>
    </w:p>
    <w:p>
      <w:pPr>
        <w:pStyle w:val="Puce3"/>
        <w:tabs>
          <w:tab w:val="clear" w:pos="720"/>
        </w:tabs>
        <w:rPr/>
      </w:pPr>
      <w:r>
        <w:rPr/>
        <w:t>5.</w:t>
        <w:tab/>
        <w:t>Reforma općeg sustava povlastica EU-a (OSP) kako bi se uključile stroge odredbe o višestrukoj sukladnosti te učinkoviti i odgovarajući postupci praćenja, izvješćivanja i dijaloga kako bi se poboljšao učinak koji OSP može imati na trgovinu, ljudska prava i razvoj u partnerskim zemljama, uz mogućnost ukidanja trgovinskih povlastica u slučaju neusklađenosti.</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68" w:name="__RefHeading___Toc298310_1346298689"/>
      <w:bookmarkEnd w:id="68"/>
      <w:r>
        <w:rPr/>
        <w:t>20. Prijedlog: Utvrđivanje standarda za politike zaštite okoliša unutar i izvan EU-a</w:t>
      </w:r>
    </w:p>
    <w:p>
      <w:pPr>
        <w:pStyle w:val="P68B1DB1Normal15"/>
        <w:rPr>
          <w:b/>
          <w:b/>
        </w:rPr>
      </w:pPr>
      <w:r>
        <w:rPr/>
        <w:t>Cilj: Predlažemo da EU ojača okolišnu dimenziju svojih trgovinskih odnosa sljedećim mjerama:</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Mjere:</w:t>
      </w:r>
    </w:p>
    <w:p>
      <w:pPr>
        <w:pStyle w:val="Puce3"/>
        <w:tabs>
          <w:tab w:val="clear" w:pos="720"/>
        </w:tabs>
        <w:rPr/>
      </w:pPr>
      <w:r>
        <w:rPr/>
        <w:t>1.</w:t>
        <w:tab/>
        <w:t>Usklađivanje i jačanje ekološkog označivanja i obvezno prikazivanje europskog pokazatelja utjecaja na okoliš (ecoscore) za sve potrošačke proizvode. Ekoscore bi se izračunavao na temelju emisija iz proizvodnje i prijevoza, kao i štetnosti sadržaja, na temelju popisa opasnih proizvoda. Ecoscoreom bi trebalo upravljati i nadzirati ga europsko tijelo</w:t>
      </w:r>
      <w:r>
        <w:rPr>
          <w:rStyle w:val="Ancredenotedefin"/>
          <w:rStyle w:val="Ancredenotedefin"/>
        </w:rPr>
        <w:endnoteReference w:id="25"/>
      </w:r>
      <w:r>
        <w:rPr/>
        <w:t>.</w:t>
      </w:r>
    </w:p>
    <w:p>
      <w:pPr>
        <w:pStyle w:val="Puce3"/>
        <w:tabs>
          <w:tab w:val="clear" w:pos="720"/>
        </w:tabs>
        <w:rPr/>
      </w:pPr>
      <w:r>
        <w:rPr/>
        <w:t>2.</w:t>
        <w:tab/>
        <w:t>Viši ekološki standardi za izvoz otpada te strože kontrole i sankcije za zaustavljanje nezakonitog izvoza. Unija bi trebala poticati države članice da recikliraju vlastiti otpad i upotrebljavaju ga za proizvodnju energije</w:t>
      </w:r>
      <w:r>
        <w:rPr>
          <w:rStyle w:val="Ancredenotedefin"/>
          <w:rStyle w:val="Ancredenotedefin"/>
        </w:rPr>
        <w:endnoteReference w:id="26"/>
      </w:r>
      <w:r>
        <w:rPr/>
        <w:t>.</w:t>
      </w:r>
    </w:p>
    <w:p>
      <w:pPr>
        <w:pStyle w:val="Puce3"/>
        <w:tabs>
          <w:tab w:val="clear" w:pos="720"/>
        </w:tabs>
        <w:rPr/>
      </w:pPr>
      <w:r>
        <w:rPr/>
        <w:t>3.</w:t>
        <w:tab/>
        <w:t>Definicija cilja uklanjanja onečišćavajuće ambalaže promicanjem ambalaže koja manje zagađuje okoliš ili ekološki prihvatljivije ambalaže</w:t>
      </w:r>
      <w:r>
        <w:rPr>
          <w:rStyle w:val="Ancredenotedefin"/>
          <w:rStyle w:val="Ancredenotedefin"/>
        </w:rPr>
        <w:endnoteReference w:id="27"/>
      </w:r>
      <w:r>
        <w:rPr/>
        <w:t xml:space="preserve"> te uspostava partnerstava sa zemljama u razvoju, podupiranjem njihove infrastrukture i razmatranjem uzajamno korisnih trgovinskih sporazuma kako bi im se pomoglo u prijelazu na zelene izvore energije</w:t>
      </w:r>
      <w:r>
        <w:rPr>
          <w:rStyle w:val="Ancredenotedefin"/>
          <w:rStyle w:val="Ancredenotedefin"/>
        </w:rPr>
        <w:endnoteReference w:id="28"/>
      </w:r>
      <w:r>
        <w:rPr/>
        <w:t>.</w:t>
      </w:r>
    </w:p>
    <w:p>
      <w:pPr>
        <w:pStyle w:val="Puce3"/>
        <w:tabs>
          <w:tab w:val="clear" w:pos="720"/>
        </w:tabs>
        <w:rPr/>
      </w:pPr>
      <w:r>
        <w:rPr/>
        <w:t>4.</w:t>
        <w:tab/>
        <w:t>Mogućnost nagrađivanja zemalja s visokim standardima održivosti pružanjem dodatnog pristupa tržištu EU-a za njihovu trajnu robu i usluge, bilo jednostrano putem općeg sustava povlastica OSP+ ili bilateralno putem trgovinskih sporazuma o kojima se pregovaralo ili multilateralno putem inicijativa u okviru Svjetske trgovinske organizacije.</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69" w:name="__RefHeading___Toc298312_1346298689"/>
      <w:bookmarkEnd w:id="69"/>
      <w:r>
        <w:rPr/>
        <w:t>21. Prijedlog: Donošenje odluka i kohezija unutar Unije</w:t>
      </w:r>
    </w:p>
    <w:p>
      <w:pPr>
        <w:pStyle w:val="P68B1DB1Normal15"/>
        <w:rPr>
          <w:b/>
          <w:b/>
        </w:rPr>
      </w:pPr>
      <w:r>
        <w:rPr/>
        <w:t>Cilj: Predlažemo da EU poboljša svoj kapacitet za donošenje brzih i učinkovitih odluka u okviru zajedničke vanjske i sigurnosne politike (ZVSP) jedinstvenim glasom i djelujući kao istinski globalni akter kako bi imao pozitivnu ulogu u svijetu i mijenjajući odgovor na bilo koju krizu, uključujući:</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Mjere:</w:t>
      </w:r>
    </w:p>
    <w:p>
      <w:pPr>
        <w:pStyle w:val="Puce3"/>
        <w:tabs>
          <w:tab w:val="clear" w:pos="720"/>
        </w:tabs>
        <w:rPr/>
      </w:pPr>
      <w:r>
        <w:rPr/>
        <w:t>1.</w:t>
        <w:tab/>
        <w:t>Osiguravanjem da se, posebno u području ZVSP-a, pitanja koja se trenutačno donose jednoglasno obično donose kvalificiranom većinom</w:t>
      </w:r>
      <w:r>
        <w:rPr>
          <w:rStyle w:val="Ancredenotedefin"/>
          <w:rStyle w:val="Ancredenotedefin"/>
        </w:rPr>
        <w:endnoteReference w:id="29"/>
      </w:r>
      <w:r>
        <w:rPr/>
        <w:t>.</w:t>
      </w:r>
    </w:p>
    <w:p>
      <w:pPr>
        <w:pStyle w:val="Puce3"/>
        <w:tabs>
          <w:tab w:val="clear" w:pos="720"/>
        </w:tabs>
        <w:rPr/>
      </w:pPr>
      <w:r>
        <w:rPr/>
        <w:t>2.</w:t>
        <w:tab/>
        <w:t>Temeljiti suradnju na sigurnosnoj i obrambenoj politici na nedavno odobrenom strateškom kompasu i upotrebljavati Europski instrument mirovne pomoći</w:t>
      </w:r>
      <w:r>
        <w:rPr>
          <w:rStyle w:val="Ancredenotedefin"/>
          <w:rStyle w:val="Ancredenotedefin"/>
        </w:rPr>
        <w:endnoteReference w:id="30"/>
      </w:r>
      <w:r>
        <w:rPr/>
        <w:t>.</w:t>
      </w:r>
    </w:p>
    <w:p>
      <w:pPr>
        <w:pStyle w:val="Puce3"/>
        <w:tabs>
          <w:tab w:val="clear" w:pos="720"/>
        </w:tabs>
        <w:rPr/>
      </w:pPr>
      <w:r>
        <w:rPr/>
        <w:t>3.</w:t>
        <w:tab/>
        <w:t>Jačanje uloge visoke predstavnice u osiguravanju jedinstvenog nastupa EU-a</w:t>
      </w:r>
      <w:r>
        <w:rPr>
          <w:rStyle w:val="Ancredenotedefin"/>
          <w:rStyle w:val="Ancredenotedefin"/>
        </w:rPr>
        <w:endnoteReference w:id="31"/>
      </w:r>
      <w:r>
        <w:rPr/>
        <w:t>.</w:t>
      </w:r>
    </w:p>
    <w:p>
      <w:pPr>
        <w:pStyle w:val="Puce3"/>
        <w:tabs>
          <w:tab w:val="clear" w:pos="720"/>
        </w:tabs>
        <w:rPr/>
      </w:pPr>
      <w:r>
        <w:rPr/>
        <w:t>4.</w:t>
        <w:tab/>
        <w:t>Postizanje dogovora o snažnoj viziji i zajedničkoj strategiji za učvršćivanje jedinstva i sposobnosti donošenja odluka EU-a kako bi se Unija pripremila za daljnja proširenja</w:t>
      </w:r>
      <w:r>
        <w:rPr>
          <w:rStyle w:val="Ancredenotedefin"/>
          <w:rStyle w:val="Ancredenotedefin"/>
        </w:rPr>
        <w:endnoteReference w:id="32"/>
      </w:r>
      <w:r>
        <w:rPr/>
        <w:t>.</w:t>
      </w:r>
    </w:p>
    <w:p>
      <w:pPr>
        <w:pStyle w:val="Puce3"/>
        <w:tabs>
          <w:tab w:val="clear" w:pos="720"/>
        </w:tabs>
        <w:rPr/>
      </w:pPr>
      <w:r>
        <w:rPr/>
        <w:t>5.</w:t>
        <w:tab/>
        <w:t>Brzom ratifikacijom nedavno sklopljenih trgovinskih sporazuma, bez odricanja od odgovarajućeg razmatranja i rasprave.</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70" w:name="__RefHeading___Toc298314_1346298689"/>
      <w:bookmarkEnd w:id="70"/>
      <w:r>
        <w:rPr/>
        <w:t>22. Prijedlog: Transparentnost EU-a i njegovih odnosa s građanima</w:t>
      </w:r>
    </w:p>
    <w:p>
      <w:pPr>
        <w:pStyle w:val="P68B1DB1Normal15"/>
        <w:rPr>
          <w:b/>
          <w:b/>
        </w:rPr>
      </w:pPr>
      <w:r>
        <w:rPr/>
        <w:t>Cilj: predlažemo da EU, posebno u svojim aktivnostima na međunarodnoj razini, uključujući trgovinske pregovore, poveća svoju dostupnost građanima poboljšanjem informiranja, obrazovanja, sudjelovanja građana i transparentnosti, posebno:</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Mjere:</w:t>
      </w:r>
    </w:p>
    <w:p>
      <w:pPr>
        <w:pStyle w:val="Puce3"/>
        <w:tabs>
          <w:tab w:val="clear" w:pos="720"/>
        </w:tabs>
        <w:rPr/>
      </w:pPr>
      <w:r>
        <w:rPr/>
        <w:t>1.</w:t>
        <w:tab/>
        <w:t>Jačanje veza s građanima i lokalnim institucijama kako bi se poboljšala transparentnost, doprlo do građana te bolje komuniciralo i povezalo s njima o konkretnim inicijativama EU-a na međunarodnoj razini</w:t>
      </w:r>
      <w:r>
        <w:rPr>
          <w:rStyle w:val="Ancredenotedefin"/>
          <w:rStyle w:val="Ancredenotedefin"/>
        </w:rPr>
        <w:endnoteReference w:id="33"/>
      </w:r>
      <w:r>
        <w:rPr/>
        <w:t>.</w:t>
      </w:r>
    </w:p>
    <w:p>
      <w:pPr>
        <w:pStyle w:val="Puce3"/>
        <w:tabs>
          <w:tab w:val="clear" w:pos="720"/>
        </w:tabs>
        <w:rPr/>
      </w:pPr>
      <w:r>
        <w:rPr/>
        <w:t>2.</w:t>
        <w:tab/>
        <w:t>Veće sudjelovanje građana u međunarodnoj politici EU-a i događanjima izravnog sudjelovanja građana, kao što je Konferencija o budućnosti Europe, organizirana na nacionalnoj, lokalnoj i europskoj razini te</w:t>
      </w:r>
      <w:r>
        <w:rPr>
          <w:rStyle w:val="Ancredenotedefin"/>
          <w:rStyle w:val="Ancredenotedefin"/>
        </w:rPr>
        <w:endnoteReference w:id="34"/>
      </w:r>
      <w:r>
        <w:rPr/>
        <w:t xml:space="preserve"> uz aktivno sudjelovanje organiziranog civilnog društva</w:t>
      </w:r>
      <w:r>
        <w:rPr>
          <w:rStyle w:val="Ancredenotedefin"/>
          <w:rStyle w:val="Ancredenotedefin"/>
        </w:rPr>
        <w:endnoteReference w:id="35"/>
      </w:r>
      <w:r>
        <w:rPr/>
        <w:t>.</w:t>
      </w:r>
    </w:p>
    <w:p>
      <w:pPr>
        <w:pStyle w:val="Puce3"/>
        <w:tabs>
          <w:tab w:val="clear" w:pos="720"/>
        </w:tabs>
        <w:rPr/>
      </w:pPr>
      <w:r>
        <w:rPr/>
        <w:t>3.</w:t>
        <w:tab/>
        <w:t>Punu potporu svih relevantnih dionika građanima koji odluče sudjelovati u organiziranim organizacijama civilnog društva, kao što je bio slučaj s bolešću COVID-19 i Ukrajinom.</w:t>
      </w:r>
    </w:p>
    <w:p>
      <w:pPr>
        <w:pStyle w:val="Puce3"/>
        <w:tabs>
          <w:tab w:val="clear" w:pos="720"/>
        </w:tabs>
        <w:rPr/>
      </w:pPr>
      <w:r>
        <w:rPr/>
        <w:t>4.</w:t>
        <w:tab/>
        <w:t>Dodjela posebnog proračuna za razvoj obrazovnih programa o funkcioniranju EU-a i njegovim vrijednostima, koje bi moglo predložiti državama članicama ako to žele, kako bi ih mogle integrirati u svoje kurikulume (primarni, sekundarni i sveučilišni). Osim toga, studentima koji žele studirati u drugoj europskoj zemlji u okviru programa Erasmus mogao bi se ponuditi poseban tečaj o Uniji i njezinu funkcioniranju. Studenti koji odaberu ovaj tečaj imali bi prednost kako bi imali koristi od programa Erasmus.</w:t>
      </w:r>
    </w:p>
    <w:p>
      <w:pPr>
        <w:pStyle w:val="Puce3"/>
        <w:tabs>
          <w:tab w:val="clear" w:pos="720"/>
        </w:tabs>
        <w:rPr/>
      </w:pPr>
      <w:r>
        <w:rPr/>
        <w:t>5.</w:t>
        <w:tab/>
        <w:t>Poboljšanje medijske strategije EU-a većom vidljivošću u društvenim medijima i aktivnim promicanjem njihova sadržaja; promicanje inovacija poboljšanjem dostupnosti prisutnosti EU-a na društvenim mrežama</w:t>
      </w:r>
      <w:r>
        <w:rPr>
          <w:rStyle w:val="Ancredenotedefin"/>
          <w:rStyle w:val="Ancredenotedefin"/>
        </w:rPr>
        <w:endnoteReference w:id="36"/>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71" w:name="__RefHeading___Toc298316_1346298689"/>
      <w:bookmarkEnd w:id="71"/>
      <w:r>
        <w:rPr/>
        <w:t>23. Prijedlog: EU kao svjetski predvodnik u miru i sigurnosti</w:t>
      </w:r>
    </w:p>
    <w:p>
      <w:pPr>
        <w:pStyle w:val="P68B1DB1Normal15"/>
        <w:rPr>
          <w:b/>
          <w:b/>
        </w:rPr>
      </w:pPr>
      <w:r>
        <w:rPr/>
        <w:t>Cilj: predlažemo da EU nastavi djelovati na promicanju dijaloga i osiguravanju mira i međunarodnog poretka utemeljenog na pravilima, jačajući multilateralizam i nadovezujući se na dugogodišnje mirovne inicijative EU-a koje su doprinijele dodjeli Nobelove nagrade 2012., uz istodobno jačanje njegove zajedničke sigurnosti sljedećim mjerama:</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Mjere</w:t>
      </w:r>
      <w:r>
        <w:rPr>
          <w:rStyle w:val="Ancredenotedefin"/>
          <w:rStyle w:val="Ancredenotedefin"/>
          <w:b/>
        </w:rPr>
        <w:endnoteReference w:id="37"/>
      </w:r>
      <w:r>
        <w:rPr>
          <w:rStyle w:val="Ancredenotedefin"/>
          <w:rStyle w:val="Ancredenotedefin"/>
          <w:b/>
        </w:rPr>
        <w:endnoteReference w:id="38"/>
      </w:r>
      <w:r>
        <w:rPr/>
        <w:t>:</w:t>
      </w:r>
    </w:p>
    <w:p>
      <w:pPr>
        <w:pStyle w:val="Puce3"/>
        <w:tabs>
          <w:tab w:val="clear" w:pos="720"/>
        </w:tabs>
        <w:rPr/>
      </w:pPr>
      <w:r>
        <w:rPr/>
        <w:t>1.</w:t>
        <w:tab/>
        <w:t>Zajedničke oružane snage, koje se koriste u svrhu samoobrane i namijenjene su sprečavanju bilo kakvog agresivnog vojnog djelovanja, koje imaju sposobnost pružanja pomoći u kriznim vremenima, uključujući u slučaju prirodne katastrofe. Izvan europskih granica mogle bi se rasporediti u iznimnim okolnostima, po mogućnosti pod pravnim mandatom Vijeća sigurnosti Ujedinjenih naroda i stoga u skladu s međunarodnim pravom</w:t>
      </w:r>
      <w:r>
        <w:rPr>
          <w:rStyle w:val="Ancredenotedefin"/>
          <w:rStyle w:val="Ancredenotedefin"/>
        </w:rPr>
        <w:endnoteReference w:id="39"/>
      </w:r>
      <w:r>
        <w:rPr/>
        <w:t>, bez natjecanja s NATO-om ili udvostručivanja NATO-a i poštovanja različitih nacionalnih odnosa s NATO-om; u tom bi pogledu trebalo provesti procjenu odnosa EU-a s NATO-om u kontekstu rasprave o strateškoj autonomiji EU-a.</w:t>
      </w:r>
    </w:p>
    <w:p>
      <w:pPr>
        <w:pStyle w:val="Normal"/>
        <w:rPr/>
      </w:pPr>
      <w:r>
        <w:rPr/>
      </w:r>
    </w:p>
    <w:p>
      <w:pPr>
        <w:pStyle w:val="Puce3"/>
        <w:tabs>
          <w:tab w:val="clear" w:pos="720"/>
        </w:tabs>
        <w:rPr/>
      </w:pPr>
      <w:r>
        <w:rPr/>
        <w:t>2.</w:t>
        <w:tab/>
        <w:t>Vodeću ulogu u izgradnji poslijeratnog globalnog sigurnosnog poretka u Ukrajini, na temelju nedavno usvojenog strateškog kompasa EU-a.</w:t>
      </w:r>
    </w:p>
    <w:p>
      <w:pPr>
        <w:pStyle w:val="Puce3"/>
        <w:tabs>
          <w:tab w:val="clear" w:pos="720"/>
        </w:tabs>
        <w:rPr/>
      </w:pPr>
      <w:r>
        <w:rPr/>
        <w:t>3.</w:t>
        <w:tab/>
        <w:t>Zaštita svojih strateških istraživanja i sposobnosti u prioritetnim sektorima kao što su svemirski sektor, kibersigurnost, medicinski sektor i okoliš</w:t>
      </w:r>
      <w:r>
        <w:rPr>
          <w:rStyle w:val="Ancredenotedefin"/>
          <w:rStyle w:val="Ancredenotedefin"/>
        </w:rPr>
        <w:endnoteReference w:id="40"/>
      </w:r>
      <w:r>
        <w:rPr/>
        <w:t>.</w:t>
      </w:r>
    </w:p>
    <w:p>
      <w:pPr>
        <w:pStyle w:val="Puce3"/>
        <w:tabs>
          <w:tab w:val="clear" w:pos="720"/>
        </w:tabs>
        <w:rPr/>
      </w:pPr>
      <w:r>
        <w:rPr/>
        <w:t>4.</w:t>
        <w:tab/>
        <w:t>Jačanje operativnih kapaciteta potrebnih za osiguravanje učinkovitosti klauzule o uzajamnoj pomoći predviđene člankom 42. stavkom 7. Ugovora o Europskoj uniji, kojom se jamči odgovarajuća zaštita EU-a svakoj državi članici koju napadne treća zemlja.</w:t>
      </w:r>
    </w:p>
    <w:p>
      <w:pPr>
        <w:pStyle w:val="Puce3"/>
        <w:tabs>
          <w:tab w:val="clear" w:pos="720"/>
        </w:tabs>
        <w:rPr/>
      </w:pPr>
      <w:r>
        <w:rPr/>
        <w:t>5.</w:t>
        <w:tab/>
        <w:t>Promišljanje o tome kako se na objektivan i činjenični način boriti protiv dezinformacija i propagande.</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72" w:name="__RefHeading___Toc298318_1346298689"/>
      <w:bookmarkEnd w:id="72"/>
      <w:r>
        <w:rPr/>
        <w:t>24. Prijedlog: EU kao vodeći globalni akter u izgradnji odnosa</w:t>
      </w:r>
    </w:p>
    <w:p>
      <w:pPr>
        <w:pStyle w:val="P68B1DB1Normal15"/>
        <w:rPr>
          <w:b/>
          <w:b/>
        </w:rPr>
      </w:pPr>
      <w:r>
        <w:rPr/>
        <w:t>Cilj: Predlažemo da EU u svojim odnosima s trećim zemljama:</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Mjere:</w:t>
      </w:r>
    </w:p>
    <w:p>
      <w:pPr>
        <w:pStyle w:val="Puce3"/>
        <w:tabs>
          <w:tab w:val="clear" w:pos="720"/>
        </w:tabs>
        <w:rPr/>
      </w:pPr>
      <w:r>
        <w:rPr/>
        <w:t>1.</w:t>
        <w:tab/>
        <w:t>Bolje iskoristiti svoju kolektivnu političku i gospodarsku važnost, nastupajući jedinstveno i djelujući na jedinstven način, a da neke države članice ne dijele Uniju neprimjerenim bilateralnim intervencijama</w:t>
      </w:r>
      <w:r>
        <w:rPr>
          <w:rStyle w:val="Ancredenotedefin"/>
          <w:rStyle w:val="Ancredenotedefin"/>
        </w:rPr>
        <w:endnoteReference w:id="41"/>
      </w:r>
      <w:r>
        <w:rPr/>
        <w:t>.</w:t>
      </w:r>
    </w:p>
    <w:p>
      <w:pPr>
        <w:pStyle w:val="Puce3"/>
        <w:tabs>
          <w:tab w:val="clear" w:pos="720"/>
        </w:tabs>
        <w:rPr/>
      </w:pPr>
      <w:r>
        <w:rPr/>
        <w:t>2.</w:t>
        <w:tab/>
        <w:t>Jača svoju sposobnost sankcioniranja država, vlada, subjekata, skupina ili organizacija, kao i pojedinaca koji se ne pridržavaju njegovih temeljnih načela, sporazuma i zakona, te osigurava brzu provedbu i provedbu postojećih sankcija. Sankcije koje se izriču trećim zemljama trebale bi biti razmjerne djelovanju koje ih je pokrenulo, biti učinkovite i pravodobno se primjenjivati</w:t>
      </w:r>
      <w:r>
        <w:rPr>
          <w:rStyle w:val="Ancredenotedefin"/>
          <w:rStyle w:val="Ancredenotedefin"/>
        </w:rPr>
        <w:endnoteReference w:id="42"/>
      </w:r>
      <w:r>
        <w:rPr/>
        <w:t>.</w:t>
      </w:r>
    </w:p>
    <w:p>
      <w:pPr>
        <w:pStyle w:val="Puce3"/>
        <w:tabs>
          <w:tab w:val="clear" w:pos="720"/>
        </w:tabs>
        <w:rPr/>
      </w:pPr>
      <w:r>
        <w:rPr/>
        <w:t>3.</w:t>
        <w:tab/>
        <w:t>Promiče održivu trgovinu utemeljenu na pravilima te otvara nove prilike za trgovinu i ulaganja za europska poduzeća. Iako su bilateralni sporazumi o trgovini i ulaganjima ključni za promicanje europske konkurentnosti, potrebni su standardi i pravila kako bi se osigurali jednaki uvjeti. EU mora ostati aktivan i pouzdan partner u pregovorima, sklapanju i provedbi trgovinskih sporazuma kojima se također postavljaju visoki standardi održivosti.</w:t>
      </w:r>
    </w:p>
    <w:p>
      <w:pPr>
        <w:pStyle w:val="Puce3"/>
        <w:tabs>
          <w:tab w:val="clear" w:pos="720"/>
        </w:tabs>
        <w:rPr/>
      </w:pPr>
      <w:r>
        <w:rPr/>
        <w:t>4.</w:t>
        <w:tab/>
        <w:t>Zaključili su glavne međunarodne sporazume o suradnji tako što su predstavljali Europsku uniju, a ne pojedinačne zemlje</w:t>
      </w:r>
      <w:r>
        <w:rPr>
          <w:rStyle w:val="Ancredenotedefin"/>
          <w:rStyle w:val="Ancredenotedefin"/>
        </w:rPr>
        <w:endnoteReference w:id="43"/>
      </w:r>
      <w:r>
        <w:rPr/>
        <w:t>.</w:t>
      </w:r>
    </w:p>
    <w:p>
      <w:pPr>
        <w:pStyle w:val="Puce3"/>
        <w:tabs>
          <w:tab w:val="clear" w:pos="720"/>
        </w:tabs>
        <w:rPr/>
      </w:pPr>
      <w:r>
        <w:rPr/>
        <w:t>5.</w:t>
        <w:tab/>
        <w:t>Reformirati trgovinsku i ulagačku politiku EU-a kako bi se ponovno pokrenuo globalni multilateralizam s ciljem stvaranja dostojanstvenih radnih mjesta i zaštite temeljnih ljudskih prava, uključujući prava radnika i sindikalna prava, očuvanja okoliša i biološke raznolikosti te poštovanja Pariškog sporazuma o klimatskim promjenama, osiguravanja kvalitetnih javnih usluga i jačanja industrijske baze Europe. EU bi trebao doprinijeti ponovnom pokretanju globalnog multilateralizma temeljitim reformama koje se temelje na demokraciji i miru, solidarnosti i poštovanju ljudskih prava, socijalnih i okolišnih prava te jačanjem uloge ILO-a.</w:t>
      </w:r>
    </w:p>
    <w:p>
      <w:pPr>
        <w:pStyle w:val="Puce3"/>
        <w:tabs>
          <w:tab w:val="clear" w:pos="720"/>
        </w:tabs>
        <w:rPr/>
      </w:pPr>
      <w:r>
        <w:rPr/>
        <w:t>6.</w:t>
        <w:tab/>
        <w:t>Uključuje borbu protiv trgovanja ljudima i nezakonite imigracije, kao i suradnju u mogućim operacijama vraćanja, u sporazume o suradnji i ulaganjima s trećim zemljama.</w:t>
      </w:r>
    </w:p>
    <w:p>
      <w:pPr>
        <w:pStyle w:val="Puce3"/>
        <w:tabs>
          <w:tab w:val="clear" w:pos="720"/>
        </w:tabs>
        <w:rPr/>
      </w:pPr>
      <w:r>
        <w:rPr/>
        <w:t>7.</w:t>
        <w:tab/>
        <w:t>Razviti partnerstva sa zemljama u razvoju kako bi poduprle njihovu infrastrukturu i razmotrile uzajamno korisne trgovinske sporazume kako bi im se pomoglo u prijelazu na zelene izvore energije</w:t>
      </w:r>
      <w:r>
        <w:rPr>
          <w:rStyle w:val="Ancredenotedefin"/>
          <w:rStyle w:val="Ancredenotedefin"/>
        </w:rPr>
        <w:endnoteReference w:id="44"/>
      </w:r>
      <w:r>
        <w:rPr/>
        <w:t>.</w:t>
      </w:r>
    </w:p>
    <w:p>
      <w:pPr>
        <w:pStyle w:val="Puce3"/>
        <w:tabs>
          <w:tab w:val="clear" w:pos="720"/>
        </w:tabs>
        <w:rPr/>
      </w:pPr>
      <w:r>
        <w:rPr/>
        <w:t>8.</w:t>
        <w:tab/>
        <w:t>Razvija učinkovitiju i ujedinjeniju politiku prema autokratskim i hibridnim režimima te razvija partnerstva s organizacijama civilnog društva u tim zemljama.</w:t>
      </w:r>
    </w:p>
    <w:p>
      <w:pPr>
        <w:pStyle w:val="Puce3"/>
        <w:tabs>
          <w:tab w:val="clear" w:pos="720"/>
        </w:tabs>
        <w:rPr/>
      </w:pPr>
      <w:r>
        <w:rPr/>
        <w:t>9.</w:t>
        <w:tab/>
        <w:t>Povećava sredstva misija EU-a za promatranje izbora.</w:t>
      </w:r>
    </w:p>
    <w:p>
      <w:pPr>
        <w:pStyle w:val="Puce3"/>
        <w:tabs>
          <w:tab w:val="clear" w:pos="720"/>
        </w:tabs>
        <w:rPr/>
      </w:pPr>
      <w:r>
        <w:rPr/>
        <w:t>10.</w:t>
        <w:tab/>
        <w:t>Pruža vjerodostojnu mogućnost pristupanja zemljama kandidatkinjama i potencijalnim kandidatkinjama kako bi se poticali mir i stabilnost u Europi i omogućio prosperitet milijunima Europljana</w:t>
      </w:r>
      <w:r>
        <w:rPr>
          <w:rStyle w:val="Ancredenotedefin"/>
          <w:rStyle w:val="Ancredenotedefin"/>
        </w:rPr>
        <w:endnoteReference w:id="45"/>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t>NAPOMENA: Nekoliko članova radne skupine smatra da su prijedlozi „Smanjenje ovisnosti EU-a o stranim akterima u području energetike” i „Transparentnost EU-a i njegovi odnosi s građanima”, posebno obuhvaćeni drugim radnim skupinama. Neki su članovi željeli spomenuti, uz glasovanje kvalificiranom većinom, alternative jednoglasnom odlučivanju u Vijeću, kao što su promjenjiva geometrija, klauzule o nesudjelovanju i pojačana suradnja. Neki članovi Radne skupine pozvali su na upotrebu pojma „održivo”, a ne „etičkog” u prijedlogu „Definiranje standarda unutar i izvan EU-a u trgovinskim i investicijskim odnosima”. Postoji razlika u stajalištima o tome treba li pristupanje novih država članica i dalje zahtijevati jednoglasni dogovor svih sadašnjih država članica. Pojavili su se različiti stavovi o poželjnom stupnju zajedničkih oružanih snaga. Dva su člana spomenula mogućnost jedinstva Irske u slučaju da Sjeverna Irska glasa u tom smjeru u skladu s odredbama Sporazuma na Veliki petak i potrebu da se Unija pripremi za takvu mogućnost.</w:t>
      </w:r>
    </w:p>
    <w:p>
      <w:pPr>
        <w:pStyle w:val="Normal"/>
        <w:rPr/>
      </w:pPr>
      <w:r>
        <w:rPr/>
      </w:r>
      <w:r>
        <w:br w:type="page"/>
      </w:r>
    </w:p>
    <w:p>
      <w:pPr>
        <w:pStyle w:val="Normal"/>
        <w:rPr/>
      </w:pPr>
      <w:r>
        <w:rPr/>
        <w:drawing>
          <wp:anchor behindDoc="0" distT="0" distB="0" distL="0" distR="0" simplePos="0" locked="0" layoutInCell="1" allowOverlap="1" relativeHeight="11">
            <wp:simplePos x="0" y="0"/>
            <wp:positionH relativeFrom="column">
              <wp:posOffset>19050</wp:posOffset>
            </wp:positionH>
            <wp:positionV relativeFrom="paragraph">
              <wp:posOffset>17145</wp:posOffset>
            </wp:positionV>
            <wp:extent cx="913765" cy="913765"/>
            <wp:effectExtent l="0" t="0" r="0" b="0"/>
            <wp:wrapSquare wrapText="largest"/>
            <wp:docPr id="65" name="Slika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Slika25" descr=""/>
                    <pic:cNvPicPr>
                      <a:picLocks noChangeAspect="1" noChangeArrowheads="1"/>
                    </pic:cNvPicPr>
                  </pic:nvPicPr>
                  <pic:blipFill>
                    <a:blip r:embed="rId78"/>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73" w:name="__RefHeading___Toc298320_1346298689"/>
      <w:bookmarkEnd w:id="73"/>
      <w:r>
        <w:rPr/>
        <w:t>Vrijednosti i prava, vladavina prava, sigurnost</w:t>
      </w:r>
    </w:p>
    <w:p>
      <w:pPr>
        <w:pStyle w:val="Titre3"/>
        <w:numPr>
          <w:ilvl w:val="2"/>
          <w:numId w:val="2"/>
        </w:numPr>
        <w:rPr/>
      </w:pPr>
      <w:bookmarkStart w:id="74" w:name="__RefHeading___Toc298322_1346298689"/>
      <w:bookmarkEnd w:id="74"/>
      <w:r>
        <w:rPr/>
        <w:t>25. Prijedlog: Vladavina prava, demokratske vrijednosti i europski identitet</w:t>
      </w:r>
    </w:p>
    <w:p>
      <w:pPr>
        <w:pStyle w:val="P68B1DB1Normal15"/>
        <w:rPr>
          <w:b/>
          <w:b/>
        </w:rPr>
      </w:pPr>
      <w:r>
        <w:rPr/>
        <w:t>Cilj: Sustavno podupirati vladavinu prava u svim državama članicama, uključujući:</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Mjere</w:t>
      </w:r>
      <w:r>
        <w:rPr>
          <w:rStyle w:val="Ancredenotedefin"/>
          <w:rStyle w:val="Ancredenotedefin"/>
        </w:rPr>
        <w:endnoteReference w:id="46"/>
      </w:r>
      <w:r>
        <w:rPr/>
        <w:t>:</w:t>
      </w:r>
    </w:p>
    <w:p>
      <w:pPr>
        <w:pStyle w:val="Puce3"/>
        <w:tabs>
          <w:tab w:val="clear" w:pos="720"/>
        </w:tabs>
        <w:rPr/>
      </w:pPr>
      <w:r>
        <w:rPr/>
        <w:t>1.</w:t>
        <w:tab/>
        <w:t>Osiguravanje da se o vrijednostima i načelima sadržanima u Ugovorima EU-a i Povelji Europske unije o temeljnim pravima ne može pregovarati i da su nepovratni te da predstavljaju sine qua non uvjete za članstvo i pristupanje Uniji. Vrijednosti EU-a moraju se u potpunosti poštovati u svim državama članicama; oni bi također trebali djelovati kao međunarodni standard i predstavljati stup privlačnosti putem diplomacije i dijaloga. Proširenje Unije ne bi smjelo ugroziti pravnu stečevinu EU-a u pogledu temeljnih vrijednosti i prava građana</w:t>
      </w:r>
      <w:r>
        <w:rPr>
          <w:rStyle w:val="Ancredenotedefin"/>
          <w:rStyle w:val="Ancredenotedefin"/>
        </w:rPr>
        <w:endnoteReference w:id="47"/>
      </w:r>
      <w:r>
        <w:rPr/>
        <w:t>.</w:t>
      </w:r>
    </w:p>
    <w:p>
      <w:pPr>
        <w:pStyle w:val="Puce3"/>
        <w:tabs>
          <w:tab w:val="clear" w:pos="720"/>
        </w:tabs>
        <w:rPr/>
      </w:pPr>
      <w:r>
        <w:rPr/>
        <w:t>2.</w:t>
        <w:tab/>
        <w:t>Kako bi europske vrijednosti postale opipljiva stvarnost za građane EU-a, posebno interaktivnijim i izravnijim sudjelovanjem, trebalo bi ojačati europsko građanstvo, primjerice statusom građanina Unije s pravima i slobodama građana, kao i statutom europskih prekograničnih udruženja i neprofitnih organizacija. Slično tome, europske vrijednosti trebalo bi promicati putem „integracijske aktovke” koja se sastoji od obrazovnih elemenata i informativnih materijala za građane. Naposljetku, trebalo bi stvoriti europsku javnu sferu audiovizualnih i internetskih medija novim ulaganjima EU-a, poboljšanjem postojećih medijskih platformi i povećanom potporom za više od 500 europskih ureda za vezu prisutnih na lokalnoj razini</w:t>
      </w:r>
      <w:r>
        <w:rPr>
          <w:rStyle w:val="Ancredenotedefin"/>
          <w:rStyle w:val="Ancredenotedefin"/>
        </w:rPr>
        <w:endnoteReference w:id="48"/>
      </w:r>
      <w:r>
        <w:rPr/>
        <w:t xml:space="preserve">. </w:t>
      </w:r>
    </w:p>
    <w:p>
      <w:pPr>
        <w:pStyle w:val="Puce3"/>
        <w:tabs>
          <w:tab w:val="clear" w:pos="720"/>
        </w:tabs>
        <w:rPr/>
      </w:pPr>
      <w:r>
        <w:rPr/>
        <w:t>3.</w:t>
        <w:tab/>
        <w:t>Povelja Europske unije o temeljnim pravima trebala bi biti univerzalno primjenjiva. Osim toga, trebalo bi organizirati godišnje konferencije o vladavini prava (nakon izvješća Komisije o vladavini prava) na kojima bi se okupila izaslanstva iz svih država članica koja se sastoje od građana, dužnosnika, parlamentarnih zastupnika, lokalnih vlasti, socijalnih partnera i civilnog društva, odabranih nasumično i raznolik način. Također je važno dodatno podupirati organizacije, uključujući organizacije civilnog društva, koje promiču vladavinu prava na terenu</w:t>
      </w:r>
      <w:r>
        <w:rPr>
          <w:rStyle w:val="Ancredenotedefin"/>
          <w:rStyle w:val="Ancredenotedefin"/>
        </w:rPr>
        <w:endnoteReference w:id="49"/>
      </w:r>
      <w:r>
        <w:rPr/>
        <w:t>.</w:t>
      </w:r>
    </w:p>
    <w:p>
      <w:pPr>
        <w:pStyle w:val="Puce3"/>
        <w:tabs>
          <w:tab w:val="clear" w:pos="720"/>
        </w:tabs>
        <w:rPr/>
      </w:pPr>
      <w:r>
        <w:rPr/>
        <w:t>4.</w:t>
        <w:tab/>
        <w:t>Učinkovitom primjenom takozvane Uredbe o višestrukoj sukladnosti, procjenom područja primjene te uredbe i drugih instrumenata vladavine prava te razmatranjem proširenja njihova područja primjene na nova područja, bez obzira na njihovu važnost za proračun Unije. Trebalo bi razmotriti sve potrebne pravne lijekove, uključujući izmjene Ugovora, kako bi se sankcionirala kršenja vladavine prava</w:t>
      </w:r>
      <w:r>
        <w:rPr>
          <w:rStyle w:val="Ancredenotedefin"/>
          <w:rStyle w:val="Ancredenotedefin"/>
        </w:rPr>
        <w:endnoteReference w:id="50"/>
      </w:r>
      <w:r>
        <w:rPr/>
        <w:t>.</w:t>
      </w:r>
    </w:p>
    <w:p>
      <w:pPr>
        <w:pStyle w:val="Puce3"/>
        <w:tabs>
          <w:tab w:val="clear" w:pos="720"/>
        </w:tabs>
        <w:rPr/>
      </w:pPr>
      <w:r>
        <w:rPr/>
        <w:t>5.</w:t>
        <w:tab/>
        <w:t>Promicanje obrazovnih i medijskih programa kojima se vrijednosti Unije stavljaju u središte procesa integracije migranata i potiču interakcija između građana Unije i migranata s ciljem omogućavanja njihove uspješne integracije u društva Unije i podizanja svijesti građana Unije o migracijskim pitanjima.</w:t>
      </w:r>
      <w:r>
        <w:rPr>
          <w:rStyle w:val="Ancredenotedefin"/>
          <w:rStyle w:val="Ancredenotedefin"/>
        </w:rPr>
        <w:endnoteReference w:id="51"/>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75" w:name="__RefHeading___Toc298324_1346298689"/>
      <w:bookmarkEnd w:id="75"/>
      <w:r>
        <w:rPr/>
        <w:t>26. Prijedlog: Zaštita podataka</w:t>
      </w:r>
    </w:p>
    <w:p>
      <w:pPr>
        <w:pStyle w:val="Corpsdetexte"/>
        <w:rPr/>
      </w:pPr>
      <w:r>
        <w:rPr/>
      </w:r>
    </w:p>
    <w:p>
      <w:pPr>
        <w:pStyle w:val="P68B1DB1Normal15"/>
        <w:rPr>
          <w:b/>
          <w:b/>
        </w:rPr>
      </w:pPr>
      <w:r>
        <w:rPr/>
        <w:t>Cilj: osigurati veću zaštitu i bolju politiku obrade podataka za građane, posebno:</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Mjere</w:t>
      </w:r>
      <w:r>
        <w:rPr>
          <w:rStyle w:val="Ancredenotedefin"/>
          <w:rStyle w:val="Ancredenotedefin"/>
        </w:rPr>
        <w:endnoteReference w:id="52"/>
      </w:r>
      <w:r>
        <w:rPr/>
        <w:t>:</w:t>
      </w:r>
    </w:p>
    <w:p>
      <w:pPr>
        <w:pStyle w:val="Puce3"/>
        <w:tabs>
          <w:tab w:val="clear" w:pos="720"/>
        </w:tabs>
        <w:rPr/>
      </w:pPr>
      <w:r>
        <w:rPr/>
        <w:t>1.</w:t>
        <w:tab/>
        <w:t>Potpunom provedbom i preispitivanjem postojećeg zakonodavstva o zaštiti podataka kako bi se procijenila potreba za poboljšanim provedbenim mehanizmima za subjekte koji obrađuju osobne podatke, koji su trenutačno u nadležnosti neovisnih nacionalnih tijela za zaštitu podataka poštujući načelo supsidijarnosti. Ti bi subjekti trebali biti kažnjeni strožim kaznama nego u trenutačnoj primjeni pravila, razmjerno njihovom godišnjem prometu (do 4 %) ili čak zabranom njihovih aktivnosti, te bi trebali podlijegati neovisnoj godišnjoj reviziji</w:t>
      </w:r>
      <w:r>
        <w:rPr>
          <w:rStyle w:val="Ancredenotedefin"/>
          <w:rStyle w:val="Ancredenotedefin"/>
        </w:rPr>
        <w:endnoteReference w:id="53"/>
      </w:r>
      <w:r>
        <w:rPr>
          <w:rStyle w:val="Ancredenotedefin"/>
          <w:rStyle w:val="Ancredenotedefin"/>
        </w:rPr>
        <w:endnoteReference w:id="54"/>
      </w:r>
      <w:r>
        <w:rPr/>
        <w:t>.</w:t>
      </w:r>
    </w:p>
    <w:p>
      <w:pPr>
        <w:pStyle w:val="Puce3"/>
        <w:tabs>
          <w:tab w:val="clear" w:pos="720"/>
        </w:tabs>
        <w:rPr/>
      </w:pPr>
      <w:r>
        <w:rPr/>
        <w:t>2.</w:t>
        <w:tab/>
        <w:t xml:space="preserve">Davanjem većeg učinka načelu integrirane ili zadane privatnosti, na primjer ocjenjivanjem i izradom obrazaca privole za podatke koji su lako razumljivi, sažeti i intuitivni te jasno naznačuju što je potrebno, a što nije. Korisnici moraju biti u mogućnosti dati ili povući privolu za obradu podataka na jednostavan, brz i trajan način. </w:t>
      </w:r>
      <w:r>
        <w:rPr>
          <w:rStyle w:val="Ancredenotedefin"/>
          <w:rStyle w:val="Ancredenotedefin"/>
        </w:rPr>
        <w:endnoteReference w:id="55"/>
      </w:r>
      <w:r>
        <w:rPr/>
        <w:t xml:space="preserve"> </w:t>
      </w:r>
      <w:r>
        <w:rPr>
          <w:rStyle w:val="Ancredenotedefin"/>
          <w:rStyle w:val="Ancredenotedefin"/>
        </w:rPr>
        <w:endnoteReference w:id="56"/>
      </w:r>
    </w:p>
    <w:p>
      <w:pPr>
        <w:pStyle w:val="Puce3"/>
        <w:tabs>
          <w:tab w:val="clear" w:pos="720"/>
        </w:tabs>
        <w:rPr/>
      </w:pPr>
      <w:r>
        <w:rPr/>
        <w:t>3.</w:t>
        <w:tab/>
        <w:t>Procjena i uvođenje jasnijih i zaštićenijih pravila o obradi podataka koji se odnose na maloljetnike, po mogućnosti u Općoj uredbi o zaštiti podataka EU-a, posebno stvaranjem posebne kategorije za osjetljive podatke maloljetnika i usklađivanjem minimalne dobi privole u državama članicama. Iako bi većina provedbe pravila o privatnosti i podizanju svijesti i dalje trebala biti u nadležnosti država članica, posebno povećanjem ulaganja i resursa na nacionalnoj razini, Unija bi također trebala imati važniju ulogu, na primjer stvaranjem europskih kompetencija u građanskom obrazovanju o zaštiti podataka</w:t>
      </w:r>
      <w:r>
        <w:rPr>
          <w:rStyle w:val="Ancredenotedefin"/>
          <w:rStyle w:val="Ancredenotedefin"/>
        </w:rPr>
        <w:endnoteReference w:id="57"/>
      </w:r>
      <w:r>
        <w:rPr/>
        <w:t>.</w:t>
      </w:r>
    </w:p>
    <w:p>
      <w:pPr>
        <w:pStyle w:val="Puce3"/>
        <w:tabs>
          <w:tab w:val="clear" w:pos="720"/>
        </w:tabs>
        <w:rPr/>
      </w:pPr>
      <w:r>
        <w:rPr/>
        <w:t>4.</w:t>
        <w:tab/>
        <w:t>Bolja usklađenost s kriterijima prihvatljivosti koji se primjenjuju na europska i nacionalna tijela za zaštitu podataka, u pogledu kvalifikacija i prikladnosti, kako bi se osigurala maksimalna neovisnost njihovih članova.</w:t>
      </w:r>
      <w:r>
        <w:rPr>
          <w:rStyle w:val="Ancredenotedefin"/>
          <w:rStyle w:val="Ancredenotedefin"/>
        </w:rPr>
        <w:endnoteReference w:id="58"/>
      </w:r>
      <w:r>
        <w:rPr/>
        <w:t xml:space="preserve"> </w:t>
      </w:r>
      <w:r>
        <w:rPr>
          <w:rStyle w:val="Ancredenotedefin"/>
          <w:rStyle w:val="Ancredenotedefin"/>
        </w:rPr>
        <w:endnoteReference w:id="59"/>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76" w:name="__RefHeading___Toc298326_1346298689"/>
      <w:bookmarkEnd w:id="76"/>
      <w:r>
        <w:rPr/>
        <w:t>27. Prijedlog: Mediji, lažne vijesti, dezinformacije, provjera činjenica, kibersigurnost</w:t>
      </w:r>
    </w:p>
    <w:p>
      <w:pPr>
        <w:pStyle w:val="P68B1DB1Normal15"/>
        <w:rPr>
          <w:b/>
          <w:b/>
        </w:rPr>
      </w:pPr>
      <w:r>
        <w:rPr/>
        <w:t>Cilj: Suzbijanje dezinformacija pojačanim promicanjem medijske neovisnosti i pluralizma te medijske pismenosti, posebno:</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Mjere</w:t>
      </w:r>
      <w:r>
        <w:rPr>
          <w:rStyle w:val="Ancredenotedefin"/>
          <w:rStyle w:val="Ancredenotedefin"/>
        </w:rPr>
        <w:endnoteReference w:id="60"/>
      </w:r>
      <w:r>
        <w:rPr/>
        <w:t>:</w:t>
      </w:r>
    </w:p>
    <w:p>
      <w:pPr>
        <w:pStyle w:val="Puce3"/>
        <w:tabs>
          <w:tab w:val="clear" w:pos="720"/>
        </w:tabs>
        <w:rPr/>
      </w:pPr>
      <w:r>
        <w:rPr/>
        <w:t>1.</w:t>
        <w:tab/>
        <w:t>Uvođenje zakonodavstva za borbu protiv prijetnji neovisnosti medija s pomoću minimalnih standarda koji se primjenjuju u cijeloj Uniji, uključujući preispitivanje poslovnog modela medija kako bi se osigurali integritet i neovisnost europskog medijskog tržišta</w:t>
      </w:r>
      <w:r>
        <w:rPr>
          <w:rStyle w:val="Ancredenotedefin"/>
          <w:rStyle w:val="Ancredenotedefin"/>
        </w:rPr>
        <w:endnoteReference w:id="61"/>
      </w:r>
      <w:r>
        <w:rPr/>
        <w:t>.</w:t>
      </w:r>
    </w:p>
    <w:p>
      <w:pPr>
        <w:pStyle w:val="Puce3"/>
        <w:tabs>
          <w:tab w:val="clear" w:pos="720"/>
        </w:tabs>
        <w:rPr/>
      </w:pPr>
      <w:r>
        <w:rPr/>
        <w:t>2.</w:t>
        <w:tab/>
        <w:t>Strogu primjenu pravila EU-a o tržišnom natjecanju u medijskom sektoru kako bi se spriječilo stvaranje velikih medijskih monopola i osigurao medijski pluralizam i neovisnost od svakog neželjenog uplitanja političkih, poslovnih i/ili stranih zemalja. Također bi trebalo poticati kvalitetno novinarstvo s priznatim i visokim standardima etike i samoregulacije</w:t>
      </w:r>
      <w:r>
        <w:rPr>
          <w:rStyle w:val="Ancredenotedefin"/>
          <w:rStyle w:val="Ancredenotedefin"/>
        </w:rPr>
        <w:endnoteReference w:id="62"/>
      </w:r>
      <w:r>
        <w:rPr/>
        <w:t>.</w:t>
      </w:r>
    </w:p>
    <w:p>
      <w:pPr>
        <w:pStyle w:val="Puce3"/>
        <w:tabs>
          <w:tab w:val="clear" w:pos="720"/>
        </w:tabs>
        <w:rPr/>
      </w:pPr>
      <w:r>
        <w:rPr/>
        <w:t>3.</w:t>
        <w:tab/>
        <w:t xml:space="preserve">Osnivanje tijela EU-a za borbu protiv ciljanih dezinformacija i uplitanja, poboljšanje percepcije stanja i jačanje organizacija za provjeru činjenica i neovisnih medija. Trebalo bi dodatno podupirati i aktivnije promicati „brojeve za hitne slučajeve” i lokacije, kao što je Europe Direct, kojima se građanima i nacionalnim medijima omogućuje da zatraže i dobiju provjerene informacije o strategijama i politikama EU-a. </w:t>
      </w:r>
      <w:r>
        <w:rPr>
          <w:rStyle w:val="Ancredenotedefin"/>
          <w:rStyle w:val="Ancredenotedefin"/>
        </w:rPr>
        <w:endnoteReference w:id="63"/>
      </w:r>
      <w:r>
        <w:rPr/>
        <w:t xml:space="preserve"> </w:t>
      </w:r>
      <w:r>
        <w:rPr>
          <w:rStyle w:val="Ancredenotedefin"/>
          <w:rStyle w:val="Ancredenotedefin"/>
        </w:rPr>
        <w:endnoteReference w:id="64"/>
      </w:r>
    </w:p>
    <w:p>
      <w:pPr>
        <w:pStyle w:val="Puce3"/>
        <w:tabs>
          <w:tab w:val="clear" w:pos="720"/>
        </w:tabs>
        <w:rPr/>
      </w:pPr>
      <w:r>
        <w:rPr/>
        <w:t>4.</w:t>
        <w:tab/>
        <w:t xml:space="preserve">Poticanje medijske pismenosti i javne svijesti o dezinformacijama i nenamjernom širenju vijesti, među ostalim putem obveznog školskog obrazovanja. Države članice također bi trebalo poticati da u tu svrhu namijene odgovarajuće ljudske i financijske resurse. </w:t>
      </w:r>
      <w:r>
        <w:rPr>
          <w:rStyle w:val="Ancredenotedefin"/>
          <w:rStyle w:val="Ancredenotedefin"/>
        </w:rPr>
        <w:endnoteReference w:id="65"/>
      </w:r>
    </w:p>
    <w:p>
      <w:pPr>
        <w:pStyle w:val="Puce3"/>
        <w:tabs>
          <w:tab w:val="clear" w:pos="720"/>
        </w:tabs>
        <w:rPr/>
      </w:pPr>
      <w:r>
        <w:rPr/>
        <w:t>5.</w:t>
        <w:tab/>
        <w:t>Nadovezujući se na postojeće inicijative, kao što su Kodeks dobre prakse protiv dezinformiranja i Europski opservatorij za digitalne medije (EDMO), kako bi se internetske platforme obvezale na objavljivanje jasnih informacija o algoritmima kojima se koriste (uz izbor korisnika da pristanu ili ne) i rizicima od dezinformacija kojima su izloženi korisnici, uz očuvanje prava na slobodu govora i pravo na privatnost.</w:t>
      </w:r>
      <w:r>
        <w:rPr>
          <w:rStyle w:val="Ancredenotedefin"/>
          <w:rStyle w:val="Ancredenotedefin"/>
        </w:rPr>
        <w:endnoteReference w:id="66"/>
      </w:r>
      <w:r>
        <w:rPr/>
        <w:t xml:space="preserve"> </w:t>
      </w:r>
      <w:r>
        <w:rPr>
          <w:rStyle w:val="Ancredenotedefin"/>
          <w:rStyle w:val="Ancredenotedefin"/>
        </w:rPr>
        <w:endnoteReference w:id="67"/>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77" w:name="__RefHeading___Toc298328_1346298689"/>
      <w:bookmarkEnd w:id="77"/>
      <w:r>
        <w:rPr/>
        <w:t>28. Prijedlog: Mediji, lažne vijesti, dezinformacije, provjera činjenica, kibersigurnost (bis)</w:t>
      </w:r>
    </w:p>
    <w:p>
      <w:pPr>
        <w:pStyle w:val="P68B1DB1Normal15"/>
        <w:rPr>
          <w:b/>
          <w:b/>
        </w:rPr>
      </w:pPr>
      <w:r>
        <w:rPr/>
        <w:t>Cilj: jačanje uloge Unije u suzbijanju kibersigurnosnih prijetnji, posebno:</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Mjere:</w:t>
      </w:r>
    </w:p>
    <w:p>
      <w:pPr>
        <w:pStyle w:val="Puce3"/>
        <w:tabs>
          <w:tab w:val="clear" w:pos="720"/>
        </w:tabs>
        <w:rPr/>
      </w:pPr>
      <w:r>
        <w:rPr/>
        <w:t>1.</w:t>
        <w:tab/>
        <w:t xml:space="preserve">Jačanje Agencije Europske unije za kibersigurnost (ENISA) radi bolje zaštite pojedinaca, organizacija i institucija od povreda kibersigurnosti i upotrebe umjetne inteligencije u kriminalne svrhe. Istodobno bi trebalo očuvati povjerljivost i zaštitu osobnih podataka. </w:t>
      </w:r>
      <w:r>
        <w:rPr>
          <w:rStyle w:val="Ancredenotedefin"/>
          <w:rStyle w:val="Ancredenotedefin"/>
        </w:rPr>
        <w:endnoteReference w:id="68"/>
      </w:r>
      <w:r>
        <w:rPr/>
        <w:t xml:space="preserve"> </w:t>
      </w:r>
      <w:r>
        <w:rPr>
          <w:rStyle w:val="Ancredenotedefin"/>
          <w:rStyle w:val="Ancredenotedefin"/>
        </w:rPr>
        <w:endnoteReference w:id="69"/>
      </w:r>
    </w:p>
    <w:p>
      <w:pPr>
        <w:pStyle w:val="Puce3"/>
        <w:tabs>
          <w:tab w:val="clear" w:pos="720"/>
        </w:tabs>
        <w:rPr/>
      </w:pPr>
      <w:r>
        <w:rPr/>
        <w:t>2.</w:t>
        <w:tab/>
        <w:t>Poboljšanje koordinacije nacionalnih tijela za kibersigurnost i ulaganje dodatnih napora kako bi se osigurala učinkovita provedba pravila Unije na nacionalnoj razini.</w:t>
      </w:r>
      <w:r>
        <w:rPr>
          <w:rStyle w:val="Ancredenotedefin"/>
          <w:rStyle w:val="Ancredenotedefin"/>
        </w:rPr>
        <w:endnoteReference w:id="70"/>
      </w:r>
      <w:r>
        <w:rPr/>
        <w:t xml:space="preserve"> </w:t>
      </w:r>
      <w:r>
        <w:rPr>
          <w:rStyle w:val="Ancredenotedefin"/>
          <w:rStyle w:val="Ancredenotedefin"/>
        </w:rPr>
        <w:endnoteReference w:id="71"/>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78" w:name="__RefHeading___Toc298330_1346298689"/>
      <w:bookmarkEnd w:id="78"/>
      <w:r>
        <w:rPr/>
        <w:t>29. Prijedlog: Borba protiv diskriminacije, jednakosti i kvalitete života</w:t>
      </w:r>
    </w:p>
    <w:p>
      <w:pPr>
        <w:pStyle w:val="P68B1DB1Normal15"/>
        <w:rPr>
          <w:b/>
          <w:b/>
        </w:rPr>
      </w:pPr>
      <w:r>
        <w:rPr/>
        <w:t>CILJ: Poduzeti mjere za usklađivanje životnih uvjeta diljem Unije i poboljšanje socioekonomske kvalitete života njezinih građana, a posebno:</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Mjere</w:t>
      </w:r>
      <w:r>
        <w:rPr>
          <w:rStyle w:val="Ancredenotedefin"/>
          <w:rStyle w:val="Ancredenotedefin"/>
        </w:rPr>
        <w:endnoteReference w:id="72"/>
      </w:r>
      <w:r>
        <w:rPr/>
        <w:t>:</w:t>
      </w:r>
    </w:p>
    <w:p>
      <w:pPr>
        <w:pStyle w:val="Puce3"/>
        <w:tabs>
          <w:tab w:val="clear" w:pos="720"/>
        </w:tabs>
        <w:rPr/>
      </w:pPr>
      <w:r>
        <w:rPr/>
        <w:t>1.</w:t>
        <w:tab/>
        <w:t>Razvoj transparentnih pokazatelja kvalitete života, uključujući gospodarske i socijalne kriterije te kriterije vladavine prava, uz savjetovanje sa stručnjacima i socijalnim partnerima, kako bi se utvrdio jasan i realističan vremenski raspored za podizanje socijalnih standarda i uspostavu zajedničke socioekonomske strukture Unije, među ostalim provedbom europskog stupa socijalnih prava. Te bi mjere trebalo uključiti u okvir gospodarskog upravljanja i postupak europskog semestra</w:t>
      </w:r>
      <w:r>
        <w:rPr>
          <w:rStyle w:val="Ancredenotedefin"/>
          <w:rStyle w:val="Ancredenotedefin"/>
        </w:rPr>
        <w:endnoteReference w:id="73"/>
      </w:r>
      <w:r>
        <w:rPr>
          <w:rStyle w:val="Ancredenotedefin"/>
          <w:rStyle w:val="Ancredenotedefin"/>
        </w:rPr>
        <w:endnoteReference w:id="74"/>
      </w:r>
      <w:r>
        <w:rPr/>
        <w:t>.</w:t>
      </w:r>
    </w:p>
    <w:p>
      <w:pPr>
        <w:pStyle w:val="Puce3"/>
        <w:tabs>
          <w:tab w:val="clear" w:pos="720"/>
        </w:tabs>
        <w:rPr/>
      </w:pPr>
      <w:r>
        <w:rPr/>
        <w:t>2.</w:t>
        <w:tab/>
        <w:t>Povećanje i olakšavanje izravnih javnih ulaganja u zdravstvo, obrazovanje, fizičku infrastrukturu i skrb za starije osobe i osobe s invaliditetom. Dodatna ulaganja trebala bi biti usmjerena i na osiguravanje zadovoljavajuće ravnoteže između poslovnog i privatnog života građana. Ta bi se ulaganja trebala provoditi na potpuno transparentan način kako bi se pratio cijeli postupak</w:t>
      </w:r>
      <w:r>
        <w:rPr>
          <w:rStyle w:val="Ancredenotedefin"/>
          <w:rStyle w:val="Ancredenotedefin"/>
        </w:rPr>
        <w:endnoteReference w:id="75"/>
      </w:r>
      <w:r>
        <w:rPr/>
        <w:t>.</w:t>
      </w:r>
    </w:p>
    <w:p>
      <w:pPr>
        <w:pStyle w:val="Puce3"/>
        <w:tabs>
          <w:tab w:val="clear" w:pos="720"/>
        </w:tabs>
        <w:rPr/>
      </w:pPr>
      <w:r>
        <w:rPr/>
        <w:t>3.</w:t>
        <w:tab/>
        <w:t>Poticanje oporezivanja velikih poduzeća, borba protiv pristupa poreznim oazama i ukidanje njihova postojanja u EU-u s ciljem povećanja javnih ulaganja u prioritetna područja kao što su obrazovanje (bespovratne potpore za studij, Erasmus) i istraživanje. Borba protiv utaje poreza na razini EU-a također bi trebala biti sredstvo prikupljanja sredstava za javno financirane inicijative</w:t>
      </w:r>
      <w:r>
        <w:rPr>
          <w:rStyle w:val="Ancredenotedefin"/>
          <w:rStyle w:val="Ancredenotedefin"/>
        </w:rPr>
        <w:endnoteReference w:id="76"/>
      </w:r>
      <w:r>
        <w:rPr>
          <w:rStyle w:val="Ancredenotedefin"/>
          <w:rStyle w:val="Ancredenotedefin"/>
        </w:rPr>
        <w:endnoteReference w:id="77"/>
      </w:r>
      <w:r>
        <w:rPr/>
        <w:t>.</w:t>
      </w:r>
    </w:p>
    <w:p>
      <w:pPr>
        <w:pStyle w:val="Puce3"/>
        <w:tabs>
          <w:tab w:val="clear" w:pos="720"/>
        </w:tabs>
        <w:rPr/>
      </w:pPr>
      <w:r>
        <w:rPr/>
        <w:t>4.</w:t>
        <w:tab/>
        <w:t>Utvrđivanjem kriterija na razini Unije za borbu protiv diskriminacije na tržištu rada i poticanjem privatnih poduzeća da zapošljavaju osobe koje su općenito najviše pogođene diskriminacijom (uključujući mlade, starije osobe, žene i pripadnike manjina), među ostalim putem subvencija, te, s druge strane, privremenih kvota. Socijalni partneri trebali bi biti usko uključeni u te napore. Diskriminacija izvan tržišta rada također bi trebala biti zabranjena zakonom te bi trebalo poticati jednakost</w:t>
      </w:r>
      <w:r>
        <w:rPr>
          <w:rStyle w:val="Ancredenotedefin"/>
          <w:rStyle w:val="Ancredenotedefin"/>
        </w:rPr>
        <w:endnoteReference w:id="78"/>
      </w:r>
      <w:r>
        <w:rPr/>
        <w:t>.</w:t>
      </w:r>
    </w:p>
    <w:p>
      <w:pPr>
        <w:pStyle w:val="Puce3"/>
        <w:tabs>
          <w:tab w:val="clear" w:pos="720"/>
        </w:tabs>
        <w:rPr/>
      </w:pPr>
      <w:r>
        <w:rPr/>
        <w:t>5.</w:t>
        <w:tab/>
        <w:t>Osiguravanje stvaranja i olakšavanja postojanja pristupačnih javnih i privatnih vrtića, kao i besplatnih usluga skrbi o djeci za one kojima je potrebna</w:t>
      </w:r>
      <w:r>
        <w:rPr>
          <w:rStyle w:val="Ancredenotedefin"/>
          <w:rStyle w:val="Ancredenotedefin"/>
        </w:rPr>
        <w:endnoteReference w:id="79"/>
      </w:r>
      <w:r>
        <w:rPr/>
        <w:t>.</w:t>
      </w:r>
    </w:p>
    <w:p>
      <w:pPr>
        <w:pStyle w:val="Puce3"/>
        <w:tabs>
          <w:tab w:val="clear" w:pos="720"/>
        </w:tabs>
        <w:rPr/>
      </w:pPr>
      <w:r>
        <w:rPr/>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79" w:name="__RefHeading___Toc298332_1346298689"/>
      <w:bookmarkEnd w:id="79"/>
      <w:r>
        <w:rPr/>
        <w:t>30. Prijedlog: Prava životinja, poljoprivreda</w:t>
      </w:r>
    </w:p>
    <w:p>
      <w:pPr>
        <w:pStyle w:val="P68B1DB1Normal15"/>
        <w:rPr>
          <w:b/>
          <w:b/>
        </w:rPr>
      </w:pPr>
      <w:r>
        <w:rPr/>
        <w:t>Cilj: Poduzeti odlučne mjere za promicanje i osiguravanje ekološki prihvatljivije poljoprivrede koja je povoljnija za klimu, a posebno:</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Mjere</w:t>
      </w:r>
      <w:r>
        <w:rPr>
          <w:rStyle w:val="Ancredenotedefin"/>
          <w:rStyle w:val="Ancredenotedefin"/>
        </w:rPr>
        <w:endnoteReference w:id="80"/>
      </w:r>
      <w:r>
        <w:rPr/>
        <w:t>:</w:t>
      </w:r>
    </w:p>
    <w:p>
      <w:pPr>
        <w:pStyle w:val="Puce3"/>
        <w:tabs>
          <w:tab w:val="clear" w:pos="720"/>
        </w:tabs>
        <w:rPr/>
      </w:pPr>
      <w:r>
        <w:rPr/>
        <w:t>1.</w:t>
        <w:tab/>
        <w:t>Utvrđivanjem detaljnih, mjerljivih i vremenski ograničenih minimalnih kriterija za zaštitu domaćih životinja s ciljem osiguravanja viših standarda dobrobiti životinja u skladu s uvođenjem ciljeva održivosti i na temelju integriranog pristupa prehrambenom sustavu</w:t>
      </w:r>
      <w:r>
        <w:rPr>
          <w:rStyle w:val="Ancredenotedefin"/>
          <w:rStyle w:val="Ancredenotedefin"/>
        </w:rPr>
        <w:endnoteReference w:id="81"/>
      </w:r>
      <w:r>
        <w:rPr>
          <w:rStyle w:val="Ancredenotedefin"/>
          <w:rStyle w:val="Ancredenotedefin"/>
        </w:rPr>
        <w:endnoteReference w:id="82"/>
      </w:r>
      <w:r>
        <w:rPr/>
        <w:t>.</w:t>
      </w:r>
    </w:p>
    <w:p>
      <w:pPr>
        <w:pStyle w:val="Puce3"/>
        <w:tabs>
          <w:tab w:val="clear" w:pos="720"/>
        </w:tabs>
        <w:rPr/>
      </w:pPr>
      <w:r>
        <w:rPr/>
        <w:t>2.</w:t>
        <w:tab/>
        <w:t>Uvođenje novčanih kazni za nepovoljne učinke poljoprivredne djelatnosti (npr. emisije stakleničkih plinova, upotreba pesticida, prekomjerna potrošnja vode, prijevoz na velike udaljenosti itd.) ovisno o njihovu utjecaju na okoliš. Poljoprivredne proizvode koji se uvoze u Uniju također bi trebalo ocijeniti na toj osnovi, uključujući putem carina, kako bi se uklonila svaka konkurentska prednost koja proizlazi iz manje strogih ekoloških standarda</w:t>
      </w:r>
      <w:r>
        <w:rPr>
          <w:rStyle w:val="Ancredenotedefin"/>
          <w:rStyle w:val="Ancredenotedefin"/>
        </w:rPr>
        <w:endnoteReference w:id="83"/>
      </w:r>
      <w:r>
        <w:rPr/>
        <w:t>.</w:t>
      </w:r>
    </w:p>
    <w:p>
      <w:pPr>
        <w:pStyle w:val="Puce3"/>
        <w:tabs>
          <w:tab w:val="clear" w:pos="720"/>
        </w:tabs>
        <w:rPr/>
      </w:pPr>
      <w:r>
        <w:br w:type="column"/>
      </w:r>
      <w:r>
        <w:rPr/>
      </w:r>
    </w:p>
    <w:p>
      <w:pPr>
        <w:pStyle w:val="Puce3"/>
        <w:tabs>
          <w:tab w:val="clear" w:pos="720"/>
        </w:tabs>
        <w:rPr/>
      </w:pPr>
      <w:r>
        <w:rPr/>
        <w:t>3.</w:t>
        <w:tab/>
        <w:t>Smanjenje subvencija za masovnu poljoprivrednu proizvodnju ako se njome ne doprinosi održivoj tranziciji i preusmjeravanje tih sredstava na potporu okolišno održivoj poljoprivredi, uz istodobno osiguravanje cjenovne pristupačnosti prehrambenih proizvoda.</w:t>
      </w:r>
      <w:r>
        <w:rPr>
          <w:rStyle w:val="Ancredenotedefin"/>
          <w:rStyle w:val="Ancredenotedefin"/>
        </w:rPr>
        <w:endnoteReference w:id="84"/>
      </w:r>
      <w:r>
        <w:rPr/>
        <w:t xml:space="preserve"> </w:t>
      </w:r>
      <w:r>
        <w:rPr>
          <w:rStyle w:val="Ancredenotedefin"/>
          <w:rStyle w:val="Ancredenotedefin"/>
        </w:rPr>
        <w:endnoteReference w:id="85"/>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Normal"/>
        <w:rPr/>
      </w:pPr>
      <w:r>
        <w:rPr/>
        <w:drawing>
          <wp:anchor behindDoc="0" distT="0" distB="0" distL="0" distR="0" simplePos="0" locked="0" layoutInCell="1" allowOverlap="1" relativeHeight="7">
            <wp:simplePos x="0" y="0"/>
            <wp:positionH relativeFrom="column">
              <wp:posOffset>27940</wp:posOffset>
            </wp:positionH>
            <wp:positionV relativeFrom="paragraph">
              <wp:posOffset>30480</wp:posOffset>
            </wp:positionV>
            <wp:extent cx="913765" cy="913765"/>
            <wp:effectExtent l="0" t="0" r="0" b="0"/>
            <wp:wrapSquare wrapText="largest"/>
            <wp:docPr id="66" name="Slika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Slika26" descr=""/>
                    <pic:cNvPicPr>
                      <a:picLocks noChangeAspect="1" noChangeArrowheads="1"/>
                    </pic:cNvPicPr>
                  </pic:nvPicPr>
                  <pic:blipFill>
                    <a:blip r:embed="rId79"/>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80" w:name="__RefHeading___Toc298334_1346298689"/>
      <w:bookmarkEnd w:id="80"/>
      <w:r>
        <w:rPr/>
        <w:t>„</w:t>
      </w:r>
      <w:r>
        <w:rPr/>
        <w:t>Digitalna transformacija”</w:t>
      </w:r>
    </w:p>
    <w:p>
      <w:pPr>
        <w:pStyle w:val="Normal"/>
        <w:rPr/>
      </w:pPr>
      <w:r>
        <w:rPr/>
        <w:t>Europa mora biti predvodnica u svijetu i postaviti standarde za digitalnu transformaciju te mora iscrtati europski put prema etičkom, transparentnom i sigurnom društvu usmjerenom na čovjeka. Europa mora usvojiti ambiciozan pristup i u potpunosti iskoristiti mogućnosti koje nudi digitalizacija te istodobno upravljati rizicima i izazovima koje donosi digitalizacija. Digitalizacija se odnosi na sva područja našeg društva i treba je sustavno uzimati u obzir. U tom se pogledu upućuje na Europsku deklaraciju o digitalnim pravima i načelima za digitalno desetljeće te je predloženo da se u budućnosti razmotri moguća izrada Povelje o digitalnim pravima.</w:t>
      </w:r>
    </w:p>
    <w:p>
      <w:pPr>
        <w:pStyle w:val="Normal"/>
        <w:rPr/>
      </w:pPr>
      <w:r>
        <w:rPr/>
        <w:t>Ruska agresija u Ukrajini samo potvrđuje mnoge elemente razmatrane u prijedlozima, kao što su potreba za digitalnim suverenitetom, veća pozornost na kiberobranu i zaštitu od dezinformiranja. Također dokazuje da suvremeni sukobi imaju posljedice u digitalnoj sferi i postavljaju nova pitanja, kao što su dugoročne posljedice zlouporabe osobnih podataka i nezakonito korištenje tih podataka u budućnosti.</w:t>
      </w:r>
    </w:p>
    <w:p>
      <w:pPr>
        <w:pStyle w:val="Normal"/>
        <w:rPr/>
      </w:pPr>
      <w:r>
        <w:rPr/>
      </w:r>
    </w:p>
    <w:p>
      <w:pPr>
        <w:pStyle w:val="Titre3"/>
        <w:numPr>
          <w:ilvl w:val="2"/>
          <w:numId w:val="2"/>
        </w:numPr>
        <w:rPr/>
      </w:pPr>
      <w:bookmarkStart w:id="81" w:name="__RefHeading___Toc298336_1346298689"/>
      <w:bookmarkEnd w:id="81"/>
      <w:r>
        <w:rPr/>
        <w:t>31. Prijedlog: Pristup digitalnoj infrastrukturi</w:t>
      </w:r>
    </w:p>
    <w:p>
      <w:pPr>
        <w:pStyle w:val="Normal"/>
        <w:rPr/>
      </w:pPr>
      <w:r>
        <w:rPr/>
        <w:t>Cilj: Jednak pristup internetu temeljno je pravo svakog europskog građanina. Predlažemo da svi u Europi imaju učinkovit pristup internetu i digitalnim uslugama te da se ojača suverenitet digitalne infrastrukture EU-a provedbom sljedećih mjera:</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Mjere</w:t>
      </w:r>
      <w:r>
        <w:rPr>
          <w:rStyle w:val="Ancredenotedefin"/>
          <w:rStyle w:val="Ancredenotedefin"/>
        </w:rPr>
        <w:endnoteReference w:id="86"/>
      </w:r>
      <w:r>
        <w:rPr/>
        <w:t>:</w:t>
      </w:r>
    </w:p>
    <w:p>
      <w:pPr>
        <w:pStyle w:val="Puce3"/>
        <w:tabs>
          <w:tab w:val="clear" w:pos="720"/>
        </w:tabs>
        <w:rPr/>
      </w:pPr>
      <w:r>
        <w:rPr/>
        <w:t>1.</w:t>
        <w:tab/>
        <w:t>Ulaganje u visokokvalitetnu i inovativnu europsku digitalnu infrastrukturu (uključujući razvoj mreža 5G i 6G u Europi) (preporuke 40. i 47. ECP-a 1 i br. 1 nizozemskog nacionalnog kontaktnog mjesta).</w:t>
      </w:r>
    </w:p>
    <w:p>
      <w:pPr>
        <w:pStyle w:val="Puce3"/>
        <w:tabs>
          <w:tab w:val="clear" w:pos="720"/>
        </w:tabs>
        <w:rPr/>
      </w:pPr>
      <w:r>
        <w:rPr/>
        <w:t>2.</w:t>
        <w:tab/>
        <w:t>Osigurati brz, cjenovno pristupačan, siguran i stabilan pristup internetu u cijeloj Uniji, uključujući roaming, pri čemu se prednost daje uspostavi internetskih veza u „bijelim/mrtvim zonama”, ruralnim, udaljenim i perifernim područjima kako bi se riješio digitalni jaz među državama članicama i unutar njih te osiguralo da nitko ne bude zapostavljen (preporuke 17. i 47. nizozemske nacionalne kontaktne točke 1 i br. 1.).</w:t>
      </w:r>
    </w:p>
    <w:p>
      <w:pPr>
        <w:pStyle w:val="Puce3"/>
        <w:tabs>
          <w:tab w:val="clear" w:pos="720"/>
        </w:tabs>
        <w:rPr/>
      </w:pPr>
      <w:r>
        <w:rPr/>
        <w:t>3.</w:t>
        <w:tab/>
        <w:t>Unaprijediti uvođenje digitalne i električne infrastrukture u javnim i privatnim prostorima kojom se omogućuje uporaba električnih i autonomnih vozila (rasprava u radnoj skupini)</w:t>
      </w:r>
      <w:r>
        <w:rPr>
          <w:rStyle w:val="Ancredenotedefin"/>
          <w:rStyle w:val="Ancredenotedefin"/>
        </w:rPr>
        <w:endnoteReference w:id="87"/>
      </w:r>
      <w:r>
        <w:rPr/>
        <w:t>.</w:t>
      </w:r>
    </w:p>
    <w:p>
      <w:pPr>
        <w:pStyle w:val="Puce3"/>
        <w:tabs>
          <w:tab w:val="clear" w:pos="720"/>
        </w:tabs>
        <w:rPr/>
      </w:pPr>
      <w:r>
        <w:rPr/>
        <w:t>4.</w:t>
        <w:tab/>
        <w:t>Poduzeti mjere za osiguravanje poštenog i otvorenog tržišnog natjecanja i sprečavanje monopola, ovisnosti o dobavljačima, koncentracije podataka i oslanjanja na treće zemlje o infrastrukturi i uslugama; poboljšanje tržišta iz perspektive potrošača (Preporuka CEP-a br. 17 1).</w:t>
      </w:r>
    </w:p>
    <w:p>
      <w:pPr>
        <w:pStyle w:val="Puce3"/>
        <w:tabs>
          <w:tab w:val="clear" w:pos="720"/>
        </w:tabs>
        <w:rPr/>
      </w:pPr>
      <w:r>
        <w:rPr/>
        <w:t>5.</w:t>
        <w:tab/>
        <w:t>Učiniti djecu, obitelji, starije osobe i ranjive skupine prioritetom u pogledu pristupa internetu i informatičkoj opremi, uključujući pristup obrazovanju, javnim uslugama i zdravstvu (preporuka br. 17 CEP-a i rasprava u okviru Radne skupine).</w:t>
      </w:r>
    </w:p>
    <w:p>
      <w:pPr>
        <w:pStyle w:val="Puce3"/>
        <w:tabs>
          <w:tab w:val="clear" w:pos="720"/>
        </w:tabs>
        <w:rPr/>
      </w:pPr>
      <w:r>
        <w:rPr/>
        <w:t>6.</w:t>
        <w:tab/>
        <w:t>Poboljšati digitalni pristup, uz potpunu pristupačnost, osnovnim javnim i privatnim uslugama za građane i poduzeća, npr. u pogledu administrativnih postupaka, te osigurati pristup tim uslugama i potporu povezanu s njima za sve, npr. putem usluga podrške (rasprava u radnoj skupini, višejezična digitalna platforma).</w:t>
      </w:r>
    </w:p>
    <w:p>
      <w:pPr>
        <w:pStyle w:val="Puce3"/>
        <w:tabs>
          <w:tab w:val="clear" w:pos="720"/>
        </w:tabs>
        <w:rPr/>
      </w:pPr>
      <w:r>
        <w:rPr/>
        <w:t>7.</w:t>
        <w:tab/>
        <w:t>Uskladiti visokokvalitetne digitalne standarde i poboljšati sigurnu mobilnost podataka kako bi se olakšala prekogranična interoperabilnost (rasprava u radnoj skupini, višejezična digitalna platforma).</w:t>
      </w:r>
    </w:p>
    <w:p>
      <w:pPr>
        <w:pStyle w:val="Puce3"/>
        <w:tabs>
          <w:tab w:val="clear" w:pos="720"/>
        </w:tabs>
        <w:rPr/>
      </w:pPr>
      <w:r>
        <w:rPr/>
        <w:t>8.</w:t>
        <w:tab/>
        <w:t>Razmotriti utjecaj digitalne infrastrukture i digitalizacije na okoliš kako bi digitalna transformacija bila održiva i prešla na zeleno digitalno društvo (rasprava u radnoj skupini, višejezična digitalna platforma).</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82" w:name="__RefHeading___Toc298338_1346298689"/>
      <w:bookmarkEnd w:id="82"/>
      <w:r>
        <w:rPr/>
        <w:t>32. Prijedlog: Digitalno znanje i vještine koje osnažuju ljude</w:t>
      </w:r>
    </w:p>
    <w:p>
      <w:pPr>
        <w:pStyle w:val="P68B1DB1Normal15"/>
        <w:rPr>
          <w:b/>
          <w:b/>
        </w:rPr>
      </w:pPr>
      <w:r>
        <w:rPr/>
        <w:t>Cilj: Predlažemo da EU osigura da svi europski građani mogu iskoristiti digitalizaciju tako što će im omogućiti da steknu potrebne digitalne vještine i mogućnosti provedbom sljedećih mjera:</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Mjere</w:t>
      </w:r>
      <w:r>
        <w:rPr>
          <w:rStyle w:val="Ancredenotedefin"/>
          <w:rStyle w:val="Ancredenotedefin"/>
        </w:rPr>
        <w:endnoteReference w:id="88"/>
      </w:r>
      <w:r>
        <w:rPr/>
        <w:t>:</w:t>
      </w:r>
    </w:p>
    <w:p>
      <w:pPr>
        <w:pStyle w:val="Puce3"/>
        <w:tabs>
          <w:tab w:val="clear" w:pos="720"/>
        </w:tabs>
        <w:rPr/>
      </w:pPr>
      <w:r>
        <w:rPr/>
        <w:t>1.</w:t>
        <w:tab/>
        <w:t>Osigurati pristup osposobljavanju i obrazovanju, uključujući školske, formalne i neformalne kurikulume, cjeloživotnim digitalnim vještinama i znanju, na temelju postojećih inicijativa na europskoj razini, pri čemu se posebna pozornost posvećuje uključivanju osoba koje pripadaju ranjivim skupinama i starijim osobama, kao i jačanju digitalnih vještina djece na način koji je kompatibilan s njihovim pravim razvojem i rješavanjem problema digitalnih nejednakosti, uključujući digitalni jaz između muškaraca i žena (Preporuka br. 8, Preporuka br. 5.2 talijanskog nacionalnog kontaktnog mjesta i rasprava u Radnoj skupini).</w:t>
      </w:r>
    </w:p>
    <w:p>
      <w:pPr>
        <w:pStyle w:val="Puce3"/>
        <w:tabs>
          <w:tab w:val="clear" w:pos="720"/>
        </w:tabs>
        <w:rPr/>
      </w:pPr>
      <w:r>
        <w:rPr/>
        <w:t>2.</w:t>
        <w:tab/>
        <w:t>Osigurati dobro korištenje interneta poticanjem država članica da razviju osposobljavanje za digitalne vještine za sve dobne skupine s usklađenim programima i sadržajem na europskoj razini, kao što su internetski rizici i mogućnosti, prava korisnika na internetu i netiquette (preporuka 47 CEP-a i rasprava u radnoj skupini).</w:t>
      </w:r>
    </w:p>
    <w:p>
      <w:pPr>
        <w:pStyle w:val="Puce3"/>
        <w:tabs>
          <w:tab w:val="clear" w:pos="720"/>
        </w:tabs>
        <w:rPr/>
      </w:pPr>
      <w:r>
        <w:rPr/>
        <w:t>3.</w:t>
        <w:tab/>
        <w:t>Poduzeti sve potrebne mjere kako bi se osiguralo da digitalizacija društva ne isključuje starije osobe i da im tehnologija bude dostupna poticanjem relevantnih programa i inicijativa, kao što su tečajevi prilagođeni njihovim potrebama. Istodobno bi trebalo osigurati da osnovne usluge budu dostupne i osobno i na nedigitalan način (preporuke 34. i 47. CEP-a).</w:t>
      </w:r>
    </w:p>
    <w:p>
      <w:pPr>
        <w:pStyle w:val="Puce3"/>
        <w:tabs>
          <w:tab w:val="clear" w:pos="720"/>
        </w:tabs>
        <w:rPr/>
      </w:pPr>
      <w:r>
        <w:rPr/>
        <w:t>4.</w:t>
        <w:tab/>
        <w:t>Uvesti u škole europsku certifikaciju digitalnih vještina kojom će se mlade pripremiti za buduće tržište rada (preporuka 8 1).</w:t>
      </w:r>
    </w:p>
    <w:p>
      <w:pPr>
        <w:pStyle w:val="Puce3"/>
        <w:tabs>
          <w:tab w:val="clear" w:pos="720"/>
        </w:tabs>
        <w:rPr/>
      </w:pPr>
      <w:r>
        <w:rPr/>
        <w:t>5.</w:t>
        <w:tab/>
        <w:t>Provesti koordinirane inicijative osposobljavanja na razini Unije za prekvalifikaciju i usavršavanje radnika kako bi ostali konkurentni na tržištu rada, posebno s obzirom na vještine i kvalifikacije potrebne u malim i srednjim poduzećima, kao i s ciljem osposobljavanja digitalnih stručnjaka (preporuka 8. CEP-a i rasprava u radnoj skupini).</w:t>
      </w:r>
    </w:p>
    <w:p>
      <w:pPr>
        <w:pStyle w:val="Puce3"/>
        <w:tabs>
          <w:tab w:val="clear" w:pos="720"/>
        </w:tabs>
        <w:rPr/>
      </w:pPr>
      <w:r>
        <w:rPr/>
        <w:t>6.</w:t>
        <w:tab/>
        <w:t>Oglašavati postojeće digitalne platforme koje povezuju građane s poslodavcima i pomažu im u pronalaženju posla u EU-u, kao što je EURES (Preporuka CEP-a br. 8 1).</w:t>
      </w:r>
    </w:p>
    <w:p>
      <w:pPr>
        <w:pStyle w:val="Puce3"/>
        <w:tabs>
          <w:tab w:val="clear" w:pos="720"/>
        </w:tabs>
        <w:rPr/>
      </w:pPr>
      <w:r>
        <w:rPr/>
        <w:t>7.</w:t>
        <w:tab/>
        <w:t>Povećanje ulaganja i napora za poticanje digitalizacije obrazovanja, uključujući visoko obrazovanje (rasprava u radnoj skupini/višejezičnoj digitalnoj platformi).</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83" w:name="__RefHeading___Toc298340_1346298689"/>
      <w:bookmarkEnd w:id="83"/>
      <w:r>
        <w:rPr/>
        <w:t>33. Prijedlog: Sigurno i pouzdano digitalno društvo – kibersigurnost i dezinformacije</w:t>
      </w:r>
    </w:p>
    <w:p>
      <w:pPr>
        <w:pStyle w:val="P68B1DB1Normal15"/>
        <w:rPr>
          <w:b/>
          <w:b/>
        </w:rPr>
      </w:pPr>
      <w:r>
        <w:rPr/>
        <w:t>Cilj: predlažemo da bi EU, kako bi se stvorilo sigurno, otporno i pouzdano digitalno društvo, trebao osigurati učinkovitu i pravodobnu provedbu postojećeg zakonodavstva i imati više nadležnosti za jačanje kibersigurnosti, borbu protiv nezakonitog sadržaja i kiberkriminaliteta, rješavanje i rješavanje posljedica kiberprijetnji nedržavnih aktera i autoritarnih država te borbu protiv dezinformacija provedbom sljedećih mjera:</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Mjere</w:t>
      </w:r>
      <w:r>
        <w:rPr>
          <w:rStyle w:val="Ancredenotedefin"/>
          <w:rStyle w:val="Ancredenotedefin"/>
        </w:rPr>
        <w:endnoteReference w:id="89"/>
      </w:r>
      <w:r>
        <w:rPr/>
        <w:t>:</w:t>
      </w:r>
    </w:p>
    <w:p>
      <w:pPr>
        <w:pStyle w:val="Puce3"/>
        <w:tabs>
          <w:tab w:val="clear" w:pos="720"/>
        </w:tabs>
        <w:rPr/>
      </w:pPr>
      <w:r>
        <w:rPr/>
        <w:t>1.</w:t>
        <w:tab/>
        <w:t>Jačanje kapaciteta Europola/Europskog centra za kiberkriminalitet u pogledu financijskih i ljudskih resursa kako bi se omogućio proaktivniji pristup kibernetičkom kriminalu i ojačali zajednički europski kapaciteti za kiberobranu od napada velikih razmjera, među ostalim boljom suradnjom (Preporuka ECP-a br. 39, preporuka 2.6 litavskog nacionalnog kontaktnog mjesta i NCP 1 nizozemskog nacionalnog kontaktnog mjesta te rasprava u radnoj skupini).</w:t>
      </w:r>
    </w:p>
    <w:p>
      <w:pPr>
        <w:pStyle w:val="Puce3"/>
        <w:tabs>
          <w:tab w:val="clear" w:pos="720"/>
        </w:tabs>
        <w:rPr/>
      </w:pPr>
      <w:r>
        <w:rPr/>
        <w:t>2.</w:t>
        <w:tab/>
        <w:t>Poduzeti potrebne mjere kako bi se pripremili za napade velikih razmjera i poremećaje u pružanju usluga te kako bi ih mogli brzo prevladati, primjerice osiguravanjem postojanja otporne infrastrukture i alternativnih komunikacijskih kanala (rasprava u radnoj skupini).</w:t>
      </w:r>
    </w:p>
    <w:p>
      <w:pPr>
        <w:pStyle w:val="Puce3"/>
        <w:tabs>
          <w:tab w:val="clear" w:pos="720"/>
        </w:tabs>
        <w:rPr/>
      </w:pPr>
      <w:r>
        <w:rPr/>
        <w:t>3.</w:t>
        <w:tab/>
        <w:t>Osigurati slične sankcije i njihovu brzu i učinkovitu provedbu u državama članicama u slučaju kiberkriminaliteta boljom koordinacijom lokalnih, regionalnih i nacionalnih centara i tijela za kibersigurnost (Preporuka CEP-a br. 39 1).</w:t>
      </w:r>
    </w:p>
    <w:p>
      <w:pPr>
        <w:pStyle w:val="Puce3"/>
        <w:tabs>
          <w:tab w:val="clear" w:pos="720"/>
        </w:tabs>
        <w:rPr/>
      </w:pPr>
      <w:r>
        <w:rPr/>
        <w:t>4.</w:t>
        <w:tab/>
        <w:t>Poboljšati digitalno znanje i kritičko razmišljanje kao sredstvo borbe protiv dezinformacija, prijetnji na internetu i govora mržnje, kao i namještenih sučelja i povlaštenih cijena (rasprava u radnoj skupini).</w:t>
      </w:r>
    </w:p>
    <w:p>
      <w:pPr>
        <w:pStyle w:val="Puce3"/>
        <w:tabs>
          <w:tab w:val="clear" w:pos="720"/>
        </w:tabs>
        <w:rPr/>
      </w:pPr>
      <w:r>
        <w:rPr/>
        <w:t>5.</w:t>
        <w:tab/>
        <w:t>Suzbijanje dezinformacija donošenjem zakonodavstva i smjernica kojima se osigurava da internetske platforme i poduzeća društvenih medija rješavaju svoje slabe točke dezinformiranja i primjenjuju mjere transparentnosti, uključujući, na primjer, algoritme temeljene na umjetnoj inteligenciji kojima se može istaknuti pouzdanost informacija na društvenim medijima i novim medijima pružanjem provjerenih izvora informacija korisniku. Kada se koriste algoritmi, krajnja kontrola u postupcima donošenja odluka trebala bi biti odgovornost ljudskih bića (preporuka 46 CEP-a i rasprava u radnoj skupini).</w:t>
      </w:r>
    </w:p>
    <w:p>
      <w:pPr>
        <w:pStyle w:val="Puce3"/>
        <w:tabs>
          <w:tab w:val="clear" w:pos="720"/>
        </w:tabs>
        <w:rPr/>
      </w:pPr>
      <w:r>
        <w:rPr/>
        <w:t>6.</w:t>
        <w:tab/>
        <w:t>Podupirati digitalne platforme koje doprinose medijskom pluralizmu i pružaju resurse i inicijative za procjenu pouzdanosti i nepristranosti informacija iz tradicionalnih medija (televizija, tisak, radio) i drugih medija uz potpuno poštovanje načela slobode medija te kako bi se građanima pružile informacije o kvaliteti informacija (Preporuka CEP-a 46).</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84" w:name="__RefHeading___Toc298342_1346298689"/>
      <w:bookmarkEnd w:id="84"/>
      <w:r>
        <w:rPr/>
        <w:t>34. Prijedlog: Sigurno i pouzdano digitalno društvo – zaštita podataka</w:t>
      </w:r>
    </w:p>
    <w:p>
      <w:pPr>
        <w:pStyle w:val="P68B1DB1Normal15"/>
        <w:rPr>
          <w:b/>
          <w:b/>
        </w:rPr>
      </w:pPr>
      <w:r>
        <w:rPr/>
        <w:t>Cilj: Podržavamo suverenitet građana u pogledu podataka, bolju osviještenost i učinkovitiju provedbu i primjenu postojećih pravila o zaštiti podataka (GDPR) kako bismo ojačali kontrolu ljudi nad njihovim podacima i ograničili zlouporabu podataka provedbom sljedećih mjera:</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Mjere</w:t>
      </w:r>
      <w:r>
        <w:rPr>
          <w:rStyle w:val="Ancredenotedefin"/>
          <w:rStyle w:val="Ancredenotedefin"/>
        </w:rPr>
        <w:endnoteReference w:id="90"/>
      </w:r>
      <w:r>
        <w:rPr/>
        <w:t>:</w:t>
      </w:r>
    </w:p>
    <w:p>
      <w:pPr>
        <w:pStyle w:val="Puce3"/>
        <w:tabs>
          <w:tab w:val="clear" w:pos="720"/>
        </w:tabs>
        <w:rPr/>
      </w:pPr>
      <w:r>
        <w:rPr/>
        <w:t>1.</w:t>
        <w:tab/>
        <w:t>Bolje objasniti pravila o zaštiti podataka, povećati transparentnost i poboljšati komunikaciju izradom smjernica za tekstove informiranog pristanka u kojima se upotrebljava jednostavan, jasan i razumljiv jezik, uključujući vizualniju prezentaciju privole za upotrebu podataka, uz njih informativnom kampanjom te osigurati da voditelji obrade imaju potrebne vještine i savjetuju one kojima je potrebna pomoć (preporuke 42 i 45 nizozemskog NCP-a 1 i br. 2).</w:t>
      </w:r>
    </w:p>
    <w:p>
      <w:pPr>
        <w:pStyle w:val="Puce3"/>
        <w:tabs>
          <w:tab w:val="clear" w:pos="720"/>
        </w:tabs>
        <w:rPr/>
      </w:pPr>
      <w:r>
        <w:rPr/>
        <w:t>2.</w:t>
        <w:tab/>
        <w:t>Osigurati provedbu postojeće zabrane zadanog pristanka za ponovnu uporabu ili preprodaju podataka (Preporuka CEP-a br. 42 1).</w:t>
      </w:r>
    </w:p>
    <w:p>
      <w:pPr>
        <w:pStyle w:val="Puce3"/>
        <w:tabs>
          <w:tab w:val="clear" w:pos="720"/>
        </w:tabs>
        <w:rPr/>
      </w:pPr>
      <w:r>
        <w:rPr/>
        <w:t>3.</w:t>
        <w:tab/>
        <w:t>Osigurati da se zahtjevi korisnika za konačnim brisanjem podataka odobravaju u određenom roku (Preporuka CEP-a br. 42).</w:t>
      </w:r>
    </w:p>
    <w:p>
      <w:pPr>
        <w:pStyle w:val="Puce3"/>
        <w:tabs>
          <w:tab w:val="clear" w:pos="720"/>
        </w:tabs>
        <w:rPr/>
      </w:pPr>
      <w:r>
        <w:rPr/>
        <w:t>4.</w:t>
        <w:tab/>
        <w:t>Pružiti korisnicima jasne i sažete informacije o tome kako će se podaci upotrebljavati i tko će ih upotrebljavati (Preporuka CEP-a br. 42 1)</w:t>
      </w:r>
    </w:p>
    <w:p>
      <w:pPr>
        <w:pStyle w:val="Puce3"/>
        <w:tabs>
          <w:tab w:val="clear" w:pos="720"/>
        </w:tabs>
        <w:rPr/>
      </w:pPr>
      <w:r>
        <w:rPr/>
        <w:t>5.</w:t>
        <w:tab/>
        <w:t>Osigurati da neeuropska poduzeća poštuju europska pravila o zaštiti podataka (preporuke 42 i 43 CEP-a).</w:t>
      </w:r>
    </w:p>
    <w:p>
      <w:pPr>
        <w:pStyle w:val="Puce3"/>
        <w:tabs>
          <w:tab w:val="clear" w:pos="720"/>
        </w:tabs>
        <w:rPr/>
      </w:pPr>
      <w:r>
        <w:rPr/>
        <w:t>6.</w:t>
        <w:tab/>
        <w:t>Poticanje uspostave sustava certificiranja na razini EU-a kojim se na pristupačan, jasan i jednostavan način potvrđuje usklađenost s Općom uredbom o zaštiti podataka, vidljiv je na internetskim stranicama i platformama te bi ga trebao izdati neovisni certifikator na europskoj razini. To ne bi smjelo predstavljati nerazmjerno opterećenje za mala i srednja poduzeća (preporuka 44 CEP-a i rasprava u okviru radne skupine).</w:t>
      </w:r>
    </w:p>
    <w:p>
      <w:pPr>
        <w:pStyle w:val="Puce3"/>
        <w:tabs>
          <w:tab w:val="clear" w:pos="720"/>
        </w:tabs>
        <w:rPr/>
      </w:pPr>
      <w:r>
        <w:rPr/>
        <w:t>7.</w:t>
        <w:tab/>
        <w:t>Osigurati učinkovitu i pravodobnu pomoć građanima koji nailaze na poteškoće u pogledu prigovora na obradu svojih podataka ili opoziva njihove privole. U tu je svrhu potrebno na europskoj razini bolje definirati nametljivo ponašanje i razviti vodeća načela i mehanizme kojima se građanima omogućuje da se usprotive obradi svojih podataka i dobiju njihovo brisanje te da utvrde i sankcioniraju počinitelje prijevara (Preporuka CEP-a 43 i rasprava u radnoj skupini).</w:t>
      </w:r>
    </w:p>
    <w:p>
      <w:pPr>
        <w:pStyle w:val="Puce3"/>
        <w:tabs>
          <w:tab w:val="clear" w:pos="720"/>
        </w:tabs>
        <w:rPr/>
      </w:pPr>
      <w:r>
        <w:rPr/>
        <w:t>8.</w:t>
        <w:tab/>
        <w:t>Predvidjeti sankcije, uključujući novčanu kaznu proporcionalnu prometu poduzeća i ograničenjima njihovih aktivnosti, na primjer privremene ili konačne zabrane neželjene obrade podataka, te pomoći Europskom nadzorniku za zaštitu podataka i nacionalnim agencijama u osiguravanju njihove provedbe (preporuke 42 i 43 CEP-a i rasprava u radnoj skupini).</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85" w:name="__RefHeading___Toc298344_1346298689"/>
      <w:bookmarkEnd w:id="85"/>
      <w:r>
        <w:rPr/>
        <w:t>35. Prijedlog: Digitalne inovacije za jačanje socijalnog i održivog gospodarstva</w:t>
      </w:r>
    </w:p>
    <w:p>
      <w:pPr>
        <w:pStyle w:val="Normal"/>
        <w:rPr/>
      </w:pPr>
      <w:r>
        <w:rPr/>
        <w:t>Cilj: Predlažemo da EU promiče mjere digitalizacije kojima se na pravedan i održiv način jača gospodarstvo i jedinstveno tržište, povećava konkurentnost Europe u području tehnologije i inovacija, poboljšava jedinstveno digitalno tržište za poduzeća svih veličina i Europa stavlja na vodeći položaj u digitalnoj transformaciji i digitalizaciji usmjerenoj na čovjeka, primjenjujući sljedeće mjere:</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Mjere</w:t>
      </w:r>
      <w:r>
        <w:rPr>
          <w:rStyle w:val="Ancredenotedefin"/>
          <w:rStyle w:val="Ancredenotedefin"/>
        </w:rPr>
        <w:endnoteReference w:id="91"/>
      </w:r>
      <w:r>
        <w:rPr/>
        <w:t>:</w:t>
      </w:r>
    </w:p>
    <w:p>
      <w:pPr>
        <w:pStyle w:val="Puce3"/>
        <w:tabs>
          <w:tab w:val="clear" w:pos="720"/>
        </w:tabs>
        <w:rPr/>
      </w:pPr>
      <w:r>
        <w:rPr/>
        <w:t>1.</w:t>
        <w:tab/>
        <w:t>Uvođenje zakonodavstva ili jačanje postojećeg zakonodavstva o „mobilnom radu” (koji je usmjeren na čovjeka), uzimajući u obzir njegov utjecaj na fizičko i mentalno zdravlje radnika, na primjer jamčenjem prava na isključivanje. Pristup usmjeren na čovjeka pretpostavlja načelo „ljudskog nadzora” (preporuka PCE-a br. 7 i rasprava u radnoj skupini)</w:t>
      </w:r>
      <w:r>
        <w:rPr>
          <w:rStyle w:val="Ancredenotedefin"/>
          <w:rStyle w:val="Ancredenotedefin"/>
        </w:rPr>
        <w:endnoteReference w:id="92"/>
      </w:r>
      <w:r>
        <w:rPr/>
        <w:t>.</w:t>
      </w:r>
    </w:p>
    <w:p>
      <w:pPr>
        <w:pStyle w:val="Puce3"/>
        <w:tabs>
          <w:tab w:val="clear" w:pos="720"/>
        </w:tabs>
        <w:rPr/>
      </w:pPr>
      <w:r>
        <w:rPr/>
        <w:t>2.</w:t>
        <w:tab/>
        <w:t>Donošenje zakona na razini EU-a kako bi se poduzeća potaknula da budu društveno odgovorna i održala kvalitetna „mobilna radna mjesta” u Europi, čime bi se izbjeglo premještanje tih radnih mjesta u zemlje uz niže troškove. Poticaji mogu biti financijske prirode i/ili utjecati na imidž poduzeća te bi se njima trebali uzeti u obzir međunarodno priznati okolišni, socijalni i upravljački kriteriji. U tu svrhu Unija bi trebala osnovati radnu skupinu sastavljenu od stručnjaka iz svih zainteresiranih strana radi preispitivanja i jačanja tog zakonodavstva (preporuka CEP-a br. 7).</w:t>
      </w:r>
    </w:p>
    <w:p>
      <w:pPr>
        <w:pStyle w:val="Puce3"/>
        <w:tabs>
          <w:tab w:val="clear" w:pos="720"/>
        </w:tabs>
        <w:rPr/>
      </w:pPr>
      <w:r>
        <w:rPr/>
        <w:t>3.</w:t>
        <w:tab/>
        <w:t>Osigurati ljudsku kontrolu nad postupcima donošenja odluka u kojima se upotrebljava umjetna inteligencija na radnom mjestu i transparentnost korištenih algoritama; uzeti u obzir štetne učinke neograničenog digitalnog nadzora na radnom mjestu; obavješćivanje radnika i savjetovanje s njima prije uvođenja digitalnih tehnologija koje utječu na radne uvjete; osigurati da novi oblici zapošljavanja, npr. rad putem platformi, budu u skladu s pravima radnika i da pružaju odgovarajuće radne uvjete (rasprava u radnoj skupini).</w:t>
      </w:r>
    </w:p>
    <w:p>
      <w:pPr>
        <w:pStyle w:val="Puce3"/>
        <w:tabs>
          <w:tab w:val="clear" w:pos="720"/>
        </w:tabs>
        <w:rPr/>
      </w:pPr>
      <w:r>
        <w:rPr/>
        <w:t>4.</w:t>
        <w:tab/>
        <w:t>Poduzeti inicijative za potporu radu na daljinu, primjerice stvaranjem uredskih prostora s brzim i pouzdanim pristupom internetu, organiziranjem digitalnog osposobljavanja i osiguravanjem resursa za ergonomsku opremu za rad kod kuće (preporuka br. 17 CEP-a i rasprava u radnoj skupini).</w:t>
      </w:r>
    </w:p>
    <w:p>
      <w:pPr>
        <w:pStyle w:val="Puce3"/>
        <w:tabs>
          <w:tab w:val="clear" w:pos="720"/>
        </w:tabs>
        <w:rPr/>
      </w:pPr>
      <w:r>
        <w:rPr/>
        <w:t>5.</w:t>
        <w:tab/>
        <w:t>Uspostaviti javno dostupan digitalni pregled rezultata kojim se stvara sustav rangiranja u kojem se navodi i uspoređuje trenutačna razina digitalizacije poduzeća iz EU-a (njemačka nacionalna kontaktna točka).</w:t>
      </w:r>
    </w:p>
    <w:p>
      <w:pPr>
        <w:pStyle w:val="Puce3"/>
        <w:tabs>
          <w:tab w:val="clear" w:pos="720"/>
        </w:tabs>
        <w:rPr/>
      </w:pPr>
      <w:r>
        <w:rPr/>
        <w:t>6.</w:t>
        <w:tab/>
        <w:t>Izgradnja snažnog i konkurentnog digitalnog gospodarstva i ravnomjerno dijeljenje koristi digitalne transformacije diljem Europe usmjeravanjem na tehnologiju i inovacije kao pokretače rasta, poticanjem transformativnih najsuvremenijih istraživanja, kao i pružanjem prostora za inovacijske ekosustave u svim regijama poboljšanjem operativnog okruženja MSP-ova i novoosnovanih poduzeća te pravednim pristupom financiranju i uklanjanjem pravnih ili drugih opterećenja koja ometaju prekogranične aktivnosti (Preporuka talijanskih nacionalnih kontaktnih točaka 1.3., rasprava Radne skupine i višejezična digitalna platforma). Izgradnja podatkovne infrastrukture utemeljene na europskim vrijednostima; primijeniti načela „digitalnog prioriteta” i „jedinstvenog prijenosa informacija” te olakšati digitalni i siguran pristup podacima za inovacije i poslovanje; poticanje digitalizacije javnih usluga (rasprava u radnoj skupini i višejezična digitalna platforma). U potpunosti iskoristiti potencijal pouzdane i odgovorne upotrebe umjetne inteligencije i iskoristiti potencijal tehnologije lanaca blokova i usluga u oblaku definiranjem zaštitnih mjera i standarda kojima se osigurava transparentnost i interoperabilnost, stvara povjerenje, olakšava upotreba i uklanja diskriminirajuće ili pristrane algoritme (rasprava u radnoj skupini i višejezičnoj digitalnoj platformi).</w:t>
      </w:r>
    </w:p>
    <w:p>
      <w:pPr>
        <w:pStyle w:val="Puce3"/>
        <w:tabs>
          <w:tab w:val="clear" w:pos="720"/>
        </w:tabs>
        <w:rPr/>
      </w:pPr>
      <w:r>
        <w:rPr/>
        <w:t>9.</w:t>
        <w:tab/>
        <w:t>Promicanje slobodnog softvera, njegove upotrebe u obrazovanju i osposobljavanju te slobodnog pristupa javno financiranim istraživanjima i softverima (rasprava u radnoj skupini i višejezičnoj digitalnoj platformi).</w:t>
      </w:r>
    </w:p>
    <w:p>
      <w:pPr>
        <w:pStyle w:val="Puce3"/>
        <w:tabs>
          <w:tab w:val="clear" w:pos="720"/>
        </w:tabs>
        <w:rPr/>
      </w:pPr>
      <w:r>
        <w:rPr/>
        <w:t>10.</w:t>
        <w:tab/>
        <w:t>Uvesti zajednički europski digitalni identitet kako bi se olakšale prekogranične digitalne transakcije i usluge s pomoću okvira europskih normi i vodećih načela kojima se osiguravaju potrebne zaštitne mjere (rasprava u radnoj skupini i višejezična digitalna platforma).</w:t>
      </w:r>
    </w:p>
    <w:p>
      <w:pPr>
        <w:pStyle w:val="Puce3"/>
        <w:tabs>
          <w:tab w:val="clear" w:pos="720"/>
        </w:tabs>
        <w:rPr/>
      </w:pPr>
      <w:r>
        <w:rPr/>
        <w:t>11.</w:t>
        <w:tab/>
        <w:t>Procijeniti bi li bilo moguće digitalizirati informacije o potrošačima i prehrambenim proizvodima putem standardizirane europske aplikacije koja bi omogućila jednostavniji pristup informacijama i pružila dodatne informacije o proizvodu i proizvodnom lancu (Preporuka CEP-a br. 16).</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Normal"/>
        <w:rPr/>
      </w:pPr>
      <w:r>
        <w:rPr/>
      </w:r>
      <w:r>
        <w:br w:type="page"/>
      </w:r>
    </w:p>
    <w:p>
      <w:pPr>
        <w:pStyle w:val="Normal"/>
        <w:rPr/>
      </w:pPr>
      <w:r>
        <w:rPr/>
        <w:drawing>
          <wp:anchor behindDoc="0" distT="0" distB="0" distL="0" distR="0" simplePos="0" locked="0" layoutInCell="1" allowOverlap="1" relativeHeight="4">
            <wp:simplePos x="0" y="0"/>
            <wp:positionH relativeFrom="column">
              <wp:posOffset>14605</wp:posOffset>
            </wp:positionH>
            <wp:positionV relativeFrom="paragraph">
              <wp:posOffset>26035</wp:posOffset>
            </wp:positionV>
            <wp:extent cx="913765" cy="913765"/>
            <wp:effectExtent l="0" t="0" r="0" b="0"/>
            <wp:wrapSquare wrapText="largest"/>
            <wp:docPr id="67" name="Slika 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Slika 27" descr=""/>
                    <pic:cNvPicPr>
                      <a:picLocks noChangeAspect="1" noChangeArrowheads="1"/>
                    </pic:cNvPicPr>
                  </pic:nvPicPr>
                  <pic:blipFill>
                    <a:blip r:embed="rId80"/>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86" w:name="__RefHeading___Toc298346_1346298689"/>
      <w:bookmarkEnd w:id="86"/>
      <w:r>
        <w:rPr/>
        <w:t>„</w:t>
      </w:r>
      <w:r>
        <w:rPr/>
        <w:t>Europska demokracija”</w:t>
      </w:r>
    </w:p>
    <w:p>
      <w:pPr>
        <w:pStyle w:val="Titre3"/>
        <w:numPr>
          <w:ilvl w:val="2"/>
          <w:numId w:val="2"/>
        </w:numPr>
        <w:rPr/>
      </w:pPr>
      <w:bookmarkStart w:id="87" w:name="__RefHeading___Toc298348_1346298689"/>
      <w:bookmarkEnd w:id="87"/>
      <w:r>
        <w:rPr/>
        <w:t>36. Prijedlog: Informiranje građana, sudjelovanje i mlade</w:t>
      </w:r>
    </w:p>
    <w:p>
      <w:pPr>
        <w:pStyle w:val="P68B1DB1Normal15"/>
        <w:rPr>
          <w:b/>
          <w:b/>
        </w:rPr>
      </w:pPr>
      <w:r>
        <w:rPr/>
        <w:t>Cilj: Povećati sudjelovanje građana i njihovo sudjelovanje u demokraciji na razini EU-a kako bi se stvorilo „potpuno iskustvo građana” za Europljane; osigurati da se njihova stajališta uzmu u obzir, uključujući izvan izbornih razdoblja, te da njihovo sudjelovanje bude stvarno. Stoga je potrebno odrediti koji je oblik sudjelovanja najprikladniji za svaku temu, na primjer:</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Puce3"/>
        <w:tabs>
          <w:tab w:val="clear" w:pos="720"/>
        </w:tabs>
        <w:rPr/>
      </w:pPr>
      <w:r>
        <w:rPr/>
        <w:t>1.</w:t>
        <w:tab/>
        <w:t>Razvoj novih mehanizama za sudjelovanje građana i povećanje učinkovitosti postojećih mehanizama, u skladu s europskom pravnom stečevinom, uz istodobno poboljšanje komunikacije o svim tim mehanizmima. U idealnom slučaju, sve informacije o participativnim prostorima trebalo bi sažeti</w:t>
      </w:r>
      <w:r>
        <w:rPr>
          <w:rStyle w:val="Ancredenotedefin"/>
          <w:rStyle w:val="Ancredenotedefin"/>
        </w:rPr>
        <w:endnoteReference w:id="93"/>
      </w:r>
      <w:r>
        <w:rPr/>
        <w:t xml:space="preserve"> na punoj službenoj internetskoj stranici s različitim funkcijama</w:t>
      </w:r>
      <w:r>
        <w:rPr>
          <w:rStyle w:val="Ancredenotedefin"/>
          <w:rStyle w:val="Ancredenotedefin"/>
        </w:rPr>
        <w:endnoteReference w:id="94"/>
      </w:r>
      <w:r>
        <w:rPr/>
        <w:t>. Potrebno je razviti mehanizam za praćenje političkih i zakonodavnih inicijativa koje proizlaze iz procesa participativne demokracije</w:t>
      </w:r>
      <w:r>
        <w:rPr>
          <w:rStyle w:val="Ancredenotedefin"/>
          <w:rStyle w:val="Ancredenotedefin"/>
        </w:rPr>
        <w:endnoteReference w:id="95"/>
      </w:r>
      <w:r>
        <w:rPr/>
        <w:t>. Svi bi se participativni mehanizmi trebali odnositi na cijelo stanovništvo kako bi se doprlo do raznih publike. Pozornost treba posvetiti sadržaju, temama i vještinama moderatora. Ti bi se mehanizmi trebali temeljiti na analizi učinaka predmetnih mjera, posebno na žene i ranjive osobe</w:t>
      </w:r>
      <w:r>
        <w:rPr>
          <w:rStyle w:val="Ancredenotedefin"/>
          <w:rStyle w:val="Ancredenotedefin"/>
        </w:rPr>
        <w:endnoteReference w:id="96"/>
      </w:r>
      <w:r>
        <w:rPr/>
        <w:t>.</w:t>
      </w:r>
    </w:p>
    <w:p>
      <w:pPr>
        <w:pStyle w:val="Puce3"/>
        <w:tabs>
          <w:tab w:val="clear" w:pos="720"/>
        </w:tabs>
        <w:rPr/>
      </w:pPr>
      <w:r>
        <w:rPr/>
        <w:t>2.</w:t>
        <w:tab/>
        <w:t>Povećanjem učestalosti interakcija na internetu i izvan njega između institucija EU-a i građana na različite načine kako bi se osiguralo da mogu sudjelovati u europskom postupku donošenja politika, izraziti svoja mišljenja i dobiti povratne informacije te sastaviti povelju o sudjelovanju europskih dužnosnika</w:t>
      </w:r>
      <w:r>
        <w:rPr>
          <w:rStyle w:val="Ancredenotedefin"/>
          <w:rStyle w:val="Ancredenotedefin"/>
        </w:rPr>
        <w:endnoteReference w:id="97"/>
      </w:r>
      <w:r>
        <w:rPr/>
        <w:t>.</w:t>
      </w:r>
    </w:p>
    <w:p>
      <w:pPr>
        <w:pStyle w:val="Puce3"/>
        <w:tabs>
          <w:tab w:val="clear" w:pos="720"/>
        </w:tabs>
        <w:rPr/>
      </w:pPr>
      <w:r>
        <w:rPr/>
        <w:t>3.</w:t>
        <w:tab/>
        <w:t>Predložiti digitalnu platformu prilagođenu korisnicima na kojoj bi građani, a posebno mladi, mogli dijeliti svoje ideje, postavljati pitanja predstavnicima europskih institucija i izraziti svoja stajališta o važnim europskim pitanjima i zakonodavnim prijedlozima. Trebalo bi predvidjeti i mogućnost organiziranja internetskih anketa na toj platformi</w:t>
      </w:r>
      <w:r>
        <w:rPr>
          <w:rStyle w:val="Ancredenotedefin"/>
          <w:rStyle w:val="Ancredenotedefin"/>
        </w:rPr>
        <w:endnoteReference w:id="98"/>
      </w:r>
      <w:r>
        <w:rPr/>
        <w:t>.</w:t>
      </w:r>
    </w:p>
    <w:p>
      <w:pPr>
        <w:pStyle w:val="Puce3"/>
        <w:tabs>
          <w:tab w:val="clear" w:pos="720"/>
        </w:tabs>
        <w:rPr/>
      </w:pPr>
      <w:r>
        <w:rPr/>
        <w:t>4.</w:t>
        <w:tab/>
        <w:t>Poboljšanje i usklađivanje postojećih mehanizama na europskoj, nacionalnoj i lokalnoj razini kako bi bili sigurniji, pristupačniji, vidljiviji i uključiviji</w:t>
      </w:r>
      <w:r>
        <w:rPr>
          <w:rStyle w:val="Ancredenotedefin"/>
          <w:rStyle w:val="Ancredenotedefin"/>
        </w:rPr>
        <w:endnoteReference w:id="99"/>
      </w:r>
      <w:r>
        <w:rPr/>
        <w:t>.</w:t>
      </w:r>
    </w:p>
    <w:p>
      <w:pPr>
        <w:pStyle w:val="Puce3"/>
        <w:tabs>
          <w:tab w:val="clear" w:pos="720"/>
        </w:tabs>
        <w:rPr/>
      </w:pPr>
      <w:r>
        <w:rPr/>
        <w:t>5.</w:t>
        <w:tab/>
        <w:t>Uključivanje organizacija civilnog društva, regionalnih i lokalnih vlasti i postojećih tijela, kao što su Europski gospodarski i socijalni odbor (EGSO) i Odbor regija (OR</w:t>
      </w:r>
      <w:r>
        <w:rPr>
          <w:rStyle w:val="Ancredenotedefin"/>
          <w:rStyle w:val="Ancredenotedefin"/>
        </w:rPr>
        <w:endnoteReference w:id="100"/>
      </w:r>
      <w:r>
        <w:rPr/>
        <w:t>), u postupke sudjelovanja građana</w:t>
      </w:r>
      <w:r>
        <w:rPr>
          <w:rStyle w:val="Ancredenotedefin"/>
          <w:rStyle w:val="Ancredenotedefin"/>
        </w:rPr>
        <w:endnoteReference w:id="101"/>
      </w:r>
      <w:r>
        <w:rPr/>
        <w:t>.</w:t>
      </w:r>
    </w:p>
    <w:p>
      <w:pPr>
        <w:pStyle w:val="Puce3"/>
        <w:tabs>
          <w:tab w:val="clear" w:pos="720"/>
        </w:tabs>
        <w:rPr/>
      </w:pPr>
      <w:r>
        <w:rPr/>
        <w:t>6.</w:t>
        <w:tab/>
        <w:t>Stvaranjem sustava lokalnih savjetnika EU-a kako bi se europske institucije približile europskim građanima</w:t>
      </w:r>
      <w:r>
        <w:rPr>
          <w:rStyle w:val="Ancredenotedefin"/>
          <w:rStyle w:val="Ancredenotedefin"/>
        </w:rPr>
        <w:endnoteReference w:id="102"/>
      </w:r>
      <w:r>
        <w:rPr/>
        <w:t>.</w:t>
      </w:r>
    </w:p>
    <w:p>
      <w:pPr>
        <w:pStyle w:val="Puce3"/>
        <w:tabs>
          <w:tab w:val="clear" w:pos="720"/>
        </w:tabs>
        <w:rPr/>
      </w:pPr>
      <w:r>
        <w:rPr/>
        <w:t>7.</w:t>
        <w:tab/>
        <w:t>Povremeno okupljanje skupština građana na pravno obvezujućoj osnovi prava EU-a. Sudionici će biti izvučeni ždrijebom prema kriterijima reprezentativnosti, a sudjelovanje će se snažno poticati. Ako je potrebno, stručnjaci će članovima Skupštine pružiti informacije relevantne za njihova vijećanja. Ako institucije ne uzmu u obzir zaključke tih sastanaka, morat će obrazložiti svoju odluku</w:t>
      </w:r>
      <w:r>
        <w:rPr>
          <w:rStyle w:val="Ancredenotedefin"/>
          <w:rStyle w:val="Ancredenotedefin"/>
        </w:rPr>
        <w:endnoteReference w:id="103"/>
      </w:r>
      <w:r>
        <w:rPr/>
        <w:t>. Važno je da se izabrani predstavnici savjetuju s građanima i civilnim društvom prije donošenja političkih odluka i da uzmu u obzir njihov doprinos. Europska unija temelji se na predstavničkoj demokraciji: na europskim izborima građani šalju jasnu poruku svojim predstavnicima i neizravno govore o politikama EU-a</w:t>
      </w:r>
      <w:r>
        <w:rPr>
          <w:rStyle w:val="Ancredenotedefin"/>
          <w:rStyle w:val="Ancredenotedefin"/>
        </w:rPr>
        <w:endnoteReference w:id="104"/>
      </w:r>
      <w:r>
        <w:rPr/>
        <w:t>.</w:t>
      </w:r>
    </w:p>
    <w:p>
      <w:pPr>
        <w:pStyle w:val="Puce3"/>
        <w:tabs>
          <w:tab w:val="clear" w:pos="720"/>
        </w:tabs>
        <w:rPr/>
      </w:pPr>
      <w:r>
        <w:rPr/>
        <w:t>8.</w:t>
        <w:tab/>
        <w:t>Pružanje pojačane financijske ili druge strukturne potpore civilnom društvu, posebno mladima, i lokalnim vlastima za osnivanje lokalnih vijeća mladih</w:t>
      </w:r>
      <w:r>
        <w:rPr>
          <w:rStyle w:val="Ancredenotedefin"/>
          <w:rStyle w:val="Ancredenotedefin"/>
        </w:rPr>
        <w:endnoteReference w:id="105"/>
      </w:r>
      <w:r>
        <w:rPr/>
        <w:t>; uključenost civilnog društva i socijalnih partnera mogla bi biti puni stup Akcijskog plana za europsku demokraciju, a posebna strategija mogla bi se posvetiti civilnom društvu</w:t>
      </w:r>
      <w:r>
        <w:rPr>
          <w:rStyle w:val="Ancredenotedefin"/>
          <w:rStyle w:val="Ancredenotedefin"/>
        </w:rPr>
        <w:endnoteReference w:id="106"/>
      </w:r>
      <w:r>
        <w:rPr/>
        <w:t>.</w:t>
      </w:r>
    </w:p>
    <w:p>
      <w:pPr>
        <w:pStyle w:val="Puce3"/>
        <w:tabs>
          <w:tab w:val="clear" w:pos="720"/>
        </w:tabs>
        <w:rPr/>
      </w:pPr>
      <w:r>
        <w:rPr/>
        <w:t>9.</w:t>
        <w:tab/>
        <w:t>Uspostava „kontrole mladih” nad zakonodavstvom, što bi uključivalo procjenu učinka i mehanizam za savjetovanje s predstavnicima mladih, pri čemu bi zakonodavstvo moglo utjecati na mlade</w:t>
      </w:r>
      <w:r>
        <w:rPr>
          <w:rStyle w:val="Ancredenotedefin"/>
          <w:rStyle w:val="Ancredenotedefin"/>
        </w:rPr>
        <w:endnoteReference w:id="107"/>
      </w:r>
      <w:r>
        <w:rPr/>
        <w:t>.</w:t>
      </w:r>
    </w:p>
    <w:p>
      <w:pPr>
        <w:pStyle w:val="Puce3"/>
        <w:tabs>
          <w:tab w:val="clear" w:pos="720"/>
        </w:tabs>
        <w:rPr/>
      </w:pPr>
      <w:r>
        <w:br w:type="column"/>
      </w:r>
      <w:r>
        <w:rPr/>
      </w:r>
    </w:p>
    <w:p>
      <w:pPr>
        <w:pStyle w:val="Puce3"/>
        <w:tabs>
          <w:tab w:val="clear" w:pos="720"/>
        </w:tabs>
        <w:rPr/>
      </w:pPr>
      <w:r>
        <w:rPr/>
        <w:t>10.</w:t>
        <w:tab/>
        <w:t>Jačanjem suradnje između zakonodavaca EU-a i organizacija civilnog društva kako bi se iskoristile njihove veze između donositelja odluka i građana</w:t>
      </w:r>
      <w:r>
        <w:rPr>
          <w:rStyle w:val="Ancredenotedefin"/>
          <w:rStyle w:val="Ancredenotedefin"/>
        </w:rPr>
        <w:endnoteReference w:id="108"/>
      </w:r>
      <w:r>
        <w:rPr/>
        <w:t>.</w:t>
      </w:r>
    </w:p>
    <w:p>
      <w:pPr>
        <w:pStyle w:val="Puce3"/>
        <w:tabs>
          <w:tab w:val="clear" w:pos="720"/>
        </w:tabs>
        <w:rPr/>
      </w:pPr>
      <w:r>
        <w:rPr/>
        <w:t>11.</w:t>
        <w:tab/>
        <w:t>Sažetak točaka o sudjelovanju građana u Europskoj povelji o doprinosu građana europskim poslovima.</w:t>
      </w:r>
    </w:p>
    <w:p>
      <w:pPr>
        <w:pStyle w:val="Normal"/>
        <w:rPr/>
      </w:pPr>
      <w:r>
        <w:rPr/>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88" w:name="__RefHeading___Toc298350_1346298689"/>
      <w:bookmarkEnd w:id="88"/>
      <w:r>
        <w:rPr/>
        <w:t>37. Prijedlog: Informiranje građana, sudjelovanje i mlade (a)</w:t>
      </w:r>
    </w:p>
    <w:p>
      <w:pPr>
        <w:pStyle w:val="P68B1DB1Normal15"/>
        <w:rPr>
          <w:b/>
          <w:b/>
        </w:rPr>
      </w:pPr>
      <w:r>
        <w:rPr/>
        <w:t>Cilj: Učiniti Europsku uniju razumljivijom i dostupnijom; jačanje zajedničkog europskog identiteta, osobito:</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Puce3"/>
        <w:tabs>
          <w:tab w:val="clear" w:pos="720"/>
        </w:tabs>
        <w:rPr/>
      </w:pPr>
      <w:r>
        <w:rPr/>
        <w:t>1.</w:t>
        <w:tab/>
      </w:r>
      <w:r>
        <w:rPr>
          <w:rStyle w:val="Ancredenotedefin"/>
          <w:rStyle w:val="Ancredenotedefin"/>
          <w:b/>
        </w:rPr>
        <w:endnoteReference w:id="109"/>
      </w:r>
      <w:r>
        <w:rPr/>
        <w:t>Osiguravanje minimalne količine obrazovanja o Europskoj uniji, posebno o njezinim demokratskim procesima, bez zanemarivanja povijesti europskih integracija i europskog građanstva. Osobe svih dobnih skupina trebale bi imati koristi od tih programa, koji bi trebali biti osmišljeni na privlačan način prilagođen dobi, kao što je razvoj posebnih obrazovnih programa i materijala za djecu, škole</w:t>
      </w:r>
      <w:r>
        <w:rPr>
          <w:rStyle w:val="Ancredenotedefin"/>
          <w:rStyle w:val="Ancredenotedefin"/>
        </w:rPr>
        <w:endnoteReference w:id="110"/>
      </w:r>
      <w:r>
        <w:rPr/>
        <w:t xml:space="preserve"> i organizacije civilnog društva aktivne u neformalnom obrazovanju</w:t>
      </w:r>
      <w:r>
        <w:rPr>
          <w:rStyle w:val="Ancredenotedefin"/>
          <w:rStyle w:val="Ancredenotedefin"/>
        </w:rPr>
        <w:endnoteReference w:id="111"/>
      </w:r>
      <w:r>
        <w:rPr/>
        <w:t>.</w:t>
      </w:r>
    </w:p>
    <w:p>
      <w:pPr>
        <w:pStyle w:val="Puce3"/>
        <w:tabs>
          <w:tab w:val="clear" w:pos="720"/>
        </w:tabs>
        <w:rPr/>
      </w:pPr>
      <w:r>
        <w:rPr/>
        <w:t>2.</w:t>
        <w:tab/>
        <w:t>Osiguravanje, uključivo, da svi građani imaju jednostavan pristup pouzdanim informacijama o Uniji. Europske institucije trebale bi se služiti pristupačnijim jezikom i izbjegavati uporabu birokratskog žargona u komunikaciji, održavajući pritom kvalitetu i tehničku razinu danih informacija te prilagođavajući informacije različitim komunikacijskim kanalima i profilima primatelja.</w:t>
      </w:r>
      <w:r>
        <w:rPr>
          <w:rStyle w:val="Ancredenotedefin"/>
          <w:rStyle w:val="Ancredenotedefin"/>
        </w:rPr>
        <w:endnoteReference w:id="112"/>
      </w:r>
      <w:r>
        <w:rPr/>
        <w:t xml:space="preserve"> Trebale bi razmotriti, na primjer, stvaranje mobilne aplikacije s informacijama o politikama EU-a na jasnom jeziku</w:t>
      </w:r>
      <w:r>
        <w:rPr>
          <w:rStyle w:val="Ancredenotedefin"/>
          <w:rStyle w:val="Ancredenotedefin"/>
        </w:rPr>
        <w:endnoteReference w:id="113"/>
      </w:r>
      <w:r>
        <w:rPr/>
        <w:t>. Potrebno je uložiti posebne napore kako bi se doprlo do mladih na društvenim mrežama, ali i putem pokreta mladih i raznih „ambasadora” (organizacija i pojedinaca)</w:t>
      </w:r>
      <w:r>
        <w:rPr>
          <w:rStyle w:val="Ancredenotedefin"/>
          <w:rStyle w:val="Ancredenotedefin"/>
        </w:rPr>
        <w:endnoteReference w:id="114"/>
      </w:r>
      <w:r>
        <w:rPr/>
        <w:t xml:space="preserve"> koji objašnjavaju europski projekt</w:t>
      </w:r>
      <w:r>
        <w:rPr>
          <w:rStyle w:val="Ancredenotedefin"/>
          <w:rStyle w:val="Ancredenotedefin"/>
        </w:rPr>
        <w:endnoteReference w:id="115"/>
      </w:r>
      <w:r>
        <w:rPr/>
        <w:t>.</w:t>
      </w:r>
    </w:p>
    <w:p>
      <w:pPr>
        <w:pStyle w:val="Puce3"/>
        <w:tabs>
          <w:tab w:val="clear" w:pos="720"/>
        </w:tabs>
        <w:rPr/>
      </w:pPr>
      <w:r>
        <w:rPr/>
        <w:t>3.</w:t>
        <w:tab/>
        <w:t>Veća upotreba umjetne inteligencije i tehnologija strojnog prevođenja kako bi se prevladala</w:t>
      </w:r>
      <w:r>
        <w:rPr>
          <w:rStyle w:val="Ancredenotedefin"/>
          <w:rStyle w:val="Ancredenotedefin"/>
        </w:rPr>
        <w:endnoteReference w:id="116"/>
      </w:r>
      <w:r>
        <w:rPr/>
        <w:t xml:space="preserve"> jezična barijera</w:t>
      </w:r>
      <w:r>
        <w:rPr>
          <w:rStyle w:val="Ancredenotedefin"/>
          <w:rStyle w:val="Ancredenotedefin"/>
        </w:rPr>
        <w:endnoteReference w:id="117"/>
      </w:r>
      <w:r>
        <w:rPr/>
        <w:t>, osiguravajući da su svi digitalni alati dostupni osobama s invaliditetom</w:t>
      </w:r>
      <w:r>
        <w:rPr>
          <w:rStyle w:val="Ancredenotedefin"/>
          <w:rStyle w:val="Ancredenotedefin"/>
        </w:rPr>
        <w:endnoteReference w:id="118"/>
      </w:r>
      <w:r>
        <w:rPr/>
        <w:t xml:space="preserve"> i jednostavni za upotrebu.</w:t>
      </w:r>
    </w:p>
    <w:p>
      <w:pPr>
        <w:pStyle w:val="Puce3"/>
        <w:tabs>
          <w:tab w:val="clear" w:pos="720"/>
        </w:tabs>
        <w:rPr/>
      </w:pPr>
      <w:r>
        <w:rPr/>
        <w:t>4.</w:t>
        <w:tab/>
        <w:t>Braneći i podupirući slobodu, pluralizam i neovisnost medija te potičući medije, uključujući javne radiotelevizije, javne novinske agencije i europske medije, da redovito pokrivaju europska pitanja, poštujući pritom njihovu slobodu i neovisnost, kako bi takvo izvještavanje bilo redovito i sveobuhvatno u svim državama članicama Unije</w:t>
      </w:r>
      <w:r>
        <w:rPr>
          <w:rStyle w:val="Ancredenotedefin"/>
          <w:rStyle w:val="Ancredenotedefin"/>
        </w:rPr>
        <w:endnoteReference w:id="119"/>
      </w:r>
      <w:r>
        <w:rPr/>
        <w:t>, povećanjem napora u borbi protiv dezinformiranja i stranog uplitanja te zaštitom novinara</w:t>
      </w:r>
      <w:r>
        <w:rPr>
          <w:rStyle w:val="Ancredenotedefin"/>
          <w:rStyle w:val="Ancredenotedefin"/>
        </w:rPr>
        <w:endnoteReference w:id="120"/>
      </w:r>
      <w:r>
        <w:rPr/>
        <w:t>.</w:t>
      </w:r>
    </w:p>
    <w:p>
      <w:pPr>
        <w:pStyle w:val="Puce3"/>
        <w:tabs>
          <w:tab w:val="clear" w:pos="720"/>
        </w:tabs>
        <w:rPr/>
      </w:pPr>
      <w:r>
        <w:rPr/>
      </w:r>
    </w:p>
    <w:p>
      <w:pPr>
        <w:pStyle w:val="Puce3"/>
        <w:tabs>
          <w:tab w:val="clear" w:pos="720"/>
        </w:tabs>
        <w:rPr/>
      </w:pPr>
      <w:r>
        <w:rPr/>
        <w:t>5.</w:t>
        <w:tab/>
        <w:t>Približavanjem Europe građanima jačanjem kontaktnih</w:t>
      </w:r>
      <w:r>
        <w:rPr>
          <w:rStyle w:val="Ancredenotedefin"/>
          <w:rStyle w:val="Ancredenotedefin"/>
        </w:rPr>
        <w:endnoteReference w:id="121"/>
      </w:r>
      <w:r>
        <w:rPr/>
        <w:t xml:space="preserve"> točaka i specijaliziranih centara („Europske kuće”) na lokalnoj razini, koji bi građanima pružali resurse, informacije i savjete o europskim pitanjima, saslušali njihove probleme i raspravljali s udrugama kako bi pridonijeli stajalištima građana na europskoj razini</w:t>
      </w:r>
      <w:r>
        <w:rPr>
          <w:rStyle w:val="Ancredenotedefin"/>
          <w:rStyle w:val="Ancredenotedefin"/>
        </w:rPr>
        <w:endnoteReference w:id="122"/>
      </w:r>
      <w:r>
        <w:rPr/>
        <w:t>.</w:t>
      </w:r>
    </w:p>
    <w:p>
      <w:pPr>
        <w:pStyle w:val="Puce3"/>
        <w:tabs>
          <w:tab w:val="clear" w:pos="720"/>
        </w:tabs>
        <w:rPr/>
      </w:pPr>
      <w:r>
        <w:rPr/>
        <w:t>6.</w:t>
        <w:tab/>
        <w:t>Poduzimanjem novih mjera za jačanje zajedničkog identiteta među Europljanima, primjerice s pomoću fonda EU-a kojim bi se poticale interakcije na internetu i izvan njega (kao što su programi razmjene, paneli ili sastanci) različitog trajanja među građanima EU-a, organiziranje europskih sportskih događanja, osnivanje zajedničkih timova ili stvaranje dodatnog odmora</w:t>
      </w:r>
      <w:r>
        <w:rPr>
          <w:rStyle w:val="Ancredenotedefin"/>
          <w:rStyle w:val="Ancredenotedefin"/>
        </w:rPr>
        <w:endnoteReference w:id="123"/>
      </w:r>
      <w:r>
        <w:rPr/>
        <w:t xml:space="preserve"> za sve europske građane 9. svibnja (Dan Europe)</w:t>
      </w:r>
      <w:r>
        <w:rPr>
          <w:rStyle w:val="Ancredenotedefin"/>
          <w:rStyle w:val="Ancredenotedefin"/>
        </w:rPr>
        <w:endnoteReference w:id="124"/>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89" w:name="__RefHeading___Toc298352_1346298689"/>
      <w:bookmarkEnd w:id="89"/>
      <w:r>
        <w:rPr/>
        <w:t>38. Prijedlog: Demokracija i izbori</w:t>
      </w:r>
    </w:p>
    <w:p>
      <w:pPr>
        <w:pStyle w:val="Normal"/>
        <w:rPr/>
      </w:pPr>
      <w:r>
        <w:rPr/>
        <w:t>Cilj: Jačanje europske demokracije jačanjem njezinih temelja, poticanjem građana na sudjelovanje na europskim izborima, promicanjem transnacionalnih rasprava o europskim pitanjima i osiguravanjem snažne veze između građana i njihovih izabranih predstavnika, posebno:</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Puce3"/>
        <w:tabs>
          <w:tab w:val="clear" w:pos="720"/>
        </w:tabs>
        <w:rPr/>
      </w:pPr>
      <w:r>
        <w:rPr/>
        <w:t>1.</w:t>
        <w:tab/>
        <w:t>Osiguravanje zaštite europskih vrijednosti sadržanih u Ugovorima, uključujući vladavinu prava i snažan socijalni model</w:t>
      </w:r>
      <w:r>
        <w:rPr>
          <w:rStyle w:val="Ancredenotedefin"/>
          <w:rStyle w:val="Ancredenotedefin"/>
        </w:rPr>
        <w:endnoteReference w:id="125"/>
      </w:r>
      <w:r>
        <w:rPr/>
        <w:t>, koji čine srž europske demokracije. U svojim odnosima s ostatkom svijeta Unija bi trebala dati prednost zajedničkim demokratskim vrijednostima u pograničnim zemljama. Tek nakon postizanja tog cilja ona može postati veleposlanica našeg demokratskog modela u zemljama koje imaju kapacitet i volju da to učine, kroz diplomaciju i dijalog</w:t>
      </w:r>
      <w:r>
        <w:rPr>
          <w:rStyle w:val="Ancredenotedefin"/>
          <w:rStyle w:val="Ancredenotedefin"/>
        </w:rPr>
        <w:endnoteReference w:id="126"/>
      </w:r>
      <w:r>
        <w:rPr/>
        <w:t>.</w:t>
      </w:r>
    </w:p>
    <w:p>
      <w:pPr>
        <w:pStyle w:val="Puce3"/>
        <w:tabs>
          <w:tab w:val="clear" w:pos="720"/>
        </w:tabs>
        <w:rPr/>
      </w:pPr>
      <w:r>
        <w:rPr/>
        <w:t>2.</w:t>
        <w:tab/>
        <w:t>Uvođenjem mogućnosti održavanja referenduma u cijeloj Uniji, na inicijativu Europskog parlamenta, iznimno, ako se neka tema pokaže posebno važnom za sve europske građane</w:t>
      </w:r>
      <w:r>
        <w:rPr>
          <w:rStyle w:val="Ancredenotedefin"/>
          <w:rStyle w:val="Ancredenotedefin"/>
        </w:rPr>
        <w:endnoteReference w:id="127"/>
      </w:r>
      <w:r>
        <w:rPr/>
        <w:t>.</w:t>
      </w:r>
    </w:p>
    <w:p>
      <w:pPr>
        <w:pStyle w:val="Puce3"/>
        <w:tabs>
          <w:tab w:val="clear" w:pos="720"/>
        </w:tabs>
        <w:rPr/>
      </w:pPr>
      <w:r>
        <w:rPr/>
        <w:t>3.</w:t>
        <w:tab/>
        <w:t>Izmjenom izbornog zakona Unije radi usklađivanja aranžmana za europske izbore (npr. punoljetnost, datum izbora, zahtjevi koji se primjenjuju na izborne jedinice, kandidate, političke stranke i njihovo financiranje), kao i prijelazom na paneuropske ili transnacionalne liste koje</w:t>
      </w:r>
      <w:r>
        <w:rPr>
          <w:rStyle w:val="Ancredenotedebasdepage"/>
          <w:rStyle w:val="Ancredenotedebasdepage"/>
        </w:rPr>
        <w:footnoteReference w:id="11"/>
      </w:r>
      <w:r>
        <w:rPr/>
        <w:t xml:space="preserve"> uključuju kandidate iz različitih država članica, nakon što se uzmu u obzir</w:t>
      </w:r>
      <w:r>
        <w:rPr>
          <w:rStyle w:val="Ancredenotedefin"/>
          <w:rStyle w:val="Ancredenotedefin"/>
        </w:rPr>
        <w:endnoteReference w:id="128"/>
      </w:r>
      <w:r>
        <w:rPr/>
        <w:t xml:space="preserve"> stajališta građana država članica o tom pitanju</w:t>
      </w:r>
      <w:r>
        <w:rPr>
          <w:rStyle w:val="Ancredenotedefin"/>
          <w:rStyle w:val="Ancredenotedefin"/>
        </w:rPr>
        <w:endnoteReference w:id="129"/>
      </w:r>
      <w:r>
        <w:rPr/>
        <w:t>.</w:t>
      </w:r>
    </w:p>
    <w:p>
      <w:pPr>
        <w:pStyle w:val="Alineanegatifpuce"/>
        <w:numPr>
          <w:ilvl w:val="0"/>
          <w:numId w:val="3"/>
        </w:numPr>
        <w:rPr/>
      </w:pPr>
      <w:r>
        <w:rPr/>
        <w:t xml:space="preserve"> </w:t>
      </w:r>
      <w:r>
        <w:rPr/>
        <w:t>Neki zastupnici u Europskom parlamentu trebali bi biti izabrani s paneuropskih popisa, dok bi se drugi birali na razini država članica</w:t>
      </w:r>
      <w:r>
        <w:rPr>
          <w:rStyle w:val="Ancredenotedefin"/>
          <w:rStyle w:val="Ancredenotedefin"/>
        </w:rPr>
        <w:endnoteReference w:id="130"/>
      </w:r>
      <w:r>
        <w:rPr/>
        <w:t>.</w:t>
      </w:r>
    </w:p>
    <w:p>
      <w:pPr>
        <w:pStyle w:val="Alineanegatifpuce"/>
        <w:numPr>
          <w:ilvl w:val="0"/>
          <w:numId w:val="3"/>
        </w:numPr>
        <w:rPr/>
      </w:pPr>
      <w:r>
        <w:rPr/>
        <w:t xml:space="preserve"> </w:t>
      </w:r>
      <w:r>
        <w:rPr/>
        <w:t>Cilj reforme trebao bi biti i olakšavanje digitalnog glasovanja</w:t>
      </w:r>
      <w:r>
        <w:rPr>
          <w:rStyle w:val="Ancredenotedefin"/>
          <w:rStyle w:val="Ancredenotedefin"/>
        </w:rPr>
        <w:endnoteReference w:id="131"/>
      </w:r>
      <w:r>
        <w:rPr/>
        <w:t xml:space="preserve"> i jamčenje stvarnog prava osoba s invaliditetom na glasovanje</w:t>
      </w:r>
      <w:r>
        <w:rPr>
          <w:rStyle w:val="Ancredenotedefin"/>
          <w:rStyle w:val="Ancredenotedefin"/>
        </w:rPr>
        <w:endnoteReference w:id="132"/>
      </w:r>
      <w:r>
        <w:rPr/>
        <w:t>.</w:t>
      </w:r>
    </w:p>
    <w:p>
      <w:pPr>
        <w:pStyle w:val="Puce3"/>
        <w:tabs>
          <w:tab w:val="clear" w:pos="720"/>
        </w:tabs>
        <w:rPr/>
      </w:pPr>
      <w:r>
        <w:rPr/>
        <w:t>4.</w:t>
        <w:tab/>
        <w:t>Jačanje veza između građana i njihovih izabranih predstavnika, uzimajući u obzir nacionalne posebnosti: građani žele osjećati da su zastupnici u Europskom parlamentu i zastupnici u nacionalnim parlamentima bliski i da konkretnim mjerama odgovaraju na svoju zabrinutost</w:t>
      </w:r>
      <w:r>
        <w:rPr>
          <w:rStyle w:val="Ancredenotedefin"/>
          <w:rStyle w:val="Ancredenotedefin"/>
        </w:rPr>
        <w:endnoteReference w:id="133"/>
      </w:r>
      <w:r>
        <w:rPr/>
        <w:t>. To je sveopći problem i ljudi svih uzrasta bi se trebali uključiti</w:t>
      </w:r>
      <w:r>
        <w:rPr>
          <w:rStyle w:val="Ancredenotedefin"/>
          <w:rStyle w:val="Ancredenotedefin"/>
        </w:rPr>
        <w:endnoteReference w:id="134"/>
      </w:r>
      <w:r>
        <w:rPr/>
        <w:t>.</w:t>
      </w:r>
    </w:p>
    <w:p>
      <w:pPr>
        <w:pStyle w:val="Alineanegatifpuce"/>
        <w:numPr>
          <w:ilvl w:val="0"/>
          <w:numId w:val="3"/>
        </w:numPr>
        <w:rPr/>
      </w:pPr>
      <w:r>
        <w:rPr/>
        <w:t xml:space="preserve"> </w:t>
      </w:r>
      <w:r>
        <w:rPr/>
        <w:t>Europski građani trebali bi imati veću važnost u izboru predsjednika Komisije. Taj bi se cilj mogao postići izravnim izborom predsjednika Komisije</w:t>
      </w:r>
      <w:r>
        <w:rPr>
          <w:rStyle w:val="Ancredenotedefin"/>
          <w:rStyle w:val="Ancredenotedefin"/>
        </w:rPr>
        <w:endnoteReference w:id="135"/>
      </w:r>
      <w:r>
        <w:rPr/>
        <w:t xml:space="preserve"> ili sustavom kandidata s najviše liste</w:t>
      </w:r>
      <w:r>
        <w:rPr>
          <w:rStyle w:val="Ancredenotedebasdepage"/>
          <w:rStyle w:val="Ancredenotedebasdepage"/>
        </w:rPr>
        <w:footnoteReference w:id="12"/>
      </w:r>
      <w:r>
        <w:rPr/>
        <w:t>.</w:t>
      </w:r>
    </w:p>
    <w:p>
      <w:pPr>
        <w:pStyle w:val="Alineanegatifpuce"/>
        <w:numPr>
          <w:ilvl w:val="0"/>
          <w:numId w:val="3"/>
        </w:numPr>
        <w:rPr/>
      </w:pPr>
      <w:r>
        <w:rPr/>
        <w:t xml:space="preserve"> </w:t>
      </w:r>
      <w:r>
        <w:rPr/>
        <w:t>Europski parlament trebao bi imati pravo na zakonodavnu inicijativu kako bi predložio</w:t>
      </w:r>
      <w:r>
        <w:rPr>
          <w:rStyle w:val="Ancredenotedefin"/>
          <w:rStyle w:val="Ancredenotedefin"/>
        </w:rPr>
        <w:endnoteReference w:id="136"/>
      </w:r>
      <w:r>
        <w:rPr/>
        <w:t xml:space="preserve"> teme za raspravu i zatim donio potrebne tekstove za praćenje preporuka koje proizlaze iz rasprava</w:t>
      </w:r>
      <w:r>
        <w:rPr>
          <w:rStyle w:val="Ancredenotedefin"/>
          <w:rStyle w:val="Ancredenotedefin"/>
        </w:rPr>
        <w:endnoteReference w:id="137"/>
      </w:r>
      <w:r>
        <w:rPr/>
        <w:t>.</w:t>
      </w:r>
    </w:p>
    <w:p>
      <w:pPr>
        <w:pStyle w:val="Alineanegatifpuce"/>
        <w:numPr>
          <w:ilvl w:val="0"/>
          <w:numId w:val="3"/>
        </w:numPr>
        <w:rPr/>
      </w:pPr>
      <w:r>
        <w:rPr/>
        <w:t xml:space="preserve"> </w:t>
      </w:r>
      <w:r>
        <w:rPr/>
        <w:t>Europski parlament trebao bi odlučiti o proračunu EU-a, kao što to čine parlamenti na nacionalnoj razini</w:t>
      </w:r>
      <w:r>
        <w:rPr>
          <w:rStyle w:val="Ancredenotedebasdepage"/>
          <w:rStyle w:val="Ancredenotedebasdepage"/>
        </w:rPr>
        <w:footnoteReference w:id="13"/>
      </w:r>
      <w:r>
        <w:rPr/>
        <w:t>.</w:t>
      </w:r>
      <w:r>
        <w:rPr>
          <w:rStyle w:val="Ancredenotedefin"/>
          <w:rStyle w:val="Ancredenotedefin"/>
        </w:rPr>
        <w:endnoteReference w:id="138"/>
      </w:r>
      <w:r>
        <w:rPr/>
        <w:t xml:space="preserve"> </w:t>
      </w:r>
    </w:p>
    <w:p>
      <w:pPr>
        <w:pStyle w:val="Alineanegatifpuce"/>
        <w:numPr>
          <w:ilvl w:val="0"/>
          <w:numId w:val="3"/>
        </w:numPr>
        <w:rPr/>
      </w:pPr>
      <w:r>
        <w:rPr/>
        <w:t xml:space="preserve"> </w:t>
      </w:r>
      <w:r>
        <w:rPr/>
        <w:t>Političke stranke, organizacije civilnog društva i sindikati trebali bi biti dinamičniji i dostupniji kako bi se građani više uključili i ulagali u europsku demokraciju</w:t>
      </w:r>
      <w:r>
        <w:rPr>
          <w:rStyle w:val="Ancredenotedefin"/>
          <w:rStyle w:val="Ancredenotedefin"/>
        </w:rPr>
        <w:endnoteReference w:id="139"/>
      </w:r>
      <w:r>
        <w:rPr/>
        <w:t>. Time bi se promicalo i uključivanje europskih pitanja u javne rasprave koje organiziraju političke stranke, organizacije civilnog društva i socijalni partneri, bilo prije europskih izbora ili uoči nacionalnih, regionalnih ili lokalnih izbora</w:t>
      </w:r>
      <w:r>
        <w:rPr>
          <w:rStyle w:val="Ancredenotedefin"/>
          <w:rStyle w:val="Ancredenotedefin"/>
        </w:rPr>
        <w:endnoteReference w:id="140"/>
      </w:r>
      <w:r>
        <w:rPr/>
        <w:t>.</w:t>
      </w:r>
    </w:p>
    <w:p>
      <w:pPr>
        <w:pStyle w:val="Puce3"/>
        <w:tabs>
          <w:tab w:val="clear" w:pos="720"/>
        </w:tabs>
        <w:rPr/>
      </w:pPr>
      <w:r>
        <w:rPr/>
        <w:t>5.</w:t>
        <w:tab/>
        <w:t>Demokracija je utjelovljena u institucijama i društvu općenito, među ostalim i na radnom mjestu zahvaljujući socijalnim partnerima</w:t>
      </w:r>
      <w:r>
        <w:rPr>
          <w:rStyle w:val="Ancredenotedefin"/>
          <w:rStyle w:val="Ancredenotedefin"/>
        </w:rPr>
        <w:endnoteReference w:id="141"/>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90" w:name="__RefHeading___Toc298354_1346298689"/>
      <w:bookmarkEnd w:id="90"/>
      <w:r>
        <w:rPr/>
        <w:t>39. Prijedlog: Postupak donošenja odluka u Uniji</w:t>
      </w:r>
    </w:p>
    <w:p>
      <w:pPr>
        <w:pStyle w:val="P68B1DB1Normal15"/>
        <w:rPr>
          <w:b/>
          <w:b/>
        </w:rPr>
      </w:pPr>
      <w:r>
        <w:rPr/>
        <w:t>Cilj: Poboljšati postupak donošenja odluka u Uniji kako bi se osigurala njezina sposobnost djelovanja, uzimajući pritom u obzir interese svake države članice i osiguravajući transparentan i razumljiv postupak za građane, a posebno:</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Puce3"/>
        <w:tabs>
          <w:tab w:val="clear" w:pos="720"/>
        </w:tabs>
        <w:rPr/>
      </w:pPr>
      <w:r>
        <w:rPr/>
        <w:t>1.</w:t>
        <w:tab/>
        <w:t>Preispitivanje pravila o donošenju odluka i glasovanju u europskim institucijama. Pitanje jednoglasnog glasovanja zaslužuje posebnu pozornost jer čini bilo kakav dogovor vrlo teškim. Potrebno je osigurati pravednost ponderiranja glasova kako bi se zaštitili interesi malih zemalja</w:t>
      </w:r>
      <w:r>
        <w:rPr>
          <w:rStyle w:val="Ancredenotedefin"/>
          <w:rStyle w:val="Ancredenotedefin"/>
        </w:rPr>
        <w:endnoteReference w:id="142"/>
      </w:r>
      <w:r>
        <w:rPr/>
        <w:t>.</w:t>
      </w:r>
    </w:p>
    <w:p>
      <w:pPr>
        <w:pStyle w:val="Alineanegatifpuce"/>
        <w:numPr>
          <w:ilvl w:val="0"/>
          <w:numId w:val="3"/>
        </w:numPr>
        <w:rPr/>
      </w:pPr>
      <w:r>
        <w:rPr/>
        <w:t xml:space="preserve"> </w:t>
      </w:r>
      <w:r>
        <w:rPr/>
        <w:t>Sve odluke koje se trenutačno donose jednoglasno trebale bi se u budućnosti donijeti kvalificiranom većinom. Jedine iznimke trebale bi biti ulazak novih država članica u Europsku uniju i izmjena temeljnih načela Unije sadržanih u članku 2. Ugovora o Europskoj uniji i Povelji Europske unije o temeljnim pravima</w:t>
      </w:r>
      <w:r>
        <w:rPr>
          <w:rStyle w:val="Ancredenotedefin"/>
          <w:rStyle w:val="Ancredenotedefin"/>
        </w:rPr>
        <w:endnoteReference w:id="143"/>
      </w:r>
      <w:r>
        <w:rPr/>
        <w:t>.</w:t>
      </w:r>
    </w:p>
    <w:p>
      <w:pPr>
        <w:pStyle w:val="Puce3"/>
        <w:tabs>
          <w:tab w:val="clear" w:pos="720"/>
        </w:tabs>
        <w:rPr/>
      </w:pPr>
      <w:r>
        <w:rPr/>
        <w:t>2.</w:t>
        <w:tab/>
        <w:t>Osigurati transparentnost u postupku donošenja odluka, omogućiti neovisnim promatračima građana da pomno prate taj proces, primijeniti šire pravo na pristup dokumentima</w:t>
      </w:r>
      <w:r>
        <w:rPr>
          <w:rStyle w:val="Ancredenotedefin"/>
          <w:rStyle w:val="Ancredenotedefin"/>
        </w:rPr>
        <w:endnoteReference w:id="144"/>
      </w:r>
      <w:r>
        <w:rPr/>
        <w:t xml:space="preserve"> i uspostaviti tješnje veze i poboljšati dijalog između građana i europskih institucija na toj osnovi</w:t>
      </w:r>
      <w:r>
        <w:rPr>
          <w:rStyle w:val="Ancredenotedefin"/>
          <w:rStyle w:val="Ancredenotedefin"/>
        </w:rPr>
        <w:endnoteReference w:id="145"/>
      </w:r>
      <w:r>
        <w:rPr/>
        <w:t>.</w:t>
      </w:r>
    </w:p>
    <w:p>
      <w:pPr>
        <w:pStyle w:val="Alineanegatifpuce"/>
        <w:numPr>
          <w:ilvl w:val="0"/>
          <w:numId w:val="3"/>
        </w:numPr>
        <w:rPr/>
      </w:pPr>
      <w:r>
        <w:rPr/>
        <w:t xml:space="preserve"> </w:t>
      </w:r>
      <w:r>
        <w:rPr/>
        <w:t>Unija treba poboljšati transparentnost svojeg postupka donošenja odluka i svojih institucija. Na primjer, sastanci Vijeća i Europskog parlamenta, uključujući glasovanje, trebali bi se na isti način širiti na internetu. To bi zainteresiranim građanima omogućilo praćenje oblikovanja politika EU-a i obvezalo kreatore politika da izvješćuju o svojim aktivnostima</w:t>
      </w:r>
      <w:r>
        <w:rPr>
          <w:rStyle w:val="Ancredenotedefin"/>
          <w:rStyle w:val="Ancredenotedefin"/>
        </w:rPr>
        <w:endnoteReference w:id="146"/>
      </w:r>
      <w:r>
        <w:rPr/>
        <w:t>. Također bi trebalo ojačati pravo Europskog parlamenta na istragu.</w:t>
      </w:r>
      <w:r>
        <w:rPr>
          <w:rStyle w:val="Ancredenotedefin"/>
          <w:rStyle w:val="Ancredenotedefin"/>
        </w:rPr>
        <w:endnoteReference w:id="147"/>
      </w:r>
      <w:r>
        <w:rPr/>
        <w:t xml:space="preserve"> Izmjena br. 44A radne skupine.</w:t>
      </w:r>
    </w:p>
    <w:p>
      <w:pPr>
        <w:pStyle w:val="Alineanegatifpuce"/>
        <w:numPr>
          <w:ilvl w:val="0"/>
          <w:numId w:val="3"/>
        </w:numPr>
        <w:rPr/>
      </w:pPr>
      <w:r>
        <w:rPr/>
        <w:t xml:space="preserve"> </w:t>
      </w:r>
      <w:r>
        <w:rPr/>
        <w:t>Postupak donošenja odluka Unije trebalo bi dodatno razviti kako bi se uključilo više nacionalnih, regionalnih i lokalnih predstavnika, socijalnih partnera i organizacija civilnog društva</w:t>
      </w:r>
      <w:r>
        <w:rPr>
          <w:rStyle w:val="Ancredenotedefin"/>
          <w:rStyle w:val="Ancredenotedefin"/>
        </w:rPr>
        <w:endnoteReference w:id="148"/>
      </w:r>
      <w:r>
        <w:rPr/>
        <w:t>. Potrebno je ojačati međuparlamentarnu suradnju i dijalog. Europski parlament također bi trebao više uključiti nacionalne parlamente u europski zakonodavni postupak, primjerice pozivanjem na saslušanja</w:t>
      </w:r>
      <w:r>
        <w:rPr>
          <w:rStyle w:val="Ancredenotedefin"/>
          <w:rStyle w:val="Ancredenotedefin"/>
        </w:rPr>
        <w:endnoteReference w:id="149"/>
      </w:r>
      <w:r>
        <w:rPr/>
        <w:t>. Osim toga, bilo bi korisno postići veću uključenost podnacionalnih vlasti i OR-a kako bi se bolje uzelo u obzir njihovo iskustvo u provedbi europskog zakonodavstva</w:t>
      </w:r>
      <w:r>
        <w:rPr>
          <w:rStyle w:val="Ancredenotedefin"/>
          <w:rStyle w:val="Ancredenotedefin"/>
        </w:rPr>
        <w:endnoteReference w:id="150"/>
      </w:r>
      <w:r>
        <w:rPr/>
        <w:t>.</w:t>
      </w:r>
    </w:p>
    <w:p>
      <w:pPr>
        <w:pStyle w:val="Puce3"/>
        <w:tabs>
          <w:tab w:val="clear" w:pos="720"/>
        </w:tabs>
        <w:rPr/>
      </w:pPr>
      <w:r>
        <w:rPr/>
        <w:t>3.</w:t>
        <w:tab/>
        <w:t>Razmatranjem promjene imena europskih institucija kako bi se pojasnila uloga i uloga svake od njih u postupku donošenja odluka Unije u očima građana</w:t>
      </w:r>
      <w:r>
        <w:rPr>
          <w:rStyle w:val="Ancredenotedefin"/>
          <w:rStyle w:val="Ancredenotedefin"/>
        </w:rPr>
        <w:endnoteReference w:id="151"/>
      </w:r>
      <w:r>
        <w:rPr/>
        <w:t>.</w:t>
      </w:r>
    </w:p>
    <w:p>
      <w:pPr>
        <w:pStyle w:val="Alineanegatifpuce"/>
        <w:numPr>
          <w:ilvl w:val="0"/>
          <w:numId w:val="3"/>
        </w:numPr>
        <w:rPr/>
      </w:pPr>
      <w:r>
        <w:rPr/>
        <w:t xml:space="preserve"> </w:t>
      </w:r>
      <w:r>
        <w:rPr/>
        <w:t>Postupak donošenja odluka u EU-u trebao bi se temeljiti na jasnijoj i razumljivoj strukturi koja nalikuje nacionalnim sustavima</w:t>
      </w:r>
      <w:r>
        <w:rPr>
          <w:rStyle w:val="Ancredenotedefin"/>
          <w:rStyle w:val="Ancredenotedefin"/>
        </w:rPr>
        <w:endnoteReference w:id="152"/>
      </w:r>
      <w:r>
        <w:rPr/>
        <w:t xml:space="preserve"> i izričito upućuje na podjelu nadležnosti između europskih institucija i država članica</w:t>
      </w:r>
      <w:r>
        <w:rPr>
          <w:rStyle w:val="Ancredenotedefin"/>
          <w:rStyle w:val="Ancredenotedefin"/>
        </w:rPr>
        <w:endnoteReference w:id="153"/>
      </w:r>
      <w:r>
        <w:rPr/>
        <w:t>.</w:t>
      </w:r>
    </w:p>
    <w:p>
      <w:pPr>
        <w:pStyle w:val="Alineanegatifpuce"/>
        <w:numPr>
          <w:ilvl w:val="0"/>
          <w:numId w:val="3"/>
        </w:numPr>
        <w:rPr/>
      </w:pPr>
      <w:r>
        <w:rPr/>
        <w:t xml:space="preserve"> </w:t>
      </w:r>
      <w:r>
        <w:rPr/>
        <w:t>Na primjer, Vijeće Europske unije moglo bi biti preimenovano u „Senat Unije”, a Europska komisija „Izvršna komisija Unije”</w:t>
      </w:r>
      <w:r>
        <w:rPr>
          <w:rStyle w:val="Ancredenotedefin"/>
          <w:rStyle w:val="Ancredenotedefin"/>
        </w:rPr>
        <w:endnoteReference w:id="154"/>
      </w:r>
      <w:r>
        <w:rPr/>
        <w:t>.</w:t>
      </w:r>
    </w:p>
    <w:p>
      <w:pPr>
        <w:pStyle w:val="Puce3"/>
        <w:tabs>
          <w:tab w:val="clear" w:pos="720"/>
        </w:tabs>
        <w:rPr/>
      </w:pPr>
      <w:r>
        <w:rPr/>
        <w:t>4.</w:t>
        <w:tab/>
        <w:t>Jačanje kapaciteta Unije za postizanje rezultata u ključnim područjima</w:t>
      </w:r>
      <w:r>
        <w:rPr>
          <w:rStyle w:val="Ancredenotedefin"/>
          <w:rStyle w:val="Ancredenotedefin"/>
        </w:rPr>
        <w:endnoteReference w:id="155"/>
      </w:r>
      <w:r>
        <w:rPr/>
        <w:t>.</w:t>
      </w:r>
    </w:p>
    <w:p>
      <w:pPr>
        <w:pStyle w:val="Puce3"/>
        <w:tabs>
          <w:tab w:val="clear" w:pos="720"/>
        </w:tabs>
        <w:rPr/>
      </w:pPr>
      <w:r>
        <w:rPr/>
        <w:t>5.</w:t>
        <w:tab/>
        <w:t>Osiguravanje mehanizama za socijalni dijalog i savjetovanje s građanima u svim fazama postupka donošenja odluka Unije, od procjene učinka do osmišljavanja i provedbe mjera</w:t>
      </w:r>
      <w:r>
        <w:rPr>
          <w:rStyle w:val="Ancredenotedefin"/>
          <w:rStyle w:val="Ancredenotedefin"/>
        </w:rPr>
        <w:endnoteReference w:id="156"/>
      </w:r>
      <w:r>
        <w:rPr/>
        <w:t>.</w:t>
      </w:r>
    </w:p>
    <w:p>
      <w:pPr>
        <w:pStyle w:val="Puce3"/>
        <w:tabs>
          <w:tab w:val="clear" w:pos="720"/>
        </w:tabs>
        <w:rPr/>
      </w:pPr>
      <w:r>
        <w:rPr/>
        <w:t>6.</w:t>
        <w:tab/>
        <w:t>Reforma funkcioniranja Europske unije, među ostalim boljim uključivanjem socijalnih partnera i organizacija civilnog društva. Potrebno je ojačati postojeće strukture kako bi postupak donošenja odluka bolje odražavao potrebe i očekivanja europskih građana, koji su ključni za europsku demokraciju. U tom kontekstu EGSO mora dobiti sredstva za važniju institucionalnu ulogu, ulogu jamca i posrednika u aktivnostima participativne demokracije, kao što su strukturirani dijalog s organizacijama civilnog društva i panelima građana. Dinamično civilno društvo ključno je za demokratski život Unije</w:t>
      </w:r>
      <w:r>
        <w:rPr>
          <w:rStyle w:val="Ancredenotedefin"/>
          <w:rStyle w:val="Ancredenotedefin"/>
        </w:rPr>
        <w:endnoteReference w:id="157"/>
      </w:r>
      <w:r>
        <w:rPr/>
        <w:t>.</w:t>
      </w:r>
    </w:p>
    <w:p>
      <w:pPr>
        <w:pStyle w:val="Puce3"/>
        <w:tabs>
          <w:tab w:val="clear" w:pos="720"/>
        </w:tabs>
        <w:rPr/>
      </w:pPr>
      <w:r>
        <w:rPr/>
        <w:t>7.</w:t>
        <w:tab/>
        <w:t>Ponovnim otvaranjem rasprave o Ustavu, ako je to relevantno, kako bi se jasno definirale naše vrijednosti. Ustavom bi se mogla postići veća preciznost, mobilizirati građani i postići dogovor o pravilima postupka donošenja odluka</w:t>
      </w:r>
      <w:r>
        <w:rPr>
          <w:rStyle w:val="Ancredenotedefin"/>
          <w:rStyle w:val="Ancredenotedefin"/>
        </w:rPr>
        <w:endnoteReference w:id="158"/>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91" w:name="__RefHeading___Toc298356_1346298689"/>
      <w:bookmarkEnd w:id="91"/>
      <w:r>
        <w:rPr/>
        <w:t>40. Prijedlog: Supsidijarnost</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Puce3"/>
        <w:tabs>
          <w:tab w:val="clear" w:pos="720"/>
        </w:tabs>
        <w:rPr/>
      </w:pPr>
      <w:r>
        <w:rPr/>
        <w:t>1.</w:t>
        <w:tab/>
        <w:t>Aktivna supsidijarnost i višerazinsko upravljanje ključna su načela za djelovanje Europske unije na demokratski i odgovoran način</w:t>
      </w:r>
      <w:r>
        <w:rPr>
          <w:rStyle w:val="Ancredenotedefin"/>
          <w:rStyle w:val="Ancredenotedefin"/>
        </w:rPr>
        <w:endnoteReference w:id="159"/>
      </w:r>
      <w:r>
        <w:rPr/>
        <w:t>;</w:t>
      </w:r>
    </w:p>
    <w:p>
      <w:pPr>
        <w:pStyle w:val="Puce3"/>
        <w:tabs>
          <w:tab w:val="clear" w:pos="720"/>
        </w:tabs>
        <w:rPr/>
      </w:pPr>
      <w:r>
        <w:rPr/>
        <w:t>2.</w:t>
        <w:tab/>
        <w:t>EU mora revidirati mehanizam kojim nacionalni parlamenti ispituju zadiru li europski zakonodavni prijedlozi u nacionalne nadležnosti; nacionalni parlamenti trebali bi moći predlagati zakonodavne inicijative europskim institucijama. Ti bi se mehanizmi trebali proširiti na sve regionalne parlamente sa zakonodavnim ovlastima</w:t>
      </w:r>
      <w:r>
        <w:rPr>
          <w:rStyle w:val="Ancredenotedefin"/>
          <w:rStyle w:val="Ancredenotedefin"/>
        </w:rPr>
        <w:endnoteReference w:id="160"/>
      </w:r>
      <w:r>
        <w:rPr/>
        <w:t>.</w:t>
      </w:r>
    </w:p>
    <w:p>
      <w:pPr>
        <w:pStyle w:val="Puce3"/>
        <w:tabs>
          <w:tab w:val="clear" w:pos="720"/>
        </w:tabs>
        <w:rPr/>
      </w:pPr>
      <w:r>
        <w:rPr/>
        <w:t>3.</w:t>
        <w:tab/>
        <w:t>Potrebno je reformirati OR kako bi se otvorili odgovarajući kanali za dijalog s regijama, gradovima i općinama. Trebao bi imati važniju ulogu</w:t>
      </w:r>
      <w:r>
        <w:rPr>
          <w:rStyle w:val="Ancredenotedefin"/>
          <w:rStyle w:val="Ancredenotedefin"/>
        </w:rPr>
        <w:endnoteReference w:id="161"/>
      </w:r>
      <w:r>
        <w:rPr/>
        <w:t xml:space="preserve"> u institucionalnoj strukturi u rješavanju pitanja s teritorijalnim posljedicama</w:t>
      </w:r>
      <w:r>
        <w:rPr>
          <w:rStyle w:val="Ancredenotedefin"/>
          <w:rStyle w:val="Ancredenotedefin"/>
        </w:rPr>
        <w:endnoteReference w:id="162"/>
      </w:r>
      <w:r>
        <w:rPr/>
        <w:t>.</w:t>
      </w:r>
    </w:p>
    <w:p>
      <w:pPr>
        <w:pStyle w:val="Normal"/>
        <w:rPr/>
      </w:pPr>
      <w:r>
        <w:rPr/>
      </w:r>
    </w:p>
    <w:p>
      <w:pPr>
        <w:pStyle w:val="Puce3"/>
        <w:tabs>
          <w:tab w:val="clear" w:pos="720"/>
        </w:tabs>
        <w:rPr/>
      </w:pPr>
      <w:r>
        <w:rPr/>
        <w:t>4.</w:t>
        <w:tab/>
        <w:t>Sustavnom primjenom zajedničke definicije supsidijarnosti, koju su podržale sve europske institucije, moglo bi se jasnije definirati na kojoj bi se razini (europske, nacionalne ili regionalne) odluke trebale donositi</w:t>
      </w:r>
      <w:r>
        <w:rPr>
          <w:rStyle w:val="Ancredenotedefin"/>
          <w:rStyle w:val="Ancredenotedefin"/>
        </w:rPr>
        <w:endnoteReference w:id="163"/>
      </w:r>
      <w:r>
        <w:rPr/>
        <w:t>.</w:t>
      </w:r>
    </w:p>
    <w:p>
      <w:pPr>
        <w:pStyle w:val="Puce3"/>
        <w:tabs>
          <w:tab w:val="clear" w:pos="720"/>
        </w:tabs>
        <w:rPr/>
      </w:pPr>
      <w:r>
        <w:rPr/>
        <w:t>5.</w:t>
        <w:tab/>
        <w:t>Socijalni partneri i organizacije civilnog društva, koji su ključni za europsku demokraciju, moraju se bolje uključiti u postupak donošenja odluka. Dinamično društvo ključno je za demokratski život Unije.</w:t>
      </w:r>
      <w:r>
        <w:rPr>
          <w:rStyle w:val="Ancredenotedefin"/>
          <w:rStyle w:val="Ancredenotedefin"/>
        </w:rPr>
        <w:endnoteReference w:id="164"/>
      </w:r>
    </w:p>
    <w:p>
      <w:pPr>
        <w:pStyle w:val="Puce3"/>
        <w:tabs>
          <w:tab w:val="clear" w:pos="720"/>
        </w:tabs>
        <w:rPr/>
      </w:pPr>
      <w:r>
        <w:rPr/>
        <w:t>6.</w:t>
        <w:tab/>
        <w:t>Pozivamo institucije EU-a da provedu zaključke te radne skupine i da ih učine djelotvornima. To bi se moglo postići postojećim odredbama Ugovora iz Lisabona i, ako je potrebno, pozivom na pokretanje Europske konvencije</w:t>
      </w:r>
      <w:r>
        <w:rPr>
          <w:rStyle w:val="Ancredenotedefin"/>
          <w:rStyle w:val="Ancredenotedefin"/>
        </w:rPr>
        <w:endnoteReference w:id="165"/>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Normal"/>
        <w:rPr/>
      </w:pPr>
      <w:r>
        <w:rPr/>
        <w:drawing>
          <wp:anchor behindDoc="0" distT="0" distB="0" distL="0" distR="0" simplePos="0" locked="0" layoutInCell="1" allowOverlap="1" relativeHeight="18">
            <wp:simplePos x="0" y="0"/>
            <wp:positionH relativeFrom="column">
              <wp:posOffset>19050</wp:posOffset>
            </wp:positionH>
            <wp:positionV relativeFrom="paragraph">
              <wp:posOffset>21590</wp:posOffset>
            </wp:positionV>
            <wp:extent cx="913765" cy="913765"/>
            <wp:effectExtent l="0" t="0" r="0" b="0"/>
            <wp:wrapSquare wrapText="largest"/>
            <wp:docPr id="68" name="Slika 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Slika 28" descr=""/>
                    <pic:cNvPicPr>
                      <a:picLocks noChangeAspect="1" noChangeArrowheads="1"/>
                    </pic:cNvPicPr>
                  </pic:nvPicPr>
                  <pic:blipFill>
                    <a:blip r:embed="rId81"/>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92" w:name="__RefHeading___Toc298358_1346298689"/>
      <w:bookmarkEnd w:id="92"/>
      <w:r>
        <w:rPr/>
        <w:t>„</w:t>
      </w:r>
      <w:r>
        <w:rPr/>
        <w:t>Migracije”</w:t>
      </w:r>
    </w:p>
    <w:p>
      <w:pPr>
        <w:pStyle w:val="Titre3"/>
        <w:numPr>
          <w:ilvl w:val="2"/>
          <w:numId w:val="2"/>
        </w:numPr>
        <w:rPr/>
      </w:pPr>
      <w:bookmarkStart w:id="93" w:name="__RefHeading___Toc298360_1346298689"/>
      <w:bookmarkEnd w:id="93"/>
      <w:r>
        <w:rPr/>
        <w:t>41. Prijedlog: Zakonita migracija</w:t>
      </w:r>
    </w:p>
    <w:p>
      <w:pPr>
        <w:pStyle w:val="P68B1DB1Normal15"/>
        <w:rPr>
          <w:b/>
          <w:b/>
        </w:rPr>
      </w:pPr>
      <w:r>
        <w:rPr/>
        <w:t>Cilj: Jačanje uloge EU-a u zakonitoj migraciji</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Mjere</w:t>
      </w:r>
      <w:r>
        <w:rPr>
          <w:rStyle w:val="Ancredenotedefin"/>
          <w:rStyle w:val="Ancredenotedefin"/>
        </w:rPr>
        <w:endnoteReference w:id="166"/>
      </w:r>
      <w:r>
        <w:rPr/>
        <w:t>:</w:t>
      </w:r>
    </w:p>
    <w:p>
      <w:pPr>
        <w:pStyle w:val="Puce3"/>
        <w:tabs>
          <w:tab w:val="clear" w:pos="720"/>
        </w:tabs>
        <w:rPr/>
      </w:pPr>
      <w:r>
        <w:rPr/>
        <w:t>1.</w:t>
        <w:tab/>
        <w:t>Pokrenuti komunikacijsku kampanju na europskoj razini kako bi se osiguralo da su EURES (Europska mreža službi za zapošljavanje), portal EU-a za imigraciju i Europski alat za profiliranje vještina za državljane trećih zemalja bolje poznati europskim građanima i da ih poduzeća iz EU-a češće upotrebljavaju pri zapošljavanju (preporuka 6.).</w:t>
      </w:r>
    </w:p>
    <w:p>
      <w:pPr>
        <w:pStyle w:val="Puce3"/>
        <w:tabs>
          <w:tab w:val="clear" w:pos="720"/>
        </w:tabs>
        <w:rPr/>
      </w:pPr>
      <w:r>
        <w:rPr/>
        <w:t>2.</w:t>
        <w:tab/>
        <w:t>Osnivanje europskog subjekta za pristup migranata tržištu rada EU-a ili, ako to nije moguće, proširenje nadležnosti Europske mreže službi za zapošljavanje (EURES), npr. poboljšanje projekata partnerstva za privlačenje talenata (Preporuka br. 7 i rasprava u radnoj skupini), uz mogućnost zadovoljavanja ponude i potražnje vještina na internetu u zemlji odlaska na temelju kriterija evaluacije (Preporuka br. 9 i rasprava u radnoj skupini). Unija bi trebala poticati države članice da pojednostave postupak prihvata i integracije zakonitih migranata i njihov pristup tržištu rada Unije poboljšanjem interoperabilnosti među različitim predmetnim upravama (rasprava u radnoj skupini).</w:t>
      </w:r>
    </w:p>
    <w:p>
      <w:pPr>
        <w:pStyle w:val="Puce3"/>
        <w:tabs>
          <w:tab w:val="clear" w:pos="720"/>
        </w:tabs>
        <w:rPr/>
      </w:pPr>
      <w:r>
        <w:rPr/>
        <w:t>3.</w:t>
        <w:tab/>
        <w:t>Poboljšati funkcioniranje i provedbu Direktive o plavoj karti kako bi se privukle vještine potrebne gospodarstvu EU-a (preporuka br. 7 i rasprava u radnoj skupini), uzimajući u obzir rizik od odljeva mozgova (u skladu s mjerom 1. iz prijedloga 42.).</w:t>
      </w:r>
    </w:p>
    <w:p>
      <w:pPr>
        <w:pStyle w:val="Puce3"/>
        <w:tabs>
          <w:tab w:val="clear" w:pos="720"/>
        </w:tabs>
        <w:rPr/>
      </w:pPr>
      <w:r>
        <w:rPr/>
        <w:t>4.</w:t>
        <w:tab/>
        <w:t>Promicati uzlaznu konvergenciju radnih uvjeta na usklađen način u cijeloj Uniji kako bi se riješile nejednakosti u radnim uvjetima, osigurala učinkovita politika EU-a o migraciji radne snage i zaštitila prava radnika. U tom kontekstu ojačati ulogu sindikata na nacionalnoj i transnacionalnoj razini (Preporuka br. 28 i rasprava u radnoj skupini) u suradnji s organizacijama poslodavaca (rasprava na plenarnoj sjednici).</w:t>
      </w:r>
    </w:p>
    <w:p>
      <w:pPr>
        <w:pStyle w:val="Puce3"/>
        <w:tabs>
          <w:tab w:val="clear" w:pos="720"/>
        </w:tabs>
        <w:rPr/>
      </w:pPr>
      <w:r>
        <w:rPr/>
        <w:t>5.</w:t>
        <w:tab/>
        <w:t>Pojačati napore za informiranje i obrazovanje građana država članica o pitanjima migracija i integracije (preporuka 30., 9. preporuka povjerenstva LT i rasprava radne skupine).</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94" w:name="__RefHeading___Toc298362_1346298689"/>
      <w:bookmarkEnd w:id="94"/>
      <w:r>
        <w:rPr/>
        <w:t>42. Prijedlog: Nezakonita migracija</w:t>
      </w:r>
    </w:p>
    <w:p>
      <w:pPr>
        <w:pStyle w:val="P68B1DB1Normal15"/>
        <w:rPr>
          <w:b/>
          <w:b/>
        </w:rPr>
      </w:pPr>
      <w:r>
        <w:rPr/>
        <w:t>Cilj: Jačanje uloge Unije u borbi protiv svih oblika nezakonitih migracija i jačanje zaštite vanjskih granica Europske unije, uz poštovanje ljudskih prava</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Mjere</w:t>
      </w:r>
      <w:r>
        <w:rPr>
          <w:rStyle w:val="Ancredenotedefin"/>
          <w:rStyle w:val="Ancredenotedefin"/>
        </w:rPr>
        <w:endnoteReference w:id="167"/>
      </w:r>
      <w:r>
        <w:rPr/>
        <w:t>:</w:t>
      </w:r>
    </w:p>
    <w:p>
      <w:pPr>
        <w:pStyle w:val="Puce3"/>
        <w:tabs>
          <w:tab w:val="clear" w:pos="720"/>
        </w:tabs>
        <w:rPr/>
      </w:pPr>
      <w:r>
        <w:rPr/>
        <w:t>1.</w:t>
        <w:tab/>
        <w:t>Aktivno sudjelovati, primjerice sporazumima o partnerstvu, u gospodarskom i socijalnom razvoju zemalja izvan Europske unije i iz kojih dolazi velik priljev migranata kako bi se riješili temeljni uzroci migracija, uključujući klimatske promjene. Te bi mjere trebale biti transparentne i proizvesti opipljive rezultate s mjerljivim učincima, što bi trebalo jasno priopćiti građanima EU-a (Preporuka br. 27, preporuka br. 3 i rasprava u radnoj skupini).</w:t>
      </w:r>
    </w:p>
    <w:p>
      <w:pPr>
        <w:pStyle w:val="Puce3"/>
        <w:tabs>
          <w:tab w:val="clear" w:pos="720"/>
        </w:tabs>
        <w:rPr/>
      </w:pPr>
      <w:r>
        <w:rPr/>
        <w:t>2.</w:t>
        <w:tab/>
        <w:t>Osigurati zaštitu svih vanjskih granica poboljšanjem transparentnosti i odgovornosti Frontexa te jačanjem njegove uloge (preporuka br. 8 i rasprava u radnoj skupini) te prilagođavanje zakonodavstva EU-a kako bi se bolje odgovorilo na trenutačne izazove nezakonite migracije kao što su trgovanje ljudima, trgovanje ljudima, seksualno iskorištavanje, hibridni napadi koje su počinile države koje iskorištavaju migrante i kršenje ljudskih prava (preporuka LT 10 i rasprava u radnoj skupini).</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95" w:name="__RefHeading___Toc298364_1346298689"/>
      <w:bookmarkEnd w:id="95"/>
      <w:r>
        <w:rPr/>
        <w:t>43. Prijedlog: Nezakonite migracije (bis)</w:t>
      </w:r>
    </w:p>
    <w:p>
      <w:pPr>
        <w:pStyle w:val="P68B1DB1Normal15"/>
        <w:rPr>
          <w:b/>
          <w:b/>
        </w:rPr>
      </w:pPr>
      <w:r>
        <w:rPr/>
        <w:t>Cilj: Ujednačeno primjenjivati zajednička pravila u svim državama članicama u pogledu prvog prihvata migranata</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Mjere</w:t>
      </w:r>
      <w:r>
        <w:rPr>
          <w:rStyle w:val="Ancredenotedefin"/>
          <w:rStyle w:val="Ancredenotedefin"/>
        </w:rPr>
        <w:endnoteReference w:id="168"/>
      </w:r>
      <w:r>
        <w:rPr/>
        <w:t>:</w:t>
      </w:r>
    </w:p>
    <w:p>
      <w:pPr>
        <w:pStyle w:val="Puce3"/>
        <w:tabs>
          <w:tab w:val="clear" w:pos="720"/>
        </w:tabs>
        <w:rPr/>
      </w:pPr>
      <w:r>
        <w:rPr/>
        <w:t>1.</w:t>
        <w:tab/>
        <w:t>Razviti mjere na razini EU-a kako bi se osigurala sigurnost i zdravlje svih migranata, posebno trudnica, djece, maloljetnika bez pratnje i svih ranjivih osoba (preporuke 10. i 38. i rasprava u radnoj skupini).</w:t>
      </w:r>
    </w:p>
    <w:p>
      <w:pPr>
        <w:pStyle w:val="Normal"/>
        <w:rPr/>
      </w:pPr>
      <w:r>
        <w:rPr/>
      </w:r>
    </w:p>
    <w:p>
      <w:pPr>
        <w:pStyle w:val="Puce3"/>
        <w:tabs>
          <w:tab w:val="clear" w:pos="720"/>
        </w:tabs>
        <w:rPr/>
      </w:pPr>
      <w:r>
        <w:rPr/>
        <w:t>2.</w:t>
        <w:tab/>
        <w:t>Povećati financijsku, logističku i operativnu potporu EU-a, među ostalim lokalnim vlastima, regionalnim donositeljima odluka i organizacijama civilnog društva, za upravljanje prvim prihvatom, što bi moglo dovesti do integracije izbjeglica ili zakonitih migranata u EU i repatrijacije nezakonitih migranata (preporuka 35 i rasprava u okviru Radne skupine).</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Normal"/>
        <w:rPr/>
      </w:pPr>
      <w:r>
        <w:rPr/>
      </w:r>
    </w:p>
    <w:p>
      <w:pPr>
        <w:pStyle w:val="Titre3"/>
        <w:numPr>
          <w:ilvl w:val="2"/>
          <w:numId w:val="2"/>
        </w:numPr>
        <w:rPr/>
      </w:pPr>
      <w:bookmarkStart w:id="96" w:name="__RefHeading___Toc298366_1346298689"/>
      <w:bookmarkEnd w:id="96"/>
      <w:r>
        <w:rPr/>
        <w:t>44. Prijedlog: Azil, integracija</w:t>
      </w:r>
    </w:p>
    <w:p>
      <w:pPr>
        <w:pStyle w:val="P68B1DB1Normal15"/>
        <w:rPr>
          <w:b/>
          <w:b/>
        </w:rPr>
      </w:pPr>
      <w:r>
        <w:rPr/>
        <w:t>Cilj: Jačanje uloge Unije i reforma europskog sustava azila na temelju načela solidarnosti i pravedne podjele odgovornosti</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Mjere</w:t>
      </w:r>
      <w:r>
        <w:rPr>
          <w:rStyle w:val="Ancredenotedefin"/>
          <w:rStyle w:val="Ancredenotedefin"/>
        </w:rPr>
        <w:endnoteReference w:id="169"/>
      </w:r>
      <w:r>
        <w:rPr/>
        <w:t>:</w:t>
      </w:r>
    </w:p>
    <w:p>
      <w:pPr>
        <w:pStyle w:val="Puce3"/>
        <w:tabs>
          <w:tab w:val="clear" w:pos="720"/>
        </w:tabs>
        <w:rPr/>
      </w:pPr>
      <w:r>
        <w:rPr/>
        <w:t>1.</w:t>
        <w:tab/>
        <w:t>Donosi zajednička pravila Unije o postupcima za razmatranje zahtjeva za međunarodnu zaštitu u državama članicama koja se ujednačeno primjenjuju na sve tražitelje azila. Ti postupci moraju poštovati ljudsko dostojanstvo i međunarodno pravo (Preporuka 29., preporuke IT-a 3.8. i 4.4., str. 15. i rasprava u radnoj skupini). Budući da prihvat tražitelja azila uključuje različite dionike na nacionalnoj razini, Unija bi trebala poticati države članice da pojednostave i ubrzaju taj postupak poboljšanjem interoperabilnosti među različitim predmetnim upravama i da uspostave jedinstveni ured (prozorna ili jedinstvena ulazna točka) za tražitelje azila kako bi se pojednostavnili nacionalni administrativni postupci (preporuka 37. i rasprava u radnoj skupini).</w:t>
      </w:r>
    </w:p>
    <w:p>
      <w:pPr>
        <w:pStyle w:val="Puce3"/>
        <w:tabs>
          <w:tab w:val="clear" w:pos="720"/>
        </w:tabs>
        <w:rPr/>
      </w:pPr>
      <w:r>
        <w:rPr/>
        <w:t>2.</w:t>
        <w:tab/>
        <w:t>Preispitati dublinski sustav kako bi se osigurala solidarnost i pravedna podjela odgovornosti, uključujući raspodjelu migranata među državama članicama; mogli bi se predvidjeti i drugi oblici potpore (preporuke 33., 36., 37., 40.; LT Preporuka br. 2; preporuke IT 3.8 (str. 15.) i NL 2, rasprava u radnoj skupini i rasprava na plenarnoj sjednici).</w:t>
      </w:r>
    </w:p>
    <w:p>
      <w:pPr>
        <w:pStyle w:val="Puce3"/>
        <w:tabs>
          <w:tab w:val="clear" w:pos="720"/>
        </w:tabs>
        <w:rPr/>
      </w:pPr>
      <w:r>
        <w:rPr/>
        <w:t>3.</w:t>
        <w:tab/>
        <w:t>Ojačati minimalne standarde prihvata za tražitelje azila utvrđene u Direktivi 2013/33/EU strožim zakonodavnim mjerama za poboljšanje prihvatnih objekata i smještaja (Preporuka 31 CEP-a, preporuka IT-a 5.6., str. 11. i rasprava u radnoj skupini).</w:t>
      </w:r>
    </w:p>
    <w:p>
      <w:pPr>
        <w:pStyle w:val="Puce3"/>
        <w:tabs>
          <w:tab w:val="clear" w:pos="720"/>
        </w:tabs>
        <w:rPr/>
      </w:pPr>
      <w:r>
        <w:rPr/>
        <w:t>4.</w:t>
        <w:tab/>
        <w:t>Posebnu pozornost trebalo bi posvetiti trudnicama, djeci, a posebno maloljetnicima bez pratnje (preporuka br. 38 i rasprava u radnoj skupini).</w:t>
      </w:r>
    </w:p>
    <w:p>
      <w:pPr>
        <w:pStyle w:val="Puce3"/>
        <w:tabs>
          <w:tab w:val="clear" w:pos="720"/>
        </w:tabs>
        <w:rPr/>
      </w:pPr>
      <w:r>
        <w:rPr/>
        <w:t>5.</w:t>
        <w:tab/>
        <w:t>Jačanje i povećanje financijskih i ljudskih resursa i upravljačkih kapaciteta Agencije Europske unije za azil radi koordinacije i upravljanja premještanjem tražitelja azila unutar država članica EU-a s ciljem postizanja pravedne raspodjele (preporuke 36. i 37., 3. preporuka LT-a i rasprava u radnoj skupini).</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97" w:name="__RefHeading___Toc298368_1346298689"/>
      <w:bookmarkEnd w:id="97"/>
      <w:r>
        <w:rPr/>
        <w:t>45. Prijedlog: Azil, integracija(bis)</w:t>
      </w:r>
    </w:p>
    <w:p>
      <w:pPr>
        <w:pStyle w:val="P68B1DB1Normal15"/>
        <w:rPr>
          <w:b/>
          <w:b/>
        </w:rPr>
      </w:pPr>
      <w:r>
        <w:rPr/>
        <w:t>Cilj: Poboljšanje integracijskih politika u svim državama članicama</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Mjere</w:t>
      </w:r>
      <w:r>
        <w:rPr>
          <w:rStyle w:val="Ancredenotedefin"/>
          <w:rStyle w:val="Ancredenotedefin"/>
        </w:rPr>
        <w:endnoteReference w:id="170"/>
      </w:r>
      <w:r>
        <w:rPr/>
        <w:t>:</w:t>
      </w:r>
    </w:p>
    <w:p>
      <w:pPr>
        <w:pStyle w:val="Puce3"/>
        <w:tabs>
          <w:tab w:val="clear" w:pos="720"/>
        </w:tabs>
        <w:rPr/>
      </w:pPr>
      <w:r>
        <w:rPr/>
        <w:t>1.</w:t>
        <w:tab/>
        <w:t>Unija također osigurava, uz sudjelovanje lokalnih i regionalnih vlasti i doprinos organizacija civilnog društva, da svi tražitelji azila i izbjeglice sudjeluju u tečajevima i aktivnostima jezika i integracije te u strukovnom osposobljavanju tijekom ispitivanja njihove prijave za boravak (Preporuka br. 32, preporuka FR br. 13, rasprava u radnoj skupini i rasprava na plenarnoj sjednici).</w:t>
      </w:r>
    </w:p>
    <w:p>
      <w:pPr>
        <w:pStyle w:val="Puce3"/>
        <w:tabs>
          <w:tab w:val="clear" w:pos="720"/>
        </w:tabs>
        <w:rPr/>
      </w:pPr>
      <w:r>
        <w:rPr/>
        <w:t>2.</w:t>
        <w:tab/>
        <w:t>Tražitelji azila s odgovarajućim kvalifikacijama trebali bi imati pristup tržištu rada, ako je moguće s ciljem jačanja njihove autonomije, diljem Unije (Preporuka br. 7 i rasprava u radnoj skupini).</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Normal"/>
        <w:rPr/>
      </w:pPr>
      <w:r>
        <w:rPr/>
        <w:drawing>
          <wp:anchor behindDoc="0" distT="0" distB="0" distL="0" distR="0" simplePos="0" locked="0" layoutInCell="1" allowOverlap="1" relativeHeight="13">
            <wp:simplePos x="0" y="0"/>
            <wp:positionH relativeFrom="column">
              <wp:posOffset>10160</wp:posOffset>
            </wp:positionH>
            <wp:positionV relativeFrom="paragraph">
              <wp:posOffset>3810</wp:posOffset>
            </wp:positionV>
            <wp:extent cx="913765" cy="913765"/>
            <wp:effectExtent l="0" t="0" r="0" b="0"/>
            <wp:wrapSquare wrapText="largest"/>
            <wp:docPr id="69" name="Slika 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Slika 29" descr=""/>
                    <pic:cNvPicPr>
                      <a:picLocks noChangeAspect="1" noChangeArrowheads="1"/>
                    </pic:cNvPicPr>
                  </pic:nvPicPr>
                  <pic:blipFill>
                    <a:blip r:embed="rId82"/>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98" w:name="__RefHeading___Toc298370_1346298689"/>
      <w:bookmarkEnd w:id="98"/>
      <w:r>
        <w:rPr/>
        <w:t>Obrazovanje, kultura, mladi i sport</w:t>
      </w:r>
    </w:p>
    <w:p>
      <w:pPr>
        <w:pStyle w:val="Titre3"/>
        <w:numPr>
          <w:ilvl w:val="2"/>
          <w:numId w:val="2"/>
        </w:numPr>
        <w:rPr/>
      </w:pPr>
      <w:bookmarkStart w:id="99" w:name="__RefHeading___Toc298372_1346298689"/>
      <w:bookmarkEnd w:id="99"/>
      <w:r>
        <w:rPr/>
        <w:t>46. Prijedlog: Edukacija</w:t>
      </w:r>
    </w:p>
    <w:p>
      <w:pPr>
        <w:pStyle w:val="P68B1DB1Normal15"/>
        <w:rPr>
          <w:b/>
          <w:b/>
        </w:rPr>
      </w:pPr>
      <w:r>
        <w:rPr/>
        <w:t>Cilj: EU i njegove države članice trebali bi nastojati do 2025. uspostaviti uključiv europski obrazovni prostor u kojem svi građani imaju jednak pristup kvalitetnom cjeloživotnom učenju i obrazovanju, uključujući osobe koje žive u ruralnim i udaljenim područjima. U tu svrhu Europska unija i njezine države članice trebale bi posebno:</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Mjere:</w:t>
      </w:r>
    </w:p>
    <w:p>
      <w:pPr>
        <w:pStyle w:val="Puce3"/>
        <w:tabs>
          <w:tab w:val="clear" w:pos="720"/>
        </w:tabs>
        <w:rPr/>
      </w:pPr>
      <w:r>
        <w:rPr/>
        <w:t>1.</w:t>
        <w:tab/>
        <w:t>Koordinirati razinu svih različitih obrazovnih programa u Europskoj uniji prihvaćanjem nacionalnog, regionalnog i lokalnog sadržaja i stvarati tješnje veze među obrazovnim sustavima, posebno putem jednakovrijednosti diploma</w:t>
      </w:r>
      <w:r>
        <w:rPr>
          <w:rStyle w:val="Ancredenotedefin"/>
          <w:rStyle w:val="Ancredenotedefin"/>
        </w:rPr>
        <w:endnoteReference w:id="171"/>
      </w:r>
      <w:r>
        <w:rPr/>
        <w:t>. Certificirani minimalni standard za nastavu iz osnovnih predmeta trebao bi se usvojiti već u osnovnoj školi</w:t>
      </w:r>
      <w:r>
        <w:rPr>
          <w:rStyle w:val="Ancredenotedefin"/>
          <w:rStyle w:val="Ancredenotedefin"/>
        </w:rPr>
        <w:endnoteReference w:id="172"/>
      </w:r>
      <w:r>
        <w:rPr/>
        <w:t>171. Trebalo bi uspostaviti podijeljene nadležnosti u području obrazovanja, barem u pogledu građanskog obrazovanja, a izvršavanje te nadležnosti od strane Unije ne može spriječiti države članice u izvršavanju vlastitih nadležnosti. Diplome i strukovno osposobljavanje trebalo bi vrednovati i uzajamno priznavati u svim državama članicama Unije</w:t>
      </w:r>
      <w:r>
        <w:rPr>
          <w:rStyle w:val="Ancredenotedefin"/>
          <w:rStyle w:val="Ancredenotedefin"/>
        </w:rPr>
        <w:endnoteReference w:id="173"/>
      </w:r>
      <w:r>
        <w:rPr/>
        <w:t>. Europska unija također bi trebala iskoristiti priznavanje organizacija za neformalno</w:t>
      </w:r>
      <w:r>
        <w:rPr>
          <w:rStyle w:val="Ancredenotedefin"/>
          <w:rStyle w:val="Ancredenotedefin"/>
        </w:rPr>
        <w:endnoteReference w:id="174"/>
      </w:r>
      <w:r>
        <w:rPr/>
        <w:t xml:space="preserve"> i informalno učenje te organizacija mladih koje ga nude, kao i razdoblja učenja u inozemstvu.</w:t>
      </w:r>
    </w:p>
    <w:p>
      <w:pPr>
        <w:pStyle w:val="Puce3"/>
        <w:tabs>
          <w:tab w:val="clear" w:pos="720"/>
        </w:tabs>
        <w:rPr/>
      </w:pPr>
      <w:r>
        <w:rPr/>
        <w:t>2.</w:t>
        <w:tab/>
        <w:t>Razvoj cjeloživotnog učenja i obrazovanja u Europi otpornog na promjene u budućnosti, u skladu s pravom na osposobljavanje na radnom mjestu za sve, s naglaskom na sljedećim aspektima:</w:t>
        <w:br/>
        <w:t>Građansko obrazovanje o demokratskim procesima i vrijednostima EU-a te povijesti Europe</w:t>
      </w:r>
      <w:r>
        <w:rPr>
          <w:rStyle w:val="Ancredenotedefin"/>
          <w:rStyle w:val="Ancredenotedefin"/>
        </w:rPr>
        <w:endnoteReference w:id="175"/>
      </w:r>
      <w:r>
        <w:rPr/>
        <w:t>. Trebao bi biti zajednički modul koji će se podučavati u svim državama članicama. Znanje o ekonomiji također bi trebalo poboljšati kako bi se omogućilo bolje razumijevanje procesa europske integracije</w:t>
      </w:r>
      <w:r>
        <w:rPr>
          <w:rStyle w:val="Ancredenotedefin"/>
          <w:rStyle w:val="Ancredenotedefin"/>
        </w:rPr>
        <w:endnoteReference w:id="176"/>
      </w:r>
      <w:r>
        <w:rPr/>
        <w:t>.</w:t>
        <w:br/>
        <w:t>− Digitalne vještine</w:t>
      </w:r>
      <w:r>
        <w:rPr>
          <w:rStyle w:val="Ancredenotedefin"/>
          <w:rStyle w:val="Ancredenotedefin"/>
        </w:rPr>
        <w:endnoteReference w:id="177"/>
      </w:r>
      <w:r>
        <w:rPr/>
        <w:t>.</w:t>
        <w:br/>
        <w:t>STIAM</w:t>
      </w:r>
      <w:r>
        <w:rPr>
          <w:rStyle w:val="Ancredenotedefin"/>
          <w:rStyle w:val="Ancredenotedefin"/>
        </w:rPr>
        <w:endnoteReference w:id="178"/>
      </w:r>
      <w:r>
        <w:rPr/>
        <w:br/>
        <w:t>Poduzetništvo i istraživanje.</w:t>
        <w:br/>
        <w:t>Razvoj kritičkog mišljenja. Trebalo bi poboljšati medijsku pismenost kako bi se osigurala sigurnost na internetu i kako bi se građanima u svim državama članicama omogućilo da neovisno ocijene jesu li informacije vjerodostojne ili ne te da utvrde lažne informacije uz istodobno iskorištavanje mogućnosti koje nudi internet. To obrazovanje trebalo bi uključivati organizaciju posebnih tečajeva na razini osnovnog obrazovanja i trebalo bi se nuditi, u drugim javnim prostorima, građanima svih dobnih skupina, pod okriljem specijaliziranog tijela na razini Unije, koristeći se dobrim praksama koje postoje u svim državama članicama. EU bi trebao osigurati da se sredstva koja su posebno dodijeljena tim aktivnostima koriste u predviđenu svrhu</w:t>
      </w:r>
      <w:r>
        <w:rPr>
          <w:rStyle w:val="Ancredenotedefin"/>
          <w:rStyle w:val="Ancredenotedefin"/>
        </w:rPr>
        <w:endnoteReference w:id="179"/>
      </w:r>
      <w:r>
        <w:rPr/>
        <w:t>.</w:t>
        <w:br/>
        <w:t>integracija netehničkih vještina u sve tečajeve u školskim kurikulumima. Netehnička osposobljenost znači: uzajamno slušanje, dijalog, otpornost, razumijevanje, poštovanje i uvažavanje drugih, kritičko razmišljanje, samoučenje i zadržavanje znatiželje i usmjerenosti na rezultate</w:t>
      </w:r>
      <w:r>
        <w:rPr>
          <w:rStyle w:val="Ancredenotedefin"/>
          <w:rStyle w:val="Ancredenotedefin"/>
        </w:rPr>
        <w:endnoteReference w:id="180"/>
      </w:r>
      <w:r>
        <w:rPr/>
        <w:t>; — Dajući svima priliku da saznaju više o održivosti okoliša i njezinoj povezanosti sa zdravljem. Biološka raznolikost trebala bi biti obvezna tema u školi. Trebao bi započeti u školi s posebnim temama koje se bave svim ekološkim pitanjima i uključivati izlete kako bi se predstavili relevantni stvarni primjeri, a sve uz pomoć programa financiranja</w:t>
      </w:r>
      <w:r>
        <w:rPr>
          <w:rStyle w:val="Ancredenotedefin"/>
          <w:rStyle w:val="Ancredenotedefin"/>
        </w:rPr>
        <w:endnoteReference w:id="181"/>
      </w:r>
      <w:r>
        <w:rPr/>
        <w:t xml:space="preserve">. </w:t>
        <w:br/>
        <w:t>Borba protiv nasilja u školama i rasizma.</w:t>
      </w:r>
    </w:p>
    <w:p>
      <w:pPr>
        <w:pStyle w:val="Puce3"/>
        <w:tabs>
          <w:tab w:val="clear" w:pos="720"/>
        </w:tabs>
        <w:rPr/>
      </w:pPr>
      <w:r>
        <w:rPr/>
        <w:t>3.</w:t>
        <w:tab/>
        <w:t>Podupirati osposobljavanje</w:t>
      </w:r>
      <w:r>
        <w:rPr>
          <w:rStyle w:val="Ancredenotedefin"/>
          <w:rStyle w:val="Ancredenotedefin"/>
        </w:rPr>
        <w:endnoteReference w:id="182"/>
      </w:r>
      <w:r>
        <w:rPr/>
        <w:t>nastavnika kako bi mogli učiti iz najboljih praksi i upotrebljavati ažurirane inovativne i kreativne tehnike poučavanja koje odražavaju razvoj pedagoških metoda, uključujući praktične aktivnosti, oslanjajući se i na pouke koje treba izvući iz pandemije bolesti COVID-19 i drugih vrsta kriza, kao i promicanje mogućnosti mobilnosti</w:t>
      </w:r>
      <w:r>
        <w:rPr>
          <w:rStyle w:val="Ancredenotedefin"/>
          <w:rStyle w:val="Ancredenotedefin"/>
        </w:rPr>
        <w:endnoteReference w:id="183"/>
      </w:r>
      <w:r>
        <w:rPr/>
        <w:t>.</w:t>
      </w:r>
    </w:p>
    <w:p>
      <w:pPr>
        <w:pStyle w:val="Puce3"/>
        <w:tabs>
          <w:tab w:val="clear" w:pos="720"/>
        </w:tabs>
        <w:rPr/>
      </w:pPr>
      <w:r>
        <w:rPr/>
        <w:t>4.</w:t>
        <w:tab/>
        <w:t>Kako bi se zadovoljile obrazovne potrebe sve djece i obitelji, prednost daje pristupu opremi i učinkovitoj širokopojasnoj povezivosti</w:t>
      </w:r>
      <w:r>
        <w:rPr>
          <w:rStyle w:val="Ancredenotedefin"/>
          <w:rStyle w:val="Ancredenotedefin"/>
        </w:rPr>
        <w:endnoteReference w:id="184"/>
      </w:r>
      <w:r>
        <w:rPr/>
        <w:t>.</w:t>
      </w:r>
    </w:p>
    <w:p>
      <w:pPr>
        <w:pStyle w:val="Puce3"/>
        <w:tabs>
          <w:tab w:val="clear" w:pos="720"/>
        </w:tabs>
        <w:rPr/>
      </w:pPr>
      <w:r>
        <w:rPr/>
        <w:t>5.</w:t>
        <w:tab/>
        <w:t>Uspostaviti informacijsku platformu za razmjenu znanja i iskustva na razini Unije razmjenom informacija o transnacionalnim tečajevima obrazovanja i osposobljavanja u Uniji, predstavljanjem primjera najbolje prakse i pružanjem mogućnosti građanima da predstave nove ideje za prekograničnu razmjenu. Trebalo bi osigurati obrazovne materijale o klimatskim promjenama, pitanjima okoliša i digitalizaciji te pružiti informacije o postojećim specijaliziranim forumima o glavnim temama</w:t>
      </w:r>
      <w:r>
        <w:rPr>
          <w:rStyle w:val="Ancredenotedefin"/>
          <w:rStyle w:val="Ancredenotedefin"/>
        </w:rPr>
        <w:endnoteReference w:id="185"/>
      </w:r>
      <w:r>
        <w:rPr/>
        <w:t>. — To bi moglo biti popraćeno programom financiranja za potporu korištenju i iskorištavanju informacija platforme.</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100" w:name="__RefHeading___Toc298374_1346298689"/>
      <w:bookmarkEnd w:id="100"/>
      <w:r>
        <w:rPr/>
        <w:t>47. Prijedlog: Pitanja u vezi s mladima u Europi</w:t>
      </w:r>
    </w:p>
    <w:p>
      <w:pPr>
        <w:pStyle w:val="P68B1DB1Normal15"/>
        <w:rPr>
          <w:b/>
          <w:b/>
        </w:rPr>
      </w:pPr>
      <w:r>
        <w:rPr/>
        <w:t>Cilj: EU i njegove države članice trebali bi se usredotočiti na posebne potrebe mladih u svim relevantnim politikama, uključujući regionalnu politiku EU-a, kako bi im se pružili najbolji mogući uvjeti za studiranje i rad te započinjanje neovisnog života, uz istodobno uključivanje u demokratski život i postupke donošenja odluka, uključujući na europskoj razini. Organizacije mladih imaju ključnu ulogu. Za postizanje tog cilja predlažemo sljedeće:</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Mjere:</w:t>
      </w:r>
    </w:p>
    <w:p>
      <w:pPr>
        <w:pStyle w:val="Puce3"/>
        <w:tabs>
          <w:tab w:val="clear" w:pos="720"/>
        </w:tabs>
        <w:rPr/>
      </w:pPr>
      <w:r>
        <w:rPr/>
        <w:t>1.</w:t>
        <w:tab/>
        <w:t>Pružiti mladima više mogućnosti sudjelovanja i zastupljenosti u demokratskim procesima i postupcima donošenja odluka na svim razinama te poduprijeti postojeće programe u tom području, među ostalim organiziranjem građanskih panela s djecom (npr. u dobi od 10 do 16 godina) u školama. Europski predstavnici mogli bi se susresti sa školskom djecom u svojim školama kako bi se ojačala blizina i razumijevanje Europe od rane dobi</w:t>
      </w:r>
      <w:r>
        <w:rPr>
          <w:rStyle w:val="Ancredenotedefin"/>
          <w:rStyle w:val="Ancredenotedefin"/>
        </w:rPr>
        <w:endnoteReference w:id="186"/>
      </w:r>
      <w:r>
        <w:rPr/>
        <w:t>. Kako bi se sve političke odluke EU-a analizirale u okviru perspektive mladih, trebalo bi razviti „test mladih” na europskoj razini kako bi se osiguralo da svaki novi politički i zakonodavni prijedlog podliježe procjeni učinka usmjerenoj na mlade, uključujući savjetovanje s mladima.</w:t>
      </w:r>
    </w:p>
    <w:p>
      <w:pPr>
        <w:pStyle w:val="Puce3"/>
        <w:tabs>
          <w:tab w:val="clear" w:pos="720"/>
        </w:tabs>
        <w:rPr/>
      </w:pPr>
      <w:r>
        <w:rPr/>
        <w:t>2.</w:t>
        <w:tab/>
        <w:t>Trebalo bi raspraviti i razmotriti dodjelu prava glasa u dobi od 16 godina na izborima za Europski parlament, kao i jačanje građanskog odgoja i obrazovanja o EU-u. Nacionalne političke stranke također bi trebale osigurati da mlađi kandidati budu uvršteni na njihove liste za izbore za Europski parlament</w:t>
      </w:r>
      <w:r>
        <w:rPr>
          <w:rStyle w:val="Ancredenotedefin"/>
          <w:rStyle w:val="Ancredenotedefin"/>
        </w:rPr>
        <w:endnoteReference w:id="187"/>
      </w:r>
      <w:r>
        <w:rPr/>
        <w:t>.</w:t>
      </w:r>
    </w:p>
    <w:p>
      <w:pPr>
        <w:pStyle w:val="Puce3"/>
        <w:tabs>
          <w:tab w:val="clear" w:pos="720"/>
        </w:tabs>
        <w:rPr/>
      </w:pPr>
      <w:r>
        <w:rPr/>
        <w:t>3.</w:t>
        <w:tab/>
        <w:t>Bolje pripremiti mlade za ulazak u radnu snagu, omogućiti učenicima srednjih škola (od 12 godina) da sudjeluju u kvalitetnim promatračkim posjetima profitnim i neprofitnim organizacijama, u bliskoj suradnji između škola, lokalnih vlasti i relevantnih organizacija i poduzeća</w:t>
      </w:r>
      <w:r>
        <w:rPr>
          <w:rStyle w:val="Ancredenotedefin"/>
          <w:rStyle w:val="Ancredenotedefin"/>
        </w:rPr>
        <w:endnoteReference w:id="188"/>
      </w:r>
      <w:r>
        <w:rPr/>
        <w:t>. Ti bi se posjeti trebali smatrati dijelom šireg procesa profesionalnog usmjeravanja u formalnom obrazovanju kako bi se mladima omogućio prvi kontakt sa svijetom rada kako bi mogli voditi svoje profesionalne izbore i/ili razmisliti o tome da postanu poduzetnik.</w:t>
      </w:r>
    </w:p>
    <w:p>
      <w:pPr>
        <w:pStyle w:val="Puce3"/>
        <w:tabs>
          <w:tab w:val="clear" w:pos="720"/>
        </w:tabs>
        <w:rPr/>
      </w:pPr>
      <w:r>
        <w:rPr/>
        <w:t>4.</w:t>
        <w:tab/>
        <w:t>Veća financijska sredstva EU-a u okviru instrumenta NextGenerationEU trebala bi biti namijenjena i provedbi poboljšane europske garancije za mlade, uključujući veću uključenost, veću osviještenost, bolju kvalitetu ponude, financiranje i djelovanje svih država članica i relevantnih razina vlasti. Budući da organizacije mladih mogu bolje utvrditi potrebe mladih, nacionalne vlade trebale bi bliskom dijalogom surađivati s organizacijama mladih kako bi se osigurala najučinkovitija provedba Garancije za mlade.</w:t>
      </w:r>
    </w:p>
    <w:p>
      <w:pPr>
        <w:pStyle w:val="Puce3"/>
        <w:tabs>
          <w:tab w:val="clear" w:pos="720"/>
        </w:tabs>
        <w:rPr/>
      </w:pPr>
      <w:r>
        <w:rPr/>
        <w:t>5.</w:t>
        <w:tab/>
        <w:t>Osigurati da pripravništva i radna mjesta mladih budu u skladu sa standardima kvalitete, posebno u pogledu primitaka od rada, ukidanjem minimalnih plaća za mlade i svih drugih diskriminirajućih odredbi zakona o radu za mlade te zabranom, pravnim instrumentom, neplaćenog pripravništva na tržištu rada i izvan formalnog obrazovanja</w:t>
      </w:r>
      <w:r>
        <w:rPr>
          <w:rStyle w:val="Ancredenotedefin"/>
          <w:rStyle w:val="Ancredenotedefin"/>
        </w:rPr>
        <w:endnoteReference w:id="189"/>
      </w:r>
      <w:r>
        <w:rPr/>
        <w:t>.</w:t>
      </w:r>
    </w:p>
    <w:p>
      <w:pPr>
        <w:pStyle w:val="Puce3"/>
        <w:tabs>
          <w:tab w:val="clear" w:pos="720"/>
        </w:tabs>
        <w:rPr/>
      </w:pPr>
      <w:r>
        <w:rPr/>
        <w:t>6.</w:t>
        <w:tab/>
        <w:t>Osigurati razuman životni standard za mlade, uključujući pristup socijalnoj zaštiti i stanovanju. Mladi bi trebali imati pristup razini socijalne zaštite jednakoj onoj drugih dobnih skupina. Trebalo bi olakšati i pristup cjenovno pristupačnom stanovanju za mlade, među ostalim financiranjem EU-a</w:t>
      </w:r>
      <w:r>
        <w:rPr>
          <w:rStyle w:val="Ancredenotedefin"/>
          <w:rStyle w:val="Ancredenotedefin"/>
        </w:rPr>
        <w:endnoteReference w:id="190"/>
      </w:r>
      <w:r>
        <w:rPr/>
        <w:t>.</w:t>
      </w:r>
    </w:p>
    <w:p>
      <w:pPr>
        <w:pStyle w:val="Puce3"/>
        <w:tabs>
          <w:tab w:val="clear" w:pos="720"/>
        </w:tabs>
        <w:rPr/>
      </w:pPr>
      <w:r>
        <w:rPr/>
        <w:t>7.</w:t>
        <w:tab/>
        <w:t>Potrebne su posebne mjere kako bi se spriječio odljev mozgova iz određenih regija i zemalja u Uniji zbog nedovoljnih prilika za mlade, a istovremeno Europa učinila privlačnijom za sprečavanje bijega europskih talenata i radne snage u treće zemlje kako bi se izbjeglo ugrožavanje teritorijalne kohezije, posebno u pogledu regija koje trpe znatan gubitak mladih talenata, među ostalim putem financiranja EU-a</w:t>
      </w:r>
      <w:r>
        <w:rPr>
          <w:rStyle w:val="Ancredenotedefin"/>
          <w:rStyle w:val="Ancredenotedefin"/>
        </w:rPr>
        <w:endnoteReference w:id="191"/>
      </w:r>
      <w:r>
        <w:rPr/>
        <w:t>.</w:t>
      </w:r>
    </w:p>
    <w:p>
      <w:pPr>
        <w:pStyle w:val="Puce3"/>
        <w:tabs>
          <w:tab w:val="clear" w:pos="720"/>
        </w:tabs>
        <w:rPr/>
      </w:pPr>
      <w:r>
        <w:rPr/>
        <w:t>8.</w:t>
        <w:tab/>
        <w:t>U slučaju ozbiljne krize (npr. zdravstvena kriza, rat), dobro osmišljeni planovi s detaljnim scenarijima trebali bi biti spremni za fleksibilnu primjenu kako bi se učinak na obrazovanje, strukovno osposobljavanje, prelazak na tržište rada i mentalnu dobrobit mladih sveo na najmanju moguću mjeru</w:t>
      </w:r>
      <w:r>
        <w:rPr>
          <w:rStyle w:val="Ancredenotedefin"/>
          <w:rStyle w:val="Ancredenotedefin"/>
        </w:rPr>
        <w:endnoteReference w:id="192"/>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101" w:name="__RefHeading___Toc298376_1346298689"/>
      <w:bookmarkEnd w:id="101"/>
      <w:r>
        <w:rPr/>
        <w:t>48. Prijedlog: Kultura i razmjena</w:t>
      </w:r>
    </w:p>
    <w:p>
      <w:pPr>
        <w:pStyle w:val="P68B1DB1Normal15"/>
        <w:rPr>
          <w:b/>
          <w:b/>
        </w:rPr>
      </w:pPr>
      <w:r>
        <w:rPr/>
        <w:t>Cilj: Kako bi se potaknula kultura razmjene i promicali europski identitet i raznolikost u različitim područjima, države članice trebale bi, uz pomoć Europske unije:</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Mjere</w:t>
      </w:r>
      <w:r>
        <w:rPr>
          <w:rStyle w:val="Ancredenotedefin"/>
          <w:rStyle w:val="Ancredenotedefin"/>
          <w:b/>
        </w:rPr>
        <w:endnoteReference w:id="193"/>
      </w:r>
      <w:r>
        <w:rPr/>
        <w:t>:</w:t>
      </w:r>
    </w:p>
    <w:p>
      <w:pPr>
        <w:pStyle w:val="Puce3"/>
        <w:tabs>
          <w:tab w:val="clear" w:pos="720"/>
        </w:tabs>
        <w:rPr/>
      </w:pPr>
      <w:r>
        <w:rPr/>
        <w:t>1.</w:t>
        <w:tab/>
        <w:t>Promicati europske razmjene u različitim područjima, fizički i digitalno, uključujući obrazovne razmjene, twinning, putovanja i profesionalnu mobilnost (posebno za nastavnike i lokalno izabrane dužnosnike). Takve bi razmjene trebale biti dostupne svima u svim državama članicama, bez obzira na dob, razinu obrazovanja, podrijetlo i financijska sredstva</w:t>
      </w:r>
      <w:r>
        <w:rPr>
          <w:rStyle w:val="Ancredenotedefin"/>
          <w:rStyle w:val="Ancredenotedefin"/>
        </w:rPr>
        <w:endnoteReference w:id="194"/>
      </w:r>
      <w:r>
        <w:rPr/>
        <w:t>. U tu svrhu Unija bi posebno trebala ojačati postojeće programe razmjene i mobilnosti na razini Unije, kao što su Europske snage solidarnosti, Erasmus+ i DiscoverEU, osigurati šire i raznoliko sudjelovanje u tim programima te razmotriti dodavanje novih elemenata, kao što su dodatni cilj građanske službe potaknut volontiranjem (za Europske snage solidarnosti) i „naslovi pristupa kulturi” (za DiscoverEU). Lokalne i regionalne vlasti, pod okriljem Odbora regija, moraju imati vodeću ulogu u tom području.</w:t>
      </w:r>
    </w:p>
    <w:p>
      <w:pPr>
        <w:pStyle w:val="Puce3"/>
        <w:tabs>
          <w:tab w:val="clear" w:pos="720"/>
        </w:tabs>
        <w:rPr/>
      </w:pPr>
      <w:r>
        <w:rPr/>
        <w:t>2.</w:t>
        <w:tab/>
        <w:t>Promicati višejezičnost kao ulaz u druge kulture od rane dobi. Regionalnim i manjinskim jezicima potrebna je dodatna zaštita, uzimajući u obzir Konvenciju Vijeća Europe o manjinskim jezicima i Okvirnu konvenciju za zaštitu nacionalnih manjina. EU bi trebao razmotriti osnivanje institucije za promicanje jezične raznolikosti na europskoj razini. Od djece u osnovnoj školi trebalo bi zahtijevati da na najvišoj mogućoj razini steknu vještine na aktivnom jeziku EU-a koji nije njihov. Kako bi se europskim građanima olakšala komunikacija sa širim skupinama drugih Europljana i kao čimbenik europske kohezije, države članice trebale bi poticati učenje jezika država članica EU-a koje izravno graniče s pograničnim regijama i stjecanje certificirane razine engleskog jezika</w:t>
      </w:r>
      <w:r>
        <w:rPr>
          <w:rStyle w:val="Ancredenotedefin"/>
          <w:rStyle w:val="Ancredenotedefin"/>
        </w:rPr>
        <w:endnoteReference w:id="195"/>
      </w:r>
      <w:r>
        <w:rPr/>
        <w:t>.</w:t>
      </w:r>
    </w:p>
    <w:p>
      <w:pPr>
        <w:pStyle w:val="Puce3"/>
        <w:tabs>
          <w:tab w:val="clear" w:pos="720"/>
        </w:tabs>
        <w:rPr/>
      </w:pPr>
      <w:r>
        <w:rPr/>
        <w:t>3.</w:t>
        <w:tab/>
        <w:t>Stvaranje prilika za razmjenu europskih kultura, zbližavanje naroda i promicanje zajedničkog europskog identiteta, primjerice putem događanja i okupljanja u kojima sudjeluju sve ciljne skupine i održavaju se na različitim lokacijama. Primjeri uključuju organizaciju Svjetskog dana umjetnosti</w:t>
      </w:r>
      <w:r>
        <w:rPr>
          <w:rStyle w:val="Ancredenotedefin"/>
          <w:rStyle w:val="Ancredenotedefin"/>
        </w:rPr>
        <w:endnoteReference w:id="196"/>
      </w:r>
      <w:r>
        <w:rPr/>
        <w:t>, europsku izložbu s pedagoškim događanjima ili transformaciju Dana Europe (9. svibnja) u službeni europski praznik za sve građane EU-a</w:t>
      </w:r>
      <w:r>
        <w:rPr>
          <w:rStyle w:val="Ancredenotedefin"/>
          <w:rStyle w:val="Ancredenotedefin"/>
        </w:rPr>
        <w:endnoteReference w:id="197"/>
      </w:r>
      <w:r>
        <w:rPr/>
        <w:t>.</w:t>
      </w:r>
    </w:p>
    <w:p>
      <w:pPr>
        <w:pStyle w:val="Puce3"/>
        <w:tabs>
          <w:tab w:val="clear" w:pos="720"/>
        </w:tabs>
        <w:rPr/>
      </w:pPr>
      <w:r>
        <w:rPr/>
      </w:r>
    </w:p>
    <w:p>
      <w:pPr>
        <w:pStyle w:val="Puce3"/>
        <w:tabs>
          <w:tab w:val="clear" w:pos="720"/>
        </w:tabs>
        <w:rPr/>
      </w:pPr>
      <w:r>
        <w:rPr/>
        <w:t>4.</w:t>
        <w:tab/>
        <w:t>Zaštita europske kulturne baštine i europske kulture</w:t>
      </w:r>
      <w:r>
        <w:rPr>
          <w:rStyle w:val="Ancredenotedefin"/>
          <w:rStyle w:val="Ancredenotedefin"/>
        </w:rPr>
        <w:endnoteReference w:id="198"/>
      </w:r>
      <w:r>
        <w:rPr/>
        <w:t>, posebno prepoznavanjem lokalnih i regionalnih posebnosti u kulturnim i proizvodnim pitanjima</w:t>
      </w:r>
      <w:r>
        <w:rPr>
          <w:rStyle w:val="Ancredenotedefin"/>
          <w:rStyle w:val="Ancredenotedefin"/>
        </w:rPr>
        <w:endnoteReference w:id="199"/>
      </w:r>
      <w:r>
        <w:rPr/>
        <w:t>, novim inicijativama za njezino očuvanje i slavljenje, putem mobilnosti za poticanje razmjene kulturne baštine i promicanjem postojećih mjera kao što su Kreativna Europa, Novi europski Bauhaus, Twinning programi gradova i Europske prijestolnice kulture, u skladu s ciljevima održivog razvoja.</w:t>
      </w:r>
    </w:p>
    <w:p>
      <w:pPr>
        <w:pStyle w:val="Puce3"/>
        <w:tabs>
          <w:tab w:val="clear" w:pos="720"/>
        </w:tabs>
        <w:rPr/>
      </w:pPr>
      <w:r>
        <w:rPr/>
        <w:t>5.</w:t>
        <w:tab/>
        <w:t>Poduzimanje mjera kako bi se osigurala dostatna zaštita kulturnih djelatnika na razini EU-a, posebno u svim budućim krizama, donošenjem pravnog statuta na europskoj razini.</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102" w:name="__RefHeading___Toc298378_1346298689"/>
      <w:bookmarkEnd w:id="102"/>
      <w:r>
        <w:rPr/>
        <w:t>49. Prijedlog: Sport</w:t>
      </w:r>
    </w:p>
    <w:p>
      <w:pPr>
        <w:pStyle w:val="P68B1DB1Normal15"/>
        <w:rPr>
          <w:b/>
          <w:b/>
        </w:rPr>
      </w:pPr>
      <w:r>
        <w:rPr/>
        <w:t>Cilj: Sport je ključan za naša društva – kako bi obranili svoje vrijednosti, vodili zdrav način života i dobi u dobrom zdravlju, promicali kulturu razmjene i slavili raznolikost europske baštine. Zbog toga bi države članice trebale, uz pomoć Europske unije, nastojati:</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Mjere:</w:t>
      </w:r>
    </w:p>
    <w:p>
      <w:pPr>
        <w:pStyle w:val="Puce3"/>
        <w:tabs>
          <w:tab w:val="clear" w:pos="720"/>
        </w:tabs>
        <w:rPr/>
      </w:pPr>
      <w:r>
        <w:rPr/>
        <w:t>1.</w:t>
        <w:tab/>
        <w:t>Naglašavaju vrijednosti, posebno rodnu ravnopravnost, jednakost i uključenost, koje se mogu konkretno odraziti u sportskoj praksi tijekom cijelog obrazovnog putovanja.</w:t>
      </w:r>
    </w:p>
    <w:p>
      <w:pPr>
        <w:pStyle w:val="Puce3"/>
        <w:tabs>
          <w:tab w:val="clear" w:pos="720"/>
        </w:tabs>
        <w:rPr/>
      </w:pPr>
      <w:r>
        <w:rPr/>
        <w:t>2.</w:t>
        <w:tab/>
        <w:t>Podizanje svijesti o zdravstvenim koristima sporta i tjelesne aktivnosti</w:t>
      </w:r>
      <w:r>
        <w:rPr>
          <w:rStyle w:val="Ancredenotedefin"/>
          <w:rStyle w:val="Ancredenotedefin"/>
        </w:rPr>
        <w:endnoteReference w:id="200"/>
      </w:r>
      <w:r>
        <w:rPr/>
        <w:t>.</w:t>
      </w:r>
    </w:p>
    <w:p>
      <w:pPr>
        <w:pStyle w:val="Puce3"/>
        <w:tabs>
          <w:tab w:val="clear" w:pos="720"/>
        </w:tabs>
        <w:rPr/>
      </w:pPr>
      <w:r>
        <w:rPr/>
        <w:t>3.</w:t>
        <w:tab/>
        <w:t>Integrirati sportske aktivnosti u programe razmjene i mobilnosti na razini EU-a</w:t>
      </w:r>
      <w:r>
        <w:rPr>
          <w:rStyle w:val="Ancredenotedefin"/>
          <w:rStyle w:val="Ancredenotedefin"/>
        </w:rPr>
        <w:endnoteReference w:id="201"/>
      </w:r>
      <w:r>
        <w:rPr/>
        <w:t>200.</w:t>
      </w:r>
    </w:p>
    <w:p>
      <w:pPr>
        <w:pStyle w:val="Puce3"/>
        <w:tabs>
          <w:tab w:val="clear" w:pos="720"/>
        </w:tabs>
        <w:rPr/>
      </w:pPr>
      <w:r>
        <w:rPr/>
        <w:t>4.</w:t>
        <w:tab/>
        <w:t>Poboljšati pozornost koja se ne posvećuje samo profesionalnim i komercijalnim sportovima, već i lokalnim i tradicionalnim sportovima, koji su svjedoci europske kulturne raznolikosti, kako bi se promicala kulturna baština i poduprli sportski prvaci u neprofesionalnom okruženju.</w:t>
      </w:r>
    </w:p>
    <w:p>
      <w:pPr>
        <w:pStyle w:val="Normal"/>
        <w:rPr/>
      </w:pPr>
      <w:r>
        <w:rPr/>
      </w:r>
    </w:p>
    <w:p>
      <w:pPr>
        <w:pStyle w:val="Puce3"/>
        <w:tabs>
          <w:tab w:val="clear" w:pos="720"/>
        </w:tabs>
        <w:rPr/>
      </w:pPr>
      <w:r>
        <w:rPr/>
        <w:t>5.</w:t>
        <w:tab/>
        <w:t>Istodobno poticati promicanje europskog identiteta organiziranjem više međueuropskih sportskih događanja,</w:t>
      </w:r>
      <w:r>
        <w:rPr/>
        <w:commentReference w:id="0"/>
      </w:r>
      <w:r>
        <w:rPr/>
        <w:t>osnivanjem sportskih timova EU-a ili isticanjem europskih zastava ili simbola na europskim sportskim događanjima.</w:t>
      </w:r>
    </w:p>
    <w:p>
      <w:pPr>
        <w:pStyle w:val="Puce3"/>
        <w:tabs>
          <w:tab w:val="clear" w:pos="720"/>
        </w:tabs>
        <w:rPr/>
      </w:pPr>
      <w:r>
        <w:rPr/>
        <w:t>6.</w:t>
        <w:tab/>
        <w:t>Uložiti više u komunikaciju, kao što je Europski tjedan sporta, kako bi građani diljem EU-a mogli zajedno iskoristiti vrhunske mogućnosti.</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1"/>
        <w:numPr>
          <w:ilvl w:val="0"/>
          <w:numId w:val="2"/>
        </w:numPr>
        <w:rPr/>
      </w:pPr>
      <w:bookmarkStart w:id="103" w:name="__RefHeading___Toc298380_1346298689"/>
      <w:bookmarkEnd w:id="103"/>
      <w:r>
        <w:rPr/>
        <w:t>Završna razmatranja Izvršnog odbora</w:t>
      </w:r>
    </w:p>
    <w:p>
      <w:pPr>
        <w:pStyle w:val="Normal"/>
        <w:rPr/>
      </w:pPr>
      <w:r>
        <w:rPr/>
      </w:r>
      <w:r>
        <w:br w:type="page"/>
      </w:r>
    </w:p>
    <w:p>
      <w:pPr>
        <w:pStyle w:val="Corpsdetexte"/>
        <w:rPr/>
      </w:pPr>
      <w:r>
        <w:rPr/>
        <w:t>Glavni cilj konferencije o budućnosti Europe bio je osigurati da Europska unija bude spremna suočiti se s trenutačnim i budućim izazovima tako što će građanima pružiti priliku da izraze svoje zabrinutosti i težnje te, u suradnji s predstavnicima triju institucija, nacionalnih parlamenata i drugih dionika, pružiti smjernice za budućnost. Kako bi se postigao taj cilj, konferencija je morala biti usmjerena na građane i temeljiti se na pristupu odozdo prema gore, sposobna stvoriti novi prostor za raspravu o europskim prioritetima i izraditi pregled onoga što građani očekuju od Europske unije.</w:t>
      </w:r>
    </w:p>
    <w:p>
      <w:pPr>
        <w:pStyle w:val="Corpsdetexte"/>
        <w:rPr/>
      </w:pPr>
      <w:r>
        <w:rPr/>
        <w:t>Konferencija je doista mogla odigrati tu ulogu. Europski građani iz svih sfera života i iz svih dijelova Unije sudjelovali su na konferenciji i dali preporuke panela građana i građanki i prijedloga za budućnost Europe, u suradnji s sljedećim plenarnim zasjedanjem, uključujući članove Europskog parlamenta, Vijeća i Europske komisije, kao i predstavnike svih nacionalnih parlamenata, Odbora regija, regionalnih i lokalnih izabranih predstavnika, Europskog gospodarskog i socijalnog odbora, socijalnih partnera i civilnog društva te drugih ključnih aktera. Alati i metodologija razvijeni za taj proces jedinstveni su skup resursa koji bi mogao poslužiti kao temelj za buduće vježbe sudjelovanja građana i deliberativne demokracije na razini EU-a.</w:t>
      </w:r>
    </w:p>
    <w:p>
      <w:pPr>
        <w:pStyle w:val="Corpsdetexte"/>
        <w:rPr/>
      </w:pPr>
      <w:r>
        <w:rPr/>
        <w:t>Zahvaljujući brojnim događanjima i raspravama diljem EU-a, interaktivnoj višejezičnoj digitalnoj platformi, europskim i nacionalnim panelima građana i građanki i plenarnom zasjedanju Konferencije, konferencija je predstavila završno izvješće, uključujući pregled rada koji je ove godine kontinuirano obavljen, kao i prijedloge Plenarne skupštine za budućnost Europe. Iz tih je prijedloga vrlo jasno da EU mora djelovati kako bi ostvario uspjeh u zelenoj i digitalnoj tranziciji, ojačao otpornost Europe i njezin socijalni ugovor, istodobno rješavajući nejednakosti i osiguravajući da je Europska unija pravedno, održivo, inovativno i konkurentno gospodarstvo koje nikoga ne zapostavlja.</w:t>
      </w:r>
    </w:p>
    <w:p>
      <w:pPr>
        <w:pStyle w:val="Corpsdetexte"/>
        <w:rPr/>
      </w:pPr>
      <w:r>
        <w:rPr/>
        <w:t>Razvoj geopolitičke situacije tijekom konferencije, a posebno ruski rat za agresiju na Ukrajinu, također je pokazao da EU mora postati odlučniji i imati vodeću ulogu na svjetskoj sceni u promicanju svojih vrijednosti i normi u svijetu koji sve više potresa.</w:t>
      </w:r>
    </w:p>
    <w:p>
      <w:pPr>
        <w:pStyle w:val="Corpsdetexte"/>
        <w:rPr/>
      </w:pPr>
      <w:r>
        <w:rPr/>
        <w:t>Konferencija je pružila jasne smjernice u tim područjima, a tri institucije EU-a sada moraju razmotriti kako riješiti izražene zabrinutosti, težnje i ideje. Sljedeći korak u tom procesu jest razvoj konkretnih mjera EU-a na temelju ishoda konferencije, kako je navedeno u ovom završnom izvješću. Institucije EU-a stoga će sada ispitati ovo izvješće i daljnje postupanje, svaka u okviru svojih nadležnosti i u skladu s Ugovorima. Popratno događanje održat će se u jesen 2022. kako bi se građane informiralo o tome kako će institucije ispuniti svoju obvezu da osiguraju da ih se sluša i drži u svojim rukama budućnost Europe.</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r>
    </w:p>
    <w:p>
      <w:pPr>
        <w:pStyle w:val="Normal"/>
        <w:rPr/>
      </w:pPr>
      <w:r>
        <w:rPr/>
      </w:r>
    </w:p>
    <w:p>
      <w:pPr>
        <w:pStyle w:val="Normal"/>
        <w:rPr/>
      </w:pPr>
      <w:r>
        <w:rPr/>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r>
      <w:r>
        <w:br w:type="page"/>
      </w:r>
    </w:p>
    <w:p>
      <w:pPr>
        <w:pStyle w:val="Normal"/>
        <w:spacing w:before="13610" w:after="57"/>
        <w:rPr/>
      </w:pPr>
      <w:r>
        <w:rPr/>
        <w:drawing>
          <wp:anchor behindDoc="0" distT="0" distB="0" distL="0" distR="0" simplePos="0" locked="0" layoutInCell="1" allowOverlap="1" relativeHeight="29">
            <wp:simplePos x="0" y="0"/>
            <wp:positionH relativeFrom="column">
              <wp:align>center</wp:align>
            </wp:positionH>
            <wp:positionV relativeFrom="paragraph">
              <wp:posOffset>635</wp:posOffset>
            </wp:positionV>
            <wp:extent cx="6120130" cy="8642350"/>
            <wp:effectExtent l="0" t="0" r="0" b="0"/>
            <wp:wrapSquare wrapText="largest"/>
            <wp:docPr id="70" name="Slika 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Slika 30" descr=""/>
                    <pic:cNvPicPr>
                      <a:picLocks noChangeAspect="1" noChangeArrowheads="1"/>
                    </pic:cNvPicPr>
                  </pic:nvPicPr>
                  <pic:blipFill>
                    <a:blip r:embed="rId83"/>
                    <a:stretch>
                      <a:fillRect/>
                    </a:stretch>
                  </pic:blipFill>
                  <pic:spPr bwMode="auto">
                    <a:xfrm>
                      <a:off x="0" y="0"/>
                      <a:ext cx="6120130" cy="8642350"/>
                    </a:xfrm>
                    <a:prstGeom prst="rect">
                      <a:avLst/>
                    </a:prstGeom>
                  </pic:spPr>
                </pic:pic>
              </a:graphicData>
            </a:graphic>
          </wp:anchor>
        </w:drawing>
      </w:r>
      <w:r>
        <w:br w:type="page"/>
      </w:r>
    </w:p>
    <w:p>
      <w:pPr>
        <w:pStyle w:val="Titre1"/>
        <w:numPr>
          <w:ilvl w:val="0"/>
          <w:numId w:val="2"/>
        </w:numPr>
        <w:rPr/>
      </w:pPr>
      <w:bookmarkStart w:id="104" w:name="__RefHeading___Toc297141_1346298689"/>
      <w:bookmarkEnd w:id="104"/>
      <w:r>
        <w:rPr/>
        <w:t>Prilog I. – Preporuke četiriju europskih panela građana i građanki</w:t>
      </w:r>
    </w:p>
    <w:p>
      <w:pPr>
        <w:pStyle w:val="Normal"/>
        <w:widowControl w:val="false"/>
        <w:spacing w:lineRule="exact" w:line="412"/>
        <w:ind w:left="0" w:right="0" w:hanging="0"/>
        <w:jc w:val="left"/>
        <w:rPr>
          <w:rFonts w:ascii="Arial" w:hAnsi="Arial"/>
          <w:b/>
          <w:b/>
          <w:color w:val="000000"/>
          <w:sz w:val="24"/>
        </w:rPr>
      </w:pPr>
      <w:r>
        <w:rPr>
          <w:b/>
          <w:color w:val="000000"/>
          <w:sz w:val="24"/>
        </w:rPr>
        <w:drawing>
          <wp:anchor behindDoc="0" distT="0" distB="0" distL="0" distR="0" simplePos="0" locked="0" layoutInCell="1" allowOverlap="1" relativeHeight="31">
            <wp:simplePos x="0" y="0"/>
            <wp:positionH relativeFrom="column">
              <wp:posOffset>0</wp:posOffset>
            </wp:positionH>
            <wp:positionV relativeFrom="paragraph">
              <wp:posOffset>126365</wp:posOffset>
            </wp:positionV>
            <wp:extent cx="4378325" cy="5307330"/>
            <wp:effectExtent l="0" t="0" r="0" b="0"/>
            <wp:wrapTopAndBottom/>
            <wp:docPr id="71" name="Slika 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Slika 31" descr=""/>
                    <pic:cNvPicPr>
                      <a:picLocks noChangeAspect="1" noChangeArrowheads="1"/>
                    </pic:cNvPicPr>
                  </pic:nvPicPr>
                  <pic:blipFill>
                    <a:blip r:embed="rId84"/>
                    <a:stretch>
                      <a:fillRect/>
                    </a:stretch>
                  </pic:blipFill>
                  <pic:spPr bwMode="auto">
                    <a:xfrm>
                      <a:off x="0" y="0"/>
                      <a:ext cx="4378325" cy="5307330"/>
                    </a:xfrm>
                    <a:prstGeom prst="rect">
                      <a:avLst/>
                    </a:prstGeom>
                  </pic:spPr>
                </pic:pic>
              </a:graphicData>
            </a:graphic>
          </wp:anchor>
        </w:drawing>
      </w:r>
      <w:r>
        <w:br w:type="page"/>
      </w:r>
    </w:p>
    <w:p>
      <w:pPr>
        <w:pStyle w:val="Normal"/>
        <w:rPr/>
      </w:pPr>
      <w:r>
        <w:rPr/>
        <mc:AlternateContent>
          <mc:Choice Requires="wps">
            <w:drawing>
              <wp:anchor behindDoc="0" distT="72390" distB="72390" distL="72390" distR="72390" simplePos="0" locked="0" layoutInCell="1" allowOverlap="1" relativeHeight="32">
                <wp:simplePos x="0" y="0"/>
                <wp:positionH relativeFrom="column">
                  <wp:posOffset>128270</wp:posOffset>
                </wp:positionH>
                <wp:positionV relativeFrom="paragraph">
                  <wp:posOffset>2223770</wp:posOffset>
                </wp:positionV>
                <wp:extent cx="4250690" cy="3210560"/>
                <wp:effectExtent l="0" t="0" r="0" b="0"/>
                <wp:wrapTopAndBottom/>
                <wp:docPr id="72" name="Hrvatski jezik13"/>
                <a:graphic xmlns:a="http://schemas.openxmlformats.org/drawingml/2006/main">
                  <a:graphicData uri="http://schemas.microsoft.com/office/word/2010/wordprocessingShape">
                    <wps:wsp>
                      <wps:cNvSpPr/>
                      <wps:spPr>
                        <a:xfrm>
                          <a:off x="0" y="0"/>
                          <a:ext cx="4250160" cy="3209760"/>
                        </a:xfrm>
                        <a:prstGeom prst="rect">
                          <a:avLst/>
                        </a:prstGeom>
                        <a:noFill/>
                        <a:ln>
                          <a:noFill/>
                        </a:ln>
                      </wps:spPr>
                      <wps:style>
                        <a:lnRef idx="0"/>
                        <a:fillRef idx="0"/>
                        <a:effectRef idx="0"/>
                        <a:fontRef idx="minor"/>
                      </wps:style>
                      <wps:txbx>
                        <w:txbxContent>
                          <w:p>
                            <w:pPr>
                              <w:pStyle w:val="P68B1DB1Normal16"/>
                              <w:spacing w:before="57" w:after="57"/>
                              <w:rPr>
                                <w:color w:val="FFFFFF"/>
                                <w:sz w:val="72"/>
                              </w:rPr>
                            </w:pPr>
                            <w:r>
                              <w:rPr/>
                              <w:t xml:space="preserve">Konferencija o </w:t>
                            </w:r>
                          </w:p>
                          <w:p>
                            <w:pPr>
                              <w:pStyle w:val="P68B1DB1Normal16"/>
                              <w:rPr>
                                <w:color w:val="FFFFFF"/>
                                <w:sz w:val="72"/>
                              </w:rPr>
                            </w:pPr>
                            <w:r>
                              <w:rPr/>
                              <w:t xml:space="preserve">budućnost Europe </w:t>
                            </w:r>
                          </w:p>
                          <w:p>
                            <w:pPr>
                              <w:pStyle w:val="P68B1DB1Normal17"/>
                              <w:rPr>
                                <w:color w:val="FFFFFF"/>
                              </w:rPr>
                            </w:pPr>
                            <w:r>
                              <w:rPr/>
                              <w:t xml:space="preserve"> </w:t>
                            </w:r>
                            <w:r>
                              <w:rPr/>
                              <w:t>Europski</w:t>
                            </w:r>
                            <w:r>
                              <w:rPr>
                                <w:sz w:val="32"/>
                              </w:rPr>
                              <w:t xml:space="preserve">panel građana i građanki i građanki i građanki 1.: Snažnije gospodarstvo, socijalna pravda i zapošljavanje/obrazovanje, kultura, mladi i sport/digitalna transformacija </w:t>
                            </w:r>
                          </w:p>
                          <w:p>
                            <w:pPr>
                              <w:pStyle w:val="P68B1DB1Normal17"/>
                              <w:rPr>
                                <w:color w:val="FFFFFF"/>
                              </w:rPr>
                            </w:pPr>
                            <w:r>
                              <w:rPr/>
                              <w:t xml:space="preserve"> </w:t>
                            </w:r>
                          </w:p>
                          <w:p>
                            <w:pPr>
                              <w:pStyle w:val="P68B1DB1Normal17"/>
                              <w:rPr>
                                <w:color w:val="FFFFFF"/>
                              </w:rPr>
                            </w:pPr>
                            <w:r>
                              <w:rPr/>
                              <w:t>Preporuke</w:t>
                            </w:r>
                          </w:p>
                          <w:p>
                            <w:pPr>
                              <w:pStyle w:val="P68B1DB1Normal17"/>
                              <w:rPr>
                                <w:color w:val="FFFFFF"/>
                              </w:rPr>
                            </w:pPr>
                            <w:r>
                              <w:rPr/>
                              <w:t xml:space="preserve"> </w:t>
                            </w:r>
                            <w:r>
                              <w:rPr/>
                              <w:t>Fotografije © Europska unija, 2021. EP/Kenton Thatcher</w:t>
                            </w:r>
                          </w:p>
                          <w:p>
                            <w:pPr>
                              <w:pStyle w:val="Normal"/>
                              <w:spacing w:before="57" w:after="57"/>
                              <w:rPr/>
                            </w:pPr>
                            <w:r>
                              <w:rPr/>
                            </w:r>
                          </w:p>
                        </w:txbxContent>
                      </wps:txbx>
                      <wps:bodyPr lIns="54000" rIns="54000" tIns="54000" bIns="54000">
                        <a:noAutofit/>
                      </wps:bodyPr>
                    </wps:wsp>
                  </a:graphicData>
                </a:graphic>
              </wp:anchor>
            </w:drawing>
          </mc:Choice>
          <mc:Fallback>
            <w:pict>
              <v:rect id="shape_0" ID="Hrvatski jezik13" fillcolor="white" stroked="f" style="position:absolute;margin-left:10.1pt;margin-top:175.1pt;width:334.6pt;height:252.7pt">
                <w10:wrap type="square"/>
                <v:fill o:detectmouseclick="t" type="solid" color2="black" opacity="0"/>
                <v:stroke color="#3465a4" joinstyle="round" endcap="flat"/>
                <v:textbox>
                  <w:txbxContent>
                    <w:p>
                      <w:pPr>
                        <w:pStyle w:val="P68B1DB1Normal16"/>
                        <w:spacing w:before="57" w:after="57"/>
                        <w:rPr>
                          <w:color w:val="FFFFFF"/>
                          <w:sz w:val="72"/>
                        </w:rPr>
                      </w:pPr>
                      <w:r>
                        <w:rPr/>
                        <w:t xml:space="preserve">Konferencija o </w:t>
                      </w:r>
                    </w:p>
                    <w:p>
                      <w:pPr>
                        <w:pStyle w:val="P68B1DB1Normal16"/>
                        <w:rPr>
                          <w:color w:val="FFFFFF"/>
                          <w:sz w:val="72"/>
                        </w:rPr>
                      </w:pPr>
                      <w:r>
                        <w:rPr/>
                        <w:t xml:space="preserve">budućnost Europe </w:t>
                      </w:r>
                    </w:p>
                    <w:p>
                      <w:pPr>
                        <w:pStyle w:val="P68B1DB1Normal17"/>
                        <w:rPr>
                          <w:color w:val="FFFFFF"/>
                        </w:rPr>
                      </w:pPr>
                      <w:r>
                        <w:rPr/>
                        <w:t xml:space="preserve"> </w:t>
                      </w:r>
                      <w:r>
                        <w:rPr/>
                        <w:t>Europski</w:t>
                      </w:r>
                      <w:r>
                        <w:rPr>
                          <w:sz w:val="32"/>
                        </w:rPr>
                        <w:t xml:space="preserve">panel građana i građanki i građanki i građanki 1.: Snažnije gospodarstvo, socijalna pravda i zapošljavanje/obrazovanje, kultura, mladi i sport/digitalna transformacija </w:t>
                      </w:r>
                    </w:p>
                    <w:p>
                      <w:pPr>
                        <w:pStyle w:val="P68B1DB1Normal17"/>
                        <w:rPr>
                          <w:color w:val="FFFFFF"/>
                        </w:rPr>
                      </w:pPr>
                      <w:r>
                        <w:rPr/>
                        <w:t xml:space="preserve"> </w:t>
                      </w:r>
                    </w:p>
                    <w:p>
                      <w:pPr>
                        <w:pStyle w:val="P68B1DB1Normal17"/>
                        <w:rPr>
                          <w:color w:val="FFFFFF"/>
                        </w:rPr>
                      </w:pPr>
                      <w:r>
                        <w:rPr/>
                        <w:t>Preporuke</w:t>
                      </w:r>
                    </w:p>
                    <w:p>
                      <w:pPr>
                        <w:pStyle w:val="P68B1DB1Normal17"/>
                        <w:rPr>
                          <w:color w:val="FFFFFF"/>
                        </w:rPr>
                      </w:pPr>
                      <w:r>
                        <w:rPr/>
                        <w:t xml:space="preserve"> </w:t>
                      </w:r>
                      <w:r>
                        <w:rPr/>
                        <w:t>Fotografije © Europska unija, 2021. EP/Kenton Thatcher</w:t>
                      </w:r>
                    </w:p>
                    <w:p>
                      <w:pPr>
                        <w:pStyle w:val="Normal"/>
                        <w:spacing w:before="57" w:after="57"/>
                        <w:rPr/>
                      </w:pPr>
                      <w:r>
                        <w:rPr/>
                      </w:r>
                    </w:p>
                  </w:txbxContent>
                </v:textbox>
              </v:rect>
            </w:pict>
          </mc:Fallback>
        </mc:AlternateContent>
      </w:r>
    </w:p>
    <w:p>
      <w:pPr>
        <w:pStyle w:val="Titre2"/>
        <w:numPr>
          <w:ilvl w:val="1"/>
          <w:numId w:val="2"/>
        </w:numPr>
        <w:rPr/>
      </w:pPr>
      <w:bookmarkStart w:id="105" w:name="__RefHeading___Toc297143_1346298689"/>
      <w:bookmarkEnd w:id="105"/>
      <w:r>
        <w:rPr/>
        <w:t xml:space="preserve">Europski panel građana i građanki i građanki i građanki 1.: Snažnije gospodarstvo, socijalna pravda i zapošljavanje/obrazovanje, kultura, mladi i sport/digitalna transformacija </w:t>
      </w:r>
    </w:p>
    <w:p>
      <w:pPr>
        <w:pStyle w:val="P68B1DB1Normal18"/>
        <w:widowControl w:val="false"/>
        <w:spacing w:lineRule="exact" w:line="468"/>
        <w:ind w:left="425" w:right="0" w:hanging="0"/>
        <w:jc w:val="left"/>
        <w:rPr/>
      </w:pPr>
      <w:r>
        <w:rPr>
          <w:b/>
          <w:color w:val="1C4587"/>
        </w:rPr>
        <w:t>PREPORUKE KOJE JE DONIJELO POVJERENSTVO (KOJE ĆE SE PREDSTAVITI NA PLENARNOJ SJEDNICI)</w:t>
      </w:r>
      <w:r>
        <w:rPr>
          <w:color w:val="000000"/>
        </w:rPr>
        <w:t xml:space="preserve"> </w:t>
      </w:r>
    </w:p>
    <w:p>
      <w:pPr>
        <w:pStyle w:val="Titre3"/>
        <w:numPr>
          <w:ilvl w:val="2"/>
          <w:numId w:val="2"/>
        </w:numPr>
        <w:rPr/>
      </w:pPr>
      <w:bookmarkStart w:id="106" w:name="__RefHeading___Toc297145_1346298689"/>
      <w:bookmarkEnd w:id="106"/>
      <w:r>
        <w:rPr/>
        <w:t xml:space="preserve">Os 1: Rad u Europi </w:t>
      </w:r>
    </w:p>
    <w:p>
      <w:pPr>
        <w:pStyle w:val="Titre4"/>
        <w:numPr>
          <w:ilvl w:val="3"/>
          <w:numId w:val="2"/>
        </w:numPr>
        <w:rPr/>
      </w:pPr>
      <w:bookmarkStart w:id="107" w:name="__RefHeading___Toc297147_1346298689"/>
      <w:bookmarkEnd w:id="107"/>
      <w:r>
        <w:rPr/>
        <w:t xml:space="preserve">Podos 1.1 Tržište rada </w:t>
      </w:r>
    </w:p>
    <w:p>
      <w:pPr>
        <w:pStyle w:val="P68B1DB1Normal15"/>
        <w:rPr>
          <w:b/>
          <w:b/>
        </w:rPr>
      </w:pPr>
      <w:r>
        <w:rPr/>
        <w:t xml:space="preserve">1. Preporučujemo uvođenje minimalne plaće kako bi se osigurala slična kvaliteta života u svim državama članicama. Svjesni smo trenutačnih napora u okviru Direktive EU-a COM(2020) 682 za usklađivanje načina života. Minimalna plaća mora jamčiti minimalni neto dohodak kako bi se postigao ključni cilj: svi koji su u potrebi trebali bi imati veće prihode. Minimalna plaća trebala bi uzeti u obzir sljedeće aspekte: </w:t>
      </w:r>
    </w:p>
    <w:p>
      <w:pPr>
        <w:pStyle w:val="P68B1DB1Normal15"/>
        <w:rPr>
          <w:b/>
          <w:b/>
        </w:rPr>
      </w:pPr>
      <w:r>
        <w:rPr/>
        <w:t xml:space="preserve">● </w:t>
      </w:r>
      <w:r>
        <w:rPr/>
        <w:t xml:space="preserve">EU bi trebao osigurati njezinu učinkovitu provedbu jer trenutačno ne primjenjuju sve države članice na ispravan način zaštitu radnika; </w:t>
      </w:r>
    </w:p>
    <w:p>
      <w:pPr>
        <w:pStyle w:val="P68B1DB1Normal15"/>
        <w:rPr>
          <w:b/>
          <w:b/>
        </w:rPr>
      </w:pPr>
      <w:r>
        <w:rPr/>
        <w:t xml:space="preserve">● </w:t>
      </w:r>
      <w:r>
        <w:rPr/>
        <w:t xml:space="preserve">posebnu pozornost trebalo bi posvetiti praćenju poboljšanja životnog standarda; </w:t>
      </w:r>
    </w:p>
    <w:p>
      <w:pPr>
        <w:pStyle w:val="Normal"/>
        <w:rPr/>
      </w:pPr>
      <w:r>
        <w:rPr>
          <w:b/>
        </w:rPr>
        <w:t xml:space="preserve">● </w:t>
      </w:r>
      <w:r>
        <w:rPr>
          <w:b/>
        </w:rPr>
        <w:t>minimalna plaća mora uzeti u obzir kupovnu moć u različitim zemljama. Postupak periodičnog preispitivanja potreban je kako bi se prilagodio promjenama troškova života (npr. kako bi se uzela u obzir inflacija).</w:t>
      </w:r>
      <w:r>
        <w:rPr/>
        <w:t xml:space="preserve"> </w:t>
      </w:r>
    </w:p>
    <w:p>
      <w:pPr>
        <w:pStyle w:val="Normal"/>
        <w:rPr/>
      </w:pPr>
      <w:r>
        <w:rPr/>
        <w:t xml:space="preserve"> </w:t>
      </w:r>
    </w:p>
    <w:p>
      <w:pPr>
        <w:pStyle w:val="Normal"/>
        <w:rPr/>
      </w:pPr>
      <w:r>
        <w:rPr/>
        <w:t xml:space="preserve">Tu preporuku dajemo jer minimalna plaća jača socijalnu pravdu na tržištu rada i poboljšava konkretne životne uvjete radnika u svim državama članicama, što je posebno važno u kontekstu radnog okruženja koje se brzo mijenja, primjerice zbog digitalizacije. </w:t>
      </w:r>
    </w:p>
    <w:p>
      <w:pPr>
        <w:pStyle w:val="Normal"/>
        <w:rPr/>
      </w:pPr>
      <w:r>
        <w:rPr/>
        <w:t xml:space="preserve"> </w:t>
      </w:r>
    </w:p>
    <w:p>
      <w:pPr>
        <w:pStyle w:val="P68B1DB1Normal15"/>
        <w:rPr>
          <w:b/>
          <w:b/>
        </w:rPr>
      </w:pPr>
      <w:r>
        <w:rPr/>
        <w:t xml:space="preserve">2. Već postoji zakonodavni akt EU-a (Direktiva 2003/88/EZ o radnom vremenu), ali nije dovoljan za osiguravanje zdrave ravnoteže između poslovnog i privatnog života. Kao prvi korak preporučujemo preispitivanje postojećeg okvira kako bi se osigurala njegova prilagodba trenutačnim okolnostima. Drugo, EU bi trebao uspostaviti stroži mehanizam praćenja kako bi se osigurala njegova provedba u svim državama članicama. Posebnu pozornost treba posvetiti različitim sektorima s različitim razinama stresa i opterećenja, kako psihološki tako i fizički. Međutim, u isto vrijeme, drugi sektori ovise o većoj fleksibilnosti svojih zaposlenika kako bi se prilagodili specifičnim potrebama poduzeća. </w:t>
      </w:r>
    </w:p>
    <w:p>
      <w:pPr>
        <w:pStyle w:val="Normal"/>
        <w:rPr/>
      </w:pPr>
      <w:r>
        <w:rPr/>
        <w:t xml:space="preserve">Donosimo ovu preporuku zbog važnosti bolje ravnoteže između poslovnog i privatnog života. Boljom ravnotežom između poslovnog i privatnog života jača se socijalna kohezija i doprinosi stvaranju jednakih uvjeta za sve radnike. Osim toga, pozitivno utječe na individualnu dobrobit radnika. </w:t>
      </w:r>
    </w:p>
    <w:p>
      <w:pPr>
        <w:pStyle w:val="Normal"/>
        <w:rPr/>
      </w:pPr>
      <w:r>
        <w:rPr/>
        <w:t xml:space="preserve"> </w:t>
      </w:r>
    </w:p>
    <w:p>
      <w:pPr>
        <w:pStyle w:val="Titre4"/>
        <w:numPr>
          <w:ilvl w:val="3"/>
          <w:numId w:val="2"/>
        </w:numPr>
        <w:rPr/>
      </w:pPr>
      <w:bookmarkStart w:id="108" w:name="__RefHeading___Toc297151_1346298689"/>
      <w:bookmarkEnd w:id="108"/>
      <w:r>
        <w:rPr/>
        <w:t xml:space="preserve">Podos 1.2 Mladi i zapošljavanje </w:t>
      </w:r>
    </w:p>
    <w:p>
      <w:pPr>
        <w:pStyle w:val="Normal"/>
        <w:rPr/>
      </w:pPr>
      <w:r>
        <w:rPr/>
        <w:t xml:space="preserve"> </w:t>
      </w:r>
    </w:p>
    <w:p>
      <w:pPr>
        <w:pStyle w:val="P68B1DB1Normal15"/>
        <w:rPr>
          <w:b/>
          <w:b/>
        </w:rPr>
      </w:pPr>
      <w:r>
        <w:rPr/>
        <w:t xml:space="preserve">3. Preporučujemo usklađivanje razine svih različitih obrazovnih programa u EU-u, prihvaćanje nacionalnih sadržaja. Stoga preporučujemo da se sve stručne diplome potvrde i uzajamno priznaju u svim državama članicama EU-a. </w:t>
      </w:r>
    </w:p>
    <w:p>
      <w:pPr>
        <w:pStyle w:val="Normal"/>
        <w:rPr/>
      </w:pPr>
      <w:r>
        <w:rPr/>
        <w:t xml:space="preserve"> </w:t>
      </w:r>
    </w:p>
    <w:p>
      <w:pPr>
        <w:pStyle w:val="Normal"/>
        <w:rPr/>
      </w:pPr>
      <w:r>
        <w:rPr/>
        <w:t xml:space="preserve">Dajemo tu preporuku jer želimo olakšati mobilnost europske radne snage i smanjiti administrativno opterećenje. </w:t>
      </w:r>
    </w:p>
    <w:p>
      <w:pPr>
        <w:pStyle w:val="Normal"/>
        <w:rPr/>
      </w:pPr>
      <w:r>
        <w:rPr/>
      </w:r>
    </w:p>
    <w:p>
      <w:pPr>
        <w:pStyle w:val="P68B1DB1Normal15"/>
        <w:rPr>
          <w:b/>
          <w:b/>
        </w:rPr>
      </w:pPr>
      <w:r>
        <w:rPr/>
        <w:t xml:space="preserve">4. Preporučujemo da srednjoškolcima (u dobi od 12 godina) pružimo pregled njihovog budućeg tržišta rada pružajući im priliku da sudjeluju u raznim kvalitetnim promatračkim posjetima profitnim i neprofitnim organizacijama. Predlažemo da se tvrtke potaknu da prihvate studente za stažiranje u promatranju tako da im dodijele bespovratna sredstva. U udaljenim područjima s manje mogućnosti lokalne škole, javna tijela, organizacije i poduzeća moraju blisko surađivati kako bi se osigurala dostupnost i tih promatračkih posjeta. </w:t>
      </w:r>
    </w:p>
    <w:p>
      <w:pPr>
        <w:pStyle w:val="Normal"/>
        <w:rPr/>
      </w:pPr>
      <w:r>
        <w:rPr/>
        <w:t xml:space="preserve"> </w:t>
      </w:r>
    </w:p>
    <w:p>
      <w:pPr>
        <w:pStyle w:val="Normal"/>
        <w:rPr/>
      </w:pPr>
      <w:r>
        <w:rPr/>
        <w:t xml:space="preserve">Dajemo ovu preporuku jer želimo da mladi dobiju predodžbu o različitim prilikama koje nudi tržište rada kako bi mogli bolje birati svoje obrazovanje i budući rad te razumjeti važnost odabira pravog obrazovanja. Time bi ih se također podučilo osjećaju odgovornosti i poštovanja tržišta rada te bi im se pomoglo da se integriraju na tržište rada, što bi svima donijelo koristi. </w:t>
      </w:r>
    </w:p>
    <w:p>
      <w:pPr>
        <w:pStyle w:val="Normal"/>
        <w:rPr/>
      </w:pPr>
      <w:r>
        <w:rPr/>
        <w:t xml:space="preserve"> </w:t>
      </w:r>
    </w:p>
    <w:p>
      <w:pPr>
        <w:pStyle w:val="P68B1DB1Normal15"/>
        <w:rPr>
          <w:b/>
          <w:b/>
        </w:rPr>
      </w:pPr>
      <w:r>
        <w:rPr/>
        <w:t xml:space="preserve">5. Preporučujemo integraciju prakse netehničkih vještina u sve školske kurikulume. Pod netehničkim vještinama, mislimo: uzajamno slušanje, dijalog, otpornost, razumijevanje, poštovanje i uvažavanje drugih, kritičko razmišljanje, samoučenje i ostati znatiželjan i orijentiran na rezultate. Nastavnici bi trebali biti osposobljeni za prijenos tih vještina blisko surađujući sa socijalnim radnicima i/ili psiholozima. Ostali prijedlozi za provedbu: organizacija programa razmjene učenika među školama, sudjelovanje u međuškolskom sportu i kulturnim događanjima itd. </w:t>
      </w:r>
    </w:p>
    <w:p>
      <w:pPr>
        <w:pStyle w:val="Normal"/>
        <w:rPr/>
      </w:pPr>
      <w:r>
        <w:rPr/>
        <w:t xml:space="preserve"> </w:t>
      </w:r>
    </w:p>
    <w:p>
      <w:pPr>
        <w:pStyle w:val="Normal"/>
        <w:rPr/>
      </w:pPr>
      <w:r>
        <w:rPr/>
        <w:t xml:space="preserve">Dajemo ovu preporuku jer su netehničke vještine nužne osnovne vještine koje se gube u digitalnom dobu i koje će našim mladima apsolutno trebati u svojim budućim životima. Zato inzistiramo na uključivanju tih vještina u školske kurikulume kako bi se mladima pomoglo da budu otporni te da izbjegnu ili prevladaju mentalne probleme s kojima se mogu suočiti u svojim budućim životima. Socijalne vještine jačaju međuljudske odnose i stoga pomažu ljudima da pronađu svoje mjesto u društvu. </w:t>
      </w:r>
    </w:p>
    <w:p>
      <w:pPr>
        <w:pStyle w:val="Normal"/>
        <w:rPr/>
      </w:pPr>
      <w:r>
        <w:rPr/>
        <w:t xml:space="preserve"> </w:t>
      </w:r>
    </w:p>
    <w:p>
      <w:pPr>
        <w:pStyle w:val="P68B1DB1Normal15"/>
        <w:rPr>
          <w:b/>
          <w:b/>
        </w:rPr>
      </w:pPr>
      <w:r>
        <w:rPr/>
        <w:t xml:space="preserve">6. Preporučujemo da u slučaju ozbiljne krize (zdravstvena kriza, rat itd.) dobro osmišljeni planovi s detaljnim scenarijima budu spremni na fleksibilnu primjenu kako bi se utjecaj na obrazovanje, strukovno osposobljavanje i mentalnu dobrobit naših mladih ljudi sveo na najmanju moguću mjeru itd. povećanje troškova obrazovanja ili osposobljavanja, obvezno produljenje studija, nemogućnost završetka stažiranja, povećanje problema s mentalnim zdravljem. Ti se planovi moraju provesti tako da se učinak na mlade i njihov prijelaz na tržište rada svede na najmanju moguću mjeru. </w:t>
      </w:r>
    </w:p>
    <w:p>
      <w:pPr>
        <w:pStyle w:val="Normal"/>
        <w:rPr/>
      </w:pPr>
      <w:r>
        <w:rPr/>
        <w:t xml:space="preserve"> </w:t>
      </w:r>
    </w:p>
    <w:p>
      <w:pPr>
        <w:pStyle w:val="Normal"/>
        <w:rPr/>
      </w:pPr>
      <w:r>
        <w:rPr/>
        <w:t xml:space="preserve">Dajemo ovu preporuku jer su mladi ljudi vrlo ranjivi u kriznim vremenima. </w:t>
      </w:r>
    </w:p>
    <w:p>
      <w:pPr>
        <w:pStyle w:val="Normal"/>
        <w:rPr/>
      </w:pPr>
      <w:r>
        <w:rPr/>
        <w:t xml:space="preserve"> </w:t>
      </w:r>
    </w:p>
    <w:p>
      <w:pPr>
        <w:pStyle w:val="Titre4"/>
        <w:numPr>
          <w:ilvl w:val="3"/>
          <w:numId w:val="2"/>
        </w:numPr>
        <w:rPr/>
      </w:pPr>
      <w:bookmarkStart w:id="109" w:name="__RefHeading___Toc297153_1346298689"/>
      <w:bookmarkEnd w:id="109"/>
      <w:r>
        <w:rPr/>
        <w:t xml:space="preserve">Podos 1.3 Digitalna transformacija na radnom mjestu </w:t>
      </w:r>
    </w:p>
    <w:p>
      <w:pPr>
        <w:pStyle w:val="Normal"/>
        <w:rPr/>
      </w:pPr>
      <w:r>
        <w:rPr/>
        <w:t xml:space="preserve"> </w:t>
      </w:r>
    </w:p>
    <w:p>
      <w:pPr>
        <w:pStyle w:val="P68B1DB1Normal15"/>
        <w:rPr>
          <w:b/>
          <w:b/>
        </w:rPr>
      </w:pPr>
      <w:r>
        <w:rPr/>
        <w:t xml:space="preserve">7. Preporučujemo da EU uvede ili ojača postojeće zakonodavstvo o pametnom radu, tj. radu na internetu i radu na daljinu, npr. kod kuće ili s drugog povezanog internetskog mjesta. Također preporučujemo da EU donese zakonodavstvo kako bi se poduzeća potaknula da budu društveno odgovorna i zadrže kvalitetna mobilna radna mjesta u EU-u. Poticaji mogu biti financijske prirode i/ili utjecati na imidž poduzeća te bi se njima trebali uzeti u obzir međunarodno priznati okolišni, socijalni i upravljački kriteriji. U tu svrhu EU bi trebao osnovati radnu skupinu sastavljenu od stručnjaka iz svih zainteresiranih strana radi preispitivanja i jačanja tog zakonodavstva. </w:t>
      </w:r>
    </w:p>
    <w:p>
      <w:pPr>
        <w:pStyle w:val="Normal"/>
        <w:rPr/>
      </w:pPr>
      <w:r>
        <w:rPr/>
        <w:t xml:space="preserve"> </w:t>
      </w:r>
    </w:p>
    <w:p>
      <w:pPr>
        <w:pStyle w:val="Normal"/>
        <w:rPr/>
      </w:pPr>
      <w:r>
        <w:rPr/>
        <w:t xml:space="preserve">Dajemo tu preporuku jer moramo promicati kvalitetna mobilna radna mjesta i izbjeći njihovo premještanje u treće zemlje s nižim troškovima. Pandemija bolesti COVID-19 i globalni gospodarski trendovi naglašavaju hitnost zaštite radnih mjesta u EU-u i reguliranja mobilnog rada. </w:t>
      </w:r>
    </w:p>
    <w:p>
      <w:pPr>
        <w:pStyle w:val="Normal"/>
        <w:rPr/>
      </w:pPr>
      <w:r>
        <w:rPr/>
        <w:t xml:space="preserve"> </w:t>
      </w:r>
    </w:p>
    <w:p>
      <w:pPr>
        <w:pStyle w:val="P68B1DB1Normal15"/>
        <w:rPr>
          <w:b/>
          <w:b/>
        </w:rPr>
      </w:pPr>
      <w:r>
        <w:rPr/>
        <w:t xml:space="preserve">8. Preporučujemo da EU zajamči pravo na digitalno osposobljavanje za sve građane EU-a. Konkretno, digitalne vještine mladih mogle bi se poboljšati uvođenjem potvrde EU-a u škole, koja bi ih pripremila za buduće tržište rada. Preporučujemo i posebno osposobljavanje na razini EU-a za prekvalifikaciju i usavršavanje radnika kako bi ostali konkurentni na tržištu rada. Naposljetku, preporučujemo da EU podigne svijest o postojećim digitalnim platformama koje povezuju građane s poslodavcima i pomažu im da pronađu posao u EU-u, npr. EURES. </w:t>
      </w:r>
    </w:p>
    <w:p>
      <w:pPr>
        <w:pStyle w:val="Normal"/>
        <w:rPr/>
      </w:pPr>
      <w:r>
        <w:rPr/>
        <w:t xml:space="preserve"> </w:t>
      </w:r>
    </w:p>
    <w:p>
      <w:pPr>
        <w:pStyle w:val="Normal"/>
        <w:rPr/>
      </w:pPr>
      <w:r>
        <w:rPr/>
        <w:t xml:space="preserve">Tu preporuku dajemo jer su certificirane digitalne vještine ključne za pristup tržištu rada, a za radnike da se prekvalificiraju i ostanu konkurentni. </w:t>
      </w:r>
    </w:p>
    <w:p>
      <w:pPr>
        <w:pStyle w:val="Normal"/>
        <w:rPr/>
      </w:pPr>
      <w:r>
        <w:rPr/>
        <w:t xml:space="preserve"> </w:t>
      </w:r>
    </w:p>
    <w:p>
      <w:pPr>
        <w:pStyle w:val="Titre3"/>
        <w:numPr>
          <w:ilvl w:val="2"/>
          <w:numId w:val="2"/>
        </w:numPr>
        <w:rPr/>
      </w:pPr>
      <w:bookmarkStart w:id="110" w:name="__RefHeading___Toc297155_1346298689"/>
      <w:bookmarkEnd w:id="110"/>
      <w:r>
        <w:rPr/>
        <w:t xml:space="preserve">OS 2 Gospodarstvo usmjereno na budućnost </w:t>
      </w:r>
    </w:p>
    <w:p>
      <w:pPr>
        <w:pStyle w:val="Normal"/>
        <w:rPr/>
      </w:pPr>
      <w:r>
        <w:rPr/>
        <w:t xml:space="preserve"> </w:t>
      </w:r>
    </w:p>
    <w:p>
      <w:pPr>
        <w:pStyle w:val="Titre4"/>
        <w:numPr>
          <w:ilvl w:val="3"/>
          <w:numId w:val="2"/>
        </w:numPr>
        <w:rPr/>
      </w:pPr>
      <w:bookmarkStart w:id="111" w:name="__RefHeading___Toc297157_1346298689"/>
      <w:bookmarkEnd w:id="111"/>
      <w:r>
        <w:rPr/>
        <w:t xml:space="preserve">Podos 2.1 Inovacije i europska konkurentnost </w:t>
      </w:r>
    </w:p>
    <w:p>
      <w:pPr>
        <w:pStyle w:val="Normal"/>
        <w:rPr/>
      </w:pPr>
      <w:r>
        <w:rPr/>
        <w:t xml:space="preserve"> </w:t>
      </w:r>
    </w:p>
    <w:p>
      <w:pPr>
        <w:pStyle w:val="P68B1DB1Normal15"/>
        <w:rPr>
          <w:b/>
          <w:b/>
        </w:rPr>
      </w:pPr>
      <w:r>
        <w:rPr/>
        <w:t xml:space="preserve">9. Preporučujemo da EU stvori mogućnosti za ulaganja u istraživanje i inovacije za različite subjekte (sveučilišta, poduzeća, istraživačke institute itd.) u cilju razvoja: </w:t>
      </w:r>
    </w:p>
    <w:p>
      <w:pPr>
        <w:pStyle w:val="P68B1DB1Normal15"/>
        <w:rPr>
          <w:b/>
          <w:b/>
        </w:rPr>
      </w:pPr>
      <w:r>
        <w:rPr/>
        <w:t xml:space="preserve">● </w:t>
      </w:r>
      <w:r>
        <w:rPr/>
        <w:t xml:space="preserve">novi, održiviji i biodiverzificirani materijali koji će zamijeniti one koji se trenutačno upotrebljavaju, </w:t>
      </w:r>
    </w:p>
    <w:p>
      <w:pPr>
        <w:pStyle w:val="P68B1DB1Normal15"/>
        <w:rPr>
          <w:b/>
          <w:b/>
        </w:rPr>
      </w:pPr>
      <w:r>
        <w:rPr/>
        <w:t xml:space="preserve">● </w:t>
      </w:r>
      <w:r>
        <w:rPr/>
        <w:t xml:space="preserve">inovativne uporabe postojećih materijala (na temelju, među ostalim, recikliranja i najsuvremenijih tehnika s najnižim ekološkim otiskom). </w:t>
      </w:r>
    </w:p>
    <w:p>
      <w:pPr>
        <w:pStyle w:val="Normal"/>
        <w:rPr/>
      </w:pPr>
      <w:r>
        <w:rPr>
          <w:b/>
        </w:rPr>
        <w:t>Sud preporučuje da to bude trajna i dugoročna obveza EU-a (barem do 2050.).</w:t>
      </w:r>
      <w:r>
        <w:rPr/>
        <w:t xml:space="preserve"> </w:t>
      </w:r>
    </w:p>
    <w:p>
      <w:pPr>
        <w:pStyle w:val="Normal"/>
        <w:rPr/>
      </w:pPr>
      <w:r>
        <w:rPr/>
        <w:t xml:space="preserve"> </w:t>
      </w:r>
    </w:p>
    <w:p>
      <w:pPr>
        <w:pStyle w:val="Normal"/>
        <w:rPr/>
      </w:pPr>
      <w:r>
        <w:rPr/>
        <w:t xml:space="preserve">Donosimo ovu preporuku jer živimo na planetu s ograničenim resursima. Ako želimo imati budućnost, moramo zaštititi klimu i tražiti alternative koje poštuju planet. Također želimo da EU postane vodeći akter u tom području, sa snažnom konkurentnom prednošću na međunarodnoj sceni. Cilj je preporuke proizvesti inovativne rezultate koji se mogu primijeniti u velikim razmjerima i koji se mogu provesti u različitim područjima i zemljama. Imao bi i pozitivan učinak na gospodarstvo i tržište rada stvaranjem novih mogućnosti zapošljavanja u području održivih inovacija. To bi moglo doprinijeti borbi protiv društvenih nepravdi u mjeri u kojoj bi postojeća sredstva proizvodnje, temeljena na eksploataciji, bila zamijenjena drugim, etičnijim. </w:t>
      </w:r>
    </w:p>
    <w:p>
      <w:pPr>
        <w:pStyle w:val="Normal"/>
        <w:rPr/>
      </w:pPr>
      <w:r>
        <w:rPr/>
        <w:t xml:space="preserve"> </w:t>
      </w:r>
    </w:p>
    <w:p>
      <w:pPr>
        <w:pStyle w:val="P68B1DB1Normal15"/>
        <w:rPr>
          <w:b/>
          <w:b/>
        </w:rPr>
      </w:pPr>
      <w:r>
        <w:rPr/>
        <w:t xml:space="preserve">10. Preporučujemo da se EU kontinuirano dugoročno obveže na znatno povećanje svojeg udjela održivo proizvedene energije upotrebom širokog raspona obnovljivih izvora s najnižim ekološkim otiskom (na temelju sveobuhvatne analize životnog ciklusa). Osim toga, EU bi trebao ulagati u poboljšanje i održavanje kvalitete elektroenergetske infrastrukture i mreže. Također preporučujemo da se pristup energiji i cjenovna pristupačnost priznaju kao temeljno pravo građana. </w:t>
      </w:r>
    </w:p>
    <w:p>
      <w:pPr>
        <w:pStyle w:val="P68B1DB1Normal15"/>
        <w:rPr>
          <w:b/>
          <w:b/>
        </w:rPr>
      </w:pPr>
      <w:r>
        <w:rPr/>
        <w:t xml:space="preserve"> </w:t>
      </w:r>
    </w:p>
    <w:p>
      <w:pPr>
        <w:pStyle w:val="Normal"/>
        <w:rPr/>
      </w:pPr>
      <w:r>
        <w:rPr/>
        <w:t xml:space="preserve">Ovu preporuku donosimo iz sljedećih razloga: </w:t>
      </w:r>
    </w:p>
    <w:p>
      <w:pPr>
        <w:pStyle w:val="Normal"/>
        <w:rPr/>
      </w:pPr>
      <w:r>
        <w:rPr/>
        <w:t xml:space="preserve">● </w:t>
      </w:r>
      <w:r>
        <w:rPr/>
        <w:t xml:space="preserve">diversifikacijom izvora energije (uključujući solarnu energiju, vjetar, vodik, morsku vodu ili bilo koju drugu buduću održivu metodu) EU bi postao energetski neovisniji; </w:t>
      </w:r>
    </w:p>
    <w:p>
      <w:pPr>
        <w:pStyle w:val="Normal"/>
        <w:rPr/>
      </w:pPr>
      <w:r>
        <w:rPr/>
        <w:t xml:space="preserve">● </w:t>
      </w:r>
      <w:r>
        <w:rPr/>
        <w:t xml:space="preserve">time bi se smanjili troškovi električne energije za građane EU-a; </w:t>
      </w:r>
    </w:p>
    <w:p>
      <w:pPr>
        <w:pStyle w:val="Normal"/>
        <w:rPr/>
      </w:pPr>
      <w:r>
        <w:rPr/>
        <w:t xml:space="preserve">● </w:t>
      </w:r>
      <w:r>
        <w:rPr/>
        <w:t xml:space="preserve">time bi se otvorila radna mjesta i restrukturiralo energetsko tržište (posebno u regijama koje su se dosad oslanjale na fosilna goriva); </w:t>
      </w:r>
    </w:p>
    <w:p>
      <w:pPr>
        <w:pStyle w:val="Normal"/>
        <w:rPr/>
      </w:pPr>
      <w:r>
        <w:rPr/>
        <w:t xml:space="preserve">● </w:t>
      </w:r>
      <w:r>
        <w:rPr/>
        <w:t xml:space="preserve">mogla bi potaknuti znanstveni razvoj inovativnih tehnika opskrbe energijom; </w:t>
      </w:r>
    </w:p>
    <w:p>
      <w:pPr>
        <w:pStyle w:val="Normal"/>
        <w:rPr/>
      </w:pPr>
      <w:r>
        <w:rPr/>
        <w:t xml:space="preserve">● </w:t>
      </w:r>
      <w:r>
        <w:rPr/>
        <w:t xml:space="preserve">kvaliteta električne infrastrukture i mreže jednako je važna kao i izvori energije jer omogućuje neometanu, učinkovitu i cjenovno pristupačnu distribuciju i prijenos energije. </w:t>
      </w:r>
    </w:p>
    <w:p>
      <w:pPr>
        <w:pStyle w:val="Normal"/>
        <w:rPr/>
      </w:pPr>
      <w:r>
        <w:rPr/>
        <w:t xml:space="preserve"> </w:t>
      </w:r>
    </w:p>
    <w:p>
      <w:pPr>
        <w:pStyle w:val="P68B1DB1Normal15"/>
        <w:rPr>
          <w:b/>
          <w:b/>
        </w:rPr>
      </w:pPr>
      <w:r>
        <w:rPr/>
        <w:t xml:space="preserve">11. Preporučujemo da EU aktivno promiče zelenije proizvodne procese subvencioniranjem ili na drugi način nagrađivanjem poduzeća koja ulažu u smanjenje okolišnih troškova svoje proizvodnje. Također pozivamo na ulaganje napora u rast postindustrijskih lokacija i stvaranje zaštićenih zelenih površina oko postojećih lokacija. Poduzeća bi trebala biti obvezna financirati te napore, barem djelomično, vlastitim novcem. </w:t>
      </w:r>
    </w:p>
    <w:p>
      <w:pPr>
        <w:pStyle w:val="Normal"/>
        <w:rPr/>
      </w:pPr>
      <w:r>
        <w:rPr/>
        <w:t xml:space="preserve"> </w:t>
      </w:r>
    </w:p>
    <w:p>
      <w:pPr>
        <w:pStyle w:val="Normal"/>
        <w:rPr/>
      </w:pPr>
      <w:r>
        <w:rPr/>
        <w:t xml:space="preserve">Dajemo ovu preporuku jer su proizvodni procesi važan dio opskrbnog lanca. Učiniti ih ekološki prihvatljivijima moglo bi znatno smanjiti naš utjecaj na klimu. Smatramo da bi tvrtke i industrije trebale biti odgovorne za način na koji proizvode svoje proizvode (uključujući mjere za ponovnu proizvodnju i zaštitu okoliša). Proizvodni procesi ekologizacije također pripremaju poduzeća za budućnost i jačaju njihovu otpornost (što štiti radna mjesta). </w:t>
      </w:r>
    </w:p>
    <w:p>
      <w:pPr>
        <w:pStyle w:val="Normal"/>
        <w:rPr/>
      </w:pPr>
      <w:r>
        <w:rPr/>
      </w:r>
    </w:p>
    <w:p>
      <w:pPr>
        <w:pStyle w:val="Titre4"/>
        <w:numPr>
          <w:ilvl w:val="3"/>
          <w:numId w:val="2"/>
        </w:numPr>
        <w:rPr/>
      </w:pPr>
      <w:bookmarkStart w:id="112" w:name="__RefHeading___Toc297159_1346298689"/>
      <w:bookmarkEnd w:id="112"/>
      <w:r>
        <w:rPr/>
        <w:t xml:space="preserve">Podosi 2.2 Održivo gospodarstvo/podos 2.3 Oporezivanje </w:t>
      </w:r>
    </w:p>
    <w:p>
      <w:pPr>
        <w:pStyle w:val="Normal"/>
        <w:rPr/>
      </w:pPr>
      <w:r>
        <w:rPr/>
        <w:t xml:space="preserve"> </w:t>
      </w:r>
    </w:p>
    <w:p>
      <w:pPr>
        <w:pStyle w:val="P68B1DB1Normal15"/>
        <w:rPr>
          <w:b/>
          <w:b/>
        </w:rPr>
      </w:pPr>
      <w:r>
        <w:rPr/>
        <w:t xml:space="preserve">12. Preporučujemo napuštanje plastične ambalaže i generaliziranje višekratne ambalaže. Potrošačima i poduzećima trebalo bi dati poticaje kako za potrošača ne bi bilo skuplje kupiti proizvode u rasutom stanju („u rasutom stanju” na engleskom ili „sfuso” na talijanskom jeziku) od pakiranih proizvoda. Poduzeća koja doprinose tom prijelazu trebala bi imati koristi od poreznih olakšica, a druga bi trebala plaćati više poreza. Proizvodi koji se ne mogu ponovno upotrijebiti trebali bi se moći reciklirati i/ili biorazgradivi. Potrebno je osnovati javnu ili nadzornu instituciju odgovornu za praćenje, utvrđivanje pravila i njihovo širenje svima. Preporučuje se educirati i komunicirati, među ostalim putem društvenih medija, o tim mjerama, obraćajući se i poduzećima i potrošačima kako bi promijenili svoje dugoročno ponašanje. Poduzeća (npr. građevinska poduzeća) trebalo bi poticati i pomoći im da pronađu najbolja rješenja za svoj otpad. </w:t>
      </w:r>
    </w:p>
    <w:p>
      <w:pPr>
        <w:pStyle w:val="Normal"/>
        <w:rPr/>
      </w:pPr>
      <w:r>
        <w:rPr/>
        <w:t xml:space="preserve"> </w:t>
      </w:r>
    </w:p>
    <w:p>
      <w:pPr>
        <w:pStyle w:val="Normal"/>
        <w:rPr/>
      </w:pPr>
      <w:r>
        <w:rPr/>
        <w:t xml:space="preserve">Dajemo ovu preporuku, jer svi moramo biti odgovorni za svoje postupke. Stoga moramo razmisliti o svim proizvodnim procesima. Recikliranje zahtijeva puno resursa (voda, energija) i stoga ne može biti jedino rješenje, zbog čega nudimo prodaju proizvoda u rasutom stanju. Recikliranje bi se trebalo koristiti samo za materijale koji se lako mogu reciklirati, a iz finskog smo primjera naučili da je moguće reciklirati u velikim razmjerima. </w:t>
      </w:r>
    </w:p>
    <w:p>
      <w:pPr>
        <w:pStyle w:val="Normal"/>
        <w:rPr/>
      </w:pPr>
      <w:r>
        <w:rPr/>
      </w:r>
    </w:p>
    <w:p>
      <w:pPr>
        <w:pStyle w:val="P68B1DB1Normal15"/>
        <w:rPr>
          <w:b/>
          <w:b/>
        </w:rPr>
      </w:pPr>
      <w:r>
        <w:rPr/>
        <w:t xml:space="preserve">13. Preporučujemo uvođenje istih poreznih pravila diljem Europe i usklađivanje porezne politike diljem EU-a. Usklađivanje u tom području trebalo bi ostaviti prostora pojedinačnim državama članicama za utvrđivanje vlastitih pravila, izbjegavajući pritom utaju poreza. Time će se stati na kraj štetnim poreznim praksama i poreznoj konkurenciji. Poreze bi trebalo uvesti na poslovne transakcije u kojima se odvijaju: kada tvrtka prodaje u zemlji, ona bi trebala platiti porez u toj zemlji. Cilj tih novih pravila bio bi spriječiti premještanje i osigurati da se proizvodnja i transakcije odvijaju među europskim zemljama. </w:t>
      </w:r>
    </w:p>
    <w:p>
      <w:pPr>
        <w:pStyle w:val="Normal"/>
        <w:rPr/>
      </w:pPr>
      <w:r>
        <w:rPr/>
        <w:t xml:space="preserve"> </w:t>
      </w:r>
    </w:p>
    <w:p>
      <w:pPr>
        <w:pStyle w:val="Normal"/>
        <w:rPr/>
      </w:pPr>
      <w:r>
        <w:rPr/>
        <w:t xml:space="preserve">Dajemo preporuku za zaštitu i razvoj radnih mjesta i gospodarskih aktivnosti u Europi na pravedan način prema svim državama članicama. Na taj će način Europa imati zajedničko razumijevanje poreznog sustava i okončat će se apsurdni monopol vrlo velikih poduzeća koja ne plaćaju dovoljno poreza u usporedbi s manjim poduzećima. Osim toga, financijska sredstva bit će preusmjerena na mjesto gdje se odvijaju komercijalne aktivnosti. </w:t>
      </w:r>
    </w:p>
    <w:p>
      <w:pPr>
        <w:pStyle w:val="Normal"/>
        <w:rPr/>
      </w:pPr>
      <w:r>
        <w:rPr/>
        <w:t xml:space="preserve"> </w:t>
      </w:r>
    </w:p>
    <w:p>
      <w:pPr>
        <w:pStyle w:val="P68B1DB1Normal15"/>
        <w:rPr>
          <w:b/>
          <w:b/>
        </w:rPr>
      </w:pPr>
      <w:r>
        <w:rPr/>
        <w:t xml:space="preserve">14. Preporučujemo uklanjanje programiranog sustava zastarijevanja sa svih elektroničkih uređaja. Promjena bi se trebala odvijati pojedinačno i komercijalno kako bi se osiguralo da se uređaji mogu dugoročno popravljati i nadograditi te da ih se može zadržati dulje vrijeme. Preporučujemo promicanje obnovljenih uređaja. Propisima bi se od poduzeća trebalo zahtijevati da zajamče pravo na popravak, uključujući nadogradnje i ažuriranja softvera, kao i da dugoročno recikliraju sve uređaje. Također se preporučuje da svaka tvrtka koristi standardne konektore. </w:t>
      </w:r>
    </w:p>
    <w:p>
      <w:pPr>
        <w:pStyle w:val="P68B1DB1Normal15"/>
        <w:rPr>
          <w:b/>
          <w:b/>
        </w:rPr>
      </w:pPr>
      <w:r>
        <w:rPr/>
        <w:t xml:space="preserve"> </w:t>
      </w:r>
    </w:p>
    <w:p>
      <w:pPr>
        <w:pStyle w:val="Normal"/>
        <w:rPr/>
      </w:pPr>
      <w:r>
        <w:rPr/>
        <w:t xml:space="preserve">Dajemo ovu preporuku jer u suvremenom svijetu proizvodi imaju tendenciju da traju dvije godine, a naša želja je da imaju puno duži životni vijek, oko 10 godina. Ovaj će prijedlog pozitivno utjecati na klimatske promjene i ekologiju. Također će smanjiti troškove za potrošače i konzumerizam. </w:t>
      </w:r>
    </w:p>
    <w:p>
      <w:pPr>
        <w:pStyle w:val="Normal"/>
        <w:rPr/>
      </w:pPr>
      <w:r>
        <w:rPr/>
      </w:r>
    </w:p>
    <w:p>
      <w:pPr>
        <w:pStyle w:val="P68B1DB1Normal15"/>
        <w:rPr>
          <w:b/>
          <w:b/>
        </w:rPr>
      </w:pPr>
      <w:r>
        <w:rPr/>
        <w:t xml:space="preserve">15. Preporučujemo da pomognemo svima da saznaju više o našoj okolini i njegovim vezama s individualnim zdravljem kroz edukaciju. Obrazovni putovi pomoći će svima da definiraju vlastite osobne strategije kako bi integrirali te teme u svoj svakodnevni život. Ovo obrazovanje treba započeti u školi s određenim temama koje se bave svim ekološkim pitanjima, a mi bismo se trebali nastaviti educirati tijekom cijelog života (na primjer na poslu). Pridonijet će smanjenju otpada i zaštiti okoliša i ljudskog zdravlja te promicati lokalnu potrošnju zdravih i neprerađenih proizvoda lokalnih proizvođača. Oni koji ne rade ništa kako bi smanjili svoj otpad morat će dobiti besplatnu obuku u tom području. Kako bi se prilagodio način života, cijene moraju biti pravedne i za proizvođača i za potrošača. Stoga predlažemo da mali i ekološki prihvatljivi lokalni proizvođači imaju koristi od oslobođenja od poreza. </w:t>
      </w:r>
    </w:p>
    <w:p>
      <w:pPr>
        <w:pStyle w:val="Normal"/>
        <w:rPr/>
      </w:pPr>
      <w:r>
        <w:rPr/>
        <w:t xml:space="preserve"> </w:t>
      </w:r>
    </w:p>
    <w:p>
      <w:pPr>
        <w:pStyle w:val="Normal"/>
        <w:rPr/>
      </w:pPr>
      <w:r>
        <w:rPr/>
        <w:t xml:space="preserve">Dajemo ovu preporuku jer vjerujemo da mnogi ljudi još uvijek ne osjećaju zabrinutost zbog tih problema. Zato je potrebno uspostaviti obrazovanje za sve. Osim toga, lokalni i zdravi proizvodi obično su nepristupačni za mnoge ljude. Moramo osigurati da lokalni proizvodi budu dostupniji svima. </w:t>
      </w:r>
    </w:p>
    <w:p>
      <w:pPr>
        <w:pStyle w:val="Normal"/>
        <w:rPr/>
      </w:pPr>
      <w:r>
        <w:rPr/>
      </w:r>
    </w:p>
    <w:p>
      <w:pPr>
        <w:pStyle w:val="Titre4"/>
        <w:numPr>
          <w:ilvl w:val="3"/>
          <w:numId w:val="2"/>
        </w:numPr>
        <w:rPr/>
      </w:pPr>
      <w:bookmarkStart w:id="113" w:name="__RefHeading___Toc297161_1346298689"/>
      <w:bookmarkEnd w:id="113"/>
      <w:r>
        <w:rPr/>
        <w:t xml:space="preserve">Podos 2.4 Poljoprivreda/podos 2.5 Digitalna infrastruktura </w:t>
      </w:r>
    </w:p>
    <w:p>
      <w:pPr>
        <w:pStyle w:val="Normal"/>
        <w:rPr/>
      </w:pPr>
      <w:r>
        <w:rPr/>
        <w:t xml:space="preserve"> </w:t>
      </w:r>
    </w:p>
    <w:p>
      <w:pPr>
        <w:pStyle w:val="P68B1DB1Normal15"/>
        <w:rPr>
          <w:b/>
          <w:b/>
        </w:rPr>
      </w:pPr>
      <w:r>
        <w:rPr/>
        <w:t xml:space="preserve">16. Preporučujemo uvođenje zajedničkog europskog sustava označivanja potrošača i hranjivih vrijednosti koji je lako razumljiv (npr. alergeni, zemlja podrijetla itd.); preporučujemo transparentnost tekućih postupaka odobravanja i digitalizaciju informacija o proizvodu putem standardizirane europske aplikacije koja bi omogućila jednostavniji pristup informacijama i pružila dodatne informacije o proizvodu i proizvodnom lancu. Također vidimo potrebu za istinski neovisnim tijelom koje regulira prehrambene standarde diljem EU-a i ima zakonodavne ovlasti za provedbu sankcija. </w:t>
      </w:r>
    </w:p>
    <w:p>
      <w:pPr>
        <w:pStyle w:val="Normal"/>
        <w:rPr/>
      </w:pPr>
      <w:r>
        <w:rPr/>
        <w:t xml:space="preserve"> </w:t>
      </w:r>
    </w:p>
    <w:p>
      <w:pPr>
        <w:pStyle w:val="Normal"/>
        <w:rPr/>
      </w:pPr>
      <w:r>
        <w:rPr/>
        <w:t xml:space="preserve">Dajemo te preporuke jer bi se svi građani EU-a trebali moći osloniti na istu kvalitetu hrane. Integritet prehrambenih proizvoda potreban je kako bi se osigurala sigurnost građana. Te su preporuke formulirane kako bi se na usklađen način poboljšalo praćenje postupaka odobravanja i transparentnost proizvodnje hrane. </w:t>
      </w:r>
    </w:p>
    <w:p>
      <w:pPr>
        <w:pStyle w:val="Normal"/>
        <w:rPr/>
      </w:pPr>
      <w:r>
        <w:rPr/>
      </w:r>
    </w:p>
    <w:p>
      <w:pPr>
        <w:pStyle w:val="P68B1DB1Normal15"/>
        <w:rPr>
          <w:b/>
          <w:b/>
        </w:rPr>
      </w:pPr>
      <w:r>
        <w:rPr/>
        <w:t xml:space="preserve">17. Preporučujemo da infrastruktura bude u vlasništvu države kako bi se spriječila pojava monopola u sektoru telekomunikacija i internetskih usluga. Pristup internetu trebao bi biti pravo; uvođenje internetske veze u „bijela područja/mrtve zone” (područja bez pristupa internetu) trebalo bi biti prioritet. Kad je riječ o pristupu internetu i računalnoj opremi, djeca i obitelji prioritet su, posebno u pogledu obrazovanja, a posebno u vrijeme pandemije. Potrebna je inicijativa za potporu radu na daljinu, primjerice stvaranjem uredskih prostora s pristupom brzoj i pouzdanoj internetskoj vezi ili organiziranjem digitalnog osposobljavanja. </w:t>
      </w:r>
    </w:p>
    <w:p>
      <w:pPr>
        <w:pStyle w:val="Normal"/>
        <w:rPr/>
      </w:pPr>
      <w:r>
        <w:rPr/>
        <w:t xml:space="preserve"> </w:t>
      </w:r>
    </w:p>
    <w:p>
      <w:pPr>
        <w:pStyle w:val="Normal"/>
        <w:rPr/>
      </w:pPr>
      <w:r>
        <w:rPr/>
        <w:t xml:space="preserve">Dajemo tu preporuku jer moramo osigurati pravednu provedbu digitalne transformacije. Pristup internetu ključan je za demokraciju i pravo je svih europskih građana. </w:t>
      </w:r>
    </w:p>
    <w:p>
      <w:pPr>
        <w:pStyle w:val="Normal"/>
        <w:rPr/>
      </w:pPr>
      <w:r>
        <w:rPr/>
      </w:r>
    </w:p>
    <w:p>
      <w:pPr>
        <w:pStyle w:val="Normal"/>
        <w:rPr/>
      </w:pPr>
      <w:r>
        <w:rPr>
          <w:b/>
        </w:rPr>
        <w:t>18. Preporučamo poštivanje lokalnih insekata i zaštitu od invazivnih vrsta. Predlažemo i promicanje i obranu obveze osiguravanja zelenih površina u novim projektima urbanizacije. Pozivamo na to da biološka raznolikost postane obvezna tema u školama i da bude predmet školskih aktivnosti, primjerice praktičnih aktivnosti. Važno je povećati svijest javnosti o biološkoj raznolikosti medijskim kampanjama i „natjecanjima” koje se promiču diljem EU-a (natječaj na razini lokalne zajednice). Preporučujemo postavljanje obvezujućih nacionalnih ciljeva u svim državama članicama EU-a za ponovno pošumljavanje autohtonih stabala i ponovno uvođenje lokalne flore</w:t>
      </w:r>
      <w:r>
        <w:rPr/>
        <w:t xml:space="preserve">. </w:t>
      </w:r>
    </w:p>
    <w:p>
      <w:pPr>
        <w:pStyle w:val="Normal"/>
        <w:rPr/>
      </w:pPr>
      <w:r>
        <w:rPr/>
        <w:t xml:space="preserve"> </w:t>
      </w:r>
    </w:p>
    <w:p>
      <w:pPr>
        <w:pStyle w:val="Normal"/>
        <w:rPr/>
      </w:pPr>
      <w:r>
        <w:rPr/>
        <w:t xml:space="preserve">Dajemo tu preporuku jer je biološka raznolikost ključna za okoliš, kvalitetu života i borbu protiv klimatskih promjena. </w:t>
      </w:r>
    </w:p>
    <w:p>
      <w:pPr>
        <w:pStyle w:val="Titre3"/>
        <w:numPr>
          <w:ilvl w:val="2"/>
          <w:numId w:val="2"/>
        </w:numPr>
        <w:rPr/>
      </w:pPr>
      <w:r>
        <w:rPr/>
      </w:r>
    </w:p>
    <w:p>
      <w:pPr>
        <w:pStyle w:val="Titre3"/>
        <w:numPr>
          <w:ilvl w:val="2"/>
          <w:numId w:val="2"/>
        </w:numPr>
        <w:rPr/>
      </w:pPr>
      <w:bookmarkStart w:id="114" w:name="__RefHeading___Toc297163_1346298689"/>
      <w:bookmarkEnd w:id="114"/>
      <w:r>
        <w:rPr/>
        <w:t xml:space="preserve">Os 3 Pravedno društvo </w:t>
      </w:r>
    </w:p>
    <w:p>
      <w:pPr>
        <w:pStyle w:val="Normal"/>
        <w:rPr/>
      </w:pPr>
      <w:bookmarkStart w:id="115" w:name="__RefHeading___Toc297165_1346298689"/>
      <w:bookmarkEnd w:id="115"/>
      <w:r>
        <w:rPr/>
        <w:t xml:space="preserve"> </w:t>
      </w:r>
    </w:p>
    <w:p>
      <w:pPr>
        <w:pStyle w:val="Titre4"/>
        <w:numPr>
          <w:ilvl w:val="3"/>
          <w:numId w:val="2"/>
        </w:numPr>
        <w:rPr/>
      </w:pPr>
      <w:bookmarkStart w:id="116" w:name="__RefHeading___Toc297167_1346298689"/>
      <w:bookmarkEnd w:id="116"/>
      <w:r>
        <w:rPr/>
        <w:t xml:space="preserve">Podosi 3.1 Socijalno osiguranje </w:t>
      </w:r>
    </w:p>
    <w:p>
      <w:pPr>
        <w:pStyle w:val="Normal"/>
        <w:rPr/>
      </w:pPr>
      <w:r>
        <w:rPr/>
        <w:t xml:space="preserve"> </w:t>
      </w:r>
    </w:p>
    <w:p>
      <w:pPr>
        <w:pStyle w:val="P68B1DB1Normal15"/>
        <w:rPr>
          <w:b/>
          <w:b/>
        </w:rPr>
      </w:pPr>
      <w:r>
        <w:rPr/>
        <w:t xml:space="preserve">19. Preporučujemo promicanje jednakih prava i socijalnih politika, uključujući zdravstvene politike, usklađenih diljem EU-a, uzimajući u obzir donesene propise i minimalne zahtjeve diljem zemlje. </w:t>
      </w:r>
    </w:p>
    <w:p>
      <w:pPr>
        <w:pStyle w:val="Normal"/>
        <w:rPr/>
      </w:pPr>
      <w:r>
        <w:rPr/>
        <w:t xml:space="preserve"> </w:t>
      </w:r>
    </w:p>
    <w:p>
      <w:pPr>
        <w:pStyle w:val="Normal"/>
        <w:rPr/>
      </w:pPr>
      <w:r>
        <w:rPr/>
        <w:t xml:space="preserve">Tu preporuku dajemo jer postoje velike razlike među državama članicama u pogledu socijalnih politika koje se moraju smanjiti kako bi se osigurao pristojan život za sve građane i pružila potrebna skrb i potpora ranjivim osobama iz različitih razloga (zdravlje, dob, seksualna orijentacija itd.). </w:t>
      </w:r>
    </w:p>
    <w:p>
      <w:pPr>
        <w:pStyle w:val="Normal"/>
        <w:rPr/>
      </w:pPr>
      <w:r>
        <w:rPr/>
      </w:r>
    </w:p>
    <w:p>
      <w:pPr>
        <w:pStyle w:val="P68B1DB1Normal15"/>
        <w:rPr>
          <w:b/>
          <w:b/>
        </w:rPr>
      </w:pPr>
      <w:r>
        <w:rPr/>
        <w:t xml:space="preserve">20. Preporučujemo promicanje socijalnih i zdravstvenih istraživanja u EU-u u skladu s prioritetnim linijama za koje se smatra da su od javnog interesa i koje su odobrile države članice i kojima se osiguravaju odgovarajuća financijska sredstva. Moramo ojačati suradnju između stručnih područja, zemalja, studijskih centara (sveučilišta itd.). </w:t>
      </w:r>
    </w:p>
    <w:p>
      <w:pPr>
        <w:pStyle w:val="Normal"/>
        <w:rPr/>
      </w:pPr>
      <w:r>
        <w:rPr/>
        <w:t xml:space="preserve"> </w:t>
      </w:r>
    </w:p>
    <w:p>
      <w:pPr>
        <w:pStyle w:val="Normal"/>
        <w:rPr/>
      </w:pPr>
      <w:r>
        <w:rPr/>
        <w:t xml:space="preserve">Dajemo ovu preporuku jer postoje mnoga područja u kojima moramo unaprijediti i produbiti svoje znanje. Iskustvo s pandemijom primjer je kako je istraživanje ključno za poboljšanje života, da je suradnja između javnog i privatnog sektora te između vlada ključna te da je potrebna financijska potpora. </w:t>
      </w:r>
    </w:p>
    <w:p>
      <w:pPr>
        <w:pStyle w:val="Normal"/>
        <w:rPr/>
      </w:pPr>
      <w:r>
        <w:rPr/>
      </w:r>
    </w:p>
    <w:p>
      <w:pPr>
        <w:pStyle w:val="P68B1DB1Normal15"/>
        <w:rPr>
          <w:b/>
          <w:b/>
        </w:rPr>
      </w:pPr>
      <w:r>
        <w:rPr/>
        <w:t xml:space="preserve">21. Preporučujemo da EU ima veću nadležnost u području socijalnih politika kako bi se uskladila minimalna pravila i mirovinske naknade diljem EU-a te uspostavila nova, na temelju temeljite dijagnoze. Minimalna mirovina mora biti iznad granice siromaštva u zemlji. Dob za umirovljenje trebala bi varirati ovisno o kategorijama zanimanja i trebala bi biti niža za mentalno i fizički zahtjevna zanimanja. Istodobno bi trebalo zajamčiti pravo na rad za starije osobe koje žele nastaviti raditi na dobrovoljnoj osnovi. </w:t>
      </w:r>
    </w:p>
    <w:p>
      <w:pPr>
        <w:pStyle w:val="Normal"/>
        <w:rPr/>
      </w:pPr>
      <w:r>
        <w:rPr/>
        <w:t xml:space="preserve"> </w:t>
      </w:r>
    </w:p>
    <w:p>
      <w:pPr>
        <w:pStyle w:val="Normal"/>
        <w:rPr/>
      </w:pPr>
      <w:r>
        <w:rPr/>
        <w:t xml:space="preserve">Donosimo ovu preporuku jer se očekivani životni vijek povećava i natalitet se smanjuje. Europsko stanovništvo stari, zbog čega moramo poduzeti daljnje korake kako bismo izbjegli rizik od marginalizacije starijih osoba i osigurali im pristojan život. </w:t>
      </w:r>
    </w:p>
    <w:p>
      <w:pPr>
        <w:pStyle w:val="Normal"/>
        <w:rPr/>
      </w:pPr>
      <w:r>
        <w:rPr/>
        <w:t xml:space="preserve"> </w:t>
      </w:r>
    </w:p>
    <w:p>
      <w:pPr>
        <w:pStyle w:val="Normal"/>
        <w:rPr/>
      </w:pPr>
      <w:r>
        <w:rPr>
          <w:b/>
        </w:rPr>
        <w:t>22. Preporučujemo donošenje niza mjera za poticanje povećanja stope nataliteta i osiguravanje odgovarajućih rješenja za skrb o djeci. Te bi mjere, među ostalim, trebale obuhvaćati cjenovno pristupačne i pristupačne usluge skrbi o djeci (na radnom mjestu, noću, smanjeni PDV na dječje objekte), stanovanje, stabilnost radnih mjesta, potporu za majčinstvo, posebnu potporu i zaštitu rada za mlade i roditelje, kao i potporu majkama i očevima u obliku pristupa znanju po povratku na posao.</w:t>
      </w:r>
      <w:r>
        <w:rPr/>
        <w:t xml:space="preserve"> </w:t>
      </w:r>
    </w:p>
    <w:p>
      <w:pPr>
        <w:pStyle w:val="Normal"/>
        <w:rPr/>
      </w:pPr>
      <w:r>
        <w:rPr/>
        <w:t xml:space="preserve"> </w:t>
      </w:r>
    </w:p>
    <w:p>
      <w:pPr>
        <w:pStyle w:val="Normal"/>
        <w:rPr/>
      </w:pPr>
      <w:r>
        <w:rPr/>
        <w:t xml:space="preserve">Dajemo tu preporuku jer se EU odlikuje niskom stopom nataliteta, što također doprinosi starenju europskog stanovništva i poziva na hitno djelovanje. Predloženim paketom nastoji se osigurati da mlade obitelji imaju potrebnu stabilnost za skrb o djeci. </w:t>
      </w:r>
    </w:p>
    <w:p>
      <w:pPr>
        <w:pStyle w:val="Normal"/>
        <w:rPr/>
      </w:pPr>
      <w:r>
        <w:rPr/>
      </w:r>
    </w:p>
    <w:p>
      <w:pPr>
        <w:pStyle w:val="P68B1DB1Normal15"/>
        <w:rPr>
          <w:b/>
          <w:b/>
        </w:rPr>
      </w:pPr>
      <w:r>
        <w:rPr/>
        <w:t xml:space="preserve">23. Preporučujemo osiguravanje socijalne pomoći i zdravstvene skrbi za starije osobe kod kuće i u domovima za njegu. Također je potrebno poboljšati potporu osobama koje skrbe o starijim osobama (u blizini). </w:t>
      </w:r>
    </w:p>
    <w:p>
      <w:pPr>
        <w:pStyle w:val="Normal"/>
        <w:rPr/>
      </w:pPr>
      <w:r>
        <w:rPr/>
        <w:t xml:space="preserve"> </w:t>
      </w:r>
    </w:p>
    <w:p>
      <w:pPr>
        <w:pStyle w:val="Normal"/>
        <w:rPr/>
      </w:pPr>
      <w:r>
        <w:rPr/>
        <w:t xml:space="preserve">Dajemo tu preporuku zbog povećanja očekivanog životnog vijeka i smanjenja stope nataliteta; Europsko stanovništvo stari, zbog čega moramo poduzeti daljnje korake kako bismo izbjegli rizik od marginalizacije starijih osoba i osigurali im pristojan život. </w:t>
      </w:r>
    </w:p>
    <w:p>
      <w:pPr>
        <w:pStyle w:val="Normal"/>
        <w:rPr/>
      </w:pPr>
      <w:r>
        <w:rPr/>
        <w:t xml:space="preserve"> </w:t>
      </w:r>
    </w:p>
    <w:p>
      <w:pPr>
        <w:pStyle w:val="P68B1DB1Normal15"/>
        <w:rPr>
          <w:b/>
          <w:b/>
        </w:rPr>
      </w:pPr>
      <w:r>
        <w:rPr/>
        <w:t xml:space="preserve">24. Preporučujemo da EU podrži palijativnu skrb i potpomognutu smrt [eutanaziju] u skladu s konkretnim skupom pravila i propisa. </w:t>
      </w:r>
    </w:p>
    <w:p>
      <w:pPr>
        <w:pStyle w:val="Normal"/>
        <w:rPr/>
      </w:pPr>
      <w:r>
        <w:rPr/>
        <w:t xml:space="preserve"> </w:t>
      </w:r>
    </w:p>
    <w:p>
      <w:pPr>
        <w:pStyle w:val="Normal"/>
        <w:rPr/>
      </w:pPr>
      <w:r>
        <w:rPr/>
        <w:t xml:space="preserve">Dajemo ovu preporuku jer bi to smanjilo bol pacijenata i obitelji i osiguralo pristojan kraj života. </w:t>
      </w:r>
    </w:p>
    <w:p>
      <w:pPr>
        <w:pStyle w:val="Normal"/>
        <w:rPr/>
      </w:pPr>
      <w:r>
        <w:rPr/>
        <w:t xml:space="preserve"> </w:t>
      </w:r>
    </w:p>
    <w:p>
      <w:pPr>
        <w:pStyle w:val="Titre4"/>
        <w:numPr>
          <w:ilvl w:val="3"/>
          <w:numId w:val="2"/>
        </w:numPr>
        <w:rPr/>
      </w:pPr>
      <w:bookmarkStart w:id="117" w:name="__RefHeading___Toc297169_1346298689"/>
      <w:bookmarkEnd w:id="117"/>
      <w:r>
        <w:rPr/>
        <w:t xml:space="preserve">Podosi 3.2. Jednakopravna prava </w:t>
      </w:r>
    </w:p>
    <w:p>
      <w:pPr>
        <w:pStyle w:val="Normal"/>
        <w:rPr/>
      </w:pPr>
      <w:r>
        <w:rPr/>
        <w:t xml:space="preserve"> </w:t>
      </w:r>
    </w:p>
    <w:p>
      <w:pPr>
        <w:pStyle w:val="P68B1DB1Normal15"/>
        <w:rPr>
          <w:b/>
          <w:b/>
        </w:rPr>
      </w:pPr>
      <w:r>
        <w:rPr/>
        <w:t xml:space="preserve">25. Preporučujemo da EU podupre ciljani pristup građana pristojnom socijalnom stanovanju, u skladu s njihovim posebnim potrebama. Financijski napor trebali bi dijeliti privatni donatori, vlasnici kuća, korisnici stambenog prostora, vlade država članica na središnjoj i lokalnoj razini te Europska unija. Cilj bi trebao biti olakšavanje izgradnje/popravka postojećeg fonda za socijalno stanovanje, među ostalim putem zadružnih udruga, najma i kupnje. Potpora bi se trebala dodijeliti na temelju jasnih kriterija (npr. najveća površina/osoba koju treba subvencionirati, dohodak korisnika itd.). </w:t>
      </w:r>
    </w:p>
    <w:p>
      <w:pPr>
        <w:pStyle w:val="Normal"/>
        <w:rPr/>
      </w:pPr>
      <w:r>
        <w:rPr/>
        <w:t xml:space="preserve"> </w:t>
      </w:r>
    </w:p>
    <w:p>
      <w:pPr>
        <w:pStyle w:val="Normal"/>
        <w:rPr/>
      </w:pPr>
      <w:r>
        <w:rPr/>
        <w:t xml:space="preserve">Dajemo tu preporuku jer bi se poboljšanjem pristupa stanovanju osiguralo da građani EU-a uživaju opipljiva jednaka prava i ublažile socijalne napetosti. EU se uglavnom poziva da nadzire mehanizam potpore; nacionalna i lokalna tijela trebala bi uložiti veće napore u rješavanje stambenih problema. </w:t>
      </w:r>
    </w:p>
    <w:p>
      <w:pPr>
        <w:pStyle w:val="Normal"/>
        <w:rPr/>
      </w:pPr>
      <w:r>
        <w:rPr/>
      </w:r>
    </w:p>
    <w:p>
      <w:pPr>
        <w:pStyle w:val="P68B1DB1Normal15"/>
        <w:rPr>
          <w:b/>
          <w:b/>
        </w:rPr>
      </w:pPr>
      <w:r>
        <w:rPr/>
        <w:t xml:space="preserve">26. Preporučujemo da EU poboljša regulaciju i ujednačenu provedbu mjera potpore za obitelji s djecom u svim državama članicama. Te mjere posebno uključuju: povećanje trajanja roditeljskog dopusta, iznos doplatka za rođenje djeteta i doplatak za skrb o djeci. </w:t>
      </w:r>
    </w:p>
    <w:p>
      <w:pPr>
        <w:pStyle w:val="Normal"/>
        <w:rPr/>
      </w:pPr>
      <w:r>
        <w:rPr/>
        <w:t xml:space="preserve"> </w:t>
      </w:r>
    </w:p>
    <w:p>
      <w:pPr>
        <w:pStyle w:val="Normal"/>
        <w:rPr/>
      </w:pPr>
      <w:r>
        <w:rPr/>
        <w:t xml:space="preserve">Dajemo tu preporuku jer vjerujemo da bi se tim mjerama ublažio demografski problem s kojim se suočava EU. Time bi se poboljšala i rodna ravnopravnost među roditeljima. </w:t>
      </w:r>
    </w:p>
    <w:p>
      <w:pPr>
        <w:pStyle w:val="Normal"/>
        <w:rPr/>
      </w:pPr>
      <w:r>
        <w:rPr/>
      </w:r>
    </w:p>
    <w:p>
      <w:pPr>
        <w:pStyle w:val="P68B1DB1Normal15"/>
        <w:rPr>
          <w:b/>
          <w:b/>
        </w:rPr>
      </w:pPr>
      <w:r>
        <w:rPr/>
        <w:t xml:space="preserve">27. Preporučujemo da EU poduzme korake kako bi osigurao da sve obitelji uživaju jednaka obiteljska prava u svim državama članicama. Ta prava uključuju pravo na brak i posvojenje. </w:t>
      </w:r>
    </w:p>
    <w:p>
      <w:pPr>
        <w:pStyle w:val="Normal"/>
        <w:rPr/>
      </w:pPr>
      <w:r>
        <w:rPr/>
        <w:t xml:space="preserve"> </w:t>
      </w:r>
    </w:p>
    <w:p>
      <w:pPr>
        <w:pStyle w:val="Normal"/>
        <w:rPr/>
      </w:pPr>
      <w:r>
        <w:rPr/>
        <w:t xml:space="preserve">Dajemo tu preporuku jer vjerujemo da bi svi građani EU-a trebali uživati jednaka prava, uključujući obiteljska prava. Obitelj je osnovni oblik društvene organizacije. Sretna obitelj doprinosi zdravom društvu. Cilj je preporuke osigurati da svi građani uživaju obiteljska prava, bez obzira na spol, odraslu dob, etničko podrijetlo ili fizičko zdravlje. </w:t>
      </w:r>
    </w:p>
    <w:p>
      <w:pPr>
        <w:pStyle w:val="Normal"/>
        <w:rPr/>
      </w:pPr>
      <w:r>
        <w:rPr/>
        <w:t xml:space="preserve"> </w:t>
      </w:r>
    </w:p>
    <w:p>
      <w:pPr>
        <w:pStyle w:val="Titre4"/>
        <w:numPr>
          <w:ilvl w:val="3"/>
          <w:numId w:val="2"/>
        </w:numPr>
        <w:rPr/>
      </w:pPr>
      <w:bookmarkStart w:id="118" w:name="__RefHeading___Toc297171_1346298689"/>
      <w:bookmarkEnd w:id="118"/>
      <w:commentRangeStart w:id="1"/>
      <w:r>
        <w:rPr/>
        <w:t xml:space="preserve">Podosi 3.3 Vlasnički kapital/podos 3.4 Pristup sportu </w:t>
      </w:r>
      <w:commentRangeEnd w:id="1"/>
      <w:r>
        <w:commentReference w:id="1"/>
      </w:r>
      <w:r>
        <w:rPr/>
      </w:r>
    </w:p>
    <w:p>
      <w:pPr>
        <w:pStyle w:val="Normal"/>
        <w:rPr/>
      </w:pPr>
      <w:r>
        <w:rPr/>
        <w:t xml:space="preserve"> </w:t>
      </w:r>
    </w:p>
    <w:p>
      <w:pPr>
        <w:pStyle w:val="P68B1DB1Normal15"/>
        <w:rPr>
          <w:b/>
          <w:b/>
        </w:rPr>
      </w:pPr>
      <w:r>
        <w:rPr/>
        <w:t xml:space="preserve">28. Preporučujemo da se Strategiju EU-a za rodnu ravnopravnost 2020. 2025. snažno promiče i da joj se dodijeli visoki prioritet kao hitno pitanje koje države članice učinkovito rješavaju. EU bi trebao (a) definirati pokazatelje (stavovi, razlike u plaćama, zaposlenost, vodstvo itd.), pratiti strategiju na godišnjoj osnovi i biti transparentan u pogledu postignutih rezultata; i b) osnovati pučkog pravobranitelja za dobivanje izravnih povratnih informacija od građana. </w:t>
      </w:r>
    </w:p>
    <w:p>
      <w:pPr>
        <w:pStyle w:val="Normal"/>
        <w:rPr/>
      </w:pPr>
      <w:r>
        <w:rPr/>
        <w:t xml:space="preserve"> </w:t>
      </w:r>
    </w:p>
    <w:p>
      <w:pPr>
        <w:pStyle w:val="Normal"/>
        <w:rPr/>
      </w:pPr>
      <w:r>
        <w:rPr/>
        <w:t xml:space="preserve">Dajemo tu preporuku jer smatramo da je rodna situacija u EU-u daleko od zadovoljavajuće. Na europskoj razini trebala bi postojati usklađenost u pogledu rodne ravnopravnosti i građanskih prava kako bi se postigli ciljevi rodne ravnopravnosti i građanskih prava u svim zemljama, a ne samo u onima u kojima je kompromis jači. Predani smo prisutnosti i doprinosu žena na položajima moći i u svim vrstama zanimanja kako bismo imali raznoliku i ispunjenu Europsku uniju. Žene su u mnogim situacijama u nepovoljnom položaju (čak i kada imaju dobru razinu obrazovanja/certificirano visoko obrazovanje ili druge povlastice), pa je takva strategija apsolutno nužna. </w:t>
      </w:r>
    </w:p>
    <w:p>
      <w:pPr>
        <w:pStyle w:val="Normal"/>
        <w:rPr/>
      </w:pPr>
      <w:r>
        <w:rPr/>
      </w:r>
    </w:p>
    <w:p>
      <w:pPr>
        <w:pStyle w:val="P68B1DB1Normal15"/>
        <w:rPr>
          <w:b/>
          <w:b/>
        </w:rPr>
      </w:pPr>
      <w:r>
        <w:rPr/>
        <w:t xml:space="preserve">29. Preporučujemo da EU promiče i podiže svijest javnosti o sportu i tjelesnoj aktivnosti u svim državama članicama zbog njihovih zdravstvenih koristi. Sport i tjelesna aktivnost trebali bi biti uključeni u socijalne politike, politike o mentalnom i fizičkom zdravlju, obrazovanje i politike rada (tj. promicanje propisivanja sporta i/ili tjelesne aktivnosti od strane liječnika i, ako se to čini, osiguravanje pristupa sportskim objektima; 1 sat rada/tjedan za tjelesnu aktivnost itd.). </w:t>
      </w:r>
    </w:p>
    <w:p>
      <w:pPr>
        <w:pStyle w:val="Normal"/>
        <w:rPr/>
      </w:pPr>
      <w:r>
        <w:rPr/>
        <w:t xml:space="preserve"> </w:t>
      </w:r>
    </w:p>
    <w:p>
      <w:pPr>
        <w:pStyle w:val="Normal"/>
        <w:rPr/>
      </w:pPr>
      <w:r>
        <w:rPr/>
        <w:t xml:space="preserve">Donosimo ovu preporuku jer je riječ o dugoročnom ulaganju. Ulaganjem u sport i tjelesnu aktivnost smanjuju se troškovi i opterećenja zdravstvenih usluga. Primjerice, sport i tjelesna aktivnost kao zdravstvena intervencija smanjili bi trajanje liječenja i učinili ih učinkovitijima. Ta se strategija već uspješno provodi u nekim zemljama kao što je Njemačka. Sport je način za izgradnju vrijednosti kao što su predanost, trud, samopoštovanje, poštovanje ili prijateljstvo. Sjedilački način života češći je nego za prethodne generacije zbog, između ostalog, više uredskih poslova i/ili promjena u navikama u slobodno vrijeme. </w:t>
      </w:r>
    </w:p>
    <w:p>
      <w:pPr>
        <w:pStyle w:val="Normal"/>
        <w:rPr/>
      </w:pPr>
      <w:r>
        <w:rPr/>
      </w:r>
    </w:p>
    <w:p>
      <w:pPr>
        <w:pStyle w:val="P68B1DB1Normal15"/>
        <w:rPr>
          <w:b/>
          <w:b/>
        </w:rPr>
      </w:pPr>
      <w:r>
        <w:rPr/>
        <w:t xml:space="preserve">30. Preporučujemo da EU obveže svaku državu članicu da ima minimalnu plaću koja je definirana u skladu s troškovima života na njezinu državnom području i smatra se pravednom plaćom koja omogućuje minimalne životne uvjete iznad granice siromaštva. Svaka država članica mora je pratiti. </w:t>
      </w:r>
    </w:p>
    <w:p>
      <w:pPr>
        <w:pStyle w:val="Normal"/>
        <w:rPr/>
      </w:pPr>
      <w:r>
        <w:rPr/>
        <w:t xml:space="preserve"> </w:t>
      </w:r>
    </w:p>
    <w:p>
      <w:pPr>
        <w:pStyle w:val="Normal"/>
        <w:rPr/>
      </w:pPr>
      <w:r>
        <w:rPr/>
        <w:t xml:space="preserve">Donosimo ovu preporuku jer je nepravedno ne biti u mogućnosti doći do kraja mjeseca kada radimo. Pravedne plaće trebale bi doprinijeti kvaliteti života na društvenoj razini. Nepoštene plaće imaju visoke troškove za države (sigurnost, utaja poreza, viši socijalni troškovi itd.). </w:t>
      </w:r>
    </w:p>
    <w:p>
      <w:pPr>
        <w:pStyle w:val="Normal"/>
        <w:rPr/>
      </w:pPr>
      <w:r>
        <w:rPr/>
      </w:r>
    </w:p>
    <w:p>
      <w:pPr>
        <w:pStyle w:val="P68B1DB1Normal15"/>
        <w:rPr>
          <w:b/>
          <w:b/>
        </w:rPr>
      </w:pPr>
      <w:r>
        <w:rPr/>
        <w:t xml:space="preserve">31. Preporučujemo porezno usklađivanje u državama članicama na razini EU-a (kako bi se izbjegle porezne oaze u EU-u i suzbilo premještanje unutar Europe), kao i porezne poticaje za odvraćanje od premještanja radnih mjesta izvan Europe. </w:t>
      </w:r>
    </w:p>
    <w:p>
      <w:pPr>
        <w:pStyle w:val="Normal"/>
        <w:rPr/>
      </w:pPr>
      <w:r>
        <w:rPr/>
        <w:t xml:space="preserve"> </w:t>
      </w:r>
    </w:p>
    <w:p>
      <w:pPr>
        <w:pStyle w:val="Normal"/>
        <w:rPr/>
      </w:pPr>
      <w:r>
        <w:rPr/>
        <w:t xml:space="preserve">Dajemo tu preporuku jer smo zabrinuti zbog učinka preseljenja radnih mjesta izvan Europe i smatramo da bi se time spriječilo porezno natjecanje među državama članicama EU-a. </w:t>
      </w:r>
    </w:p>
    <w:p>
      <w:pPr>
        <w:pStyle w:val="Normal"/>
        <w:rPr/>
      </w:pPr>
      <w:r>
        <w:rPr/>
      </w:r>
    </w:p>
    <w:p>
      <w:pPr>
        <w:pStyle w:val="Titre3"/>
        <w:numPr>
          <w:ilvl w:val="2"/>
          <w:numId w:val="2"/>
        </w:numPr>
        <w:rPr/>
      </w:pPr>
      <w:bookmarkStart w:id="119" w:name="__RefHeading___Toc297173_1346298689"/>
      <w:bookmarkEnd w:id="119"/>
      <w:r>
        <w:rPr/>
        <w:t xml:space="preserve">OS 4 Učenje u Europi </w:t>
      </w:r>
    </w:p>
    <w:p>
      <w:pPr>
        <w:pStyle w:val="Normal"/>
        <w:rPr/>
      </w:pPr>
      <w:r>
        <w:rPr/>
        <w:t xml:space="preserve"> </w:t>
      </w:r>
    </w:p>
    <w:p>
      <w:pPr>
        <w:pStyle w:val="Titre4"/>
        <w:numPr>
          <w:ilvl w:val="3"/>
          <w:numId w:val="2"/>
        </w:numPr>
        <w:rPr/>
      </w:pPr>
      <w:bookmarkStart w:id="120" w:name="__RefHeading___Toc297175_1346298689"/>
      <w:bookmarkEnd w:id="120"/>
      <w:commentRangeStart w:id="2"/>
      <w:r>
        <w:rPr/>
        <w:t xml:space="preserve">Podos 4.1. Europski identitet/podos 4.2 Digitalno obrazovanje </w:t>
      </w:r>
      <w:commentRangeEnd w:id="2"/>
      <w:r>
        <w:commentReference w:id="2"/>
      </w:r>
      <w:r>
        <w:rPr/>
      </w:r>
    </w:p>
    <w:p>
      <w:pPr>
        <w:pStyle w:val="Normal"/>
        <w:rPr/>
      </w:pPr>
      <w:r>
        <w:rPr/>
        <w:t xml:space="preserve"> </w:t>
      </w:r>
    </w:p>
    <w:p>
      <w:pPr>
        <w:pStyle w:val="P68B1DB1Normal15"/>
        <w:rPr>
          <w:b/>
          <w:b/>
        </w:rPr>
      </w:pPr>
      <w:r>
        <w:rPr/>
        <w:t xml:space="preserve">32. Preporučamo promicanje višejezičnosti od rane dobi, primjerice u vrtiću. Počevši od osnovne škole, djeca bi trebala biti obvezna dosegnuti razinu C1 na aktivnom jeziku EU-a koji nije njihov vlastiti. </w:t>
      </w:r>
    </w:p>
    <w:p>
      <w:pPr>
        <w:pStyle w:val="Normal"/>
        <w:rPr/>
      </w:pPr>
      <w:r>
        <w:rPr/>
        <w:t xml:space="preserve"> </w:t>
      </w:r>
    </w:p>
    <w:p>
      <w:pPr>
        <w:pStyle w:val="Normal"/>
        <w:rPr/>
      </w:pPr>
      <w:r>
        <w:rPr/>
        <w:t xml:space="preserve">Dajemo ovu preporuku jer je višejezičnost alat koji povezuje građane i most s drugim kulturama, čineći druge zemlje i njihove kulture dostupnijima. Jača europski identitet i međukulturne razmjene. Važno je upoznati druge kulture u kontekstu Europske unije. Stoga bi sposobnost dobrog komuniciranja na dva jezika doprinijela stvaranju zajedničkog europskog identiteta i razumijevanju drugih europskih kultura. EU mora blisko surađivati s obrazovnim ustanovama kako bi postigao dobre rezultate u obrazovanju. Također je potrebno uspostaviti poseban program (npr. digitalne platforme, prošireni programi Erasmus+ itd.) kako bi se isključivo promicala višejezičnost. Postojeće europske škole mogu poslužiti kao model u tom pogledu. EU bi trebao osnovati i aktivno promicati više takvih škola. </w:t>
      </w:r>
    </w:p>
    <w:p>
      <w:pPr>
        <w:pStyle w:val="Normal"/>
        <w:rPr/>
      </w:pPr>
      <w:r>
        <w:rPr/>
      </w:r>
    </w:p>
    <w:p>
      <w:pPr>
        <w:pStyle w:val="P68B1DB1Normal15"/>
        <w:rPr>
          <w:b/>
          <w:b/>
        </w:rPr>
      </w:pPr>
      <w:r>
        <w:rPr/>
        <w:t xml:space="preserve">33. Preporučujemo da EU podigne svijest mladih o opasnostima interneta i digitalizacije stvaranjem obveznog predmeta u osnovnom obrazovanju. EU bi trebao razviti alate i stvoriti zajedničke prostore za osposobljavanje kako bi mladi mogli zajedno učiti. </w:t>
      </w:r>
    </w:p>
    <w:p>
      <w:pPr>
        <w:pStyle w:val="Normal"/>
        <w:rPr/>
      </w:pPr>
      <w:r>
        <w:rPr/>
        <w:t xml:space="preserve"> </w:t>
      </w:r>
    </w:p>
    <w:p>
      <w:pPr>
        <w:pStyle w:val="Normal"/>
        <w:rPr/>
      </w:pPr>
      <w:r>
        <w:rPr/>
        <w:t xml:space="preserve">Dajemo ovu preporuku jer trenutačne inicijative ili programi u tom području nisu dovoljni. Osim toga, mnogi građani EU-a nisu svjesni postojećih inicijativa EU-a u tim područjima. Djeca nisu dovoljno svjesna opasnosti interneta, zbog čega bismo trebali učiniti mnogo više kako bismo podigli svijest među mlađom generacijom. </w:t>
      </w:r>
    </w:p>
    <w:p>
      <w:pPr>
        <w:pStyle w:val="Normal"/>
        <w:rPr/>
      </w:pPr>
      <w:r>
        <w:rPr/>
        <w:t xml:space="preserve"> </w:t>
      </w:r>
    </w:p>
    <w:p>
      <w:pPr>
        <w:pStyle w:val="P68B1DB1Normal15"/>
        <w:rPr>
          <w:b/>
          <w:b/>
        </w:rPr>
      </w:pPr>
      <w:r>
        <w:rPr/>
        <w:t xml:space="preserve">34. Preporučujemo da EU radi na tome da tehnologija bude pristupačnija starijim osobama poticanjem programa i inicijativa, primjerice u obliku tečajeva prilagođenih njihovim potrebama. EU bi trebao zajamčiti pravo na upotrebu digitalne tehnologije onima koji je žele i predložiti alternative onima koji je ne žele. </w:t>
      </w:r>
    </w:p>
    <w:p>
      <w:pPr>
        <w:pStyle w:val="Normal"/>
        <w:rPr/>
      </w:pPr>
      <w:r>
        <w:rPr/>
        <w:t xml:space="preserve"> </w:t>
      </w:r>
    </w:p>
    <w:p>
      <w:pPr>
        <w:pStyle w:val="Normal"/>
        <w:rPr/>
      </w:pPr>
      <w:r>
        <w:rPr/>
        <w:t xml:space="preserve">Dajemo tu preporuku jer bi EU trebao osigurati da starije osobe mogu sudjelovati u digitalnom svijetu i da nitko ne bude diskriminiran. Potrebno je uspostaviti pojednostavljene alate za generacije s manje iskustva u korištenju određenih tehnologija kako bi ih se integriralo u današnji svijet. Preporučujemo bolje promicanje postojećih inicijativa kako bi građani bili svjesni tih inicijativa. Starije osobe ne bi trebalo diskriminirati u EU-u kad je riječ o upotrebi informatičkih alata. (Kao incident, to znači da bi građani trebali moći živjeti svoj život bez da moraju ići putem internetske mreže). EU bi trebao organizirati i staviti na raspolaganje starijim osobama trajnu besplatnu pomoć kako bi se olakšao pristup digitalnim alatima. </w:t>
      </w:r>
    </w:p>
    <w:p>
      <w:pPr>
        <w:pStyle w:val="Normal"/>
        <w:rPr/>
      </w:pPr>
      <w:r>
        <w:rPr/>
      </w:r>
    </w:p>
    <w:p>
      <w:pPr>
        <w:pStyle w:val="Titre4"/>
        <w:numPr>
          <w:ilvl w:val="3"/>
          <w:numId w:val="2"/>
        </w:numPr>
        <w:rPr/>
      </w:pPr>
      <w:bookmarkStart w:id="121" w:name="__RefHeading___Toc297177_1346298689"/>
      <w:bookmarkEnd w:id="121"/>
      <w:r>
        <w:rPr/>
        <w:t xml:space="preserve">Podosi 4.3 Kulturna razmjena/podos 4.4 Edukacija o okolišu </w:t>
      </w:r>
    </w:p>
    <w:p>
      <w:pPr>
        <w:pStyle w:val="Normal"/>
        <w:rPr/>
      </w:pPr>
      <w:r>
        <w:rPr/>
        <w:t xml:space="preserve"> </w:t>
      </w:r>
    </w:p>
    <w:p>
      <w:pPr>
        <w:pStyle w:val="P68B1DB1Normal15"/>
        <w:rPr>
          <w:b/>
          <w:b/>
        </w:rPr>
      </w:pPr>
      <w:r>
        <w:rPr/>
        <w:t xml:space="preserve">35. Preporučujemo da EU stvori platformu na kojoj će obrazovni materijali o klimatskim promjenama, održivosti i pitanjima okoliša biti dostupni u obrazovne svrhe. Takve bi se informacije trebale temeljiti na činjenicama, provjeriti stručnjaci i prilagođavati svakoj državi članici. Platforma: </w:t>
      </w:r>
    </w:p>
    <w:p>
      <w:pPr>
        <w:pStyle w:val="P68B1DB1Normal15"/>
        <w:rPr>
          <w:b/>
          <w:b/>
        </w:rPr>
      </w:pPr>
      <w:r>
        <w:rPr/>
        <w:t xml:space="preserve">● </w:t>
      </w:r>
      <w:r>
        <w:rPr/>
        <w:t xml:space="preserve">trebao bi uključivati lekcije za različite ciljne skupine, npr. za osobe koje žive u urbanim ili ruralnim područjima, sve dobne skupine i razine prethodnog znanja; </w:t>
      </w:r>
    </w:p>
    <w:p>
      <w:pPr>
        <w:pStyle w:val="P68B1DB1Normal15"/>
        <w:rPr>
          <w:b/>
          <w:b/>
        </w:rPr>
      </w:pPr>
      <w:r>
        <w:rPr/>
        <w:t xml:space="preserve">● </w:t>
      </w:r>
      <w:r>
        <w:rPr/>
        <w:t xml:space="preserve">mora biti dostupna svim državama članicama i biti lako dostupna; </w:t>
      </w:r>
    </w:p>
    <w:p>
      <w:pPr>
        <w:pStyle w:val="P68B1DB1Normal15"/>
        <w:rPr>
          <w:b/>
          <w:b/>
        </w:rPr>
      </w:pPr>
      <w:r>
        <w:rPr/>
        <w:t xml:space="preserve">● </w:t>
      </w:r>
      <w:r>
        <w:rPr/>
        <w:t xml:space="preserve">trebao bi u svoju provedbu uključiti plan promocije koji bi trebao uključivati dotična poduzeća; </w:t>
      </w:r>
    </w:p>
    <w:p>
      <w:pPr>
        <w:pStyle w:val="P68B1DB1Normal15"/>
        <w:rPr>
          <w:b/>
          <w:b/>
        </w:rPr>
      </w:pPr>
      <w:r>
        <w:rPr/>
        <w:t xml:space="preserve">● </w:t>
      </w:r>
      <w:r>
        <w:rPr/>
        <w:t xml:space="preserve">može se staviti na raspolaganje istodobno s programom financiranja za potporu upotrebi i provedbi informacija dostupnih na platformi. Tim bi se sredstvima također trebali podupirati terenski posjeti kako bi se predstavili konkretni primjeri. </w:t>
      </w:r>
    </w:p>
    <w:p>
      <w:pPr>
        <w:pStyle w:val="Normal"/>
        <w:rPr/>
      </w:pPr>
      <w:r>
        <w:rPr/>
        <w:t xml:space="preserve"> </w:t>
      </w:r>
    </w:p>
    <w:p>
      <w:pPr>
        <w:pStyle w:val="Normal"/>
        <w:rPr/>
      </w:pPr>
      <w:r>
        <w:rPr/>
        <w:t xml:space="preserve">Dajemo ovu preporuku jer ljudi svih dobnih skupina trebaju pristup činjeničnim informacijama o tome kako se nositi s klimatskim promjenama, održivošću i ekološkim pitanjima. Važne koncepte, kao što je ekološki otisak, moraju razumjeti svi, posebno mladi, jer ono što učimo djeca prati nas tijekom cijelog života. Te su teme složene, a dezinformacije su raširene. Potreban nam je pouzdan izvor, a EU ima vjerodostojnost i resurse za preuzimanje te uloge. To je također važno jer se razine znanja i pristupa vjerodostojnim informacijama razlikuju među državama članicama. </w:t>
      </w:r>
    </w:p>
    <w:p>
      <w:pPr>
        <w:pStyle w:val="Normal"/>
        <w:rPr/>
      </w:pPr>
      <w:r>
        <w:rPr/>
      </w:r>
    </w:p>
    <w:p>
      <w:pPr>
        <w:pStyle w:val="P68B1DB1Normal15"/>
        <w:rPr>
          <w:b/>
          <w:b/>
        </w:rPr>
      </w:pPr>
      <w:r>
        <w:rPr/>
        <w:t xml:space="preserve">36. Preporučujemo da EU prednost daje osiguravanju dostupnosti programa razmjene svima (dobnim skupinama, državama članicama, razini obrazovanja i financijskim kapacitetima) te omogućavanju pripravništva ili razmjene među sektorima, zemljama, obrazovnim ustanovama, gradovima i poduzećima. EU bi trebao biti odgovoran za pokretanje, posredovanje i financiranje kulturnih i društvenih razmjena diljem EU-a, i fizičkih i digitalnih. EU mora aktivno promicati te inicijative i usmjeriti se na osobe koje još nisu upoznate s programima kulturne i socijalne razmjene. Konferencija o budućnosti Europe, za koju su građani nasumično odabrani, savršen je primjer europske razmjene. Želimo više inicijativa ove vrste, ali želimo i manje inicijative, kao i razmjene u području sporta, glazbe, (društvenog) stažiranja itd. </w:t>
      </w:r>
    </w:p>
    <w:p>
      <w:pPr>
        <w:pStyle w:val="P68B1DB1Normal15"/>
        <w:rPr>
          <w:b/>
          <w:b/>
        </w:rPr>
      </w:pPr>
      <w:r>
        <w:rPr/>
        <w:t xml:space="preserve"> </w:t>
      </w:r>
    </w:p>
    <w:p>
      <w:pPr>
        <w:pStyle w:val="Normal"/>
        <w:rPr/>
      </w:pPr>
      <w:r>
        <w:rPr/>
        <w:t xml:space="preserve">Dajemo ovu preporuku jer je važno stvoriti osjećaj pripadnosti i kohezije te promicati toleranciju prema našoj veličanstvenoj raznolikosti i perspektivama, kao i razvoju individualnih vještina. Ovaj proces će razviti prijateljstva, međusobno razumijevanje i kritičko razmišljanje. Želimo promicati angažman svih članova naših zajednica, čak i onih koji do sada nisu sudjelovali u takvim inicijativama. </w:t>
      </w:r>
    </w:p>
    <w:p>
      <w:pPr>
        <w:pStyle w:val="Normal"/>
        <w:rPr/>
      </w:pPr>
      <w:r>
        <w:rPr/>
      </w:r>
    </w:p>
    <w:p>
      <w:pPr>
        <w:pStyle w:val="Titre4"/>
        <w:numPr>
          <w:ilvl w:val="3"/>
          <w:numId w:val="2"/>
        </w:numPr>
        <w:rPr/>
      </w:pPr>
      <w:bookmarkStart w:id="122" w:name="__RefHeading___Toc297179_1346298689"/>
      <w:bookmarkEnd w:id="122"/>
      <w:r>
        <w:rPr/>
        <w:t xml:space="preserve">Podos 4.5 Kvaliteta, financiranje i pristup obrazovanju/Podos 4.6 Usklađivanje obrazovanja </w:t>
      </w:r>
    </w:p>
    <w:p>
      <w:pPr>
        <w:pStyle w:val="Normal"/>
        <w:rPr/>
      </w:pPr>
      <w:r>
        <w:rPr/>
        <w:t xml:space="preserve"> </w:t>
      </w:r>
    </w:p>
    <w:p>
      <w:pPr>
        <w:pStyle w:val="P68B1DB1Normal15"/>
        <w:rPr>
          <w:b/>
          <w:b/>
        </w:rPr>
      </w:pPr>
      <w:r>
        <w:rPr/>
        <w:t xml:space="preserve">37. Preporučujemo da sve države članice definiraju i usvoje minimalni standard certificiranog obrazovanja u osnovnim predmetima od osnovne škole nadalje. Cilj je osigurati da svi građani imaju jednak pristup kvalitetnom obrazovanju kojim se jamči jednakost i jednakost. </w:t>
      </w:r>
    </w:p>
    <w:p>
      <w:pPr>
        <w:pStyle w:val="Normal"/>
        <w:rPr/>
      </w:pPr>
      <w:r>
        <w:rPr/>
      </w:r>
    </w:p>
    <w:p>
      <w:pPr>
        <w:pStyle w:val="Normal"/>
        <w:rPr/>
      </w:pPr>
      <w:r>
        <w:rPr/>
        <w:t xml:space="preserve">Ovu preporuku donosimo iz sljedećih razloga: </w:t>
      </w:r>
    </w:p>
    <w:p>
      <w:pPr>
        <w:pStyle w:val="Normal"/>
        <w:rPr/>
      </w:pPr>
      <w:r>
        <w:rPr/>
        <w:t xml:space="preserve">● </w:t>
      </w:r>
      <w:r>
        <w:rPr/>
        <w:t xml:space="preserve">postojanjem minimalnog standarda povećalo bi se povjerenje roditelja, nastavnika i učenika u njihove obrazovne sustave, a istodobno bi se ostavilo prostora za inicijativu i raznolikost. </w:t>
      </w:r>
    </w:p>
    <w:p>
      <w:pPr>
        <w:pStyle w:val="Normal"/>
        <w:rPr/>
      </w:pPr>
      <w:r>
        <w:rPr/>
        <w:t xml:space="preserve">Ako se provede, naša preporuka ojačat će i ojačati zajednički europski identitet, potičući koheziju, jedinstvo i osjećaj pripadnosti. </w:t>
      </w:r>
    </w:p>
    <w:p>
      <w:pPr>
        <w:pStyle w:val="Normal"/>
        <w:rPr/>
      </w:pPr>
      <w:r>
        <w:rPr/>
        <w:t xml:space="preserve">● </w:t>
      </w:r>
      <w:r>
        <w:rPr/>
        <w:t xml:space="preserve">Provedbom ove preporuke ojačala bi se suradnja i razmjena među školama diljem EU-a, čime bi se poboljšali odnosi između nastavnog osoblja i učenika i uvelike olakšali programi razmjene. </w:t>
      </w:r>
    </w:p>
    <w:p>
      <w:pPr>
        <w:pStyle w:val="Normal"/>
        <w:rPr/>
      </w:pPr>
      <w:r>
        <w:rPr/>
      </w:r>
    </w:p>
    <w:p>
      <w:pPr>
        <w:pStyle w:val="P68B1DB1Normal15"/>
        <w:rPr>
          <w:b/>
          <w:b/>
        </w:rPr>
      </w:pPr>
      <w:r>
        <w:rPr/>
        <w:t xml:space="preserve">38. Preporučujemo da se engleski, u skladu sa standardom koji se može certificirati, podučava kao glavni predmet u osnovnim školama u svim državama članicama EU-a kako bi se olakšala i ojačala sposobnost europskih građana da učinkovito komuniciraju. </w:t>
      </w:r>
    </w:p>
    <w:p>
      <w:pPr>
        <w:pStyle w:val="Normal"/>
        <w:rPr/>
      </w:pPr>
      <w:r>
        <w:rPr/>
        <w:t xml:space="preserve"> </w:t>
      </w:r>
    </w:p>
    <w:p>
      <w:pPr>
        <w:pStyle w:val="Normal"/>
        <w:rPr/>
      </w:pPr>
      <w:r>
        <w:rPr/>
        <w:t xml:space="preserve">Ovu preporuku donosimo iz sljedećih razloga: </w:t>
      </w:r>
    </w:p>
    <w:p>
      <w:pPr>
        <w:pStyle w:val="Normal"/>
        <w:rPr/>
      </w:pPr>
      <w:r>
        <w:rPr/>
        <w:t xml:space="preserve">● </w:t>
      </w:r>
      <w:r>
        <w:rPr/>
        <w:t xml:space="preserve">time bi se omogućilo veće jedinstvo i jednakost jačanjem sposobnosti građana da međusobno komuniciraju i podupru snažniji zajednički europski identitet; </w:t>
      </w:r>
    </w:p>
    <w:p>
      <w:pPr>
        <w:pStyle w:val="Normal"/>
        <w:rPr/>
      </w:pPr>
      <w:r>
        <w:rPr/>
        <w:t xml:space="preserve">to bi proširilo tržište rada i učinilo ga fleksibilnijim i pristupačnijim, čime bi se građanima pružilo povjerenje da rade i komuniciraju u svim drugim državama članicama koje nude više osobnih i profesionalnih perspektiva. </w:t>
      </w:r>
    </w:p>
    <w:p>
      <w:pPr>
        <w:pStyle w:val="Normal"/>
        <w:rPr/>
      </w:pPr>
      <w:r>
        <w:rPr/>
        <w:t xml:space="preserve">● </w:t>
      </w:r>
      <w:r>
        <w:rPr/>
        <w:t xml:space="preserve">takvim bi se pristupom omogućilo širenje zajedničkog europskog jezika u vrlo kratkom roku; </w:t>
      </w:r>
    </w:p>
    <w:p>
      <w:pPr>
        <w:pStyle w:val="Normal"/>
        <w:rPr/>
      </w:pPr>
      <w:r>
        <w:rPr/>
        <w:t xml:space="preserve">● </w:t>
      </w:r>
      <w:r>
        <w:rPr/>
        <w:t xml:space="preserve">uporabom zajedničkog jezika ubrzava se razmjena informacija, što bi pogodovalo suradnji, zajedničkom odgovoru na krizu, humanitarnoj pomoći i približavanju Europe i Europljana. </w:t>
      </w:r>
    </w:p>
    <w:p>
      <w:pPr>
        <w:pStyle w:val="Normal"/>
        <w:rPr/>
      </w:pPr>
      <w:r>
        <w:rPr/>
      </w:r>
    </w:p>
    <w:p>
      <w:pPr>
        <w:pStyle w:val="Titre3"/>
        <w:numPr>
          <w:ilvl w:val="2"/>
          <w:numId w:val="2"/>
        </w:numPr>
        <w:rPr/>
      </w:pPr>
      <w:bookmarkStart w:id="123" w:name="__RefHeading___Toc297181_1346298689"/>
      <w:bookmarkEnd w:id="123"/>
      <w:r>
        <w:rPr/>
        <w:t xml:space="preserve">Os 5. etička i sigurna digitalna transformacija </w:t>
      </w:r>
    </w:p>
    <w:p>
      <w:pPr>
        <w:pStyle w:val="Normal"/>
        <w:rPr/>
      </w:pPr>
      <w:r>
        <w:rPr/>
        <w:t xml:space="preserve"> </w:t>
      </w:r>
    </w:p>
    <w:p>
      <w:pPr>
        <w:pStyle w:val="Titre4"/>
        <w:numPr>
          <w:ilvl w:val="3"/>
          <w:numId w:val="2"/>
        </w:numPr>
        <w:rPr/>
      </w:pPr>
      <w:bookmarkStart w:id="124" w:name="__RefHeading___Toc297183_1346298689"/>
      <w:bookmarkEnd w:id="124"/>
      <w:commentRangeStart w:id="3"/>
      <w:r>
        <w:rPr/>
        <w:t xml:space="preserve">Podos 5.1 Demokratizacija digitalne transformacije/podosi 5.2 Kibersigurnost </w:t>
      </w:r>
      <w:commentRangeEnd w:id="3"/>
      <w:r>
        <w:commentReference w:id="3"/>
      </w:r>
      <w:r>
        <w:rPr/>
      </w:r>
    </w:p>
    <w:p>
      <w:pPr>
        <w:pStyle w:val="Normal"/>
        <w:rPr/>
      </w:pPr>
      <w:r>
        <w:rPr/>
        <w:t xml:space="preserve"> </w:t>
      </w:r>
    </w:p>
    <w:p>
      <w:pPr>
        <w:pStyle w:val="P68B1DB1Normal15"/>
        <w:rPr>
          <w:b/>
          <w:b/>
        </w:rPr>
      </w:pPr>
      <w:r>
        <w:rPr/>
        <w:t xml:space="preserve">39. Preporučujemo da EU ima više ovlasti za borbu protiv nezakonitog sadržaja i kiberkriminaliteta. Sud preporučuje jačanje kapaciteta Europola/Europskog centra za kibernetički kriminal, uključujući: </w:t>
      </w:r>
    </w:p>
    <w:p>
      <w:pPr>
        <w:pStyle w:val="P68B1DB1Normal15"/>
        <w:rPr>
          <w:b/>
          <w:b/>
        </w:rPr>
      </w:pPr>
      <w:r>
        <w:rPr/>
        <w:t xml:space="preserve">● </w:t>
      </w:r>
      <w:r>
        <w:rPr/>
        <w:t xml:space="preserve">povećanje financijskih sredstava i osoblja </w:t>
      </w:r>
    </w:p>
    <w:p>
      <w:pPr>
        <w:pStyle w:val="P68B1DB1Normal15"/>
        <w:rPr>
          <w:b/>
          <w:b/>
        </w:rPr>
      </w:pPr>
      <w:r>
        <w:rPr/>
        <w:t xml:space="preserve">● </w:t>
      </w:r>
      <w:r>
        <w:rPr/>
        <w:t xml:space="preserve">jamčenje sličnih sankcija u svakoj zemlji ● osiguravanje brze i učinkovite kontrole zakonitosti </w:t>
      </w:r>
    </w:p>
    <w:p>
      <w:pPr>
        <w:pStyle w:val="Normal"/>
        <w:rPr/>
      </w:pPr>
      <w:r>
        <w:rPr/>
        <w:t xml:space="preserve"> </w:t>
      </w:r>
    </w:p>
    <w:p>
      <w:pPr>
        <w:pStyle w:val="Normal"/>
        <w:rPr/>
      </w:pPr>
      <w:r>
        <w:rPr/>
        <w:t xml:space="preserve">Dajemo ovu preporuku kako bismo osigurali slobodu na internetu, osiguravajući pritom kažnjavanje diskriminacije, zlostavljanja i uznemiravanja. Podržavamo ideju europskog javnog tijela jer regulaciju internetskih platformi ne želimo prepustiti samo privatnim poduzećima. Internetske platforme moraju preuzeti odgovornost za distribuirani sadržaj, ali želimo osigurati da njihovi interesi ne prevladavaju. Reguliranje sadržaja i kazneni progon počinitelja moraju biti pravovremeni i učinkoviti kako bi imali odvraćajući učinak i na zlonamjerne pojedince. </w:t>
      </w:r>
    </w:p>
    <w:p>
      <w:pPr>
        <w:pStyle w:val="Normal"/>
        <w:rPr/>
      </w:pPr>
      <w:r>
        <w:rPr/>
      </w:r>
    </w:p>
    <w:p>
      <w:pPr>
        <w:pStyle w:val="P68B1DB1Normal15"/>
        <w:rPr>
          <w:b/>
          <w:b/>
        </w:rPr>
      </w:pPr>
      <w:r>
        <w:rPr/>
        <w:t xml:space="preserve">40. Preporučujemo da EU ulaže u inovativnu i visokokvalitetnu digitalnu infrastrukturu (kao što je razvoj 5G tehnologije u Europi) kako bi se osigurala autonomija Europe i spriječila ovisnost o trećim zemljama ili privatnim poduzećima. EU bi također trebao posvetiti posebnu pozornost ulaganjima u svojim regijama koje zaostaju. </w:t>
      </w:r>
    </w:p>
    <w:p>
      <w:pPr>
        <w:pStyle w:val="Normal"/>
        <w:rPr/>
      </w:pPr>
      <w:r>
        <w:rPr/>
        <w:t xml:space="preserve"> </w:t>
      </w:r>
    </w:p>
    <w:p>
      <w:pPr>
        <w:pStyle w:val="Normal"/>
        <w:rPr/>
      </w:pPr>
      <w:r>
        <w:rPr/>
        <w:t xml:space="preserve">Tu preporuku dajemo jer digitalna infrastruktura ima ključnu ulogu u europskom gospodarstvu, kao i u svakodnevnom životu Europljana, što olakšava. Europi je stoga potrebna visokokvalitetna digitalna infrastruktura. Ako ovisi o trećim stranama, Europa može biti osjetljiva na negativne utjecaje privatnih poduzeća ili stranih zemalja. Europa bi stoga trebala ulagati u digitalnu infrastrukturu kako bi poboljšala svoju autonomiju. Također je važno osigurati digitalnu uključenost osiguravanjem da manje digitalno razvijene regije imaju koristi od ulaganja. </w:t>
      </w:r>
    </w:p>
    <w:p>
      <w:pPr>
        <w:pStyle w:val="Normal"/>
        <w:rPr/>
      </w:pPr>
      <w:r>
        <w:rPr/>
      </w:r>
    </w:p>
    <w:p>
      <w:pPr>
        <w:pStyle w:val="P68B1DB1Normal15"/>
        <w:rPr>
          <w:b/>
          <w:b/>
        </w:rPr>
      </w:pPr>
      <w:r>
        <w:rPr/>
        <w:t xml:space="preserve">41. Preporučujemo da EU promiče obrazovanje o lažnim vijestima, dezinformacijama i sigurnosti na internetu u europskim školama. Trebala bi se oslanjati na primjere dobre prakse iz cijelog EU-a. EU bi trebao osnovati organizaciju koja će biti posebno odgovorna za promicanje tog rada i davanje preporuka obrazovnim sustavima. Njime bi se također trebalo promicati neformalno obrazovanje te inovativne i kreativne tehnike poučavanja (npr. participativne igre). </w:t>
      </w:r>
    </w:p>
    <w:p>
      <w:pPr>
        <w:pStyle w:val="Normal"/>
        <w:rPr/>
      </w:pPr>
      <w:r>
        <w:rPr/>
      </w:r>
    </w:p>
    <w:p>
      <w:pPr>
        <w:pStyle w:val="Normal"/>
        <w:rPr/>
      </w:pPr>
      <w:r>
        <w:rPr/>
        <w:t xml:space="preserve">Dajemo ovu preporuku jer je uvođenje tečajeva o internetskoj sigurnosti i kulturi digitalne sigurnosti (borba protiv prijevara na internetu, lažnih vijesti itd.) u školi važno kako bi se svima pružili alati za zaštitu od prijetnji na internetu. Važno je usmjeriti se na mlade koji su vrlo izloženi takvim prijetnjama. Škole također mogu komunicirati s roditeljima kako bi promicale dobre prakse. Ti se tečajevi mogu temeljiti na primjerima dobre prakse u Europi (npr. Finskoj), uz prilagodbu potrebama svake zemlje. </w:t>
      </w:r>
    </w:p>
    <w:p>
      <w:pPr>
        <w:pStyle w:val="Normal"/>
        <w:rPr/>
      </w:pPr>
      <w:r>
        <w:rPr/>
        <w:t xml:space="preserve"> </w:t>
      </w:r>
    </w:p>
    <w:p>
      <w:pPr>
        <w:pStyle w:val="Titre4"/>
        <w:numPr>
          <w:ilvl w:val="3"/>
          <w:numId w:val="2"/>
        </w:numPr>
        <w:rPr/>
      </w:pPr>
      <w:bookmarkStart w:id="125" w:name="__RefHeading___Toc297185_1346298689"/>
      <w:bookmarkEnd w:id="125"/>
      <w:r>
        <w:rPr/>
        <w:t xml:space="preserve">Podos 5.3 Zaštita podataka </w:t>
      </w:r>
    </w:p>
    <w:p>
      <w:pPr>
        <w:pStyle w:val="Normal"/>
        <w:rPr/>
      </w:pPr>
      <w:r>
        <w:rPr/>
        <w:t xml:space="preserve"> </w:t>
      </w:r>
    </w:p>
    <w:p>
      <w:pPr>
        <w:pStyle w:val="P68B1DB1Normal15"/>
        <w:rPr>
          <w:b/>
          <w:b/>
        </w:rPr>
      </w:pPr>
      <w:r>
        <w:rPr/>
        <w:t xml:space="preserve">42. Preporučujemo daljnje ograničavanje zlouporabe podataka od strane „podatkovnih divova” povećanjem usklađenosti s Općom uredbom o zaštiti podataka (Općom uredbom o zaštiti podataka), stvaranjem standardiziranijih mehanizama diljem EU-a i osiguravanjem da čak i neeuropska poduzeća koja posluju u EU-u poštuju ovu uredbu. Tim bi se poboljšanjem trebalo pružiti jasno i sažeto objašnjenje uvjeta uporabe podataka kako bi se izbjegla dvosmislenost i pružanje dodatnih informacija o tome kako će se podaci upotrebljavati i tko će ih upotrebljavati te kako bi se izbjegla privola za ponovnu uporabu i preprodaju podataka kao zadana opcija. Trebala bi osigurati trajno brisanje podataka na zahtjev građanina. Njime bi se također trebala poboljšati dosljednost praćenja usklađenosti s pravilima u pogledu izrade profila pojedinaca na temelju njihovih internetskih aktivnosti. Predlažemo dvije vrste sankcija: novčana kazna proporcionalna prometu i ograničenjima poslovanja društva. </w:t>
      </w:r>
    </w:p>
    <w:p>
      <w:pPr>
        <w:pStyle w:val="Normal"/>
        <w:rPr/>
      </w:pPr>
      <w:r>
        <w:rPr/>
        <w:t xml:space="preserve"> </w:t>
      </w:r>
    </w:p>
    <w:p>
      <w:pPr>
        <w:pStyle w:val="Normal"/>
        <w:rPr/>
      </w:pPr>
      <w:r>
        <w:rPr/>
        <w:t xml:space="preserve">Dajemo ovu preporuku jer je transparentnost trenutno vrlo ograničena u pogledu vrste prikupljenih podataka, načina njihove obrade i identiteta onih kojima se oni prodaju. Moramo dodatno ograničiti zlouporabu ovlasti od strane podatkovnih divova i osigurati da građani svjesno pristanu na obradu njihovih podataka. </w:t>
      </w:r>
    </w:p>
    <w:p>
      <w:pPr>
        <w:pStyle w:val="Normal"/>
        <w:rPr/>
      </w:pPr>
      <w:r>
        <w:rPr/>
        <w:t xml:space="preserve"> </w:t>
      </w:r>
    </w:p>
    <w:p>
      <w:pPr>
        <w:pStyle w:val="P68B1DB1Normal15"/>
        <w:rPr>
          <w:b/>
          <w:b/>
        </w:rPr>
      </w:pPr>
      <w:r>
        <w:rPr/>
        <w:t xml:space="preserve">43. Preporučujemo osnivanje neovisne paneuropske agencije koja bi trebala jasno definirati nametljivo ponašanje (npr. spam) i izraditi smjernice o tome kako se građani mogu suprotstaviti obradi svojih podataka i dobiti njihovo brisanje, posebno od trećih strana. Ta agencija mora imati mandat za utvrđivanje i sankcioniranje prevaranata i organizacija koje ne poštuju pravila. Trebao bi se usredotočiti na osiguravanje usklađenosti subjekata s poslovnim nastanom izvan EU-a, ali koji ondje posluju, s pravilima EU-a. Financirale bi ga institucije EU-a, a sastojao bi se od zajedničkog odbora neovisnih tijela (tj. stručnjaka iz akademske zajednice i subjekata koji predstavljaju stručnjake). To bi trebao imati rotirajući praesidium. Predlažemo dvije vrste sankcija: novčana kazna proporcionalna prometu poduzetnika i ograničenjima djelatnosti poduzetnika. </w:t>
      </w:r>
    </w:p>
    <w:p>
      <w:pPr>
        <w:pStyle w:val="Normal"/>
        <w:rPr/>
      </w:pPr>
      <w:r>
        <w:rPr/>
      </w:r>
    </w:p>
    <w:p>
      <w:pPr>
        <w:pStyle w:val="Normal"/>
        <w:rPr/>
      </w:pPr>
      <w:r>
        <w:rPr/>
        <w:t xml:space="preserve">Ovu preporuku dajemo jer ne postoji središnja agencija sa snažnim mandatom koja može pomoći građanima, posebno kada imaju problema i trebaju pomoć, savjet ili potporu. Ne postoje jasna i obvezujuća pravila koja poduzeća moraju slijediti. Kad je riječ o sankcijama, one se ne primjenjuju ili imaju zanemariv učinak na poduzeća. </w:t>
      </w:r>
    </w:p>
    <w:p>
      <w:pPr>
        <w:pStyle w:val="Normal"/>
        <w:rPr/>
      </w:pPr>
      <w:r>
        <w:rPr/>
        <w:t xml:space="preserve"> </w:t>
      </w:r>
    </w:p>
    <w:p>
      <w:pPr>
        <w:pStyle w:val="P68B1DB1Normal15"/>
        <w:rPr>
          <w:b/>
          <w:b/>
        </w:rPr>
      </w:pPr>
      <w:r>
        <w:rPr/>
        <w:t xml:space="preserve">44. Preporučujemo stvaranje certifikacijskog sustava EU-a kojim bi se na transparentan način pokazala usklađenost s GDPR-om (Općom uredbom o zaštiti podataka) i kojim bi se osiguralo da se informacije o zaštiti podataka prikazuju na pristupačan, jasan i jednostavan način. Ta bi potvrda bila obvezna i vidljiva na internetskim stranicama i platformama. Trebao bi ga izdati neovisni certifikator na europskoj razini, postojeći ili osnovan u tu svrhu, koji ne bi bio povezan s nacionalnim vladama ili privatnim sektorom. </w:t>
      </w:r>
    </w:p>
    <w:p>
      <w:pPr>
        <w:pStyle w:val="Normal"/>
        <w:rPr/>
      </w:pPr>
      <w:r>
        <w:rPr/>
        <w:t xml:space="preserve"> </w:t>
      </w:r>
    </w:p>
    <w:p>
      <w:pPr>
        <w:pStyle w:val="Normal"/>
        <w:rPr/>
      </w:pPr>
      <w:r>
        <w:rPr/>
        <w:t xml:space="preserve">Dajemo ovu preporuku jer trenutno postoji malo ili nimalo transparentnosti o tome kako su podaci zaštićeni od strane svake tvrtke, a korisnici/kupci ne mogu donositi informirane odluke. </w:t>
      </w:r>
    </w:p>
    <w:p>
      <w:pPr>
        <w:pStyle w:val="Normal"/>
        <w:rPr/>
      </w:pPr>
      <w:r>
        <w:rPr/>
      </w:r>
    </w:p>
    <w:p>
      <w:pPr>
        <w:pStyle w:val="P68B1DB1Normal15"/>
        <w:rPr>
          <w:b/>
          <w:b/>
        </w:rPr>
      </w:pPr>
      <w:r>
        <w:rPr/>
        <w:t xml:space="preserve">45. Preporučujemo bolje objašnjenje Opće uredbe o zaštiti podataka (Opća uredba o zaštiti podataka) i poboljšanje komunikacije o njoj stvaranjem standardnog teksta o usklađenosti koji koristi jednostavan i jasan jezik, razumljiv svima. Ovaj bi tekst trebao sadržavati ključnu poruku i/ili temeljna načela. Postupak privole trebao bi biti vizualniji (npr. zahtjev za izričito odobrenje telefonskog pristupa putem zahtjeva). Trebala bi biti popraćena informativnom kampanjom (uključujući televiziju) i, sustavno, obveznim tečajevima (barem za one koji rade s podacima) te savjetima o namjeri onih kojima je potrebna pomoć. </w:t>
      </w:r>
    </w:p>
    <w:p>
      <w:pPr>
        <w:pStyle w:val="Normal"/>
        <w:rPr/>
      </w:pPr>
      <w:r>
        <w:rPr/>
        <w:t xml:space="preserve"> </w:t>
      </w:r>
    </w:p>
    <w:p>
      <w:pPr>
        <w:pStyle w:val="Normal"/>
        <w:rPr/>
      </w:pPr>
      <w:r>
        <w:rPr/>
        <w:t xml:space="preserve">Dajemo ovu preporuku jer je tekst Opće uredbe o zaštiti podataka trenutačno previše nejasan i previše tehnički, a količina informacija je golema i nije dostupna svima. Komunikacija također nije slična u svim zemljama i često isključuje različite skupine, uglavnom starije osobe i osobe rođene prije digitalizacije. </w:t>
      </w:r>
    </w:p>
    <w:p>
      <w:pPr>
        <w:pStyle w:val="Normal"/>
        <w:rPr/>
      </w:pPr>
      <w:r>
        <w:rPr/>
      </w:r>
    </w:p>
    <w:p>
      <w:pPr>
        <w:pStyle w:val="Titre4"/>
        <w:numPr>
          <w:ilvl w:val="3"/>
          <w:numId w:val="2"/>
        </w:numPr>
        <w:rPr/>
      </w:pPr>
      <w:bookmarkStart w:id="126" w:name="__RefHeading___Toc297187_1346298689"/>
      <w:bookmarkEnd w:id="126"/>
      <w:r>
        <w:rPr/>
        <w:t xml:space="preserve">Podos 5.4 Digitalna transformacija i zdravlje </w:t>
      </w:r>
    </w:p>
    <w:p>
      <w:pPr>
        <w:pStyle w:val="Normal"/>
        <w:rPr/>
      </w:pPr>
      <w:r>
        <w:rPr/>
        <w:t xml:space="preserve"> </w:t>
      </w:r>
    </w:p>
    <w:p>
      <w:pPr>
        <w:pStyle w:val="P68B1DB1Normal15"/>
        <w:rPr>
          <w:b/>
          <w:b/>
        </w:rPr>
      </w:pPr>
      <w:r>
        <w:rPr/>
        <w:t xml:space="preserve">46. Preporučujemo da EU riješi problem „lažnih informacija” na dva načina: </w:t>
      </w:r>
    </w:p>
    <w:p>
      <w:pPr>
        <w:pStyle w:val="P68B1DB1Normal15"/>
        <w:rPr>
          <w:b/>
          <w:b/>
        </w:rPr>
      </w:pPr>
      <w:r>
        <w:rPr/>
        <w:t xml:space="preserve">● </w:t>
      </w:r>
      <w:r>
        <w:rPr/>
        <w:t xml:space="preserve">zakonodavstvo kojim se poduzećima društvenih medija omogućuje primjena algoritama strojnog učenja kojima se može istaknuti pouzdanost informacija na društvenim medijima i novim medijima, pružajući korisniku provjerene izvore informacija. Preporučujemo da algoritme kontroliraju stručnjaci kako bi se osiguralo njihovo pravilno funkcioniranje; </w:t>
      </w:r>
    </w:p>
    <w:p>
      <w:pPr>
        <w:pStyle w:val="P68B1DB1Normal15"/>
        <w:rPr>
          <w:b/>
          <w:b/>
        </w:rPr>
      </w:pPr>
      <w:r>
        <w:rPr/>
        <w:t xml:space="preserve">● </w:t>
      </w:r>
      <w:r>
        <w:rPr/>
        <w:t xml:space="preserve">uspostava digitalne platforme za dodjelu rezultata informacijama iz tradicionalnih medija (npr. televizije, tiska, radija) bez obzira na političke i gospodarske interese te kojom se građane informira o kvaliteti informacija bez primjene bilo kakvog oblika cenzure. Ta bi platforma trebala podlijegati javnom nadzoru i poštovati najviše standarde transparentnosti, a EU bi trebao osigurati da se sredstva koja su joj dodijeljena koriste u predviđenu svrhu. </w:t>
      </w:r>
    </w:p>
    <w:p>
      <w:pPr>
        <w:pStyle w:val="Normal"/>
        <w:rPr/>
      </w:pPr>
      <w:r>
        <w:rPr/>
        <w:t xml:space="preserve"> </w:t>
      </w:r>
    </w:p>
    <w:p>
      <w:pPr>
        <w:pStyle w:val="Normal"/>
        <w:rPr/>
      </w:pPr>
      <w:r>
        <w:rPr/>
        <w:t xml:space="preserve">Dajemo ovu preporuku jer su različite vrste medija zabrinute i vjerujemo da bi sankcije ili uklanjanje sadržaja mogli dovesti do cenzure i potkopati slobodu izražavanja i slobodu tiska. Preporučujemo da stručnjaci provjere i kontroliraju pravilno funkcioniranje algoritma kako bi se osiguralo da funkcionira ispravno. Naposljetku, preporučujemo da platforma bude apolitična i neovisna kako bi se osigurala transparentnost i sloboda izražavanja. Nadalje, budući da je nemoguće u potpunosti se riješiti lažnih informacija, stavljanje tih alata na raspolaganje građanima pomoći će u smanjenju njihovih učinaka u Europi. </w:t>
      </w:r>
    </w:p>
    <w:p>
      <w:pPr>
        <w:pStyle w:val="Normal"/>
        <w:rPr/>
      </w:pPr>
      <w:r>
        <w:rPr/>
        <w:t xml:space="preserve"> </w:t>
      </w:r>
    </w:p>
    <w:p>
      <w:pPr>
        <w:pStyle w:val="P68B1DB1Normal15"/>
        <w:rPr>
          <w:b/>
          <w:b/>
        </w:rPr>
      </w:pPr>
      <w:r>
        <w:rPr/>
        <w:t xml:space="preserve">47. Preporučujemo da EU provede različite mjere kako bi se osiguralo zdravo korištenje interneta: </w:t>
      </w:r>
    </w:p>
    <w:p>
      <w:pPr>
        <w:pStyle w:val="P68B1DB1Normal15"/>
        <w:rPr>
          <w:b/>
          <w:b/>
        </w:rPr>
      </w:pPr>
      <w:r>
        <w:rPr/>
        <w:t xml:space="preserve">● </w:t>
      </w:r>
      <w:r>
        <w:rPr/>
        <w:t xml:space="preserve">Prije svega, EU treba riješiti problem nedostatka infrastrukture i opreme koji građanima onemogućuju pristup internetu; </w:t>
      </w:r>
    </w:p>
    <w:p>
      <w:pPr>
        <w:pStyle w:val="P68B1DB1Normal15"/>
        <w:rPr>
          <w:b/>
          <w:b/>
        </w:rPr>
      </w:pPr>
      <w:r>
        <w:rPr/>
        <w:t xml:space="preserve">Nadalje, preporučujemo da EU potakne države članice da uvedu osposobljavanje na internetu i njegove rizike za sve dobne skupine. To bi se moglo postići uvođenjem tečajeva u školama za djecu i mlade te izradom različitih kurikuluma i kurikuluma kako bi se doprlo do odraslih i starijih građana. Sadržaj tih tečajeva trebala bi utvrditi skupina neovisnih stručnjaka na europskoj razini. </w:t>
      </w:r>
    </w:p>
    <w:p>
      <w:pPr>
        <w:pStyle w:val="P68B1DB1Normal15"/>
        <w:rPr>
          <w:b/>
          <w:b/>
        </w:rPr>
      </w:pPr>
      <w:r>
        <w:rPr/>
        <w:t xml:space="preserve">Naposljetku, pozivamo EU da poduzme sve potrebne mjere kako bi se osiguralo da digitalizacija društva ne isključuje starije osobe i kako bi se osigurala osobna dostupnost osnovnih usluga. </w:t>
      </w:r>
    </w:p>
    <w:p>
      <w:pPr>
        <w:pStyle w:val="Normal"/>
        <w:rPr/>
      </w:pPr>
      <w:r>
        <w:rPr/>
      </w:r>
    </w:p>
    <w:p>
      <w:pPr>
        <w:pStyle w:val="P68B1DB1Normal15"/>
        <w:rPr>
          <w:b/>
          <w:b/>
        </w:rPr>
      </w:pPr>
      <w:r>
        <w:rPr/>
        <w:t xml:space="preserve">● </w:t>
      </w:r>
      <w:r>
        <w:rPr/>
        <w:t xml:space="preserve">EU bi trebao osigurati da se sredstva koja su posebno dodijeljena tim aktivnostima koriste u predviđenu svrhu. </w:t>
      </w:r>
    </w:p>
    <w:p>
      <w:pPr>
        <w:pStyle w:val="Normal"/>
        <w:rPr/>
      </w:pPr>
      <w:r>
        <w:rPr/>
        <w:t xml:space="preserve"> </w:t>
      </w:r>
    </w:p>
    <w:p>
      <w:pPr>
        <w:pStyle w:val="Normal"/>
        <w:rPr/>
      </w:pPr>
      <w:r>
        <w:rPr/>
        <w:t xml:space="preserve">Tu preporuku dajemo zbog nedostatka infrastrukture i opreme (npr. uređaja) na nekim mjestima u Europi i potrebe da se osigura veza prije obrazovanja građana jer znamo da je pristup internetu ograničen u nekim regijama i određenim profilima. Preporučujemo da se organiziraju tečajevi kako bi se djeci pomoglo da steknu digitalne vještine, pružili dodatne programe za pomoć starijim osobama u digitalizaciji i poduzeli potrebne korake kako bi se uvjerili da digitalna transformacija ne ugrožava prava starijih osoba. </w:t>
      </w:r>
    </w:p>
    <w:p>
      <w:pPr>
        <w:pStyle w:val="Normal"/>
        <w:rPr/>
      </w:pPr>
      <w:r>
        <w:rPr/>
      </w:r>
    </w:p>
    <w:p>
      <w:pPr>
        <w:pStyle w:val="P68B1DB1Normal15"/>
        <w:rPr>
          <w:b/>
          <w:b/>
        </w:rPr>
      </w:pPr>
      <w:r>
        <w:rPr/>
        <w:t xml:space="preserve">48. Preporučujemo da EU promiče obrazovanje građana u svakoj državi članici kako bi se ojačalo kritičko razmišljanje, skepticizam i provjera činjenica te kako bi ih se podučilo da neovisno procjenjuju jesu li informacije pouzdane ili ne. To obrazovanje trebalo bi uključivati organizaciju posebnih tečajeva na razini osnovnog obrazovanja i trebalo bi se nuditi, u drugim javnim prostorima, građanima svih dobnih skupina koji žele imati koristi od njega. EU bi trebao osigurati da se sredstva koja su posebno dodijeljena tim aktivnostima koriste u predviđenu svrhu. </w:t>
      </w:r>
    </w:p>
    <w:p>
      <w:pPr>
        <w:pStyle w:val="Normal"/>
        <w:rPr/>
      </w:pPr>
      <w:r>
        <w:rPr/>
        <w:t xml:space="preserve"> </w:t>
      </w:r>
    </w:p>
    <w:p>
      <w:pPr>
        <w:pStyle w:val="Normal"/>
        <w:rPr/>
      </w:pPr>
      <w:r>
        <w:rPr/>
        <w:t xml:space="preserve">Donosimo ovu preporuku jer mislimo da je nemoguće potpuno se riješiti lažnih informacija. Tim će se osposobljavanjem građanima pomoći da ih sami prepoznaju. Kao rezultat toga, smanjit će se učinci lažnih informacija na društvo i same građane. Osim toga, građanima bi se pružile veće mogućnosti za djelovanje, a ne oslanjanje na institucije za dobivanje pouzdanih informacija. </w:t>
      </w:r>
    </w:p>
    <w:p>
      <w:pPr>
        <w:pStyle w:val="Normal"/>
        <w:rPr/>
      </w:pPr>
      <w:r>
        <w:rPr/>
        <w:t xml:space="preserve"> </w:t>
      </w:r>
    </w:p>
    <w:p>
      <w:pPr>
        <w:pStyle w:val="Titre3"/>
        <w:numPr>
          <w:ilvl w:val="2"/>
          <w:numId w:val="2"/>
        </w:numPr>
        <w:rPr/>
      </w:pPr>
      <w:bookmarkStart w:id="127" w:name="__RefHeading___Toc297189_1346298689"/>
      <w:bookmarkEnd w:id="127"/>
      <w:r>
        <w:rPr/>
        <w:t xml:space="preserve">Prilog: OSTALE PREPORUKE KOJE JE RAZMOTRILO POVJERENSTVO KOJE NISU DONESENE </w:t>
      </w:r>
    </w:p>
    <w:p>
      <w:pPr>
        <w:pStyle w:val="Normal"/>
        <w:rPr/>
      </w:pPr>
      <w:r>
        <w:rPr/>
        <w:t xml:space="preserve"> </w:t>
      </w:r>
    </w:p>
    <w:p>
      <w:pPr>
        <w:pStyle w:val="Titre4"/>
        <w:numPr>
          <w:ilvl w:val="3"/>
          <w:numId w:val="2"/>
        </w:numPr>
        <w:rPr/>
      </w:pPr>
      <w:bookmarkStart w:id="128" w:name="__RefHeading___Toc297191_1346298689"/>
      <w:bookmarkEnd w:id="128"/>
      <w:r>
        <w:rPr/>
        <w:t xml:space="preserve">Os 3 Pravedno društvo </w:t>
      </w:r>
    </w:p>
    <w:p>
      <w:pPr>
        <w:pStyle w:val="Normal"/>
        <w:rPr/>
      </w:pPr>
      <w:r>
        <w:rPr/>
        <w:t xml:space="preserve"> </w:t>
      </w:r>
    </w:p>
    <w:p>
      <w:pPr>
        <w:pStyle w:val="Normal"/>
        <w:rPr/>
      </w:pPr>
      <w:r>
        <w:rPr/>
        <w:t xml:space="preserve">Podosi 3.2. Jednakopravna prava </w:t>
      </w:r>
    </w:p>
    <w:p>
      <w:pPr>
        <w:pStyle w:val="Normal"/>
        <w:rPr/>
      </w:pPr>
      <w:r>
        <w:rPr/>
        <w:t xml:space="preserve"> </w:t>
      </w:r>
    </w:p>
    <w:p>
      <w:pPr>
        <w:pStyle w:val="P68B1DB1Normal15"/>
        <w:rPr>
          <w:b/>
          <w:b/>
        </w:rPr>
      </w:pPr>
      <w:r>
        <w:rPr/>
        <w:t xml:space="preserve">Preporučujemo da EU uspostavi mehanizam za praćenje i poštovanje prava manjina (npr. portal ili ured na kojem bi osobe mogle podnijeti pritužbe). </w:t>
      </w:r>
    </w:p>
    <w:p>
      <w:pPr>
        <w:pStyle w:val="Normal"/>
        <w:rPr/>
      </w:pPr>
      <w:r>
        <w:rPr/>
        <w:t xml:space="preserve"> </w:t>
      </w:r>
    </w:p>
    <w:p>
      <w:pPr>
        <w:pStyle w:val="Normal"/>
        <w:rPr/>
      </w:pPr>
      <w:r>
        <w:rPr/>
        <w:t xml:space="preserve">Dajemo ovu preporuku jer vjerujemo da svaki pojedinac može izraziti svoje mišljenje i ima pravo tražiti i primiti pomoć. Takav je ured potreban kako bi se smanjile napetosti između manjina i većine. </w:t>
      </w:r>
    </w:p>
    <w:p>
      <w:pPr>
        <w:pStyle w:val="Normal"/>
        <w:rPr/>
      </w:pPr>
      <w:r>
        <w:rPr/>
      </w:r>
    </w:p>
    <w:p>
      <w:pPr>
        <w:pStyle w:val="Normal"/>
        <w:rPr/>
      </w:pPr>
      <w:r>
        <w:rPr/>
        <w:t xml:space="preserve">Podosi 3.3 Vlasnički kapital/podos 3.4 Pristup sportu </w:t>
      </w:r>
    </w:p>
    <w:p>
      <w:pPr>
        <w:pStyle w:val="Normal"/>
        <w:rPr/>
      </w:pPr>
      <w:r>
        <w:rPr/>
        <w:t xml:space="preserve"> </w:t>
      </w:r>
    </w:p>
    <w:p>
      <w:pPr>
        <w:pStyle w:val="P68B1DB1Normal15"/>
        <w:rPr>
          <w:b/>
          <w:b/>
        </w:rPr>
      </w:pPr>
      <w:r>
        <w:rPr/>
        <w:t xml:space="preserve">Preporučujemo da EU podigne svijest o tjelesnoj aktivnosti „modeliranjem uloga” koje uključuje javne osobe (događanja koja organizira Parlament trebala bi uključivati neki oblik tjelesne aktivnosti ili kretanja, u trajanju od nekoliko sekundi, kao što su istezanje, hodanje ili skakanje). </w:t>
      </w:r>
    </w:p>
    <w:p>
      <w:pPr>
        <w:pStyle w:val="Normal"/>
        <w:rPr/>
      </w:pPr>
      <w:r>
        <w:rPr/>
        <w:t xml:space="preserve"> </w:t>
      </w:r>
    </w:p>
    <w:p>
      <w:pPr>
        <w:pStyle w:val="Normal"/>
        <w:rPr/>
      </w:pPr>
      <w:r>
        <w:rPr/>
        <w:t xml:space="preserve">Dajemo ovu preporuku jer će mobilizacija javnih ličnosti za tjelesnu aktivnost podići svijest javnosti. </w:t>
      </w:r>
    </w:p>
    <w:p>
      <w:pPr>
        <w:pStyle w:val="Normal"/>
        <w:rPr/>
      </w:pPr>
      <w:r>
        <w:rPr/>
      </w:r>
    </w:p>
    <w:p>
      <w:pPr>
        <w:pStyle w:val="Titre4"/>
        <w:numPr>
          <w:ilvl w:val="3"/>
          <w:numId w:val="2"/>
        </w:numPr>
        <w:rPr/>
      </w:pPr>
      <w:bookmarkStart w:id="129" w:name="__RefHeading___Toc297193_1346298689"/>
      <w:bookmarkEnd w:id="129"/>
      <w:r>
        <w:rPr/>
        <w:t xml:space="preserve">Os 5. etička i sigurna digitalna transformacija </w:t>
      </w:r>
    </w:p>
    <w:p>
      <w:pPr>
        <w:pStyle w:val="Normal"/>
        <w:rPr/>
      </w:pPr>
      <w:r>
        <w:rPr/>
        <w:t xml:space="preserve"> </w:t>
      </w:r>
    </w:p>
    <w:p>
      <w:pPr>
        <w:pStyle w:val="Normal"/>
        <w:rPr/>
      </w:pPr>
      <w:r>
        <w:rPr/>
        <w:t xml:space="preserve">Podos 5.3 Zaštita podataka </w:t>
      </w:r>
    </w:p>
    <w:p>
      <w:pPr>
        <w:pStyle w:val="Normal"/>
        <w:rPr/>
      </w:pPr>
      <w:r>
        <w:rPr/>
        <w:t xml:space="preserve"> </w:t>
      </w:r>
    </w:p>
    <w:p>
      <w:pPr>
        <w:pStyle w:val="P68B1DB1Normal15"/>
        <w:rPr>
          <w:b/>
          <w:b/>
        </w:rPr>
      </w:pPr>
      <w:r>
        <w:rPr/>
        <w:t xml:space="preserve">Preporučujemo izradu web ID-a koji će pohraniti osobne i osjetljive podatke, ali će ga učiniti dostupnim samo vlastima i policiji. Internetske platforme i prodavatelji upotrebljavat će internetski kod povezan s tim mrežnim identifikatorom i podatke potrebne za određenu aktivnost. Zadana postavka za razmjenu podataka s pomoću tog identifikatora trebala bi biti nesuglasna. Podaci bi se trebali priopćiti samo strankama na koje se to izravno odnosi, a ne trećoj strani. Ako se podaci priopćuju trećoj strani, građanin bi trebao moći jednostavno uložiti prigovor na njih. Podaci bi trebali biti dostupni samo tijekom ograničenog razdoblja ili za određenu transakciju. Odobrenje za upotrebu podataka trebalo bi biti vremenski ograničeno ili jasno definirati što poduzeća mogu učiniti s tim podacima. </w:t>
      </w:r>
    </w:p>
    <w:p>
      <w:pPr>
        <w:pStyle w:val="Normal"/>
        <w:rPr/>
      </w:pPr>
      <w:r>
        <w:rPr/>
        <w:t xml:space="preserve"> </w:t>
      </w:r>
    </w:p>
    <w:p>
      <w:pPr>
        <w:pStyle w:val="Normal"/>
        <w:rPr/>
      </w:pPr>
      <w:r>
        <w:rPr/>
        <w:t xml:space="preserve">Dajemo ovu preporuku jer trenutno tvrtke mogu prikupljati sve podatke, uključujući osobne podatke i osjetljive podatke, te ih koristiti u mnoge svrhe bez otkrivanja točno kako i zašto. Tako operatori dobivaju više informacija nego što su nam zapravo potrebni za pružanje usluga, a zatim mogu preprodati ili ponovno upotrijebiti druge podatke bez našeg pristanka. Time će se istodobno osigurati odgovornost korisnika interneta uz očuvanje njihove relativne anonimnosti. </w:t>
      </w:r>
      <w:r>
        <w:br w:type="page"/>
      </w:r>
    </w:p>
    <w:p>
      <w:pPr>
        <w:pStyle w:val="Titre2"/>
        <w:numPr>
          <w:ilvl w:val="1"/>
          <w:numId w:val="2"/>
        </w:numPr>
        <w:rPr/>
      </w:pPr>
      <w:bookmarkStart w:id="130" w:name="__RefHeading___Toc297195_1346298689"/>
      <w:bookmarkEnd w:id="130"/>
      <w:r>
        <w:rPr/>
        <w:t xml:space="preserve">Europski panel građana i građanki i građanki i građanki 2: „Europska demokracija; vrijednosti i prava, vladavina prava, sigurnost </w:t>
      </w:r>
    </w:p>
    <w:p>
      <w:pPr>
        <w:pStyle w:val="Normal"/>
        <w:rPr/>
      </w:pPr>
      <w:r>
        <w:rPr/>
      </w:r>
    </w:p>
    <w:p>
      <w:pPr>
        <w:pStyle w:val="Normal"/>
        <w:rPr/>
      </w:pPr>
      <w:r>
        <w:rPr/>
        <w:t xml:space="preserve">PREPORUKE KOJE JE DONIJELO POVJERENSTVO (PODNIJET ĆE SE NA PLENARNOJ SJEDNICI) </w:t>
      </w:r>
    </w:p>
    <w:p>
      <w:pPr>
        <w:pStyle w:val="Normal"/>
        <w:rPr/>
      </w:pPr>
      <w:r>
        <w:rPr/>
        <w:t xml:space="preserve"> </w:t>
      </w:r>
    </w:p>
    <w:p>
      <w:pPr>
        <w:pStyle w:val="Titre3"/>
        <w:numPr>
          <w:ilvl w:val="2"/>
          <w:numId w:val="2"/>
        </w:numPr>
        <w:rPr/>
      </w:pPr>
      <w:bookmarkStart w:id="131" w:name="__RefHeading___Toc297197_1346298689"/>
      <w:bookmarkEnd w:id="131"/>
      <w:r>
        <w:rPr/>
        <w:t xml:space="preserve">Os 1: Jamčenje prava i nediskriminacije </w:t>
      </w:r>
    </w:p>
    <w:p>
      <w:pPr>
        <w:pStyle w:val="Normal"/>
        <w:rPr/>
      </w:pPr>
      <w:r>
        <w:rPr/>
        <w:t xml:space="preserve"> </w:t>
      </w:r>
    </w:p>
    <w:p>
      <w:pPr>
        <w:pStyle w:val="Titre4"/>
        <w:numPr>
          <w:ilvl w:val="3"/>
          <w:numId w:val="2"/>
        </w:numPr>
        <w:rPr/>
      </w:pPr>
      <w:bookmarkStart w:id="132" w:name="__RefHeading___Toc297199_1346298689"/>
      <w:bookmarkEnd w:id="132"/>
      <w:r>
        <w:rPr/>
        <w:t xml:space="preserve">Podos 1.1. Nediskriminacija/podos 1.2 Rodna ravnopravnost </w:t>
      </w:r>
    </w:p>
    <w:p>
      <w:pPr>
        <w:pStyle w:val="Normal"/>
        <w:rPr/>
      </w:pPr>
      <w:r>
        <w:rPr/>
        <w:t xml:space="preserve"> </w:t>
      </w:r>
    </w:p>
    <w:p>
      <w:pPr>
        <w:pStyle w:val="P68B1DB1Normal15"/>
        <w:rPr>
          <w:b/>
          <w:b/>
        </w:rPr>
      </w:pPr>
      <w:r>
        <w:rPr/>
        <w:t xml:space="preserve">1. „Preporučujemo da EU uključi kriterije za borbu protiv diskriminacije na tržištu rada (kvote za mlade, starije osobe, žene, manjine). Ako poduzeća ispune te kriterije, dobit će subvencije ili porezne olakšice.” </w:t>
      </w:r>
    </w:p>
    <w:p>
      <w:pPr>
        <w:pStyle w:val="P68B1DB1Normal15"/>
        <w:rPr>
          <w:b/>
          <w:b/>
        </w:rPr>
      </w:pPr>
      <w:r>
        <w:rPr/>
        <w:t xml:space="preserve">Preporučujemo podizanje svijesti među zaposlenicima o sljedećim pitanjima: </w:t>
      </w:r>
    </w:p>
    <w:p>
      <w:pPr>
        <w:pStyle w:val="P68B1DB1Normal15"/>
        <w:rPr>
          <w:b/>
          <w:b/>
        </w:rPr>
      </w:pPr>
      <w:r>
        <w:rPr/>
        <w:t xml:space="preserve">● </w:t>
      </w:r>
      <w:r>
        <w:rPr/>
        <w:t xml:space="preserve">nadnacionalne i nacionalne institucije (npr. sindikati); </w:t>
      </w:r>
    </w:p>
    <w:p>
      <w:pPr>
        <w:pStyle w:val="P68B1DB1Normal15"/>
        <w:rPr>
          <w:b/>
          <w:b/>
        </w:rPr>
      </w:pPr>
      <w:r>
        <w:rPr/>
        <w:t xml:space="preserve">● </w:t>
      </w:r>
      <w:r>
        <w:rPr/>
        <w:t xml:space="preserve">mehanizme kojima se osigurava da poduzeća poštuju postojeća pravila o nediskriminaciji na radnom mjestu; </w:t>
      </w:r>
    </w:p>
    <w:p>
      <w:pPr>
        <w:pStyle w:val="P68B1DB1Normal15"/>
        <w:rPr>
          <w:b/>
          <w:b/>
        </w:rPr>
      </w:pPr>
      <w:r>
        <w:rPr/>
        <w:t xml:space="preserve">● </w:t>
      </w:r>
      <w:r>
        <w:rPr/>
        <w:t xml:space="preserve">programi kvalifikacija za društvene skupine koje se suočavaju s diskriminacijom na tržištu rada (mladi, starije osobe, žene, manjine). </w:t>
      </w:r>
    </w:p>
    <w:p>
      <w:pPr>
        <w:pStyle w:val="Normal"/>
        <w:rPr/>
      </w:pPr>
      <w:r>
        <w:rPr/>
        <w:t xml:space="preserve"> </w:t>
      </w:r>
    </w:p>
    <w:p>
      <w:pPr>
        <w:pStyle w:val="P68B1DB1Normal15"/>
        <w:rPr>
          <w:b/>
          <w:b/>
        </w:rPr>
      </w:pPr>
      <w:r>
        <w:rPr/>
        <w:t xml:space="preserve">Preporučujemo donošenje zakonodavstva EU-a u dvije faze. Prvo, trebalo bi osigurati subvencije za zapošljavanje zaposlenika iz određenih kategorija koje bi mogle biti diskriminirane. Drugo, zakonodavnim aktom trebalo bi se od poslodavaca zahtijevati da zapošljavaju te skupine na minimalno razdoblje. </w:t>
      </w:r>
    </w:p>
    <w:p>
      <w:pPr>
        <w:pStyle w:val="Normal"/>
        <w:rPr/>
      </w:pPr>
      <w:r>
        <w:rPr/>
        <w:t xml:space="preserve"> </w:t>
      </w:r>
    </w:p>
    <w:p>
      <w:pPr>
        <w:pStyle w:val="Normal"/>
        <w:rPr/>
      </w:pPr>
      <w:r>
        <w:rPr/>
        <w:t xml:space="preserve">Doista, EU je odgovoran za održavanje ravnoteže između interesa slobodnog tržišta i zaštite ranjivih skupina koje treba pravno zaštititi. Heterogene grupe poželjne su za tvrtke jer nude različite kvalifikacije. Subvencije su dodatni poticaj za poduzeća. </w:t>
      </w:r>
    </w:p>
    <w:p>
      <w:pPr>
        <w:pStyle w:val="Normal"/>
        <w:rPr/>
      </w:pPr>
      <w:r>
        <w:rPr/>
        <w:t xml:space="preserve"> </w:t>
      </w:r>
    </w:p>
    <w:p>
      <w:pPr>
        <w:pStyle w:val="P68B1DB1Normal15"/>
        <w:rPr>
          <w:b/>
          <w:b/>
        </w:rPr>
      </w:pPr>
      <w:r>
        <w:rPr/>
        <w:t xml:space="preserve">2. „Preporučujemo da EU osmisli program poticaja kojim će se olakšati stvaranje cjenovno pristupačnih vrtića i igrališta u velikim i malim poduzećima. Zajednički objekti također su održivo rješenje za mala poduzeća kako bi ostvarila korist od subvencije. </w:t>
      </w:r>
    </w:p>
    <w:p>
      <w:pPr>
        <w:pStyle w:val="P68B1DB1Normal15"/>
        <w:rPr>
          <w:b/>
          <w:b/>
        </w:rPr>
      </w:pPr>
      <w:r>
        <w:rPr/>
        <w:t xml:space="preserve">Preporučujemo da EU obveže poduzeća na osnivanje vrtića razmjerno broju zaposlenika. </w:t>
      </w:r>
    </w:p>
    <w:p>
      <w:pPr>
        <w:pStyle w:val="Normal"/>
        <w:rPr/>
      </w:pPr>
      <w:r>
        <w:rPr/>
        <w:t xml:space="preserve"> </w:t>
      </w:r>
    </w:p>
    <w:p>
      <w:pPr>
        <w:pStyle w:val="Normal"/>
        <w:rPr/>
      </w:pPr>
      <w:r>
        <w:rPr/>
        <w:t xml:space="preserve">To preporučujemo jer usklađivanje obiteljskog i poslovnog života poboljšava radnu uspješnost, smanjuje nezaposlenost i stavlja roditelje, posebno žene, u položaj koji im omogućuje nastavak karijere. Fokusirajući se na socijalnu dimenziju, predloženo rješenje osigurava sigurnost djece i smanjuje tjeskobe roditelja. </w:t>
      </w:r>
    </w:p>
    <w:p>
      <w:pPr>
        <w:pStyle w:val="Normal"/>
        <w:rPr/>
      </w:pPr>
      <w:r>
        <w:rPr/>
      </w:r>
    </w:p>
    <w:p>
      <w:pPr>
        <w:pStyle w:val="Titre4"/>
        <w:numPr>
          <w:ilvl w:val="3"/>
          <w:numId w:val="2"/>
        </w:numPr>
        <w:rPr/>
      </w:pPr>
      <w:bookmarkStart w:id="133" w:name="__RefHeading___Toc297201_1346298689"/>
      <w:bookmarkEnd w:id="133"/>
      <w:r>
        <w:rPr/>
        <w:t xml:space="preserve">Podos 1.3.: Zaštita ljudskih prava i prava prirode i životinja </w:t>
      </w:r>
    </w:p>
    <w:p>
      <w:pPr>
        <w:pStyle w:val="Normal"/>
        <w:rPr/>
      </w:pPr>
      <w:r>
        <w:rPr/>
        <w:t xml:space="preserve"> </w:t>
      </w:r>
    </w:p>
    <w:p>
      <w:pPr>
        <w:pStyle w:val="P68B1DB1Normal15"/>
        <w:rPr>
          <w:b/>
          <w:b/>
        </w:rPr>
      </w:pPr>
      <w:r>
        <w:rPr/>
        <w:t xml:space="preserve">3. „Preporučujemo očuvanje dobrobiti i održivosti životinja izmjenom Direktive 98/58/EZ o zaštiti životinja na poljoprivrednim gospodarstvima. Potrebno je utvrditi detaljnije minimalne kriterije. Moraju biti točne, mjerljive i vremenski ograničene. Minimalni kriteriji moraju biti utvrđeni tako da dovode do viših standarda dobrobiti životinja i istodobno omogućuju prijelaz na održivu klimu i okoliš te ekološku poljoprivredu. </w:t>
      </w:r>
    </w:p>
    <w:p>
      <w:pPr>
        <w:pStyle w:val="Normal"/>
        <w:rPr/>
      </w:pPr>
      <w:r>
        <w:rPr/>
        <w:t xml:space="preserve"> </w:t>
      </w:r>
    </w:p>
    <w:p>
      <w:pPr>
        <w:pStyle w:val="Normal"/>
        <w:rPr/>
      </w:pPr>
      <w:r>
        <w:rPr/>
        <w:t xml:space="preserve">Kao građani smatramo da je važno da se u EU-u usklade stroži minimalni standardi za stočarstvo. Svjesni smo da bi tranzicija mogla predstavljati probleme u nekim poljoprivrednim sektorima koji primaju subvencije i za one koji su u prijelazu na ekološku i održivu poljoprivredu. Ipak, smatramo da je vrlo važno osigurati da se ta tranzicija odvija. </w:t>
      </w:r>
    </w:p>
    <w:p>
      <w:pPr>
        <w:pStyle w:val="Normal"/>
        <w:rPr/>
      </w:pPr>
      <w:r>
        <w:rPr/>
        <w:t xml:space="preserve"> </w:t>
      </w:r>
    </w:p>
    <w:p>
      <w:pPr>
        <w:pStyle w:val="P68B1DB1Normal15"/>
        <w:rPr>
          <w:b/>
          <w:b/>
        </w:rPr>
      </w:pPr>
      <w:r>
        <w:rPr/>
        <w:t xml:space="preserve">4. Preporučujemo promicanje ekološki i klimatski prihvatljivije poljoprivrede u Europi i diljem svijeta, primjerice oporezivanjem svih negativnih emisija, pesticida i ekstremne potrošnje vode, ovisno o njihovu utjecaju na okoliš. Carine na sve poljoprivredne proizvode uvezene u Uniju moraju ukloniti konkurentske prednosti trećih zemalja koje ne ispunjavaju iste standarde kao Unija. Kako bi se promicala poljoprivreda pogodna za životinje, preporučujemo oporezivanje emisija uzrokovanih prijevozom životinja na velike udaljenosti. </w:t>
      </w:r>
    </w:p>
    <w:p>
      <w:pPr>
        <w:pStyle w:val="Normal"/>
        <w:rPr/>
      </w:pPr>
      <w:r>
        <w:rPr/>
        <w:t xml:space="preserve"> </w:t>
      </w:r>
    </w:p>
    <w:p>
      <w:pPr>
        <w:pStyle w:val="Normal"/>
        <w:rPr/>
      </w:pPr>
      <w:r>
        <w:rPr/>
        <w:t xml:space="preserve">Uspostavom takvog sustava smatramo da je moguće poduprijeti prijelaz na klimatski prihvatljivu i ekološki prihvatljivu poljoprivredu. </w:t>
      </w:r>
    </w:p>
    <w:p>
      <w:pPr>
        <w:pStyle w:val="Normal"/>
        <w:rPr/>
      </w:pPr>
      <w:r>
        <w:rPr/>
        <w:t xml:space="preserve"> </w:t>
      </w:r>
    </w:p>
    <w:p>
      <w:pPr>
        <w:pStyle w:val="P68B1DB1Normal15"/>
        <w:rPr>
          <w:b/>
          <w:b/>
        </w:rPr>
      </w:pPr>
      <w:r>
        <w:rPr/>
        <w:t xml:space="preserve">5. Iako u posljednje vrijeme mnogo lažnih vijesti kruži, preporučujemo promicanje neovisnije, objektivnije i uravnoteženije medijske pokrivenosti poduzimanjem sljedećih koraka: 1. izraditi Direktivu EU-a kojom se utvrđuju minimalni standardi za neovisnost medija; 2. promicati na razini Unije razvoj medijskih vještina za svakog građanina.” </w:t>
      </w:r>
    </w:p>
    <w:p>
      <w:pPr>
        <w:pStyle w:val="Normal"/>
        <w:rPr/>
      </w:pPr>
      <w:r>
        <w:rPr/>
        <w:t xml:space="preserve"> </w:t>
      </w:r>
    </w:p>
    <w:p>
      <w:pPr>
        <w:pStyle w:val="Normal"/>
        <w:rPr/>
      </w:pPr>
      <w:r>
        <w:rPr/>
        <w:t xml:space="preserve">EU treba izraditi direktivu kojom bi se zajamčila neovisnost medija i sloboda izražavanja. </w:t>
      </w:r>
    </w:p>
    <w:p>
      <w:pPr>
        <w:pStyle w:val="Normal"/>
        <w:rPr/>
      </w:pPr>
      <w:r>
        <w:rPr/>
        <w:t xml:space="preserve"> </w:t>
      </w:r>
    </w:p>
    <w:p>
      <w:pPr>
        <w:pStyle w:val="Normal"/>
        <w:rPr/>
      </w:pPr>
      <w:r>
        <w:rPr>
          <w:b/>
        </w:rPr>
        <w:t>6. Preporučujemo da prestanemo subvencionirati masovnu poljoprivrednu proizvodnju ako to ne dovede do prijelaza na klimatsku, ekološku i održivu poljoprivredu. Umjesto toga, preporučujemo preusmjeravanje bespovratnih sredstava za potporu održivoj tranziciji.</w:t>
      </w:r>
      <w:r>
        <w:rPr/>
        <w:t xml:space="preserve"> </w:t>
      </w:r>
    </w:p>
    <w:p>
      <w:pPr>
        <w:pStyle w:val="Normal"/>
        <w:rPr/>
      </w:pPr>
      <w:r>
        <w:rPr/>
        <w:t xml:space="preserve"> </w:t>
      </w:r>
    </w:p>
    <w:p>
      <w:pPr>
        <w:pStyle w:val="Normal"/>
        <w:rPr/>
      </w:pPr>
      <w:r>
        <w:rPr/>
        <w:t xml:space="preserve">Umjesto subvencioniranja poljoprivrednog sektora masovnog uzgoja, subvencije bi trebalo preusmjeriti na poljoprivredna gospodarstva koja su u tranziciji kako bi se ispunili novi minimalni standardi dobrobiti životinja. </w:t>
      </w:r>
    </w:p>
    <w:p>
      <w:pPr>
        <w:pStyle w:val="Normal"/>
        <w:rPr/>
      </w:pPr>
      <w:r>
        <w:rPr/>
        <w:t xml:space="preserve"> </w:t>
      </w:r>
    </w:p>
    <w:p>
      <w:pPr>
        <w:pStyle w:val="Titre4"/>
        <w:numPr>
          <w:ilvl w:val="3"/>
          <w:numId w:val="2"/>
        </w:numPr>
        <w:rPr/>
      </w:pPr>
      <w:bookmarkStart w:id="134" w:name="__RefHeading___Toc297203_1346298689"/>
      <w:bookmarkEnd w:id="134"/>
      <w:r>
        <w:rPr/>
        <w:t xml:space="preserve">Podos 1.4 Pravo na privatnost </w:t>
      </w:r>
    </w:p>
    <w:p>
      <w:pPr>
        <w:pStyle w:val="Normal"/>
        <w:rPr/>
      </w:pPr>
      <w:r>
        <w:rPr/>
        <w:t xml:space="preserve"> </w:t>
      </w:r>
    </w:p>
    <w:p>
      <w:pPr>
        <w:pStyle w:val="P68B1DB1Normal15"/>
        <w:rPr>
          <w:b/>
          <w:b/>
        </w:rPr>
      </w:pPr>
      <w:r>
        <w:rPr/>
        <w:t xml:space="preserve">7. „Preporučujemo da subjekti koji obrađuju osobne podatke budu ovlašteni na razini EU-a. Ti subjekti morat će također podlijegati neovisnoj, vanjskoj godišnjoj reviziji zaštite podataka. Ti subjekti bit će kažnjeni za povrede zaštite podataka razmjerno njihovom godišnjem prometu, na stroži način nego u skladu s trenutačnom Uredbom. Odobrenje treba povući nakon dva uzastopna kršenja i odmah nakon ozbiljnog kršenja. </w:t>
      </w:r>
    </w:p>
    <w:p>
      <w:pPr>
        <w:pStyle w:val="Normal"/>
        <w:rPr/>
      </w:pPr>
      <w:r>
        <w:rPr/>
        <w:t xml:space="preserve"> </w:t>
      </w:r>
    </w:p>
    <w:p>
      <w:pPr>
        <w:pStyle w:val="Normal"/>
        <w:rPr/>
      </w:pPr>
      <w:r>
        <w:rPr/>
        <w:t xml:space="preserve">Preporučujemo takve mjere jer postojeća regulativa (GDPR) nije dovoljna, a entitete je potrebno bolje kontrolirati i sankcionirati kako bi se osiguralo da ne krše zaštitu podataka i pravo na privatnost. </w:t>
      </w:r>
    </w:p>
    <w:p>
      <w:pPr>
        <w:pStyle w:val="Normal"/>
        <w:rPr/>
      </w:pPr>
      <w:r>
        <w:rPr/>
        <w:t xml:space="preserve"> </w:t>
      </w:r>
    </w:p>
    <w:p>
      <w:pPr>
        <w:pStyle w:val="P68B1DB1Normal15"/>
        <w:rPr>
          <w:b/>
          <w:b/>
        </w:rPr>
      </w:pPr>
      <w:r>
        <w:rPr/>
        <w:t xml:space="preserve">8. „Preporučujemo jačanje nadležnosti Unije u sljedećim područjima: 1) obrazovanje o zaštiti podataka, 2) svijest o zaštiti podataka i 3) zaštita osobnih podataka maloljetnika. Preporučujemo pojašnjenje i jačanje pravila o obradi podataka maloljetnika u Općoj uredbi o zaštiti podataka, uključujući pravila o privoli, provjeri dobi i kontroli koju provode zakonski skrbnici. Također preporučujemo da se u Opću uredbu o zaštiti podataka uvede posebna kategorija za osjetljive podatke maloljetnika (npr. kaznena evidencija, zdravstvene informacije, golotinja) kako bi maloljetnici bili zaštićeni od bilo kojeg oblika zlostavljanja i diskriminacije. </w:t>
      </w:r>
    </w:p>
    <w:p>
      <w:pPr>
        <w:pStyle w:val="Normal"/>
        <w:rPr/>
      </w:pPr>
      <w:r>
        <w:rPr/>
        <w:t xml:space="preserve"> </w:t>
      </w:r>
    </w:p>
    <w:p>
      <w:pPr>
        <w:pStyle w:val="Normal"/>
        <w:rPr/>
      </w:pPr>
      <w:r>
        <w:rPr/>
        <w:t xml:space="preserve">Ova je preporuka potrebna jer su maloljetnici posebno izloženi zaštiti podataka i kršenju privatnosti te zato što trenutačno opća populacija (posebno maloljetnici, nastavnici i zakonski skrbnici) nije dovoljno upoznata sa zaštitom podataka. Svi moraju naučiti kako koristiti podatkovne usluge na internetu i izvan njega te štititi prava na privatnost djece. Nadalje, zakonski skrbnici često mogu pristati na obradu podataka djece bez da su u potpunosti svjesni ili informirani, a djeca mogu krivotvoriti pristanak roditelja. Naposljetku, ta je preporuka potrebna jer na razini EU-a ne postoji stvarna kampanja za podizanje svijesti o zaštiti podataka, posebno maloljetnici, zakonski skrbnici i nastavnici, dok je takva kampanja neophodna. </w:t>
      </w:r>
    </w:p>
    <w:p>
      <w:pPr>
        <w:pStyle w:val="Normal"/>
        <w:rPr/>
      </w:pPr>
      <w:r>
        <w:rPr/>
      </w:r>
    </w:p>
    <w:p>
      <w:pPr>
        <w:pStyle w:val="P68B1DB1Normal15"/>
        <w:rPr>
          <w:b/>
          <w:b/>
        </w:rPr>
      </w:pPr>
      <w:r>
        <w:rPr/>
        <w:t xml:space="preserve">9. Preporučujemo da se uspostave standardizirana pravila o privatnosti i lako razumljivi, sažeti i intuitivni obrasci privole koji jasno naznačuju koja je obrada podataka strogo nužna, a što nije obvezno. Preporučujemo da povlačenje privole bude jednostavno, brzo i trajno. Preporučujemo da se subjektima zabrani ograničavanje njihovih usluga više nego što je potrebno ako nije dana privola za neobaveznu obradu podataka. </w:t>
      </w:r>
    </w:p>
    <w:p>
      <w:pPr>
        <w:pStyle w:val="Normal"/>
        <w:rPr/>
      </w:pPr>
      <w:r>
        <w:rPr/>
        <w:t xml:space="preserve"> </w:t>
      </w:r>
    </w:p>
    <w:p>
      <w:pPr>
        <w:pStyle w:val="Normal"/>
        <w:rPr/>
      </w:pPr>
      <w:r>
        <w:rPr/>
        <w:t xml:space="preserve">Preporučujemo to jer postojeća pravila EU-a nisu dovoljno precizna, povlačenje privole je dugo, privremeno i složeno, a subjekti nemaju interes ponuditi svoje usluge građanima koji se pozivaju na svoje pravo na zaštitu podataka. </w:t>
      </w:r>
    </w:p>
    <w:p>
      <w:pPr>
        <w:pStyle w:val="Normal"/>
        <w:rPr/>
      </w:pPr>
      <w:r>
        <w:rPr/>
        <w:t xml:space="preserve"> </w:t>
      </w:r>
    </w:p>
    <w:p>
      <w:pPr>
        <w:pStyle w:val="Titre3"/>
        <w:numPr>
          <w:ilvl w:val="2"/>
          <w:numId w:val="2"/>
        </w:numPr>
        <w:rPr/>
      </w:pPr>
      <w:bookmarkStart w:id="135" w:name="__RefHeading___Toc297205_1346298689"/>
      <w:bookmarkEnd w:id="135"/>
      <w:r>
        <w:rPr/>
        <w:t xml:space="preserve">Os 2: Zaštita demokracije i vladavine prava </w:t>
      </w:r>
    </w:p>
    <w:p>
      <w:pPr>
        <w:pStyle w:val="Normal"/>
        <w:rPr/>
      </w:pPr>
      <w:r>
        <w:rPr/>
        <w:t xml:space="preserve"> </w:t>
      </w:r>
    </w:p>
    <w:p>
      <w:pPr>
        <w:pStyle w:val="Titre4"/>
        <w:numPr>
          <w:ilvl w:val="3"/>
          <w:numId w:val="2"/>
        </w:numPr>
        <w:rPr/>
      </w:pPr>
      <w:bookmarkStart w:id="136" w:name="__RefHeading___Toc297207_1346298689"/>
      <w:bookmarkEnd w:id="136"/>
      <w:r>
        <w:rPr/>
        <w:t xml:space="preserve">Podos 2.1. Zaštita vladavine prava </w:t>
      </w:r>
    </w:p>
    <w:p>
      <w:pPr>
        <w:pStyle w:val="Normal"/>
        <w:rPr/>
      </w:pPr>
      <w:r>
        <w:rPr/>
        <w:t xml:space="preserve"> </w:t>
      </w:r>
    </w:p>
    <w:p>
      <w:pPr>
        <w:pStyle w:val="P68B1DB1Normal15"/>
        <w:rPr>
          <w:b/>
          <w:b/>
        </w:rPr>
      </w:pPr>
      <w:r>
        <w:rPr/>
        <w:t xml:space="preserve">10. „Preporučujemo da se Uredba o višestrukoj sukladnosti (2020/2092, donesena 16. prosinca 2020.) izmijeni kako bi se primjenjivala na sva kršenja vladavine prava, a ne na kršenja koja utječu na proračun EU-a.” </w:t>
      </w:r>
    </w:p>
    <w:p>
      <w:pPr>
        <w:pStyle w:val="Normal"/>
        <w:rPr/>
      </w:pPr>
      <w:r>
        <w:rPr/>
        <w:t xml:space="preserve"> </w:t>
      </w:r>
    </w:p>
    <w:p>
      <w:pPr>
        <w:pStyle w:val="Normal"/>
        <w:rPr/>
      </w:pPr>
      <w:r>
        <w:rPr/>
        <w:t xml:space="preserve">Uredbom o višestrukoj sukladnosti omogućuje se suspenzija isplate sredstava EU-a državama članicama koje krše vladavinu prava. Međutim, u svojem sadašnjem tekstu primjenjuje se samo na kršenja koja imaju ili će vjerojatno utjecati na proračun EU-a. Osim toga, trenutačnim tekstom Uredbe o višestrukoj sukladnosti štite se proračun EU-a i institucije EU-a, a ne građani dotičnih država članica. Stoga preporučujemo izmjenu postojećeg teksta Uredbe kako bi se obuhvatila sva kršenja vladavine prava. </w:t>
      </w:r>
    </w:p>
    <w:p>
      <w:pPr>
        <w:pStyle w:val="Normal"/>
        <w:rPr/>
      </w:pPr>
      <w:r>
        <w:rPr/>
        <w:t xml:space="preserve"> </w:t>
      </w:r>
    </w:p>
    <w:p>
      <w:pPr>
        <w:pStyle w:val="P68B1DB1Normal15"/>
        <w:rPr>
          <w:b/>
          <w:b/>
        </w:rPr>
      </w:pPr>
      <w:r>
        <w:rPr/>
        <w:t xml:space="preserve">11. „Preporučujemo da EU organizira godišnje konferencije o vladavini prava nakon objave godišnjeg izvješća o vladavini prava (mehanizam Komisije za praćenje usklađenosti država članica s vladavinom prava). Države članice trebale bi biti obvezne poslati različita socijalna nacionalna izaslanstva na Konferenciju, uključujući građane i državne službenike.” </w:t>
      </w:r>
    </w:p>
    <w:p>
      <w:pPr>
        <w:pStyle w:val="Normal"/>
        <w:rPr/>
      </w:pPr>
      <w:r>
        <w:rPr/>
        <w:t xml:space="preserve"> </w:t>
      </w:r>
    </w:p>
    <w:p>
      <w:pPr>
        <w:pStyle w:val="Normal"/>
        <w:rPr/>
      </w:pPr>
      <w:r>
        <w:rPr/>
        <w:t xml:space="preserve">Tom bi se konferencijom promicao dijalog među građanima EU-a o pitanjima vladavine prava te dijalog između građana i stručnjaka koji sastavljaju godišnja izvješća o vladavini prava. Vjerujemo da će, u ozračju uzajamnog uvažavanja i dijeljenja, sudionici moći vratiti najbolje prakse i ideje u svoje matične zemlje. Osim toga, na konferenciji bi se podigla razina osviještenosti i razumijevanje načela vladavine prava te zaključaka i procesa na kojima se temelji godišnje izvješće o vladavini prava. Time bi se privukla pozornost medija i građanima omogućilo da podijele svoja iskustva i usporede ih s nalazima izvješća. </w:t>
      </w:r>
    </w:p>
    <w:p>
      <w:pPr>
        <w:pStyle w:val="Normal"/>
        <w:rPr/>
      </w:pPr>
      <w:r>
        <w:rPr/>
      </w:r>
    </w:p>
    <w:p>
      <w:pPr>
        <w:pStyle w:val="Titre4"/>
        <w:numPr>
          <w:ilvl w:val="3"/>
          <w:numId w:val="2"/>
        </w:numPr>
        <w:rPr/>
      </w:pPr>
      <w:bookmarkStart w:id="137" w:name="__RefHeading___Toc297209_1346298689"/>
      <w:bookmarkEnd w:id="137"/>
      <w:r>
        <w:rPr/>
        <w:t xml:space="preserve">Podosi 2.2. Zaštita i jačanje demokracije/podosi 2.4 Mediji i dezinformacije </w:t>
      </w:r>
    </w:p>
    <w:p>
      <w:pPr>
        <w:pStyle w:val="Normal"/>
        <w:rPr/>
      </w:pPr>
      <w:r>
        <w:rPr/>
        <w:t xml:space="preserve"> </w:t>
      </w:r>
    </w:p>
    <w:p>
      <w:pPr>
        <w:pStyle w:val="P68B1DB1Normal15"/>
        <w:rPr>
          <w:b/>
          <w:b/>
        </w:rPr>
      </w:pPr>
      <w:r>
        <w:rPr/>
        <w:t xml:space="preserve">12. „Preporučujemo da EU strože primjenjuje svoja pravila tržišnog natjecanja u medijskom sektoru kako bi se osigurala zaštita medijskog pluralizma u svim državama članicama. EU bi trebao spriječiti velike medijske monopole i politička imenovanja u odborima medija. Također preporučujemo da buduće zakonodavstvo EU-a o slobodi medija uključuje pravila kojima se sprječava da političari posjeduju ili imaju snažan utjecaj na njihov sadržaj. </w:t>
      </w:r>
    </w:p>
    <w:p>
      <w:pPr>
        <w:pStyle w:val="Normal"/>
        <w:rPr/>
      </w:pPr>
      <w:r>
        <w:rPr/>
        <w:t xml:space="preserve"> </w:t>
      </w:r>
    </w:p>
    <w:p>
      <w:pPr>
        <w:pStyle w:val="Normal"/>
        <w:rPr/>
      </w:pPr>
      <w:r>
        <w:rPr/>
        <w:t xml:space="preserve">To preporučujemo jer se primjenom pravila EU-a o tržišnom natjecanju potiče pluralističko medijsko okruženje u kojem građani imaju izbor. Budući da Komisija trenutačno priprema zakonodavni akt (o slobodi medija) za integritet medijskog tržišta EU-a, trebalo bi predvidjeti i da političari ne bi smjeli držati medije niti na njih utjecati. </w:t>
      </w:r>
    </w:p>
    <w:p>
      <w:pPr>
        <w:pStyle w:val="Normal"/>
        <w:rPr/>
      </w:pPr>
      <w:r>
        <w:rPr/>
        <w:t xml:space="preserve"> </w:t>
      </w:r>
    </w:p>
    <w:p>
      <w:pPr>
        <w:pStyle w:val="Titre4"/>
        <w:numPr>
          <w:ilvl w:val="3"/>
          <w:numId w:val="2"/>
        </w:numPr>
        <w:rPr/>
      </w:pPr>
      <w:bookmarkStart w:id="138" w:name="__RefHeading___Toc297211_1346298689"/>
      <w:bookmarkEnd w:id="138"/>
      <w:r>
        <w:rPr/>
        <w:t xml:space="preserve">Podos 2.3 Sigurnost </w:t>
      </w:r>
    </w:p>
    <w:p>
      <w:pPr>
        <w:pStyle w:val="Normal"/>
        <w:rPr/>
      </w:pPr>
      <w:r>
        <w:rPr/>
        <w:t xml:space="preserve"> </w:t>
      </w:r>
    </w:p>
    <w:p>
      <w:pPr>
        <w:pStyle w:val="P68B1DB1Normal15"/>
        <w:rPr>
          <w:b/>
          <w:b/>
        </w:rPr>
      </w:pPr>
      <w:r>
        <w:rPr/>
        <w:t xml:space="preserve">13. „Preporučujemo da institucije EU-a imaju važniju ulogu sa svim alatima koji su im na raspolaganju, uključujući nacionalne centre za kibersigurnost i Agenciju Europske unije za kibersigurnost (ENISA), kako bi se građane, organizacije i institucije zaštitilo od novih prijetnji koje proizlaze iz povreda kibersigurnosti i upotrebe umjetne inteligencije u kriminalne svrhe. Također preporučujemo da se direktive iz Europe i njezinih agencija pravilno provode i šire u svim državama članicama.” </w:t>
      </w:r>
    </w:p>
    <w:p>
      <w:pPr>
        <w:pStyle w:val="Normal"/>
        <w:rPr/>
      </w:pPr>
      <w:r>
        <w:rPr/>
        <w:t xml:space="preserve"> </w:t>
      </w:r>
    </w:p>
    <w:p>
      <w:pPr>
        <w:pStyle w:val="Normal"/>
        <w:rPr/>
      </w:pPr>
      <w:r>
        <w:rPr/>
        <w:t xml:space="preserve">To preporučujemo jer se građani osjećaju nemoćnima i nisu svjesni što Europska unija poduzima u borbi protiv tih prijetnji. To preporučujemo jer te prijetnje predstavljaju ozbiljan nacionalni i europski sigurnosni problem. To preporučujemo jer bi Europa trebala biti istinski pokretač inovacija u tom području. </w:t>
      </w:r>
    </w:p>
    <w:p>
      <w:pPr>
        <w:pStyle w:val="Normal"/>
        <w:rPr/>
      </w:pPr>
      <w:r>
        <w:rPr/>
        <w:t xml:space="preserve"> </w:t>
      </w:r>
    </w:p>
    <w:p>
      <w:pPr>
        <w:pStyle w:val="P68B1DB1Normal15"/>
        <w:rPr>
          <w:b/>
          <w:b/>
        </w:rPr>
      </w:pPr>
      <w:r>
        <w:rPr/>
        <w:t xml:space="preserve">14. „Preporučujemo da Unija u svojim odnosima s vanjskim zemljama najprije ojača zajedničke demokratske vrijednosti na svojim granicama. Tek nakon postizanja tog cilja predlažemo da Unija postane ambasador našeg demokratskog modela u zemljama koje su voljne primijeniti taj model i koje su to voljne učiniti diplomacijom i dijalogom. </w:t>
      </w:r>
    </w:p>
    <w:p>
      <w:pPr>
        <w:pStyle w:val="Normal"/>
        <w:rPr/>
      </w:pPr>
      <w:r>
        <w:rPr/>
        <w:t xml:space="preserve"> </w:t>
      </w:r>
    </w:p>
    <w:p>
      <w:pPr>
        <w:pStyle w:val="Normal"/>
        <w:rPr/>
      </w:pPr>
      <w:r>
        <w:rPr/>
        <w:t xml:space="preserve">Preporučamo ovu mjeru jer moramo gledati prema unutra prije gledanja prema van. Jer Europa može i mora pomoći državama članicama da ojačaju svoje demokracije. Zato što se štitimo i pružanjem primjera i podupiranjem napora vanjskih zemalja za demokraciju. </w:t>
      </w:r>
    </w:p>
    <w:p>
      <w:pPr>
        <w:pStyle w:val="Normal"/>
        <w:rPr/>
      </w:pPr>
      <w:r>
        <w:rPr/>
        <w:t xml:space="preserve"> </w:t>
      </w:r>
    </w:p>
    <w:p>
      <w:pPr>
        <w:pStyle w:val="Titre3"/>
        <w:numPr>
          <w:ilvl w:val="2"/>
          <w:numId w:val="2"/>
        </w:numPr>
        <w:rPr/>
      </w:pPr>
      <w:bookmarkStart w:id="139" w:name="__RefHeading___Toc297213_1346298689"/>
      <w:bookmarkEnd w:id="139"/>
      <w:r>
        <w:rPr/>
        <w:t xml:space="preserve">Os 3: Reforma Europske unije </w:t>
      </w:r>
    </w:p>
    <w:p>
      <w:pPr>
        <w:pStyle w:val="Normal"/>
        <w:rPr/>
      </w:pPr>
      <w:r>
        <w:rPr/>
        <w:t xml:space="preserve"> </w:t>
      </w:r>
    </w:p>
    <w:p>
      <w:pPr>
        <w:pStyle w:val="Titre4"/>
        <w:numPr>
          <w:ilvl w:val="3"/>
          <w:numId w:val="2"/>
        </w:numPr>
        <w:rPr/>
      </w:pPr>
      <w:bookmarkStart w:id="140" w:name="__RefHeading___Toc297215_1346298689"/>
      <w:bookmarkEnd w:id="140"/>
      <w:r>
        <w:rPr/>
        <w:t>Podos 3.1 Institucionalna reforma</w:t>
      </w:r>
    </w:p>
    <w:p>
      <w:pPr>
        <w:pStyle w:val="Normal"/>
        <w:rPr/>
      </w:pPr>
      <w:r>
        <w:rPr/>
        <w:t xml:space="preserve"> </w:t>
      </w:r>
    </w:p>
    <w:p>
      <w:pPr>
        <w:pStyle w:val="Normal"/>
        <w:rPr/>
      </w:pPr>
      <w:r>
        <w:rPr>
          <w:b/>
        </w:rPr>
        <w:t>15. „Preporučujemo promjenu naziva institucija EU-a kako bi se pojasnile njihove funkcije. Na primjer, Vijeće Europske unije moglo bi se nazvati Senatom Europske unije. Europska komisija mogla bi se nazvati Izvršnom komisijom Europske unije</w:t>
      </w:r>
      <w:r>
        <w:rPr/>
        <w:t xml:space="preserve">. </w:t>
      </w:r>
    </w:p>
    <w:p>
      <w:pPr>
        <w:pStyle w:val="Normal"/>
        <w:rPr/>
      </w:pPr>
      <w:r>
        <w:rPr/>
        <w:t xml:space="preserve"> </w:t>
      </w:r>
    </w:p>
    <w:p>
      <w:pPr>
        <w:pStyle w:val="Normal"/>
        <w:rPr/>
      </w:pPr>
      <w:r>
        <w:rPr/>
        <w:t xml:space="preserve">To preporučujemo jer je građanima trenutačno teško razumjeti uloge i funkcije svake institucije EU-a. Njihova imena ne odražavaju njihove funkcije. Od građana se ne može očekivati da razlikuju Vijeće Europske unije, Europsko vijeće i Vijeće Europe. Važno je izbjeći preklapanja. </w:t>
      </w:r>
    </w:p>
    <w:p>
      <w:pPr>
        <w:pStyle w:val="Normal"/>
        <w:rPr/>
      </w:pPr>
      <w:r>
        <w:rPr/>
        <w:t xml:space="preserve"> </w:t>
      </w:r>
    </w:p>
    <w:p>
      <w:pPr>
        <w:pStyle w:val="P68B1DB1Normal15"/>
        <w:rPr>
          <w:b/>
          <w:b/>
        </w:rPr>
      </w:pPr>
      <w:r>
        <w:rPr/>
        <w:t xml:space="preserve">16. Preporučujemo donošenje izbornog zakona za Europski parlament kojim se usklađuju izborni uvjeti (dob biračkog prava, datum izbora, zahtjevi koji se odnose na izborne jedinice, kandidate, političke stranke i njihovo financiranje). Europski građani trebali bi imati pravo glasa za različite stranke na razini EU-a, od kojih se svaka sastoji od kandidata iz nekoliko država članica. Tijekom dovoljnog prijelaznog razdoblja građani i dalje mogu glasovati za nacionalne i transnacionalne stranke. </w:t>
      </w:r>
    </w:p>
    <w:p>
      <w:pPr>
        <w:pStyle w:val="Normal"/>
        <w:rPr/>
      </w:pPr>
      <w:r>
        <w:rPr/>
        <w:t xml:space="preserve"> </w:t>
      </w:r>
    </w:p>
    <w:p>
      <w:pPr>
        <w:pStyle w:val="Normal"/>
        <w:rPr/>
      </w:pPr>
      <w:r>
        <w:rPr/>
        <w:t xml:space="preserve">To preporučujemo jer Unija treba razviti osjećaj jedinstva, koji bi se mogao pojaviti istinski jedinstvenim izborom za Europski parlament. Tim zajedničkim izborima omogućit će se osnaživanje zastupnika u Europskom parlamentu i usmjeravanje izborne kampanje na zajedničke europske teme. </w:t>
      </w:r>
    </w:p>
    <w:p>
      <w:pPr>
        <w:pStyle w:val="Normal"/>
        <w:rPr/>
      </w:pPr>
      <w:r>
        <w:rPr/>
        <w:t xml:space="preserve"> </w:t>
      </w:r>
    </w:p>
    <w:p>
      <w:pPr>
        <w:pStyle w:val="Titre4"/>
        <w:numPr>
          <w:ilvl w:val="3"/>
          <w:numId w:val="2"/>
        </w:numPr>
        <w:rPr/>
      </w:pPr>
      <w:bookmarkStart w:id="141" w:name="__RefHeading___Toc297217_1346298689"/>
      <w:bookmarkEnd w:id="141"/>
      <w:r>
        <w:rPr/>
        <w:t xml:space="preserve">Podos 3.2. Donošenje odluka </w:t>
      </w:r>
    </w:p>
    <w:p>
      <w:pPr>
        <w:pStyle w:val="Normal"/>
        <w:rPr/>
      </w:pPr>
      <w:r>
        <w:rPr/>
        <w:t xml:space="preserve"> </w:t>
      </w:r>
    </w:p>
    <w:p>
      <w:pPr>
        <w:pStyle w:val="P68B1DB1Normal15"/>
        <w:rPr>
          <w:b/>
          <w:b/>
        </w:rPr>
      </w:pPr>
      <w:r>
        <w:rPr/>
        <w:t xml:space="preserve">17. Preporučujemo stvaranje internetske platforme na kojoj građani mogu pronaći i zatražiti činjenično provjerene informacije. Platforma bi trebala biti jasno povezana s institucijama EU-a, tematski strukturirana i lako dostupna (npr. osiguravanjem dežurne linije). Građani bi trebali imati priliku postavljati kritična pitanja stručnjacima (npr. znanstvenicima, novinarima) i dobiti činjenične odgovore iz izvora. </w:t>
      </w:r>
    </w:p>
    <w:p>
      <w:pPr>
        <w:pStyle w:val="Normal"/>
        <w:rPr/>
      </w:pPr>
      <w:r>
        <w:rPr/>
        <w:t xml:space="preserve"> </w:t>
      </w:r>
    </w:p>
    <w:p>
      <w:pPr>
        <w:pStyle w:val="Normal"/>
        <w:rPr/>
      </w:pPr>
      <w:r>
        <w:rPr/>
        <w:t xml:space="preserve">Slobodan pristup činjeničnim informacijama od iznimne je važnosti za naše društvo kako bi građani bili dobro informirani i zaštićeni od lažnih vijesti i dezinformacija. Potreban nam je vjerodostojan i neovisan izvor informacija na koji ne utječu politički, gospodarski i nacionalni interesi. Osim toga, platformom se može uspostaviti most (tj. izravan odnos) između građana i EU-a. </w:t>
      </w:r>
    </w:p>
    <w:p>
      <w:pPr>
        <w:pStyle w:val="Normal"/>
        <w:rPr/>
      </w:pPr>
      <w:r>
        <w:rPr/>
      </w:r>
    </w:p>
    <w:p>
      <w:pPr>
        <w:pStyle w:val="P68B1DB1Normal15"/>
        <w:rPr>
          <w:b/>
          <w:b/>
        </w:rPr>
      </w:pPr>
      <w:r>
        <w:rPr/>
        <w:t xml:space="preserve">18. Preporučujemo da se u iznimnim slučajevima održi referendum na razini EU-a o pitanjima od velike važnosti za sve europske građane. Europski parlament trebao bi pokrenuti referendum i trebao bi biti pravno obvezujući. </w:t>
      </w:r>
    </w:p>
    <w:p>
      <w:pPr>
        <w:pStyle w:val="Normal"/>
        <w:rPr/>
      </w:pPr>
      <w:r>
        <w:rPr/>
        <w:t xml:space="preserve"> </w:t>
      </w:r>
    </w:p>
    <w:p>
      <w:pPr>
        <w:pStyle w:val="Normal"/>
        <w:rPr/>
      </w:pPr>
      <w:r>
        <w:rPr/>
        <w:t xml:space="preserve">Građani EU-a trebali bi imati izravniji utjecaj na važne odluke o europskim pitanjima. Ipak, referendum bi se trebao održati samo u iznimnim okolnostima jer ih, s obzirom na njihove visoke troškove, ne bi bilo moguće redovito održavati. Svjesni smo da bi ova preporuka mogla zahtijevati izmjenu Ugovora i prilagodbu nacionalnih ustava. </w:t>
      </w:r>
    </w:p>
    <w:p>
      <w:pPr>
        <w:pStyle w:val="Normal"/>
        <w:rPr/>
      </w:pPr>
      <w:r>
        <w:rPr/>
        <w:t xml:space="preserve"> </w:t>
      </w:r>
    </w:p>
    <w:p>
      <w:pPr>
        <w:pStyle w:val="P68B1DB1Normal15"/>
        <w:rPr>
          <w:b/>
          <w:b/>
        </w:rPr>
      </w:pPr>
      <w:r>
        <w:rPr/>
        <w:t xml:space="preserve">19. Preporučujemo stvaranje multifunkcionalne digitalne platforme putem koje građani mogu glasovati na internetskim izborima i anketama. Građani bi trebali imati priliku motivirati svoje glasovanje o važnim pitanjima i zakonodavnim prijedlozima europskih institucija. Ta bi platforma trebala biti sigurna, široko dostupna i vrlo vidljiva svakom građaninu. </w:t>
      </w:r>
    </w:p>
    <w:p>
      <w:pPr>
        <w:pStyle w:val="Normal"/>
        <w:rPr/>
      </w:pPr>
      <w:r>
        <w:rPr/>
        <w:t xml:space="preserve"> </w:t>
      </w:r>
    </w:p>
    <w:p>
      <w:pPr>
        <w:pStyle w:val="Normal"/>
        <w:rPr/>
      </w:pPr>
      <w:r>
        <w:rPr/>
        <w:t xml:space="preserve">Cilj je te platforme povećati sudjelovanje u europskoj politici i građanima olakšati pristup savjetovanju i glasovanju. Postojeći alati i procesi nisu dovoljno vidljivi i zato nam je potreban novi integrirani alat za te različite funkcije. Veće sudjelovanje dovodi do boljih odluka, većeg povjerenja među europskim građanima i boljeg funkcioniranja Unije općenito. </w:t>
      </w:r>
    </w:p>
    <w:p>
      <w:pPr>
        <w:pStyle w:val="Normal"/>
        <w:rPr/>
      </w:pPr>
      <w:r>
        <w:rPr/>
        <w:t xml:space="preserve"> </w:t>
      </w:r>
    </w:p>
    <w:p>
      <w:pPr>
        <w:pStyle w:val="P68B1DB1Normal15"/>
        <w:rPr>
          <w:b/>
          <w:b/>
        </w:rPr>
      </w:pPr>
      <w:r>
        <w:rPr/>
        <w:t xml:space="preserve">20. „Preporučujemo da se sustavi glasovanja u institucijama EU-a ponovno procijene usmjeravanjem na pitanje jednoglasnog odlučivanja. „Ponder” glasova trebalo bi izračunati pošteno kako bi se zaštitili interesi malih zemalja. </w:t>
      </w:r>
    </w:p>
    <w:p>
      <w:pPr>
        <w:pStyle w:val="Normal"/>
        <w:rPr/>
      </w:pPr>
      <w:r>
        <w:rPr/>
        <w:t xml:space="preserve"> </w:t>
      </w:r>
    </w:p>
    <w:p>
      <w:pPr>
        <w:pStyle w:val="Normal"/>
        <w:rPr/>
      </w:pPr>
      <w:r>
        <w:rPr/>
        <w:t xml:space="preserve">Jednoglasnost važan je izazov za donošenje odluka u EU-u. S obzirom na velik broj država članica, vrlo je teško postići dogovor. Ako je potrebno, potrebno je izmijeniti europske ugovore kako bi se riješilo pitanje jednoglasnosti. </w:t>
      </w:r>
    </w:p>
    <w:p>
      <w:pPr>
        <w:pStyle w:val="Normal"/>
        <w:rPr/>
      </w:pPr>
      <w:r>
        <w:rPr/>
        <w:t xml:space="preserve"> </w:t>
      </w:r>
    </w:p>
    <w:p>
      <w:pPr>
        <w:pStyle w:val="Titre4"/>
        <w:numPr>
          <w:ilvl w:val="3"/>
          <w:numId w:val="2"/>
        </w:numPr>
        <w:rPr/>
      </w:pPr>
      <w:bookmarkStart w:id="142" w:name="__RefHeading___Toc297219_1346298689"/>
      <w:bookmarkEnd w:id="142"/>
      <w:r>
        <w:rPr/>
        <w:t xml:space="preserve">Podosi 3.3 Bliža integracija </w:t>
      </w:r>
    </w:p>
    <w:p>
      <w:pPr>
        <w:pStyle w:val="Normal"/>
        <w:rPr/>
      </w:pPr>
      <w:r>
        <w:rPr/>
        <w:t xml:space="preserve"> </w:t>
      </w:r>
    </w:p>
    <w:p>
      <w:pPr>
        <w:pStyle w:val="P68B1DB1Normal15"/>
        <w:rPr>
          <w:b/>
          <w:b/>
        </w:rPr>
      </w:pPr>
      <w:r>
        <w:rPr/>
        <w:t xml:space="preserve">21. „Preporučujemo da Unija provede javna ulaganja koja dovode do otvaranja odgovarajućih radnih mjesta te poboljšanja i usklađivanja kvalitete života diljem Unije, među državama članicama i unutar država članica (tj. na regionalnoj razini). Potrebno je osigurati učinkovit nadzor, transparentnost i komunikaciju s građanima u provedbi javnih ulaganja te omogućiti građanima praćenje cijelog procesa ulaganja. Radi bolje kvalitete života trebalo bi ulagati u područja kao što su obrazovanje, zdravstvo, stanovanje, fizička infrastruktura, skrb za starije osobe i osobe s invaliditetom, uzimajući u obzir potrebe svake države članice. Cilj dodatnih ulaganja trebao bi biti uspostavljanje dobre ravnoteže između odgovarajućeg radnog i osobnog života kako bi se omogućio zdrav način života. </w:t>
      </w:r>
    </w:p>
    <w:p>
      <w:pPr>
        <w:pStyle w:val="Normal"/>
        <w:rPr/>
      </w:pPr>
      <w:r>
        <w:rPr/>
        <w:t xml:space="preserve"> </w:t>
      </w:r>
    </w:p>
    <w:p>
      <w:pPr>
        <w:pStyle w:val="Normal"/>
        <w:rPr/>
      </w:pPr>
      <w:r>
        <w:rPr/>
        <w:t xml:space="preserve">Preporučujemo tu mjeru jer će se usklađivanjem životnog standarda u Uniji poboljšati gospodarski napredak diljem Unije, što će dovesti do ujedinjene Europske unije. To je ključni pokazatelj za daljnju integraciju Unije. Iako su neki od tih mehanizama već uspostavljeni, vjerujemo da se još uvijek mogu poboljšati. </w:t>
      </w:r>
    </w:p>
    <w:p>
      <w:pPr>
        <w:pStyle w:val="Normal"/>
        <w:rPr/>
      </w:pPr>
      <w:r>
        <w:rPr/>
        <w:t xml:space="preserve"> </w:t>
      </w:r>
    </w:p>
    <w:p>
      <w:pPr>
        <w:pStyle w:val="P68B1DB1Normal15"/>
        <w:rPr>
          <w:b/>
          <w:b/>
        </w:rPr>
      </w:pPr>
      <w:r>
        <w:rPr/>
        <w:t xml:space="preserve">22. „Preporučujemo uspostavu zajedničke osnove, utemeljene na skupu gospodarskih pokazatelja i pokazatelja kvalitete života, za sve države članice kako bi se ponudile jednake mogućnosti i kako bi se svi izjednačili s ciljem postizanja zajedničke gospodarske strukture. Važno je da se ta zajednička osnova uspostavi u skladu s jasnim i realnim vremenskim rasporedom koji su utvrdile institucije na preporuku stručnjaka. Također je potrebno savjetovati se sa stručnjacima o obliku takve zajedničke gospodarske strukture. Također je važno da se uz pomoć stručnjaka preciznije definiraju pokazatelji na kojima se temelji ta zajednička osnova. </w:t>
      </w:r>
    </w:p>
    <w:p>
      <w:pPr>
        <w:pStyle w:val="Normal"/>
        <w:rPr/>
      </w:pPr>
      <w:r>
        <w:rPr/>
        <w:t xml:space="preserve"> </w:t>
      </w:r>
    </w:p>
    <w:p>
      <w:pPr>
        <w:pStyle w:val="Normal"/>
        <w:rPr/>
      </w:pPr>
      <w:r>
        <w:rPr/>
        <w:t xml:space="preserve">Predlažemo to jer ako imamo poštenu Uniju, imat ćemo ujedinjeniju Europu. Da bismo bili pošteni, moramo ponuditi jednake mogućnosti i zajednički temelj za cijelu Uniju. Bit će moguće postići zajedničku gospodarsku strukturu tek nakon što se uspostavi zajednička osnova. </w:t>
      </w:r>
    </w:p>
    <w:p>
      <w:pPr>
        <w:pStyle w:val="Normal"/>
        <w:rPr/>
      </w:pPr>
      <w:r>
        <w:rPr/>
        <w:t xml:space="preserve"> </w:t>
      </w:r>
    </w:p>
    <w:p>
      <w:pPr>
        <w:pStyle w:val="P68B1DB1Normal15"/>
        <w:rPr>
          <w:b/>
          <w:b/>
        </w:rPr>
      </w:pPr>
      <w:r>
        <w:rPr/>
        <w:t xml:space="preserve">23. Preporučujemo oporezivanje velikih poduzeća i korporativnih prihoda kako bi doprinijeli javnim ulaganjima te korištenje oporezivanja za ulaganje u obrazovanje i razvoj u svakoj zemlji (istraživanje i razvoj, stipendije – Erasmus itd.). Također je važno osigurati ukidanje poreznih oaza u EU-u.” </w:t>
      </w:r>
    </w:p>
    <w:p>
      <w:pPr>
        <w:pStyle w:val="Normal"/>
        <w:rPr/>
      </w:pPr>
      <w:r>
        <w:rPr/>
        <w:t xml:space="preserve"> </w:t>
      </w:r>
    </w:p>
    <w:p>
      <w:pPr>
        <w:pStyle w:val="Normal"/>
        <w:rPr/>
      </w:pPr>
      <w:r>
        <w:rPr/>
        <w:t xml:space="preserve">Preporučujemo ovu mjeru jer će se njome spriječiti utaja poreza i stvaranje poreznih oaza te promicati poštovanje propisa. </w:t>
      </w:r>
    </w:p>
    <w:p>
      <w:pPr>
        <w:pStyle w:val="Normal"/>
        <w:rPr/>
      </w:pPr>
      <w:r>
        <w:rPr/>
      </w:r>
    </w:p>
    <w:p>
      <w:pPr>
        <w:pStyle w:val="Titre3"/>
        <w:numPr>
          <w:ilvl w:val="2"/>
          <w:numId w:val="2"/>
        </w:numPr>
        <w:rPr/>
      </w:pPr>
      <w:bookmarkStart w:id="143" w:name="__RefHeading___Toc297221_1346298689"/>
      <w:bookmarkEnd w:id="143"/>
      <w:r>
        <w:rPr/>
        <w:t xml:space="preserve">Os 4: Izgradnja europskog identiteta </w:t>
      </w:r>
    </w:p>
    <w:p>
      <w:pPr>
        <w:pStyle w:val="Normal"/>
        <w:rPr/>
      </w:pPr>
      <w:r>
        <w:rPr/>
        <w:t xml:space="preserve"> </w:t>
      </w:r>
    </w:p>
    <w:p>
      <w:pPr>
        <w:pStyle w:val="Titre4"/>
        <w:numPr>
          <w:ilvl w:val="3"/>
          <w:numId w:val="2"/>
        </w:numPr>
        <w:rPr/>
      </w:pPr>
      <w:bookmarkStart w:id="144" w:name="__RefHeading___Toc297223_1346298689"/>
      <w:bookmarkEnd w:id="144"/>
      <w:r>
        <w:rPr/>
        <w:t xml:space="preserve">Podos 4.1 Obrazovanje za demokraciju </w:t>
      </w:r>
    </w:p>
    <w:p>
      <w:pPr>
        <w:pStyle w:val="Normal"/>
        <w:rPr/>
      </w:pPr>
      <w:r>
        <w:rPr/>
        <w:t xml:space="preserve"> </w:t>
      </w:r>
    </w:p>
    <w:p>
      <w:pPr>
        <w:pStyle w:val="P68B1DB1Normal15"/>
        <w:rPr>
          <w:b/>
          <w:b/>
        </w:rPr>
      </w:pPr>
      <w:r>
        <w:rPr/>
        <w:t xml:space="preserve">24. Preporučujemo da se obrazovanjem o demokraciji u EU-u poboljša i postigne minimalna razina znanja u svim državama članicama. To obrazovanje trebalo bi obuhvaćati, ali ne ograničavajući se na, demokratske procese i opće informacije o Uniji, koje bi trebalo podučavati u svim državama članicama EU-a. Trebalo bi ga obogatiti nizom različitih koncepata usmjerenih na podučavanje demokratskog procesa, koji bi trebao biti privlačan i prilagođen dobi. </w:t>
      </w:r>
    </w:p>
    <w:p>
      <w:pPr>
        <w:pStyle w:val="Normal"/>
        <w:rPr/>
      </w:pPr>
      <w:r>
        <w:rPr/>
        <w:t xml:space="preserve"> </w:t>
      </w:r>
    </w:p>
    <w:p>
      <w:pPr>
        <w:pStyle w:val="Normal"/>
        <w:rPr/>
      </w:pPr>
      <w:r>
        <w:rPr/>
        <w:t xml:space="preserve">Ova preporuka i razlozi za nju važni su jer će, ako se provede, dovesti do skladnijeg i demokratskijeg života u Uniji. Obrazloženje je kako slijedi: mladi bi se obrazovali u demokratskim procesima; to obrazovanje moglo bi ograničiti populizam i dezinformacije u javnoj raspravi; time bi se mogla smanjiti diskriminacija; naposljetku, time bi se omogućilo obrazovanje i mobiliziranje građana za demokraciju iznad njihove jednostavne obveze glasovanja. </w:t>
      </w:r>
    </w:p>
    <w:p>
      <w:pPr>
        <w:pStyle w:val="Normal"/>
        <w:rPr/>
      </w:pPr>
      <w:r>
        <w:rPr/>
        <w:t xml:space="preserve"> </w:t>
      </w:r>
    </w:p>
    <w:p>
      <w:pPr>
        <w:pStyle w:val="P68B1DB1Normal15"/>
        <w:rPr>
          <w:b/>
          <w:b/>
        </w:rPr>
      </w:pPr>
      <w:r>
        <w:rPr/>
        <w:t xml:space="preserve">25. „Preporučujemo da se postojeće i nove tehnologije prevođenja, kao što je umjetna inteligencija, dodatno razviju, poboljšaju i učine pristupačnijima kako bi se smanjile jezične prepreke i ojačao zajednički identitet i demokracija u EU-u.” </w:t>
      </w:r>
    </w:p>
    <w:p>
      <w:pPr>
        <w:pStyle w:val="Normal"/>
        <w:rPr/>
      </w:pPr>
      <w:r>
        <w:rPr/>
        <w:t xml:space="preserve"> </w:t>
      </w:r>
    </w:p>
    <w:p>
      <w:pPr>
        <w:pStyle w:val="Normal"/>
        <w:rPr/>
      </w:pPr>
      <w:r>
        <w:rPr/>
        <w:t xml:space="preserve">Ova preporuka i razlozi za nju važni su jer će, ako se provede, pridonijeti izgradnji zajedničkog europskog identiteta poboljšanjem komunikacije među građanima svih država članica. </w:t>
      </w:r>
    </w:p>
    <w:p>
      <w:pPr>
        <w:pStyle w:val="Normal"/>
        <w:rPr/>
      </w:pPr>
      <w:r>
        <w:rPr/>
        <w:t xml:space="preserve"> </w:t>
      </w:r>
    </w:p>
    <w:p>
      <w:pPr>
        <w:pStyle w:val="P68B1DB1Normal15"/>
        <w:rPr>
          <w:b/>
          <w:b/>
        </w:rPr>
      </w:pPr>
      <w:r>
        <w:rPr/>
        <w:t xml:space="preserve">26. Preporučujemo da provjerljive informacije budu lako dostupne građanima putem mobilne aplikacije kako bi se poboljšala transparentnost, javna rasprava i demokracija. Taj bi se zahtjev mogao upotrijebiti za širenje informacija o, primjerice, zakonodavstvu, raspravama unutar EU-a, izmjenama Ugovora itd. </w:t>
      </w:r>
    </w:p>
    <w:p>
      <w:pPr>
        <w:pStyle w:val="Normal"/>
        <w:rPr/>
      </w:pPr>
      <w:r>
        <w:rPr/>
        <w:t xml:space="preserve"> </w:t>
      </w:r>
    </w:p>
    <w:p>
      <w:pPr>
        <w:pStyle w:val="Normal"/>
        <w:rPr/>
      </w:pPr>
      <w:r>
        <w:rPr/>
        <w:t xml:space="preserve">Ova preporuka i razlozi za nju važni su jer će, ako se provede, olakšati komunikaciju u mjeri u kojoj će omogućiti informiraniju raspravu među građanima različitih država članica putem aplikacije koja bi mogla imati mnogo različitih funkcija. Ova aplikacija trebala bi biti osmišljena tako da je vjerojatno da će biti od interesa za sve i sposobna dodatno privući znatiželju i učiniti tehničke informacije dostupnijima i privlačnijima. Zahtjev bi trebalo smatrati dopunskim izvorom kojim se šire informacije koje je Unija službeno službeno provjerila kako bi se povećalo povjerenje i transparentnost u javnoj raspravi i doprinijelo izgradnji zajedničkog europskog identiteta. </w:t>
      </w:r>
    </w:p>
    <w:p>
      <w:pPr>
        <w:pStyle w:val="Normal"/>
        <w:rPr/>
      </w:pPr>
      <w:r>
        <w:rPr/>
      </w:r>
    </w:p>
    <w:p>
      <w:pPr>
        <w:pStyle w:val="Titre4"/>
        <w:numPr>
          <w:ilvl w:val="3"/>
          <w:numId w:val="2"/>
        </w:numPr>
        <w:rPr/>
      </w:pPr>
      <w:bookmarkStart w:id="145" w:name="__RefHeading___Toc297225_1346298689"/>
      <w:bookmarkEnd w:id="145"/>
      <w:r>
        <w:rPr/>
        <w:t xml:space="preserve">Podos 4.2 Europske vrijednosti i identitet </w:t>
      </w:r>
    </w:p>
    <w:p>
      <w:pPr>
        <w:pStyle w:val="Normal"/>
        <w:rPr/>
      </w:pPr>
      <w:r>
        <w:rPr/>
        <w:t xml:space="preserve"> </w:t>
      </w:r>
    </w:p>
    <w:p>
      <w:pPr>
        <w:pStyle w:val="P68B1DB1Normal15"/>
        <w:rPr>
          <w:b/>
          <w:b/>
        </w:rPr>
      </w:pPr>
      <w:r>
        <w:rPr/>
        <w:t xml:space="preserve">27. „Preporučujemo da EU uspostavi poseban fond za interakcije na internetu i izvan njega (tj. programe razmjene, panele, sastanke) kratkog i dugog trajanja među građanima EU-a kako bi se ojačao europski identitet. Sudionici bi trebali biti reprezentativni za društvo unutar Unije, uključujući skupine odabrane na ciljani način na temelju različitih kriterija, tj. demografskih, socioekonomskih i profesionalnih kriterija. Ciljevi ovog fonda moraju biti jasno navedeni kako bi se promicao europski identitet, a taj bi fond trebalo redovito ocjenjivati. </w:t>
      </w:r>
    </w:p>
    <w:p>
      <w:pPr>
        <w:pStyle w:val="Normal"/>
        <w:rPr/>
      </w:pPr>
      <w:r>
        <w:rPr/>
        <w:t xml:space="preserve"> </w:t>
      </w:r>
    </w:p>
    <w:p>
      <w:pPr>
        <w:pStyle w:val="Normal"/>
        <w:rPr/>
      </w:pPr>
      <w:r>
        <w:rPr/>
        <w:t xml:space="preserve">To preporučujemo jer takva vrsta interakcije građanima omogućuje razmjenu ideja, a duža razmjena omogućuje im razumijevanje različitih kultura i razmjenu iskustava, uključujući profesionalne prakse. Potreban je fond EU-a jer je važno da svi mogu sudjelovati, uključujući one koji obično ne sudjeluju. </w:t>
      </w:r>
    </w:p>
    <w:p>
      <w:pPr>
        <w:pStyle w:val="Normal"/>
        <w:rPr/>
      </w:pPr>
      <w:r>
        <w:rPr/>
        <w:t xml:space="preserve"> </w:t>
      </w:r>
    </w:p>
    <w:p>
      <w:pPr>
        <w:pStyle w:val="P68B1DB1Normal15"/>
        <w:rPr>
          <w:b/>
          <w:b/>
        </w:rPr>
      </w:pPr>
      <w:r>
        <w:rPr/>
        <w:t xml:space="preserve">28. „Preporučujemo da EU brzo ulaže u borbu protiv dezinformacija, podupirući postojeće organizacije i inicijative, kao što su Kodeks dobre prakse u suzbijanju dezinformacija i Europski opservatorij za digitalne medije, kao i usporedive inicijative u državama članicama. Mogle bi se uvesti različite protumjere: provjera činjenica, svijest o dezinformacijama, izrada lako dostupnih statističkih podataka, nametanje odgovarajućih sankcija u pravnom okviru za one koji šire dezinformacije i borba protiv izvora dezinformacija. </w:t>
      </w:r>
    </w:p>
    <w:p>
      <w:pPr>
        <w:pStyle w:val="Normal"/>
        <w:rPr/>
      </w:pPr>
      <w:r>
        <w:rPr/>
        <w:t xml:space="preserve"> </w:t>
      </w:r>
    </w:p>
    <w:p>
      <w:pPr>
        <w:pStyle w:val="Normal"/>
        <w:rPr/>
      </w:pPr>
      <w:r>
        <w:rPr/>
        <w:t xml:space="preserve">Ta je preporuka važna jer pogrešne informacije i dezinformacije iz EU-a i izvan njega imaju učinak stvaranja sukoba među građanima EU-a, polarizacije društva, ugrožavanja demokracije i štete gospodarstvu. S obzirom na složenost predmeta potrebni su znatni ljudski i financijski resursi. </w:t>
      </w:r>
    </w:p>
    <w:p>
      <w:pPr>
        <w:pStyle w:val="Normal"/>
        <w:rPr/>
      </w:pPr>
      <w:r>
        <w:rPr/>
        <w:t xml:space="preserve"> </w:t>
      </w:r>
    </w:p>
    <w:p>
      <w:pPr>
        <w:pStyle w:val="P68B1DB1Normal15"/>
        <w:rPr>
          <w:b/>
          <w:b/>
        </w:rPr>
      </w:pPr>
      <w:r>
        <w:rPr/>
        <w:t xml:space="preserve">29. „Preporučujemo 1) povećanje učestalosti interakcija na internetu i izvan njega između Unije i njezinih građana (tj. izravnim razgovorima s građanima o europskim pitanjima i stvaranjem jednostavne platforme kako bi se osiguralo da svaki građanin može komunicirati s institucijama i službenicima EU-a); 2. osiguravanje da građani mogu sudjelovati u postupku donošenja politika EU-a, izraziti svoja mišljenja i dobiti povratne informacije te preporučujemo izradu Povelje ili kodeksa ponašanja ili smjernica za dužnosnike EU-a. Trebali bi postojati različiti načini interakcije kako bi svaki građanin mogao sudjelovati. </w:t>
      </w:r>
    </w:p>
    <w:p>
      <w:pPr>
        <w:pStyle w:val="Normal"/>
        <w:rPr/>
      </w:pPr>
      <w:r>
        <w:rPr/>
        <w:t xml:space="preserve"> </w:t>
      </w:r>
    </w:p>
    <w:p>
      <w:pPr>
        <w:pStyle w:val="Normal"/>
        <w:rPr/>
      </w:pPr>
      <w:r>
        <w:rPr/>
        <w:t xml:space="preserve">Preporučujemo ovu mjeru jer postoji nekoliko načina za stupanje u kontakt s europskim institucijama (internetske platforme, predstavnička tijela), ali oni nisu poznati, nedjelotvorni i netransparentni. Pristupačnost se znatno razlikuje od zemlje do zemlje. Češća i bolja interakcija dovest će do osjećaja odgovornosti za europsko građanstvo. </w:t>
      </w:r>
    </w:p>
    <w:p>
      <w:pPr>
        <w:pStyle w:val="Normal"/>
        <w:rPr/>
      </w:pPr>
      <w:r>
        <w:rPr/>
        <w:t xml:space="preserve"> </w:t>
      </w:r>
    </w:p>
    <w:p>
      <w:pPr>
        <w:pStyle w:val="P68B1DB1Normal15"/>
        <w:rPr>
          <w:b/>
          <w:b/>
        </w:rPr>
      </w:pPr>
      <w:r>
        <w:rPr/>
        <w:t xml:space="preserve">30. Preporučujemo da europski identitet i vrijednosti (tj. vladavina prava, demokracija i solidarnost) imaju posebnu ulogu u procesu integracije migranata. Mogu se predvidjeti različite mjere, kao što su izrada programa ili potpora već postojećim (lokalnim) programima kako bi se potaknula društvena interakcija između migranata i građana EU-a ili sudjelovanje poduzeća u programima kojima se podupire integracija migranata. Istodobno bi trebalo pokrenuti slične programe za podizanje svijesti građana EU-a o pitanjima povezanima s migracijama. </w:t>
      </w:r>
    </w:p>
    <w:p>
      <w:pPr>
        <w:pStyle w:val="Normal"/>
        <w:rPr/>
      </w:pPr>
      <w:r>
        <w:rPr/>
        <w:t xml:space="preserve"> </w:t>
      </w:r>
    </w:p>
    <w:p>
      <w:pPr>
        <w:pStyle w:val="Normal"/>
        <w:rPr/>
      </w:pPr>
      <w:r>
        <w:rPr/>
        <w:t xml:space="preserve">Ova je preporuka važna jer programi društvene interakcije mogu pomoći migrantima u njihovim novim životima i omogućiti nemigrantima da bolje razumiju svakodnevni život migranata. Ako migranti žive u getima, ne postoji mogućnost njihove integracije u društvo na nacionalnoj razini ili razini EU-a. Potrebna je zajednička politika jer nakon što migranti uđu na područje Unije mogu otići u sve države članice EU-a. Potrebno je podržati lokalne inicijative jer će lokalne vlasti koristiti sredstva učinkovitije nego na nacionalnoj razini. </w:t>
      </w:r>
    </w:p>
    <w:p>
      <w:pPr>
        <w:pStyle w:val="Normal"/>
        <w:rPr/>
      </w:pPr>
      <w:r>
        <w:rPr/>
        <w:t xml:space="preserve"> </w:t>
      </w:r>
    </w:p>
    <w:p>
      <w:pPr>
        <w:pStyle w:val="Titre4"/>
        <w:numPr>
          <w:ilvl w:val="3"/>
          <w:numId w:val="2"/>
        </w:numPr>
        <w:rPr/>
      </w:pPr>
      <w:bookmarkStart w:id="146" w:name="__RefHeading___Toc297227_1346298689"/>
      <w:bookmarkEnd w:id="146"/>
      <w:r>
        <w:rPr/>
        <w:t xml:space="preserve">Podosi 4.3 Informacije EU-a </w:t>
      </w:r>
    </w:p>
    <w:p>
      <w:pPr>
        <w:pStyle w:val="Normal"/>
        <w:rPr/>
      </w:pPr>
      <w:r>
        <w:rPr/>
        <w:t xml:space="preserve"> </w:t>
      </w:r>
    </w:p>
    <w:p>
      <w:pPr>
        <w:pStyle w:val="P68B1DB1Normal15"/>
        <w:rPr>
          <w:b/>
          <w:b/>
        </w:rPr>
      </w:pPr>
      <w:r>
        <w:rPr/>
        <w:t xml:space="preserve">31. „Preporučujemo da EU bolje informira europske građane. Kako bi to učinila, Unija bi se trebala koristiti svim potrebnim sredstvima uz istodobno poštovanje slobode i neovisnosti medija. Trebalo bi medijima osigurati opće i pouzdane resurse i informacije o aktivnostima i politikama Unije. Unija bi trebala osigurati ravnomjerno širenje informacija u svim državama članicama putem nacionalnih i europskih medija te osigurati da države članice potiču javne radiodifuzijske kuće i javne novinske agencije na rješavanje europskih pitanja.” </w:t>
      </w:r>
    </w:p>
    <w:p>
      <w:pPr>
        <w:pStyle w:val="Normal"/>
        <w:rPr/>
      </w:pPr>
      <w:r>
        <w:rPr/>
      </w:r>
    </w:p>
    <w:p>
      <w:pPr>
        <w:pStyle w:val="Normal"/>
        <w:rPr/>
      </w:pPr>
      <w:r>
        <w:rPr/>
        <w:t xml:space="preserve">To preporučujemo jer, prema našem osobnom iskustvu i prema podacima Eurobarometra, većinu europskih građana informiraju glavni mediji (tisak, radio i televizija), a ti kanali trenutačno nude vrlo malo informacija o EU-u. Mediji, uključujući javne medije, imaju funkciju javne službe. Stoga je ključno rješavati europska pitanja koja utječu na europsko stanovništvo kako bi se ispunila ta funkcija. Sud preporučuje da informacije EU-a koje se šire u različitim državama članicama budu jednake kako bi se promicala integracija te preporučujemo izbjegavanje različitih informacija o različitim pitanjima u svakoj zemlji. Prikladnije je i jeftinije koristiti postojeće medijske kanale nego stvoriti novi kanal, za isti rezultat. Prednost postojećih kanala je i to što su već poznati građanima. Nijedan građanin ne bi trebao birati između različitih kanala za pristup različitim sadržajima (nacionalnim ili europskim). </w:t>
      </w:r>
    </w:p>
    <w:p>
      <w:pPr>
        <w:pStyle w:val="Normal"/>
        <w:rPr/>
      </w:pPr>
      <w:r>
        <w:rPr/>
        <w:t xml:space="preserve"> </w:t>
      </w:r>
    </w:p>
    <w:p>
      <w:pPr>
        <w:pStyle w:val="P68B1DB1Normal15"/>
        <w:rPr>
          <w:b/>
          <w:b/>
        </w:rPr>
      </w:pPr>
      <w:r>
        <w:rPr/>
        <w:t xml:space="preserve">32. „Preporučujemo da EU uspostavi i promiče višejezične internetske forume i sastanke izvan interneta koji građanima omogućuju sudjelovanje u raspravi s predstavnicima EU-a, bez obzira na temu i zemljopisno područje primjene postavljenog pitanja. Odgovore na pitanja postavljena na tim internetskim forumima i sastancima izvan interneta trebalo bi pružiti u jasno definiranom kratkom roku. Sve informacije koje se odnose na te prostore trebale bi biti centralizirane na integriranoj službenoj internetskoj stranici s različitim značajkama, kao što su prostor za često postavljana pitanja, mogućnost razmjene ideja, prijedloga ili nedoumica s drugim građanima te mehanizam za naznaku koji najviše podržavaju. U svakom slučaju, pristup ovoj stranici trebao bi biti jednostavan i koristiti nebirokratski jezik. </w:t>
      </w:r>
    </w:p>
    <w:p>
      <w:pPr>
        <w:pStyle w:val="Normal"/>
        <w:rPr/>
      </w:pPr>
      <w:r>
        <w:rPr/>
        <w:t xml:space="preserve"> </w:t>
      </w:r>
    </w:p>
    <w:p>
      <w:pPr>
        <w:pStyle w:val="Normal"/>
        <w:rPr/>
      </w:pPr>
      <w:r>
        <w:rPr/>
        <w:t xml:space="preserve">To preporučujemo jer je to način za stvaranje izravnog mosta između europskih građana i europskih predstavnika kako bi se moglo razgovarati i surađivati, kako bi se građanima omogućio jednostavan pristup informacijama o Uniji i kako bi ih se bolje informiralo o informacijama koje su već dostupne. Time će se stvoriti transparentnija i otvorenija Unija i pomoći građanima da podijele svoje probleme i razmišljanja te dobiju odgovore i rješenja politike te građanima omoguće da se uključe i razmijene perspektive i iskustva s drugim građanima. </w:t>
      </w:r>
    </w:p>
    <w:p>
      <w:pPr>
        <w:pStyle w:val="Normal"/>
        <w:rPr/>
      </w:pPr>
      <w:r>
        <w:rPr/>
        <w:t xml:space="preserve"> </w:t>
      </w:r>
    </w:p>
    <w:p>
      <w:pPr>
        <w:pStyle w:val="Normal"/>
        <w:rPr>
          <w:b/>
          <w:b/>
        </w:rPr>
      </w:pPr>
      <w:r>
        <w:rPr>
          <w:b/>
        </w:rPr>
        <w:t xml:space="preserve">33. </w:t>
      </w:r>
      <w:commentRangeStart w:id="4"/>
      <w:r>
        <w:rPr>
          <w:b/>
        </w:rPr>
        <w:t>„</w:t>
      </w:r>
      <w:r>
        <w:rPr>
          <w:b/>
          <w:i/>
        </w:rPr>
        <w:t>Preporučujemo da institucije i predstavnici EU-a upotrebljavaju pristupačniji jezik i izbjegavaju uporabu birokratskih pojmova u komunikaciji, uz istodobno održavanje kvalitete i tehničke razine pruženih informacija.</w:t>
      </w:r>
      <w:r>
        <w:rPr>
          <w:b/>
        </w:rPr>
        <w:t xml:space="preserve"> </w:t>
      </w:r>
      <w:r>
        <w:rPr>
          <w:b/>
        </w:rPr>
      </w:r>
      <w:commentRangeEnd w:id="4"/>
      <w:r>
        <w:commentReference w:id="4"/>
      </w:r>
      <w:r>
        <w:rPr>
          <w:b/>
        </w:rPr>
        <w:t xml:space="preserve">Unija bi također trebala prilagoditi informacije koje pruža građanima koristeći se različitim komunikacijskim kanalima i različitom publikom (npr. novine, televizija, društveni mediji). EU bi trebao uložiti posebne napore u prilagodbu komunikacije digitalnim medijima kako bi povećao svoj kapacitet za dopiranje do mladih.” </w:t>
      </w:r>
    </w:p>
    <w:p>
      <w:pPr>
        <w:pStyle w:val="Normal"/>
        <w:rPr/>
      </w:pPr>
      <w:r>
        <w:rPr/>
        <w:t xml:space="preserve"> </w:t>
      </w:r>
    </w:p>
    <w:p>
      <w:pPr>
        <w:pStyle w:val="Normal"/>
        <w:rPr/>
      </w:pPr>
      <w:r>
        <w:rPr/>
        <w:t xml:space="preserve">Preporučujemo ovu mjeru jer će razumljive informacije omogućiti Uniji da dopre do većeg broja europskih građana, a ne samo onih koji su angažirani. Novim modernim alatima za usmjeravanje na određenu publiku građani će steći bolje razumijevanje aktivnosti i politika EU-a, posebno mladih ljudi koji se ne osjećaju bliskima EU-u ili su povezani s EU-om. </w:t>
      </w:r>
    </w:p>
    <w:p>
      <w:pPr>
        <w:pStyle w:val="Normal"/>
        <w:rPr/>
      </w:pPr>
      <w:r>
        <w:rPr/>
      </w:r>
    </w:p>
    <w:p>
      <w:pPr>
        <w:pStyle w:val="Titre3"/>
        <w:numPr>
          <w:ilvl w:val="2"/>
          <w:numId w:val="2"/>
        </w:numPr>
        <w:rPr/>
      </w:pPr>
      <w:bookmarkStart w:id="147" w:name="__RefHeading___Toc297229_1346298689"/>
      <w:bookmarkEnd w:id="147"/>
      <w:r>
        <w:rPr/>
        <w:t xml:space="preserve">Os 5: Jačanje sudjelovanja građana </w:t>
      </w:r>
    </w:p>
    <w:p>
      <w:pPr>
        <w:pStyle w:val="Normal"/>
        <w:rPr/>
      </w:pPr>
      <w:r>
        <w:rPr/>
        <w:t xml:space="preserve"> </w:t>
      </w:r>
    </w:p>
    <w:p>
      <w:pPr>
        <w:pStyle w:val="Titre4"/>
        <w:numPr>
          <w:ilvl w:val="3"/>
          <w:numId w:val="2"/>
        </w:numPr>
        <w:rPr/>
      </w:pPr>
      <w:bookmarkStart w:id="148" w:name="__RefHeading___Toc297231_1346298689"/>
      <w:bookmarkEnd w:id="148"/>
      <w:r>
        <w:rPr/>
        <w:t xml:space="preserve">Podos 5.1. Sudjelovanje građana </w:t>
      </w:r>
    </w:p>
    <w:p>
      <w:pPr>
        <w:pStyle w:val="Normal"/>
        <w:rPr/>
      </w:pPr>
      <w:r>
        <w:rPr/>
        <w:t xml:space="preserve"> </w:t>
      </w:r>
    </w:p>
    <w:p>
      <w:pPr>
        <w:pStyle w:val="P68B1DB1Normal15"/>
        <w:rPr>
          <w:b/>
          <w:b/>
        </w:rPr>
      </w:pPr>
      <w:r>
        <w:rPr/>
        <w:t xml:space="preserve">34. „Preporučujemo da neovisni promatrači građana budu prisutni u svim postupcima donošenja odluka u EU-u. Trebao bi postojati stalni forum ili tijelo predstavnika građana koji bi bili odgovorni za širenje relevantnih i važnih informacija svim građanima Unije koji su kao takvi definirani. Ti bi građani surađivali sa svim drugim europskim građanima u pristupu odozgo prema dolje/odozdo prema gore, čime bi se dodatno razvio dijalog između građana i institucija EU-a.” </w:t>
      </w:r>
    </w:p>
    <w:p>
      <w:pPr>
        <w:pStyle w:val="Normal"/>
        <w:rPr/>
      </w:pPr>
      <w:r>
        <w:rPr/>
        <w:t xml:space="preserve"> </w:t>
      </w:r>
    </w:p>
    <w:p>
      <w:pPr>
        <w:pStyle w:val="Normal"/>
        <w:rPr/>
      </w:pPr>
      <w:r>
        <w:rPr/>
        <w:t xml:space="preserve">Građani, naravno, zaslužuju da budu informirani o svim pitanjima, a važno je osigurati da političari ne mogu previdjeti neka od pitanja koja bi radije ignorirali. Takvom bi se mjerom premostio jaz između građana i izabranih predstavnika uspostavom novih putova povjerenja. </w:t>
      </w:r>
    </w:p>
    <w:p>
      <w:pPr>
        <w:pStyle w:val="Normal"/>
        <w:rPr/>
      </w:pPr>
      <w:r>
        <w:rPr/>
        <w:t xml:space="preserve"> </w:t>
      </w:r>
    </w:p>
    <w:p>
      <w:pPr>
        <w:pStyle w:val="P68B1DB1Normal15"/>
        <w:rPr>
          <w:b/>
          <w:b/>
        </w:rPr>
      </w:pPr>
      <w:r>
        <w:rPr/>
        <w:t xml:space="preserve"> </w:t>
      </w:r>
      <w:r>
        <w:rPr/>
        <w:t xml:space="preserve">35. „Preporučujemo Uniji da ponovno otvori raspravu o Ustavu Europe s ciljem izrade ustava nadahnutog građanima Unije. Građani bi trebali moći glasati za takav ustav. Kako bi se izbjegli sukobi s državama članicama, vrijednosti ljudskih prava i demokracije trebalo bi uključiti kao prioritet u ovaj ustav. Pri sastavljanju takvog ustava treba voditi računa o prethodnim naporima koji nikada nisu rezultirali ustavom. </w:t>
      </w:r>
    </w:p>
    <w:p>
      <w:pPr>
        <w:pStyle w:val="Normal"/>
        <w:rPr/>
      </w:pPr>
      <w:r>
        <w:rPr/>
        <w:t xml:space="preserve"> </w:t>
      </w:r>
    </w:p>
    <w:p>
      <w:pPr>
        <w:pStyle w:val="Normal"/>
        <w:rPr/>
      </w:pPr>
      <w:r>
        <w:rPr/>
        <w:t xml:space="preserve">Budući da bi ovaj ustav uključio mlade ljude u politiku na razini EU-a i omeo nacionalističke snage koje postaju sve jače. Njime bi se pružila zajednička definicija demokracije u Europi koja bi se jednako primjenjivala u svim državama članicama. Jer EU dijeli zajedničke vrijednosti u pogledu demokracije i ljudskih prava. Budući da bi građani imali priliku sudjelovati u postupku donošenja odluka i više se poistovjetiti s Unijom sudjelovanjem u tom procesu. </w:t>
      </w:r>
    </w:p>
    <w:p>
      <w:pPr>
        <w:pStyle w:val="Normal"/>
        <w:rPr/>
      </w:pPr>
      <w:r>
        <w:rPr/>
        <w:t xml:space="preserve"> </w:t>
      </w:r>
    </w:p>
    <w:p>
      <w:pPr>
        <w:pStyle w:val="P68B1DB1Normal15"/>
        <w:rPr>
          <w:b/>
          <w:b/>
        </w:rPr>
      </w:pPr>
      <w:r>
        <w:rPr/>
        <w:t xml:space="preserve">36. Preporučujemo političarima da budu odgovorniji u načinu na koji predstavljaju građane koji su ih izabrali. Konkretno, mladi su posebno odvojeni od politike i ne shvaćaju se ozbiljno kada sudjeluju. No, nezainteresiranost je univerzalni problem i ljudi svih dobnih skupina trebaju biti angažiraniji nego što su sada. </w:t>
      </w:r>
    </w:p>
    <w:p>
      <w:pPr>
        <w:pStyle w:val="Normal"/>
        <w:rPr/>
      </w:pPr>
      <w:r>
        <w:rPr/>
        <w:t xml:space="preserve"> </w:t>
      </w:r>
    </w:p>
    <w:p>
      <w:pPr>
        <w:pStyle w:val="Normal"/>
        <w:rPr/>
      </w:pPr>
      <w:r>
        <w:rPr/>
        <w:t xml:space="preserve">Zato što bi trebalo ažurirati definiciju demokracije. Moramo se sjetiti što je zapravo demokracija. Zato što su mladi ljudi imali dovoljno i razočarani političarima koje vide kao elite koje ne dijele svoja mišljenja. Zbog toga građani moraju biti više angažirani na originalan i privlačan način. Obrazovni sustav, društveni mediji i svi drugi oblici medija mogli bi tu ulogu ispuniti tijekom cijelog životnog ciklusa i na svim jezicima. </w:t>
      </w:r>
    </w:p>
    <w:p>
      <w:pPr>
        <w:pStyle w:val="Normal"/>
        <w:rPr/>
      </w:pPr>
      <w:r>
        <w:rPr/>
        <w:t xml:space="preserve"> </w:t>
      </w:r>
    </w:p>
    <w:p>
      <w:pPr>
        <w:pStyle w:val="Titre4"/>
        <w:numPr>
          <w:ilvl w:val="3"/>
          <w:numId w:val="2"/>
        </w:numPr>
        <w:rPr/>
      </w:pPr>
      <w:bookmarkStart w:id="149" w:name="__RefHeading___Toc297233_1346298689"/>
      <w:bookmarkEnd w:id="149"/>
      <w:r>
        <w:rPr/>
        <w:t xml:space="preserve">Podos 5.2. Sudjelovanje građana </w:t>
      </w:r>
    </w:p>
    <w:p>
      <w:pPr>
        <w:pStyle w:val="Normal"/>
        <w:rPr/>
      </w:pPr>
      <w:r>
        <w:rPr/>
        <w:t xml:space="preserve"> </w:t>
      </w:r>
    </w:p>
    <w:p>
      <w:pPr>
        <w:pStyle w:val="P68B1DB1Normal15"/>
        <w:rPr>
          <w:b/>
          <w:b/>
        </w:rPr>
      </w:pPr>
      <w:r>
        <w:rPr/>
        <w:t xml:space="preserve">37. „Preporučujemo da se EU približi građanima na odlučniji način. Kako bi se to postiglo, države članice trebale bi biti uključene u promicanje sudjelovanja građana u Uniji. Unija bi trebala promicati upotrebu mehanizama sudjelovanja građana pokretanjem komercijalnih i promidžbenih kampanja. Nacionalne i lokalne vlasti trebale bi biti obvezne sudjelovati u tom procesu. Unija bi trebala osigurati učinkovitost platformi participativne demokracije.” </w:t>
      </w:r>
    </w:p>
    <w:p>
      <w:pPr>
        <w:pStyle w:val="Normal"/>
        <w:rPr/>
      </w:pPr>
      <w:r>
        <w:rPr/>
        <w:t xml:space="preserve"> </w:t>
      </w:r>
    </w:p>
    <w:p>
      <w:pPr>
        <w:pStyle w:val="Normal"/>
        <w:rPr/>
      </w:pPr>
      <w:r>
        <w:rPr/>
        <w:t xml:space="preserve">To preporučujemo jer je potrebno ojačati i učiniti učinkovitijom već postojeću platformu: potrebno je više povratnih informacija građana EU-u i obratno. U EU-u nema dovoljno rasprave, kako među građanima tako i među vladama. Budući da građani ne podnose predstavke, bilo zato što ne znaju da mehanizam postoji, bilo zato što ne vjeruju da takve predstavke mogu uspjeti. </w:t>
      </w:r>
    </w:p>
    <w:p>
      <w:pPr>
        <w:pStyle w:val="Normal"/>
        <w:rPr/>
      </w:pPr>
      <w:r>
        <w:rPr/>
        <w:t xml:space="preserve"> </w:t>
      </w:r>
    </w:p>
    <w:p>
      <w:pPr>
        <w:pStyle w:val="P68B1DB1Normal15"/>
        <w:rPr>
          <w:b/>
          <w:b/>
        </w:rPr>
      </w:pPr>
      <w:r>
        <w:rPr/>
        <w:t xml:space="preserve">38. „Preporučujemo Uniji da izradi i provede kurikulume za škole o tome što se poduzima u EU-u u pogledu mehanizama sudjelovanja. Takvi programi trebali bi biti uključeni u školske kurikulume o europskom građanstvu i etici, a sadržaj bi trebao biti prilagođen dobi učenika. Trebali bi postojati i programi za odrasle. Programe cjeloživotnog učenja trebalo bi staviti na raspolaganje građanima kako bi se produbilo njihovo znanje o mogućnostima za sudjelovanje građana u Uniji.” </w:t>
      </w:r>
    </w:p>
    <w:p>
      <w:pPr>
        <w:pStyle w:val="Normal"/>
        <w:rPr/>
      </w:pPr>
      <w:r>
        <w:rPr/>
        <w:t xml:space="preserve"> </w:t>
      </w:r>
    </w:p>
    <w:p>
      <w:pPr>
        <w:pStyle w:val="Normal"/>
        <w:rPr/>
      </w:pPr>
      <w:r>
        <w:rPr/>
        <w:t xml:space="preserve">Preporučamo ovu mjeru jer je važna za budućnost naše djece. Građani žele znati kako izraziti svoj glas. Važno je da znaju točne mehanizme i način na koji se mogu koristiti kako bi Unija čula njihov glas. To je važno da svi europski građani budu ravnopravni. Kao europski građani moramo znati kako iskoristiti svoja prava. Kao europski građani imamo pravo znati te informacije. </w:t>
      </w:r>
    </w:p>
    <w:p>
      <w:pPr>
        <w:pStyle w:val="Normal"/>
        <w:rPr/>
      </w:pPr>
      <w:r>
        <w:rPr/>
        <w:t xml:space="preserve"> </w:t>
      </w:r>
    </w:p>
    <w:p>
      <w:pPr>
        <w:pStyle w:val="Titre4"/>
        <w:numPr>
          <w:ilvl w:val="3"/>
          <w:numId w:val="2"/>
        </w:numPr>
        <w:rPr/>
      </w:pPr>
      <w:bookmarkStart w:id="150" w:name="__RefHeading___Toc297235_1346298689"/>
      <w:bookmarkEnd w:id="150"/>
      <w:r>
        <w:rPr/>
        <w:t xml:space="preserve">Podos 5.3 Sudjelovanje građana </w:t>
      </w:r>
    </w:p>
    <w:p>
      <w:pPr>
        <w:pStyle w:val="Normal"/>
        <w:rPr/>
      </w:pPr>
      <w:r>
        <w:rPr/>
        <w:t xml:space="preserve"> </w:t>
      </w:r>
    </w:p>
    <w:p>
      <w:pPr>
        <w:pStyle w:val="P68B1DB1Normal15"/>
        <w:rPr>
          <w:b/>
          <w:b/>
        </w:rPr>
      </w:pPr>
      <w:r>
        <w:rPr/>
        <w:t xml:space="preserve">39. Preporučujemo da Unija organizira skupštine građana. Preporučujemo da ih se uvede na temelju pravno obvezujućeg i obveznog zakona ili propisa. Te bi se skupštine građana trebale održavati svakih 12 do 18 mjeseci. Sudjelovanje građana ne bi trebalo biti obvezno, već bi ga trebalo poticati, a organizirano je na temelju ograničenih mandata. Sudionici se moraju nasumično odabrati u skladu s kriterijima reprezentativnosti. Ne smiju predstavljati organizacije bilo koje vrste i ne smiju biti pozvani na sudjelovanje zbog svoje profesionalne funkcije kada su članovi skupštine. Ako je potrebno, stručnjaci će pružiti potporu kako bi se osiguralo da članovi Skupštine imaju dovoljno informacija za raspravu. Donošenje odluka bit će u rukama građana. Unija mora jamčiti predanost političara odlukama koje donose građani u skupštinama građana. Ako se prijedlozi građana ignoriraju ili izričito odbiju, europske institucije moraju o njima izvijestiti i navesti razloge zbog kojih je ta odluka donesena. </w:t>
      </w:r>
    </w:p>
    <w:p>
      <w:pPr>
        <w:pStyle w:val="Normal"/>
        <w:rPr/>
      </w:pPr>
      <w:r>
        <w:rPr/>
        <w:t xml:space="preserve"> </w:t>
      </w:r>
    </w:p>
    <w:p>
      <w:pPr>
        <w:pStyle w:val="Normal"/>
        <w:rPr/>
      </w:pPr>
      <w:r>
        <w:rPr/>
        <w:t xml:space="preserve">Predlažemo osnivanje skupština građana jer želimo da se građani osjećaju bliže europskim institucijama i da izravno doprinesu donošenju odluka, u suradnji s političarima, kako bismo ojačali osjećaj pripadnosti i izravnu učinkovitost. Osim toga, želimo da političke stranke odgovaraju građanima, uključujući njihove izborne programe. </w:t>
      </w:r>
    </w:p>
    <w:p>
      <w:pPr>
        <w:pStyle w:val="Normal"/>
        <w:rPr/>
      </w:pPr>
      <w:r>
        <w:rPr/>
        <w:t xml:space="preserve"> </w:t>
      </w:r>
    </w:p>
    <w:p>
      <w:pPr>
        <w:pStyle w:val="Titre3"/>
        <w:numPr>
          <w:ilvl w:val="2"/>
          <w:numId w:val="2"/>
        </w:numPr>
        <w:rPr/>
      </w:pPr>
      <w:bookmarkStart w:id="151" w:name="__RefHeading___Toc297237_1346298689"/>
      <w:bookmarkEnd w:id="151"/>
      <w:r>
        <w:rPr/>
        <w:t xml:space="preserve">Prilog: OSTALE PREPORUKE KOJE JE POVJERENSTVO RAZMOTRILO, ALI NISU DONESENE </w:t>
      </w:r>
    </w:p>
    <w:p>
      <w:pPr>
        <w:pStyle w:val="Normal"/>
        <w:rPr/>
      </w:pPr>
      <w:r>
        <w:rPr/>
        <w:t xml:space="preserve"> </w:t>
      </w:r>
    </w:p>
    <w:p>
      <w:pPr>
        <w:pStyle w:val="Titre4"/>
        <w:numPr>
          <w:ilvl w:val="3"/>
          <w:numId w:val="2"/>
        </w:numPr>
        <w:rPr/>
      </w:pPr>
      <w:bookmarkStart w:id="152" w:name="__RefHeading___Toc297239_1346298689"/>
      <w:bookmarkEnd w:id="152"/>
      <w:r>
        <w:rPr/>
        <w:t xml:space="preserve">Os 1: Jamčenje prava i nediskriminacije </w:t>
      </w:r>
    </w:p>
    <w:p>
      <w:pPr>
        <w:pStyle w:val="Normal"/>
        <w:rPr/>
      </w:pPr>
      <w:r>
        <w:rPr/>
        <w:t xml:space="preserve"> </w:t>
      </w:r>
    </w:p>
    <w:p>
      <w:pPr>
        <w:pStyle w:val="Normal"/>
        <w:rPr/>
      </w:pPr>
      <w:r>
        <w:rPr/>
        <w:t xml:space="preserve">Podos 1.1. Nediskriminacija/podos 1.2 Rodna ravnopravnost </w:t>
      </w:r>
    </w:p>
    <w:p>
      <w:pPr>
        <w:pStyle w:val="Normal"/>
        <w:rPr/>
      </w:pPr>
      <w:r>
        <w:rPr/>
        <w:t xml:space="preserve"> </w:t>
      </w:r>
    </w:p>
    <w:p>
      <w:pPr>
        <w:pStyle w:val="P68B1DB1Normal15"/>
        <w:rPr>
          <w:b/>
          <w:b/>
        </w:rPr>
      </w:pPr>
      <w:r>
        <w:rPr/>
        <w:t>„</w:t>
      </w:r>
      <w:r>
        <w:rPr/>
        <w:t xml:space="preserve">Preporučujemo da EU aktivno uključi manjine u oblikovanje politika o ključnim aspektima državnih institucija (npr. policije i nevladinih organizacija). Predlažemo da Unija osnuje savjetodavno vijeće koje izravno biraju manjine. Trebao bi se sastojati uglavnom od predstavnika manjina, ali i predstavnika nevladinih organizacija. Trebao bi imati ulogu osposobljavanja u podizanju svijesti javnih dužnosnika o potrebama manjina. Ovo tijelo bi trebalo imati veto na pitanja manjina. </w:t>
      </w:r>
    </w:p>
    <w:p>
      <w:pPr>
        <w:pStyle w:val="Normal"/>
        <w:rPr/>
      </w:pPr>
      <w:r>
        <w:rPr/>
        <w:t xml:space="preserve">Preporučamo to jer se glasovi manjina ne čuju dovoljno. Trebali bi se izražavati u svoje ime, na samoodređen način i na profesionalnoj razini; zato smo kombinirali zastupanje kroz glasanje i stručnost. </w:t>
      </w:r>
    </w:p>
    <w:p>
      <w:pPr>
        <w:pStyle w:val="Normal"/>
        <w:rPr/>
      </w:pPr>
      <w:r>
        <w:rPr/>
        <w:t xml:space="preserve"> </w:t>
      </w:r>
    </w:p>
    <w:p>
      <w:pPr>
        <w:pStyle w:val="Titre4"/>
        <w:numPr>
          <w:ilvl w:val="3"/>
          <w:numId w:val="2"/>
        </w:numPr>
        <w:rPr/>
      </w:pPr>
      <w:bookmarkStart w:id="153" w:name="__RefHeading___Toc297241_1346298689"/>
      <w:bookmarkEnd w:id="153"/>
      <w:r>
        <w:rPr/>
        <w:t xml:space="preserve">Os 2: Zaštita demokracije i vladavine prava </w:t>
      </w:r>
    </w:p>
    <w:p>
      <w:pPr>
        <w:pStyle w:val="Normal"/>
        <w:rPr/>
      </w:pPr>
      <w:r>
        <w:rPr/>
        <w:t xml:space="preserve"> </w:t>
      </w:r>
    </w:p>
    <w:p>
      <w:pPr>
        <w:pStyle w:val="Normal"/>
        <w:rPr/>
      </w:pPr>
      <w:r>
        <w:rPr/>
        <w:t xml:space="preserve">Podosi 2.2. Zaštita i jačanje demokracije/podosi 2.4 Mediji i dezinformacije </w:t>
      </w:r>
    </w:p>
    <w:p>
      <w:pPr>
        <w:pStyle w:val="Normal"/>
        <w:rPr/>
      </w:pPr>
      <w:r>
        <w:rPr/>
        <w:t xml:space="preserve"> </w:t>
      </w:r>
    </w:p>
    <w:p>
      <w:pPr>
        <w:pStyle w:val="P68B1DB1Normal15"/>
        <w:rPr>
          <w:b/>
          <w:b/>
        </w:rPr>
      </w:pPr>
      <w:r>
        <w:rPr/>
        <w:t>„</w:t>
      </w:r>
      <w:r>
        <w:rPr/>
        <w:t xml:space="preserve">Preporučujemo osnivanje agencije za praćenje audiovizualnih, tiskanih i digitalnih medija na europskoj razini. Ta bi agencija trebala provjeriti slijede li nacionalni mediji nepristran i objektivan postupak izrade svojeg sadržaja. Kako bi se spriječile dezinformacije, Agencija bi trebala predvidjeti sustav za ocjenjivanje pouzdanosti nacionalnih medija. Taj bi sustav ocjenjivanja građanima trebao biti lako razumljiv. </w:t>
      </w:r>
    </w:p>
    <w:p>
      <w:pPr>
        <w:pStyle w:val="Normal"/>
        <w:rPr/>
      </w:pPr>
      <w:r>
        <w:rPr/>
        <w:t xml:space="preserve"> </w:t>
      </w:r>
    </w:p>
    <w:p>
      <w:pPr>
        <w:pStyle w:val="Normal"/>
        <w:rPr/>
      </w:pPr>
      <w:r>
        <w:rPr/>
        <w:t xml:space="preserve">To preporučujemo jer nam je potrebna procjena medija i njihove pouzdanosti, ali i raznolikosti medija u zemljama EU-a. Europska agencija bila bi najobjektivnije tijelo za osiguravanje takve misije. Osim toga, takav sustav ocjenjivanja građanima omogućuje donošenje informiranih odluka i potiče medije da pružaju pouzdane informacije. Ako se sustav ocjenjivanja pokaže nedovoljnim za osiguranje pouzdanosti medija, agencija bi također trebala biti ovlaštena za izricanje sankcija. </w:t>
      </w:r>
    </w:p>
    <w:p>
      <w:pPr>
        <w:pStyle w:val="Normal"/>
        <w:rPr/>
      </w:pPr>
      <w:r>
        <w:rPr/>
        <w:t xml:space="preserve"> </w:t>
      </w:r>
    </w:p>
    <w:p>
      <w:pPr>
        <w:pStyle w:val="Titre3"/>
        <w:numPr>
          <w:ilvl w:val="2"/>
          <w:numId w:val="2"/>
        </w:numPr>
        <w:rPr/>
      </w:pPr>
      <w:bookmarkStart w:id="154" w:name="__RefHeading___Toc297243_1346298689"/>
      <w:bookmarkEnd w:id="154"/>
      <w:r>
        <w:rPr/>
        <w:t xml:space="preserve">Os 5: Jačanje sudjelovanja građana </w:t>
      </w:r>
    </w:p>
    <w:p>
      <w:pPr>
        <w:pStyle w:val="Normal"/>
        <w:rPr/>
      </w:pPr>
      <w:r>
        <w:rPr/>
        <w:t xml:space="preserve"> </w:t>
      </w:r>
    </w:p>
    <w:p>
      <w:pPr>
        <w:pStyle w:val="Titre4"/>
        <w:numPr>
          <w:ilvl w:val="3"/>
          <w:numId w:val="2"/>
        </w:numPr>
        <w:rPr/>
      </w:pPr>
      <w:r>
        <w:rPr/>
        <w:t xml:space="preserve">Podos 5.1. Sudjelovanje građana </w:t>
      </w:r>
    </w:p>
    <w:p>
      <w:pPr>
        <w:pStyle w:val="Normal"/>
        <w:rPr/>
      </w:pPr>
      <w:r>
        <w:rPr/>
        <w:t xml:space="preserve"> </w:t>
      </w:r>
    </w:p>
    <w:p>
      <w:pPr>
        <w:pStyle w:val="P68B1DB1Normal15"/>
        <w:rPr>
          <w:b/>
          <w:b/>
        </w:rPr>
      </w:pPr>
      <w:r>
        <w:rPr/>
        <w:t>„</w:t>
      </w:r>
      <w:r>
        <w:rPr/>
        <w:t xml:space="preserve">Preporučujemo osnivanje predstavničkog tijela građana radi rasprave i znatnog doprinosa postupku donošenja odluka – kad god se na razini EU-a odluči o ključnom pitanju za europske građane (prema odluci građana – po mogućnosti u okviru istrage). To bi trebala biti heterogena skupina od oko 100 građana iz svih zemalja EU-a, u kojoj je svaka zemlja jednako zastupljena. To bi trebala biti rotirajuća skupina čiji se članovi redovito zamjenjuju. </w:t>
      </w:r>
    </w:p>
    <w:p>
      <w:pPr>
        <w:pStyle w:val="Normal"/>
        <w:rPr/>
      </w:pPr>
      <w:r>
        <w:rPr/>
        <w:t xml:space="preserve"> </w:t>
      </w:r>
    </w:p>
    <w:p>
      <w:pPr>
        <w:pStyle w:val="Normal"/>
        <w:rPr/>
      </w:pPr>
      <w:r>
        <w:rPr/>
        <w:t xml:space="preserve">Zato što je važno izbjeći probleme poput korupcije, koji bi mogli proizaći iz stalnog predstavničkog tijela, te je od ključne važnosti da takvo tijelo ima jednaku zastupljenost svih zemalja kako bi se izbjegla nepravedna moć donošenja odluka. Budući da bi se tim načinom rada izbjegli problemi povezani s instalacijom ili stalnom upotrebom udaljenih tehnologija. </w:t>
      </w:r>
    </w:p>
    <w:p>
      <w:pPr>
        <w:pStyle w:val="Normal"/>
        <w:rPr/>
      </w:pPr>
      <w:r>
        <w:rPr/>
        <w:t xml:space="preserve"> </w:t>
      </w:r>
      <w:r>
        <w:br w:type="page"/>
      </w:r>
    </w:p>
    <w:p>
      <w:pPr>
        <w:pStyle w:val="P68B1DB1Normal19"/>
        <w:rPr>
          <w:rFonts w:ascii="Times New Roman" w:hAnsi="Times New Roman"/>
          <w:color w:val="000000"/>
          <w:sz w:val="24"/>
        </w:rPr>
      </w:pPr>
      <w:r>
        <w:rPr/>
        <w:t xml:space="preserve"> </w:t>
      </w:r>
    </w:p>
    <w:p>
      <w:pPr>
        <w:pStyle w:val="Titre2"/>
        <w:numPr>
          <w:ilvl w:val="1"/>
          <w:numId w:val="2"/>
        </w:numPr>
        <w:rPr/>
      </w:pPr>
      <w:bookmarkStart w:id="155" w:name="__RefHeading___Toc297245_1346298689"/>
      <w:bookmarkEnd w:id="155"/>
      <w:r>
        <w:rPr/>
        <w:t xml:space="preserve">Europski panel građana i građanki 3: Klimatske promjene i okoliš/zdravlje </w:t>
      </w:r>
    </w:p>
    <w:p>
      <w:pPr>
        <w:pStyle w:val="Normal"/>
        <w:rPr/>
      </w:pPr>
      <w:r>
        <w:rPr/>
        <w:t xml:space="preserve"> </w:t>
      </w:r>
    </w:p>
    <w:p>
      <w:pPr>
        <w:pStyle w:val="Normal"/>
        <w:rPr/>
      </w:pPr>
      <w:r>
        <w:rPr/>
        <w:t xml:space="preserve">PREPORUKE KOJE JE DONIJELO POVJERENSTVO (KOJE ĆE SE PREDSTAVITI NA PLENARNOJ SJEDNICI) </w:t>
      </w:r>
    </w:p>
    <w:p>
      <w:pPr>
        <w:pStyle w:val="Normal"/>
        <w:rPr/>
      </w:pPr>
      <w:r>
        <w:rPr/>
        <w:t xml:space="preserve"> </w:t>
      </w:r>
    </w:p>
    <w:p>
      <w:pPr>
        <w:pStyle w:val="Titre3"/>
        <w:numPr>
          <w:ilvl w:val="2"/>
          <w:numId w:val="2"/>
        </w:numPr>
        <w:rPr/>
      </w:pPr>
      <w:bookmarkStart w:id="156" w:name="__RefHeading___Toc297247_1346298689"/>
      <w:bookmarkEnd w:id="156"/>
      <w:r>
        <w:rPr/>
        <w:t xml:space="preserve">Os 1: Bolji načini života </w:t>
      </w:r>
    </w:p>
    <w:p>
      <w:pPr>
        <w:pStyle w:val="Normal"/>
        <w:rPr/>
      </w:pPr>
      <w:r>
        <w:rPr/>
        <w:t xml:space="preserve"> </w:t>
      </w:r>
    </w:p>
    <w:p>
      <w:pPr>
        <w:pStyle w:val="Titre4"/>
        <w:numPr>
          <w:ilvl w:val="3"/>
          <w:numId w:val="2"/>
        </w:numPr>
        <w:rPr/>
      </w:pPr>
      <w:bookmarkStart w:id="157" w:name="__RefHeading___Toc297249_1346298689"/>
      <w:bookmarkEnd w:id="157"/>
      <w:r>
        <w:rPr/>
        <w:t xml:space="preserve">Podos 1.1 Zdravi način života </w:t>
      </w:r>
    </w:p>
    <w:p>
      <w:pPr>
        <w:pStyle w:val="P68B1DB1Normal15"/>
        <w:rPr>
          <w:b/>
          <w:b/>
        </w:rPr>
      </w:pPr>
      <w:r>
        <w:rPr/>
        <w:t xml:space="preserve">1. Preporučujemo da EU osigura subvencije za ekološku poljoprivredu, uključujući poticaje za organske pesticide, kako bi ekološki proizvodi postali cjenovno pristupačniji. Osim toga, EU treba podupirati obrazovanje poljoprivrednika o ekološkoj i održivoj poljoprivredi i monokulturama. Mala ekološka poljoprivredna gospodarstva, neintenzivna poljoprivredna gospodarstva i poljoprivredna gospodarstva s kratkim lancima opskrbe trebala bi imati koristi od potpore koja bi im omogućila veću konkurentnost. </w:t>
      </w:r>
    </w:p>
    <w:p>
      <w:pPr>
        <w:pStyle w:val="Normal"/>
        <w:rPr/>
      </w:pPr>
      <w:r>
        <w:rPr/>
        <w:t xml:space="preserve"> </w:t>
      </w:r>
    </w:p>
    <w:p>
      <w:pPr>
        <w:pStyle w:val="Normal"/>
        <w:rPr/>
      </w:pPr>
      <w:r>
        <w:rPr/>
        <w:t xml:space="preserve">Subvencioniranje ekoloških proizvoda učinilo bi ih pristupačnijima. Trebali bismo pomoći supermarketima koji se koriste kraćim lancima opskrbe i malim poljoprivrednicima nudeći im mogućnosti da prodaju svoje proizvode. To omogućuje proširenje pristupa svježijim proizvodima. Osim toga, niske cijene neekoloških proizvoda ne odražavaju štetu koju uzrokuju. </w:t>
      </w:r>
    </w:p>
    <w:p>
      <w:pPr>
        <w:pStyle w:val="Normal"/>
        <w:rPr/>
      </w:pPr>
      <w:r>
        <w:rPr/>
        <w:t xml:space="preserve"> </w:t>
      </w:r>
    </w:p>
    <w:p>
      <w:pPr>
        <w:pStyle w:val="P68B1DB1Normal15"/>
        <w:rPr>
          <w:b/>
          <w:b/>
        </w:rPr>
      </w:pPr>
      <w:r>
        <w:rPr/>
        <w:t xml:space="preserve">2. Preporučujemo da se inovacije u vertikalnoj poljoprivredi financiraju ulaganjima EU-a. </w:t>
      </w:r>
    </w:p>
    <w:p>
      <w:pPr>
        <w:pStyle w:val="Normal"/>
        <w:rPr/>
      </w:pPr>
      <w:r>
        <w:rPr/>
        <w:t xml:space="preserve">Vertikalna poljoprivreda omogućuje nam da uštedimo kopneni prostor koji bi se umjesto toga mogao koristiti za šumarstvo. To također ne zahtijeva pesticide, omogućujući nam da proizvodimo više organske hrane. Osim toga, na nju ne utječu loši vremenski uvjeti, koji su sve češći zbog klimatskih promjena, a mogu skratiti lance opskrbe. </w:t>
      </w:r>
    </w:p>
    <w:p>
      <w:pPr>
        <w:pStyle w:val="Normal"/>
        <w:rPr/>
      </w:pPr>
      <w:r>
        <w:rPr/>
        <w:t xml:space="preserve"> </w:t>
      </w:r>
    </w:p>
    <w:p>
      <w:pPr>
        <w:pStyle w:val="P68B1DB1Normal15"/>
        <w:rPr>
          <w:b/>
          <w:b/>
        </w:rPr>
      </w:pPr>
      <w:r>
        <w:rPr/>
        <w:t xml:space="preserve">3. EU bi trebao utvrditi minimalne standarde u pogledu kvalitete hrane, sljedivosti hrane i potrošnje sezonskih proizvoda u školskim kantinama. Stoga je potrebno subvencionirati zdrave sastojke za školske kantine kako bi se učenicima osigurala kvalitetna hrana po pristupačnoj cijeni. </w:t>
      </w:r>
    </w:p>
    <w:p>
      <w:pPr>
        <w:pStyle w:val="Normal"/>
        <w:rPr/>
      </w:pPr>
      <w:r>
        <w:rPr/>
        <w:t xml:space="preserve"> </w:t>
      </w:r>
    </w:p>
    <w:p>
      <w:pPr>
        <w:pStyle w:val="Normal"/>
        <w:rPr/>
      </w:pPr>
      <w:r>
        <w:rPr/>
        <w:t xml:space="preserve">Stječemo od ranog doba navike koje oblikuju naš stav prema zdravlju; treba poticati dobre navike u školi, a učenici ih mogu replicirati kod kuće. To je također pitanje socijalne pravde: svaki učenik u EU-u trebao bi imati pravo na kvalitetnu hranu u školi. </w:t>
      </w:r>
    </w:p>
    <w:p>
      <w:pPr>
        <w:pStyle w:val="Normal"/>
        <w:rPr/>
      </w:pPr>
      <w:r>
        <w:rPr/>
        <w:t xml:space="preserve"> </w:t>
      </w:r>
    </w:p>
    <w:p>
      <w:pPr>
        <w:pStyle w:val="P68B1DB1Normal15"/>
        <w:rPr>
          <w:b/>
          <w:b/>
        </w:rPr>
      </w:pPr>
      <w:r>
        <w:rPr/>
        <w:t xml:space="preserve">4. Preporučujemo ulaganje u nove biciklističke staze i poboljšanje postojećih staza kako bi biciklizam bio siguran i privlačan te kako bi se osiguralo da sve dobne skupine mogu imati koristi od obuke o pravilima cestovnog prometa u Europi, posebno za korisnike e-bicikla i osobe bez vozačke dozvole. Od proizvođača električnih bicikala trebalo bi zahtijevati da dostave informacije o uporabi električnog bicikla i povezanim rizicima. Biciklistima bi trebalo pružiti pravnu zaštitu u slučaju nesreće u kojoj je sudjelovalo vozilo (vidjeti nizozemska pravila). Zalažemo se za područja bez automobila u gradovima (bez štete komercijalnim područjima). U širem smislu, preporučujemo davanje prednosti i dodatnih prava biciklistima i pješacima nad motornim vozilima, istodobno osiguravajući sigurnost na cestama i usklađenost s prometnim pravilima. </w:t>
      </w:r>
    </w:p>
    <w:p>
      <w:pPr>
        <w:pStyle w:val="Normal"/>
        <w:rPr/>
      </w:pPr>
      <w:r>
        <w:rPr/>
        <w:t xml:space="preserve"> </w:t>
      </w:r>
    </w:p>
    <w:p>
      <w:pPr>
        <w:pStyle w:val="Normal"/>
        <w:rPr/>
      </w:pPr>
      <w:r>
        <w:rPr/>
        <w:t xml:space="preserve">Te su preporuke važne jer biciklizam donosi koristi u smislu individualnog i javnog zdravlja, kvalitete zraka, razine buke, klime i prometa u gradskim središtima. Biciklisti i pješaci moraju se osjećati sigurno, s obzirom na rizike povezane s povećanom upotrebom električnog bicikla. Ponekad su biciklističke staze nedostajale ili su u lošem stanju. </w:t>
      </w:r>
    </w:p>
    <w:p>
      <w:pPr>
        <w:pStyle w:val="Normal"/>
        <w:rPr/>
      </w:pPr>
      <w:r>
        <w:rPr/>
        <w:t xml:space="preserve"> </w:t>
      </w:r>
    </w:p>
    <w:p>
      <w:pPr>
        <w:pStyle w:val="P68B1DB1Normal15"/>
        <w:rPr>
          <w:b/>
          <w:b/>
        </w:rPr>
      </w:pPr>
      <w:r>
        <w:rPr/>
        <w:t xml:space="preserve">5. Preporučamo integriranje proizvodnje hrane u obrazovanje javnosti. Preporučujemo subvencioniranje i podupiranje stvaranja vrtova u školama, ako je moguće, te urbanih vrtlarskih projekata u javnim i privatnim prostorima. Okvirom za urbanističko planiranje mora se obuhvatiti potreba za prostorom, vodom i pratećom infrastrukturom. Na primjer, nekadašnja parkirališta mogla bi se koristiti za projekte ekologizacije, projekti vertikalnog vrtlarstva mogli bi se provoditi na zgradama ili bi dobivanje građevinskih dozvola moglo biti uvjetovano integracijom zelenih površina. Preporučujemo razmjenu inovativnih i dobrih praksi u svim državama članicama. </w:t>
      </w:r>
    </w:p>
    <w:p>
      <w:pPr>
        <w:pStyle w:val="Normal"/>
        <w:rPr/>
      </w:pPr>
      <w:r>
        <w:rPr/>
        <w:t xml:space="preserve"> </w:t>
      </w:r>
    </w:p>
    <w:p>
      <w:pPr>
        <w:pStyle w:val="Normal"/>
        <w:rPr/>
      </w:pPr>
      <w:r>
        <w:rPr/>
        <w:t xml:space="preserve">Projekti vrtlarstva promiču otpornost gradova i njihovih stanovnika, okupljajući ljude različitih dobnih skupina i društvenih skupina. Umnožavanje zelenih površina poboljšava kvalitetu života, kvalitetu zraka, mentalno i fizičko zdravlje i okoliš. </w:t>
      </w:r>
    </w:p>
    <w:p>
      <w:pPr>
        <w:pStyle w:val="Normal"/>
        <w:rPr/>
      </w:pPr>
      <w:r>
        <w:rPr/>
        <w:t xml:space="preserve"> </w:t>
      </w:r>
    </w:p>
    <w:p>
      <w:pPr>
        <w:pStyle w:val="Titre4"/>
        <w:numPr>
          <w:ilvl w:val="3"/>
          <w:numId w:val="2"/>
        </w:numPr>
        <w:rPr/>
      </w:pPr>
      <w:bookmarkStart w:id="158" w:name="__RefHeading___Toc297251_1346298689"/>
      <w:bookmarkEnd w:id="158"/>
      <w:r>
        <w:rPr/>
        <w:t xml:space="preserve">Podos 1.2. Obrazovanje u području okoliša </w:t>
      </w:r>
    </w:p>
    <w:p>
      <w:pPr>
        <w:pStyle w:val="P68B1DB1Normal15"/>
        <w:rPr>
          <w:b/>
          <w:b/>
        </w:rPr>
      </w:pPr>
      <w:r>
        <w:rPr/>
        <w:t>6. Preporučujemo da EU donese direktivu kojom se zahtijeva da programi urbanističkog planiranja budu u skladu s posebnim ekološkim zahtjevima kako bi gradovi postali zeleniji. Ova bi se Direktiva trebala primjenjivati na privatna i javna dobra i prostore, posebno na nove zgrade u razvoju. Njome se moraju nametnuti minimalni standardi kako bi se osiguralo da zgrade i prostori budu što zeleniji. Pridjev „zeleni” ovdje se odnosi na korištenje obnovljivih izvora energije, smanjenu potrošnju energije, niske emisije</w:t>
      </w:r>
      <w:r>
        <w:rPr>
          <w:vertAlign w:val="subscript"/>
        </w:rPr>
        <w:t>CO2 i</w:t>
      </w:r>
      <w:r>
        <w:rPr/>
        <w:t xml:space="preserve"> uključivanje postrojenja u arhitektonske projekte. </w:t>
      </w:r>
    </w:p>
    <w:p>
      <w:pPr>
        <w:pStyle w:val="Normal"/>
        <w:rPr/>
      </w:pPr>
      <w:r>
        <w:rPr/>
        <w:t xml:space="preserve"> </w:t>
      </w:r>
    </w:p>
    <w:p>
      <w:pPr>
        <w:pStyle w:val="Normal"/>
        <w:rPr/>
      </w:pPr>
      <w:r>
        <w:rPr/>
        <w:t>Zeleniji gradovi aktivno doprinose smanjenju učinaka klimatskih promjena, posebno emisija CO2 i</w:t>
      </w:r>
      <w:r>
        <w:rPr>
          <w:vertAlign w:val="subscript"/>
        </w:rPr>
        <w:t>ozona</w:t>
      </w:r>
      <w:r>
        <w:rPr/>
        <w:t xml:space="preserve">, koji negativno utječu na zdravlje građana. Ulaganje u zelenije gradove doprinosi održivom razvoju zajednice koji donosi dugoročne gospodarske i društvene koristi. </w:t>
      </w:r>
    </w:p>
    <w:p>
      <w:pPr>
        <w:pStyle w:val="Normal"/>
        <w:rPr/>
      </w:pPr>
      <w:r>
        <w:rPr/>
        <w:t xml:space="preserve"> </w:t>
      </w:r>
    </w:p>
    <w:p>
      <w:pPr>
        <w:pStyle w:val="P68B1DB1Normal15"/>
        <w:rPr>
          <w:b/>
          <w:b/>
        </w:rPr>
      </w:pPr>
      <w:r>
        <w:rPr/>
        <w:t xml:space="preserve">7. Preporučujemo da EU, uz pomoć država članica, razvije, usvoji i provede zajedničku Europsku povelju usmjerenu na pitanja okoliša u njihovoj složenosti. Poveljom će se državama članicama pružiti okvir za organiziranje redovitih informativnih kampanja i kampanja osposobljavanja koje se šire svim dostupnim medijskim kanalima i na novom informacijskom portalu uspostavljenom u tu svrhu. Te bi se kampanje trebale organizirati diljem EU-a i na svim razinama kako bi se podigla svijest o okolišu među svim građanima. </w:t>
      </w:r>
    </w:p>
    <w:p>
      <w:pPr>
        <w:pStyle w:val="Normal"/>
        <w:rPr/>
      </w:pPr>
      <w:r>
        <w:rPr/>
        <w:t xml:space="preserve"> </w:t>
      </w:r>
    </w:p>
    <w:p>
      <w:pPr>
        <w:pStyle w:val="Normal"/>
        <w:rPr/>
      </w:pPr>
      <w:r>
        <w:rPr/>
        <w:t xml:space="preserve">Nedostatak koordinacije među državama članicama otežava učinkovitost postojećih kampanja i usporava napore za suočavanje s globalnim izazovom klimatskih promjena. Zajedničkom poveljom potaknut će se sinergije među akcijskim planovima država članica, čime će se osigurati veća učinkovitost napora. Osim toga, osigurat će da se građanima pružaju dosljedne i dosljedne informacije o učinku njihovih svakodnevnih aktivnosti, kao što su odabir načina prijevoza i obrada njihova otpada. </w:t>
      </w:r>
    </w:p>
    <w:p>
      <w:pPr>
        <w:pStyle w:val="Normal"/>
        <w:rPr/>
      </w:pPr>
      <w:r>
        <w:rPr/>
        <w:t xml:space="preserve"> </w:t>
      </w:r>
    </w:p>
    <w:p>
      <w:pPr>
        <w:pStyle w:val="Titre3"/>
        <w:numPr>
          <w:ilvl w:val="2"/>
          <w:numId w:val="2"/>
        </w:numPr>
        <w:rPr/>
      </w:pPr>
      <w:bookmarkStart w:id="159" w:name="__RefHeading___Toc297253_1346298689"/>
      <w:bookmarkEnd w:id="159"/>
      <w:r>
        <w:rPr/>
        <w:t xml:space="preserve">Os 2: Zaštita okoliša i zdravlja </w:t>
      </w:r>
    </w:p>
    <w:p>
      <w:pPr>
        <w:pStyle w:val="Titre4"/>
        <w:numPr>
          <w:ilvl w:val="3"/>
          <w:numId w:val="2"/>
        </w:numPr>
        <w:rPr/>
      </w:pPr>
      <w:bookmarkStart w:id="160" w:name="__RefHeading___Toc297255_1346298689"/>
      <w:bookmarkEnd w:id="160"/>
      <w:r>
        <w:rPr/>
        <w:t xml:space="preserve">Podos 2.1 Zdravi prirodni okoliš </w:t>
      </w:r>
    </w:p>
    <w:p>
      <w:pPr>
        <w:pStyle w:val="P68B1DB1Normal15"/>
        <w:rPr>
          <w:b/>
          <w:b/>
        </w:rPr>
      </w:pPr>
      <w:r>
        <w:rPr/>
        <w:t xml:space="preserve">8. Preporučujemo jedinstveni sustav ekoloških ocjena koji prikazuje ukupni ekološki otisak svakog dostupnog proizvoda kupljenog u EU-u. Proizvodi iz trećih zemalja moraju poštovati taj sustav ekološke ocjene na transparentan način. Taj bi se sustav trebao temeljiti na jasnim kriterijima razvrstavanja koji se primjenjuju na same proizvode i upotrebljavati, na primjer, QR oznaku koja pruža detaljnije informacije o proizvodu. </w:t>
      </w:r>
    </w:p>
    <w:p>
      <w:pPr>
        <w:pStyle w:val="Normal"/>
        <w:rPr/>
      </w:pPr>
      <w:r>
        <w:rPr/>
        <w:t xml:space="preserve"> </w:t>
      </w:r>
    </w:p>
    <w:p>
      <w:pPr>
        <w:pStyle w:val="Normal"/>
        <w:rPr/>
      </w:pPr>
      <w:r>
        <w:rPr/>
        <w:t xml:space="preserve">Te informacije o životnom ciklusu proizvoda ključne su za sve građane EU-a kako bi se potrošači osnažili pri kupnji. Time će se građanima EU-a omogućiti donošenje odgovornih odluka kojima će se doprinijeti zaštiti njihova okoliša. </w:t>
      </w:r>
    </w:p>
    <w:p>
      <w:pPr>
        <w:pStyle w:val="Normal"/>
        <w:rPr/>
      </w:pPr>
      <w:r>
        <w:rPr/>
        <w:t xml:space="preserve"> </w:t>
      </w:r>
    </w:p>
    <w:p>
      <w:pPr>
        <w:pStyle w:val="P68B1DB1Normal15"/>
        <w:rPr>
          <w:b/>
          <w:b/>
        </w:rPr>
      </w:pPr>
      <w:r>
        <w:rPr/>
        <w:t xml:space="preserve">9. Preporučujemo da se više ulaže u istraživanje novih ekološki prihvatljivih izvora energije te da se do uvođenja tih novih izvora dodijele dodatna ulaganja u postojeća optimalna rješenja za proizvodnju energije. Također preporučujemo transparentno informiranje i edukaciju europskih građana o određenim izvorima energije. Preporučujemo da se uzmu u obzir ukupni ekološki i društveni učinci procesa proizvodnje energije na sadašnje i buduće generacije. </w:t>
      </w:r>
    </w:p>
    <w:p>
      <w:pPr>
        <w:pStyle w:val="Normal"/>
        <w:rPr/>
      </w:pPr>
      <w:r>
        <w:rPr/>
        <w:t xml:space="preserve"> </w:t>
      </w:r>
    </w:p>
    <w:p>
      <w:pPr>
        <w:pStyle w:val="Normal"/>
        <w:rPr/>
      </w:pPr>
      <w:r>
        <w:rPr/>
        <w:t xml:space="preserve">Suočeni smo s vrlo visokim razinama emisija ugljika i drugih otrovnih tvari iz proizvodnje energije koje narušavaju klimu i kvalitetu zraka. Kako bi se poštovale smjernice EU-a, preporuke iz izvješća IPCC-a i ciljevi konferencije COP26, moramo ojačati istraživanja i ulaganja kako bismo ostvarili klimatski neutralnu proizvodnju energije. </w:t>
      </w:r>
    </w:p>
    <w:p>
      <w:pPr>
        <w:pStyle w:val="Normal"/>
        <w:rPr/>
      </w:pPr>
      <w:r>
        <w:rPr/>
        <w:t xml:space="preserve"> </w:t>
      </w:r>
    </w:p>
    <w:p>
      <w:pPr>
        <w:pStyle w:val="Titre4"/>
        <w:numPr>
          <w:ilvl w:val="3"/>
          <w:numId w:val="2"/>
        </w:numPr>
        <w:rPr/>
      </w:pPr>
      <w:bookmarkStart w:id="161" w:name="__RefHeading___Toc297257_1346298689"/>
      <w:bookmarkEnd w:id="161"/>
      <w:r>
        <w:rPr/>
        <w:t xml:space="preserve">Podos 2.2. Zaštita biološke raznolikosti </w:t>
      </w:r>
    </w:p>
    <w:p>
      <w:pPr>
        <w:pStyle w:val="P68B1DB1Normal15"/>
        <w:rPr>
          <w:b/>
          <w:b/>
        </w:rPr>
      </w:pPr>
      <w:r>
        <w:rPr/>
        <w:t xml:space="preserve">10. Preporučujemo drastično smanjenje upotrebe kemijskih pesticida i gnojiva u svim vrstama poljoprivrede osiguravanjem primjene strožih zajedničkih standarda, ubrzavanjem istraživanja o prirodnim alternativama i podupiranjem usvajanja novih rješenja, uključujući osposobljavanje poljoprivrednika. </w:t>
      </w:r>
    </w:p>
    <w:p>
      <w:pPr>
        <w:pStyle w:val="Normal"/>
        <w:rPr/>
      </w:pPr>
      <w:r>
        <w:rPr/>
        <w:t xml:space="preserve"> </w:t>
      </w:r>
    </w:p>
    <w:p>
      <w:pPr>
        <w:pStyle w:val="Normal"/>
        <w:rPr/>
      </w:pPr>
      <w:r>
        <w:rPr/>
        <w:t xml:space="preserve">Iako je postignut napredak u pogledu gnojiva i alternativnih pesticida, većina njih još nije upotrebljiva na velikim poljoprivrednim gospodarstvima. Stoga je potrebno uložiti trajnije napore kako bi se razvila nova rješenja. Istraživanje bi trebalo poticati javnom potrošnjom i višim standardima za upotrebu pesticida i gnojiva. Rezultati istraživanja moraju se brzo širiti na razini EU-a. </w:t>
      </w:r>
    </w:p>
    <w:p>
      <w:pPr>
        <w:pStyle w:val="Normal"/>
        <w:rPr/>
      </w:pPr>
      <w:r>
        <w:rPr/>
        <w:t xml:space="preserve"> </w:t>
      </w:r>
    </w:p>
    <w:p>
      <w:pPr>
        <w:pStyle w:val="P68B1DB1Normal15"/>
        <w:rPr>
          <w:b/>
          <w:b/>
        </w:rPr>
      </w:pPr>
      <w:r>
        <w:rPr/>
        <w:t xml:space="preserve">11. Preporučujemo proširenje zaštićenih područja radi očuvanja biološke raznolikosti (sisavci, ptice, kukci i biljke) i jačanje vladavine prava u pogledu ljudske intervencije u tim područjima. Zaštićena područja smatrat će se ne samo otočićima, već i kontinuitetom sa zelenijim urbanim područjima, u skladu s usklađenim normama EU-a. </w:t>
      </w:r>
    </w:p>
    <w:p>
      <w:pPr>
        <w:pStyle w:val="Normal"/>
        <w:rPr/>
      </w:pPr>
      <w:r>
        <w:rPr/>
        <w:t xml:space="preserve"> </w:t>
      </w:r>
    </w:p>
    <w:p>
      <w:pPr>
        <w:pStyle w:val="Normal"/>
        <w:rPr/>
      </w:pPr>
      <w:r>
        <w:rPr/>
        <w:t xml:space="preserve">Biološka raznolikost uvelike je pogođena krčenjem šuma. Stvaranje zaštićenih područja jedno je od glavnih sredstava za zaštitu kopnene biološke raznolikosti. Međutim, teško je očuvati zaštićena područja u blizini zagađenih gradova ili izbjeći ljudsko uplitanje kada okolna područja ostavljaju malo prostora za prirodu. Moramo ozeleniti životne površine i integrirati ih u njihovu okolnu prirodu. </w:t>
      </w:r>
    </w:p>
    <w:p>
      <w:pPr>
        <w:pStyle w:val="Normal"/>
        <w:rPr/>
      </w:pPr>
      <w:r>
        <w:rPr/>
        <w:t xml:space="preserve"> </w:t>
      </w:r>
    </w:p>
    <w:p>
      <w:pPr>
        <w:pStyle w:val="Normal"/>
        <w:rPr/>
      </w:pPr>
      <w:r>
        <w:rPr>
          <w:b/>
        </w:rPr>
        <w:t>12. Preporučujemo preusmjeravanje generičkih subvencija za poljoprivredu uglavnom na projekte povezane s razvojem održive poljoprivrede, uključujući poštovanje prirode i radnika. Korisnici bi trebali poštovati jasne ekološke standarde i pomno ih pratiti.</w:t>
      </w:r>
      <w:r>
        <w:rPr/>
        <w:t xml:space="preserve"> </w:t>
      </w:r>
    </w:p>
    <w:p>
      <w:pPr>
        <w:pStyle w:val="Normal"/>
        <w:rPr/>
      </w:pPr>
      <w:r>
        <w:rPr/>
        <w:t xml:space="preserve"> </w:t>
      </w:r>
    </w:p>
    <w:p>
      <w:pPr>
        <w:pStyle w:val="Normal"/>
        <w:rPr/>
      </w:pPr>
      <w:r>
        <w:rPr/>
        <w:t xml:space="preserve">Smatramo da bi trebalo poticati samo održivu poljoprivredu, što podrazumijeva preraspodjelu sredstava koja se trenutačno koriste za generičke subvencije. Osim toga, moguće je povećati učinkovitost sredstava koja se koriste usmjeravanjem na transformativne projekte i inovativna rješenja, a ne na godišnja plaćanja. Trebalo bi osigurati bolje praćenje ekološkog učinka poljoprivrednih aktivnosti i projekata. Ljudska prava radnika također se moraju smatrati sastavnim dijelom održivosti. </w:t>
      </w:r>
    </w:p>
    <w:p>
      <w:pPr>
        <w:pStyle w:val="Normal"/>
        <w:rPr/>
      </w:pPr>
      <w:r>
        <w:rPr/>
        <w:t xml:space="preserve"> </w:t>
      </w:r>
    </w:p>
    <w:p>
      <w:pPr>
        <w:pStyle w:val="Normal"/>
        <w:rPr/>
      </w:pPr>
      <w:r>
        <w:rPr>
          <w:b/>
        </w:rPr>
        <w:t>13. Preporučujemo da EU osigura pošteno tržišno natjecanje za ekološki prihvatljive poljoprivredne proizvode utvrđivanjem viših standarda za proizvode iz EU-a i uvezene proizvode, osiguravajući sljedivost, označivanje i kontrolu kvalitete.</w:t>
      </w:r>
      <w:r>
        <w:rPr/>
        <w:t xml:space="preserve"> </w:t>
      </w:r>
    </w:p>
    <w:p>
      <w:pPr>
        <w:pStyle w:val="Normal"/>
        <w:rPr/>
      </w:pPr>
      <w:r>
        <w:rPr/>
        <w:t xml:space="preserve"> </w:t>
      </w:r>
    </w:p>
    <w:p>
      <w:pPr>
        <w:pStyle w:val="Normal"/>
        <w:rPr/>
      </w:pPr>
      <w:r>
        <w:rPr/>
        <w:t xml:space="preserve">Niža produktivnost održivih poljoprivrednih proizvoda narušava njihovu troškovnu konkurentnost. Uvezeni proizvodi trebali bi ispunjavati iste stroge standarde u pogledu utjecaja njihove proizvodnje na okoliš. Naša tijela trebala bi moći osigurati sljedivost uvezenih poljoprivrednih proizvoda. </w:t>
      </w:r>
    </w:p>
    <w:p>
      <w:pPr>
        <w:pStyle w:val="Normal"/>
        <w:rPr/>
      </w:pPr>
      <w:r>
        <w:rPr/>
        <w:t xml:space="preserve"> </w:t>
      </w:r>
    </w:p>
    <w:p>
      <w:pPr>
        <w:pStyle w:val="P68B1DB1Normal15"/>
        <w:rPr>
          <w:b/>
          <w:b/>
        </w:rPr>
      </w:pPr>
      <w:r>
        <w:rPr/>
        <w:t xml:space="preserve">14. Preporučujemo brzo i masovno ponovno pošumljavanje i pošumljavanje u EU-u zahvaljujući optimiziranoj uporabi zemljišta. Posebnu pozornost trebalo bi posvetiti ponovnom pošumljavanju iskorištenih ili uništenih šuma i pošumljavanju područja s degradiranim tlima. Trebalo bi promicati nova, odgovornija rješenja za bolju upotrebu drva, na primjer za zamjenu plastike i drugih kemikalija, postizanje veće energetske učinkovitosti iz biomase i recikliranje drvnih proizvoda. </w:t>
      </w:r>
    </w:p>
    <w:p>
      <w:pPr>
        <w:pStyle w:val="Normal"/>
        <w:rPr/>
      </w:pPr>
      <w:r>
        <w:rPr/>
        <w:t xml:space="preserve"> </w:t>
      </w:r>
    </w:p>
    <w:p>
      <w:pPr>
        <w:pStyle w:val="Normal"/>
        <w:rPr/>
      </w:pPr>
      <w:r>
        <w:rPr/>
        <w:t xml:space="preserve">Ponovno pošumljavanje ima jasan pozitivan učinak na okoliš i biološku raznolikost općenito. Istodobno, moramo koristiti manje drva kako bismo se zagrijali, ali više kako bismo ih učinili proizvodima s visokom dodanom vrijednošću; na primjer, za zamjenu plastike, uporaba drva je najvažnija. </w:t>
      </w:r>
    </w:p>
    <w:p>
      <w:pPr>
        <w:pStyle w:val="Normal"/>
        <w:rPr/>
      </w:pPr>
      <w:r>
        <w:rPr/>
        <w:t xml:space="preserve"> </w:t>
      </w:r>
    </w:p>
    <w:p>
      <w:pPr>
        <w:pStyle w:val="Titre4"/>
        <w:numPr>
          <w:ilvl w:val="3"/>
          <w:numId w:val="2"/>
        </w:numPr>
        <w:rPr/>
      </w:pPr>
      <w:bookmarkStart w:id="162" w:name="__RefHeading___Toc297259_1346298689"/>
      <w:bookmarkEnd w:id="162"/>
      <w:r>
        <w:rPr/>
        <w:t xml:space="preserve">Podos 2.3 Sigurna i zdrava hrana </w:t>
      </w:r>
    </w:p>
    <w:p>
      <w:pPr>
        <w:pStyle w:val="P68B1DB1Normal15"/>
        <w:rPr>
          <w:b/>
          <w:b/>
        </w:rPr>
      </w:pPr>
      <w:r>
        <w:rPr/>
        <w:t xml:space="preserve">15. Preporučujemo brzo i postupno uklanjanje neodržive ambalaže koja se koristi za hranu, uključujući plastičnu ambalažu i drugu ambalažu koja nije biorazgradiva. U tu svrhu predlažemo pružanje financijskih poticaja poduzećima koja se kreću na potpuno biorazgradive oblike ambalaže, ulažu u pronalaženje alternativa i nameću sankcije poduzećima koja ne koriste biorazgradivu ambalažu. </w:t>
      </w:r>
    </w:p>
    <w:p>
      <w:pPr>
        <w:pStyle w:val="Normal"/>
        <w:rPr/>
      </w:pPr>
      <w:r>
        <w:rPr/>
        <w:t xml:space="preserve"> </w:t>
      </w:r>
    </w:p>
    <w:p>
      <w:pPr>
        <w:pStyle w:val="Normal"/>
        <w:rPr/>
      </w:pPr>
      <w:r>
        <w:rPr/>
        <w:t xml:space="preserve">Plastični otpad, osobito mikroplastika, postaje sve obilniji i sve više degradira. Potrošnja plastike ugrožava kvalitetu i sigurnost hrane te istodobno predstavlja rizik za zdravlje ljudi i životinja. Osim toga, postojeće zakonodavstvo EU-a za smanjenje ambalaže koja nije biorazgradiva nije dovoljno. </w:t>
      </w:r>
    </w:p>
    <w:p>
      <w:pPr>
        <w:pStyle w:val="Normal"/>
        <w:rPr/>
      </w:pPr>
      <w:r>
        <w:rPr/>
        <w:t xml:space="preserve"> </w:t>
      </w:r>
    </w:p>
    <w:p>
      <w:pPr>
        <w:pStyle w:val="P68B1DB1Normal15"/>
        <w:rPr>
          <w:b/>
          <w:b/>
        </w:rPr>
      </w:pPr>
      <w:r>
        <w:rPr/>
        <w:t xml:space="preserve">16. Preporučamo postupno napuštanje intenzivnog uzgoja, uključujući ukidanje ponižavajućih životnih uvjeta za životinje. Predlažemo uspostavu zajedničkih standarda za stočarstvo (npr. maksimalan broj životinja, prilagođeni vanjski prostor) i veća ulaganja u neintenzivne metode (opsežnu i održivu poljoprivredu) pružanjem financijskih poticaja i osposobljavanjem poljoprivrednika za potporu tom razvoju. </w:t>
      </w:r>
    </w:p>
    <w:p>
      <w:pPr>
        <w:pStyle w:val="Normal"/>
        <w:rPr/>
      </w:pPr>
      <w:r>
        <w:rPr/>
        <w:t xml:space="preserve"> </w:t>
      </w:r>
    </w:p>
    <w:p>
      <w:pPr>
        <w:pStyle w:val="Normal"/>
        <w:rPr/>
      </w:pPr>
      <w:r>
        <w:rPr/>
        <w:t xml:space="preserve">Postupnim ukidanjem intenzivne poljoprivrede smanjit će se razina onečišćenja okoliša i ojačati zaštita prirode. Osim toga, postupno ukidanje intenzivnog stočarstva smanjit će količinu lijekova potrebnih za borbu protiv bolesti životinja i poboljšati kvalitetu naše prehrane. Intenzivna poljoprivreda također ne poštuje dobrobit životinja, ali postoje održiviji oblici uzgoja, kao što je ekstenzivna poljoprivreda; potrebno je osigurati subvencije poljoprivrednicima kako bi im se pomoglo da krenu tim putem. </w:t>
      </w:r>
    </w:p>
    <w:p>
      <w:pPr>
        <w:pStyle w:val="Normal"/>
        <w:rPr/>
      </w:pPr>
      <w:r>
        <w:rPr/>
        <w:t xml:space="preserve"> </w:t>
      </w:r>
    </w:p>
    <w:p>
      <w:pPr>
        <w:pStyle w:val="P68B1DB1Normal15"/>
        <w:rPr>
          <w:b/>
          <w:b/>
        </w:rPr>
      </w:pPr>
      <w:r>
        <w:rPr/>
        <w:t xml:space="preserve">17. Preporučujemo jačanje kontrole zabrane nepotrebne uporabe antibiotika i drugih veterinarsko-medicinskih proizvoda u dodacima hrani za životinje: neka se ova inicijativa dogodi! Predlažemo da se uporaba antibiotika u stočarstvu dopusti samo kada je to apsolutno nužno kako bi se zaštitilo zdravlje i dobrobit životinja, a ne na preventivan način. Osim toga, postoji potreba za većim ulaganjem u potragu za učinkovitijim antibioticima, razvijajući alternative i oslanjajući se na istraživanja koja su u tijeku u tom području. </w:t>
      </w:r>
    </w:p>
    <w:p>
      <w:pPr>
        <w:pStyle w:val="Normal"/>
        <w:rPr/>
      </w:pPr>
      <w:r>
        <w:rPr/>
        <w:t xml:space="preserve"> </w:t>
      </w:r>
    </w:p>
    <w:p>
      <w:pPr>
        <w:pStyle w:val="Normal"/>
        <w:rPr/>
      </w:pPr>
      <w:r>
        <w:rPr/>
        <w:t xml:space="preserve">Otpornost ljudi na antibiotike smanjuje se zbog konzumacije hrane dobivene od životinja na koje su primijenjeni antibiotici. Osim toga, potrebno je vremena za razvoj odgovarajućih rješenja kojima bi se zamijenili postojeći antibiotici te kako bi se osiguralo da su poljoprivrednici informirani i voljni ih upotrebljavati. Svjesni smo da postoje direktive EU-a o antibioticima; međutim, one nisu provedene na isti način u svim državama članicama. Konačno, veterinarsko-medicinski proizvodi zloupotrebljavaju se za potrebe dopinga; stoga će se strožim zakonodavstvom u tom području poboljšati dobrobit životinja i poboljšati njihova kvaliteta života. </w:t>
      </w:r>
    </w:p>
    <w:p>
      <w:pPr>
        <w:pStyle w:val="Normal"/>
        <w:rPr/>
      </w:pPr>
      <w:r>
        <w:rPr/>
        <w:t xml:space="preserve"> </w:t>
      </w:r>
    </w:p>
    <w:p>
      <w:pPr>
        <w:pStyle w:val="P68B1DB1Normal15"/>
        <w:rPr>
          <w:b/>
          <w:b/>
        </w:rPr>
      </w:pPr>
      <w:r>
        <w:rPr/>
        <w:t xml:space="preserve">18. Preporučujemo da se zakonodavstvom EU-a zahtijeva izvješćivanje o upotrebi hormonskih tvari i endokrinih disruptora u proizvodnji hrane kako bi se odredila vrsta, količina i izloženost konačnog upotrijebljenog proizvoda. Oznake na kojima se jasno navode prisutne tvari i razlozi za njihovu uporabu moraju se nalaziti na pakiranju svih dotičnih prehrambenih proizvoda. Osim toga, trebalo bi ubrzati istraživanja o učincima hormonskih tvari i endokrinih disruptora na zdravlje ljudi. </w:t>
      </w:r>
    </w:p>
    <w:p>
      <w:pPr>
        <w:pStyle w:val="Normal"/>
        <w:rPr/>
      </w:pPr>
      <w:r>
        <w:rPr/>
        <w:t xml:space="preserve"> </w:t>
      </w:r>
    </w:p>
    <w:p>
      <w:pPr>
        <w:pStyle w:val="Normal"/>
        <w:rPr/>
      </w:pPr>
      <w:r>
        <w:rPr/>
        <w:t xml:space="preserve">Trenutačno je sljedivost prehrambenih proizvoda nedostatna, posebno u pogledu hormonskih tvari i endokrinih disruptora. Smatramo da je transparentnost u proizvodnji hrane nužna kako bi se odgovorilo na odgovornost. Osim toga, potrošači bi trebali moći znati sastav hrane koju konzumiraju u cijelosti i moći slobodno birati što jedu. Osim toga, nema dovoljno istraživanja o utjecaju na ljude (i mogućim rizicima) povezanima s konzumacijom prehrambenih proizvoda koji sadržavaju hormonalne tvari i endokrine disruptore. </w:t>
      </w:r>
    </w:p>
    <w:p>
      <w:pPr>
        <w:pStyle w:val="Normal"/>
        <w:rPr/>
      </w:pPr>
      <w:r>
        <w:rPr/>
        <w:t xml:space="preserve"> </w:t>
      </w:r>
    </w:p>
    <w:p>
      <w:pPr>
        <w:pStyle w:val="P68B1DB1Normal15"/>
        <w:rPr>
          <w:b/>
          <w:b/>
        </w:rPr>
      </w:pPr>
      <w:r>
        <w:rPr/>
        <w:t xml:space="preserve">19. Preporučujemo obeshrabrivanje konzumacije prerađene hrane primjenom poreza na hranu koja je štetna za zdravlje i ulaganjem sredstava u zdravu hranu. Predlažemo uspostavu europskog sustava ocjenjivanja zdrave hrane na temelju najboljih praksi u državama članicama i postavljanje oznaka na hranu kako bi se potrošače informiralo o njihovim učincima na zdravlje. </w:t>
      </w:r>
    </w:p>
    <w:p>
      <w:pPr>
        <w:pStyle w:val="Normal"/>
        <w:rPr/>
      </w:pPr>
      <w:r>
        <w:rPr/>
        <w:t xml:space="preserve"> </w:t>
      </w:r>
    </w:p>
    <w:p>
      <w:pPr>
        <w:pStyle w:val="Normal"/>
        <w:rPr/>
      </w:pPr>
      <w:r>
        <w:rPr/>
        <w:t xml:space="preserve">Na taj način prikupljena sredstva mogu se upotrijebiti za razvoj kampanja za podizanje svijesti i promotivne kampanje, davanje prednosti zdravoj prehrani u obrazovnom sektoru i smanjenje vidljivosti nezdrave hrane u supermarketima. Ulaganja u zdravu hranu pridonose i poboljšanju općeg zdravlja stanovništva, a time i smanjenju razine javne potrošnje potrebne za rješavanje zdravstvenih problema uzrokovanih lošom prehranom. Osim toga, vjerujemo da će porezi i subvencije potaknuti poduzeća na proizvodnju zdravije hrane. </w:t>
      </w:r>
    </w:p>
    <w:p>
      <w:pPr>
        <w:pStyle w:val="Normal"/>
        <w:rPr/>
      </w:pPr>
      <w:r>
        <w:rPr/>
        <w:t xml:space="preserve"> </w:t>
      </w:r>
    </w:p>
    <w:p>
      <w:pPr>
        <w:pStyle w:val="Titre3"/>
        <w:numPr>
          <w:ilvl w:val="2"/>
          <w:numId w:val="2"/>
        </w:numPr>
        <w:rPr/>
      </w:pPr>
      <w:bookmarkStart w:id="163" w:name="__RefHeading___Toc297261_1346298689"/>
      <w:bookmarkEnd w:id="163"/>
      <w:r>
        <w:rPr/>
        <w:t xml:space="preserve">Os 3: preusmjeravanje našeg gospodarstva i potrošnje </w:t>
      </w:r>
    </w:p>
    <w:p>
      <w:pPr>
        <w:pStyle w:val="Titre4"/>
        <w:numPr>
          <w:ilvl w:val="3"/>
          <w:numId w:val="2"/>
        </w:numPr>
        <w:rPr/>
      </w:pPr>
      <w:bookmarkStart w:id="164" w:name="__RefHeading___Toc297263_1346298689"/>
      <w:bookmarkEnd w:id="164"/>
      <w:r>
        <w:rPr/>
        <w:t xml:space="preserve">Podos 3.1 Regulacija prekomjerne proizvodnje i prekomjerne potrošnje </w:t>
      </w:r>
    </w:p>
    <w:p>
      <w:pPr>
        <w:pStyle w:val="P68B1DB1Normal15"/>
        <w:rPr>
          <w:b/>
          <w:b/>
        </w:rPr>
      </w:pPr>
      <w:r>
        <w:rPr/>
        <w:t xml:space="preserve">20. Preporučujemo da EU poduzme više mjera kako bi se potrošačima omogućilo da dulje upotrebljavaju proizvode i kako bi ih se potaknulo da to učine. EU bi se trebao boriti protiv planiranog zastarijevanja produljenjem jamstva za proizvod i određivanjem maksimalne cijene rezervnih dijelova nakon isteka jamstvenog roka. Sve države članice trebale bi uvesti smanjenje poreza za usluge popravka, kao što je slučaj u Švedskoj. Od proizvođača bi trebalo zahtijevati da navedu očekivani vijek trajanja svojih proizvoda. EU bi trebao pružiti informacije o načinu ponovne uporabe i popravka proizvoda putem internetskih stranica i putem obrazovanja. </w:t>
      </w:r>
    </w:p>
    <w:p>
      <w:pPr>
        <w:pStyle w:val="Normal"/>
        <w:rPr/>
      </w:pPr>
      <w:r>
        <w:rPr/>
        <w:t xml:space="preserve"> </w:t>
      </w:r>
    </w:p>
    <w:p>
      <w:pPr>
        <w:pStyle w:val="Normal"/>
        <w:rPr/>
      </w:pPr>
      <w:r>
        <w:rPr/>
        <w:t xml:space="preserve">Naše društvo za otpad nije održivo jer stvara previše otpada. Primjenom predloženih mjera razvijat ćemo se prema društvu u kojem će se proizvodi ponovno upotrebljavati i popravljati, čiji će se broj smanjiti, čime će se smanjiti prekomjerna potrošnja. </w:t>
      </w:r>
    </w:p>
    <w:p>
      <w:pPr>
        <w:pStyle w:val="Normal"/>
        <w:rPr/>
      </w:pPr>
      <w:r>
        <w:rPr/>
        <w:t xml:space="preserve"> </w:t>
      </w:r>
    </w:p>
    <w:p>
      <w:pPr>
        <w:pStyle w:val="P68B1DB1Normal15"/>
        <w:rPr>
          <w:b/>
          <w:b/>
        </w:rPr>
      </w:pPr>
      <w:r>
        <w:rPr/>
        <w:t xml:space="preserve">21. Preporučujemo da EU primijeni strože ekološke standarde i osigura pravedne radne uvjete u cijelom proizvodnom lancu. Standardi proizvodnje EU-a trebali bi biti održiviji i usklađeniji među državama članicama te bi se trebali primjenjivati na uvezenu robu. Ti standardi također moraju biti socijalne prirode, uključujući pristojan dohodak za radnike i zadovoljavajuće radne uvjete u tvornicama. Trebale bi postojati posljedice za robu koja ne zadovoljava te standarde. </w:t>
      </w:r>
    </w:p>
    <w:p>
      <w:pPr>
        <w:pStyle w:val="Normal"/>
        <w:rPr/>
      </w:pPr>
      <w:r>
        <w:rPr/>
        <w:t xml:space="preserve"> </w:t>
      </w:r>
    </w:p>
    <w:p>
      <w:pPr>
        <w:pStyle w:val="Normal"/>
        <w:rPr/>
      </w:pPr>
      <w:r>
        <w:rPr/>
        <w:t xml:space="preserve">Važno je uspostaviti ekološki i socijalno homogene proizvodne standarde u Europi kako bi se osiguralo da se svi ponuđeni proizvodi proizvode na održiv način. Te su mjere ključne za preusmjeravanje našeg gospodarstva i promjenu obrazaca poslovne proizvodnje. </w:t>
      </w:r>
    </w:p>
    <w:p>
      <w:pPr>
        <w:pStyle w:val="Normal"/>
        <w:rPr/>
      </w:pPr>
      <w:r>
        <w:rPr/>
        <w:t xml:space="preserve"> </w:t>
      </w:r>
    </w:p>
    <w:p>
      <w:pPr>
        <w:pStyle w:val="P68B1DB1Normal15"/>
        <w:rPr>
          <w:b/>
          <w:b/>
        </w:rPr>
      </w:pPr>
      <w:r>
        <w:rPr/>
        <w:t xml:space="preserve">22. Preporučujemo da EU i države članice uvedu mjere za ograničavanje oglašavanja proizvoda koji štete okolišu. Proizvodi niske trajnosti trebali bi podlijegati obveznoj klauzuli o neodgovornosti u svim oblicima oglašavanja koja pokazuje da su štetni za okoliš. EU bi trebao zabraniti oglašavanje proizvoda koji uopće nisu održivi. </w:t>
      </w:r>
    </w:p>
    <w:p>
      <w:pPr>
        <w:pStyle w:val="Normal"/>
        <w:rPr/>
      </w:pPr>
      <w:r>
        <w:rPr/>
        <w:t xml:space="preserve"> </w:t>
      </w:r>
    </w:p>
    <w:p>
      <w:pPr>
        <w:pStyle w:val="Normal"/>
        <w:rPr/>
      </w:pPr>
      <w:r>
        <w:rPr/>
        <w:t xml:space="preserve">Oglašavanje potiče potrošnju; ne treba naglašavati proizvode koji štete okolišu. Na taj će način potrošači imati manju vjerojatnost da će kupovati proizvode štetne za okoliš. </w:t>
      </w:r>
    </w:p>
    <w:p>
      <w:pPr>
        <w:pStyle w:val="Normal"/>
        <w:rPr/>
      </w:pPr>
      <w:r>
        <w:rPr/>
        <w:t xml:space="preserve"> </w:t>
      </w:r>
    </w:p>
    <w:p>
      <w:pPr>
        <w:pStyle w:val="P68B1DB1Normal15"/>
        <w:rPr>
          <w:b/>
          <w:b/>
        </w:rPr>
      </w:pPr>
      <w:r>
        <w:rPr/>
        <w:t xml:space="preserve">23. Preporučujemo da EU uspostavi i razvije infrastrukturu sustava depozitnih sustava za svu primarnu ambalažu od stakla, plastike, aluminija itd. diljem EU-a. Proizvođači bi trebali, koliko je to moguće, ponovno upotrijebiti povratnu ambalažu sterilizacijom, a ne samo reciklirati materijale. Osim pakiranja hrane i pića, uređaj bi trebao obuhvaćati i druge vrste boca i spremnika, kao što su boce šampona. </w:t>
      </w:r>
    </w:p>
    <w:p>
      <w:pPr>
        <w:pStyle w:val="Normal"/>
        <w:rPr/>
      </w:pPr>
      <w:r>
        <w:rPr/>
        <w:t xml:space="preserve"> </w:t>
      </w:r>
    </w:p>
    <w:p>
      <w:pPr>
        <w:pStyle w:val="Normal"/>
        <w:rPr/>
      </w:pPr>
      <w:r>
        <w:rPr/>
        <w:t xml:space="preserve">Potrošači trenutno bacaju previše ambalaže, zagađuju i uništavaju naše ekosustave. Sustavi pologa pridonose smanjenju otpada jer potiču građane da donesu ambalažu, a ne da je odbacuju. Razvojem tog sustava upotrijebit ćemo manje resursa; količina nastalog otpada bit će smanjena. </w:t>
      </w:r>
    </w:p>
    <w:p>
      <w:pPr>
        <w:pStyle w:val="Normal"/>
        <w:rPr/>
      </w:pPr>
      <w:r>
        <w:rPr/>
        <w:t xml:space="preserve"> </w:t>
      </w:r>
    </w:p>
    <w:p>
      <w:pPr>
        <w:pStyle w:val="Titre4"/>
        <w:numPr>
          <w:ilvl w:val="3"/>
          <w:numId w:val="2"/>
        </w:numPr>
        <w:rPr/>
      </w:pPr>
      <w:bookmarkStart w:id="165" w:name="__RefHeading___Toc297265_1346298689"/>
      <w:bookmarkEnd w:id="165"/>
      <w:r>
        <w:rPr/>
        <w:t xml:space="preserve">Podosi 3.2. Smanjenje otpada </w:t>
      </w:r>
    </w:p>
    <w:p>
      <w:pPr>
        <w:pStyle w:val="P68B1DB1Normal15"/>
        <w:rPr>
          <w:b/>
          <w:b/>
        </w:rPr>
      </w:pPr>
      <w:r>
        <w:rPr/>
        <w:t xml:space="preserve">24. Preporučujemo promicanje snažnije provedbe politika kružnog gospodarstva na europskoj razini, usmjerenih na poduzeća i građane, u obliku financijskih poticaja za one koji ih poštuju. </w:t>
      </w:r>
    </w:p>
    <w:p>
      <w:pPr>
        <w:pStyle w:val="Normal"/>
        <w:rPr/>
      </w:pPr>
      <w:r>
        <w:rPr/>
        <w:t xml:space="preserve"> </w:t>
      </w:r>
    </w:p>
    <w:p>
      <w:pPr>
        <w:pStyle w:val="Normal"/>
        <w:rPr/>
      </w:pPr>
      <w:r>
        <w:rPr/>
        <w:t xml:space="preserve">Mnogi će ljudi na kraju ostati nezaposleni ako proizvodne tvrtke smanje svoju radnu snagu ili čak završe u stanju prestanka plaćanja/fermenta. Mjerama prekvalifikacije nezaposlenih potaknut će se ekološki prihvatljive prakse uz istodobno ograničavanje nezaposlenosti i promicanje modernizacije diversificiranog gospodarstva. </w:t>
      </w:r>
    </w:p>
    <w:p>
      <w:pPr>
        <w:pStyle w:val="Normal"/>
        <w:rPr/>
      </w:pPr>
      <w:r>
        <w:rPr/>
        <w:t xml:space="preserve"> </w:t>
      </w:r>
    </w:p>
    <w:p>
      <w:pPr>
        <w:pStyle w:val="P68B1DB1Normal15"/>
        <w:rPr>
          <w:b/>
          <w:b/>
        </w:rPr>
      </w:pPr>
      <w:r>
        <w:rPr/>
        <w:t xml:space="preserve">25. Preporučujemo da EU regulira upotrebu ekološki sigurne ambalaže (tj. ambalaže koja se temelji na biorazgradivim ili recikliranim ili održivijim materijalima, ako je moguće) i/ili uporabu manje glomazne ambalaže, također s QR oznakom koja pruža informacije relevantne za postupak recikliranja i/ili odlaganja ambalaže nakon uporabe. </w:t>
      </w:r>
    </w:p>
    <w:p>
      <w:pPr>
        <w:pStyle w:val="Normal"/>
        <w:rPr/>
      </w:pPr>
      <w:r>
        <w:rPr/>
        <w:t xml:space="preserve"> </w:t>
      </w:r>
    </w:p>
    <w:p>
      <w:pPr>
        <w:pStyle w:val="Normal"/>
        <w:rPr/>
      </w:pPr>
      <w:r>
        <w:rPr/>
        <w:t xml:space="preserve">Ta će preporuka dovesti do smanjenja ambalaže, smanjenja otpada, a time i do onečišćenja; okoliš će stoga biti čišći i u konačnici će ugljični otisak biti manji. Smanjit će se i porezno opterećenje proizvođača. </w:t>
      </w:r>
    </w:p>
    <w:p>
      <w:pPr>
        <w:pStyle w:val="Normal"/>
        <w:rPr/>
      </w:pPr>
      <w:r>
        <w:rPr/>
        <w:t xml:space="preserve"> </w:t>
      </w:r>
    </w:p>
    <w:p>
      <w:pPr>
        <w:pStyle w:val="Titre4"/>
        <w:numPr>
          <w:ilvl w:val="3"/>
          <w:numId w:val="2"/>
        </w:numPr>
        <w:rPr/>
      </w:pPr>
      <w:bookmarkStart w:id="166" w:name="__RefHeading___Toc297267_1346298689"/>
      <w:bookmarkEnd w:id="166"/>
      <w:r>
        <w:rPr/>
        <w:t xml:space="preserve">Podosi 3.3. Pravedni proizvodi, jednak pristup i poštena potrošnja </w:t>
      </w:r>
    </w:p>
    <w:p>
      <w:pPr>
        <w:pStyle w:val="P68B1DB1Normal15"/>
        <w:rPr>
          <w:b/>
          <w:b/>
        </w:rPr>
      </w:pPr>
      <w:r>
        <w:rPr/>
        <w:t xml:space="preserve">26. Preporučujemo da Europska unija uspostavi pravni okvir kako bi se osiguralo da svi europski potrošači imaju cjenovno pristupačan i poboljšan pristup kvalitetnim i lokalnim prehrambenim proizvodima. </w:t>
      </w:r>
    </w:p>
    <w:p>
      <w:pPr>
        <w:pStyle w:val="Normal"/>
        <w:rPr/>
      </w:pPr>
      <w:r>
        <w:rPr/>
        <w:t xml:space="preserve"> </w:t>
      </w:r>
    </w:p>
    <w:p>
      <w:pPr>
        <w:pStyle w:val="Normal"/>
        <w:rPr/>
      </w:pPr>
      <w:r>
        <w:rPr/>
        <w:t xml:space="preserve">Doista, na razini EU-a trenutačno ne postoji zajedničko tumačenje onoga što bi se trebalo smatrati lokalnom i kvalitetnom hranom. Tu prazninu treba popuniti. </w:t>
      </w:r>
    </w:p>
    <w:p>
      <w:pPr>
        <w:pStyle w:val="Normal"/>
        <w:rPr/>
      </w:pPr>
      <w:r>
        <w:rPr/>
        <w:t xml:space="preserve">Uvoz proizvoda loše kvalitete ima izravan negativan utjecaj na okoliš. Kako bismo se borili protiv klimatskih promjena, moramo se uhvatiti u koštac sa svim njihovim uzrocima, uključujući uvoz proizvoda niske kvalitete: potrebno je smanjiti udaljenost prijevoza i promicati sezonske proizvode. </w:t>
      </w:r>
    </w:p>
    <w:p>
      <w:pPr>
        <w:pStyle w:val="Normal"/>
        <w:rPr/>
      </w:pPr>
      <w:r>
        <w:rPr/>
        <w:t xml:space="preserve">Ta je preporuka obećavajuća jer bi se mogla primjenjivati i na neprehrambene proizvode. </w:t>
      </w:r>
    </w:p>
    <w:p>
      <w:pPr>
        <w:pStyle w:val="Normal"/>
        <w:rPr/>
      </w:pPr>
      <w:r>
        <w:rPr/>
        <w:t xml:space="preserve"> </w:t>
      </w:r>
    </w:p>
    <w:p>
      <w:pPr>
        <w:pStyle w:val="P68B1DB1Normal15"/>
        <w:rPr>
          <w:b/>
          <w:b/>
        </w:rPr>
      </w:pPr>
      <w:r>
        <w:rPr/>
        <w:t xml:space="preserve">27. Preporučujemo da Europska unija potiče istraživanje i razvoj kroz programe financiranja kako bi se osiguralo da održiviji i cjenovno pristupačniji proizvodi na tržištu budu dostupni na europskom tržištu. Europska unija također mora održati savjetovanja s građanima, na svim razinama donošenja odluka, uključujući na lokalnoj razini, kako bi utvrdila njihove potrebe za održivim proizvodima. </w:t>
      </w:r>
    </w:p>
    <w:p>
      <w:pPr>
        <w:pStyle w:val="Normal"/>
        <w:rPr/>
      </w:pPr>
      <w:r>
        <w:rPr/>
        <w:t xml:space="preserve"> </w:t>
      </w:r>
    </w:p>
    <w:p>
      <w:pPr>
        <w:pStyle w:val="Normal"/>
        <w:rPr/>
      </w:pPr>
      <w:r>
        <w:rPr/>
        <w:t xml:space="preserve">Smatramo da su istraživanja o održivim proizvodima nedostatna i da je hitno potrebno dodijeliti više financijskih sredstava za istraživanje kako bi Europljani mogli pristupiti pristupačnijim održivim proizvodima. </w:t>
      </w:r>
    </w:p>
    <w:p>
      <w:pPr>
        <w:pStyle w:val="Normal"/>
        <w:rPr/>
      </w:pPr>
      <w:r>
        <w:rPr/>
        <w:t xml:space="preserve">Građani moraju sudjelovati u postupku donošenja odluka. Program za aktivnosti istraživanja i inovacija mora se sastaviti zajedno s građanima. Trebalo bi ih obavijestiti o daljnjem postupanju i o rezultatima bi ih trebalo obavijestiti. </w:t>
      </w:r>
    </w:p>
    <w:p>
      <w:pPr>
        <w:pStyle w:val="Normal"/>
        <w:rPr/>
      </w:pPr>
      <w:r>
        <w:rPr/>
      </w:r>
    </w:p>
    <w:p>
      <w:pPr>
        <w:pStyle w:val="P68B1DB1Normal15"/>
        <w:rPr>
          <w:b/>
          <w:b/>
        </w:rPr>
      </w:pPr>
      <w:r>
        <w:rPr/>
        <w:t xml:space="preserve">28. Preporučujemo da Europska unija uvede regulatorni mehanizam za modne proizvode koji ulaze na zajedničko tržište. Taj bi mehanizam bio namijenjen poticanju bolje potrošnje s pomoću pokazatelja kojim bi se osiguralo da proizvod ispunjava kriterije održivosti. </w:t>
      </w:r>
    </w:p>
    <w:p>
      <w:pPr>
        <w:pStyle w:val="Normal"/>
        <w:rPr/>
      </w:pPr>
      <w:r>
        <w:rPr/>
        <w:t xml:space="preserve"> </w:t>
      </w:r>
    </w:p>
    <w:p>
      <w:pPr>
        <w:pStyle w:val="Normal"/>
        <w:rPr/>
      </w:pPr>
      <w:r>
        <w:rPr/>
        <w:t xml:space="preserve">Modni sektor, koji proizvodi previše robe loše kvalitete izvan europskih granica, ne primjenjuje etičke standarde i ne prihvaća održivo ponašanje. </w:t>
      </w:r>
    </w:p>
    <w:p>
      <w:pPr>
        <w:pStyle w:val="Normal"/>
        <w:rPr/>
      </w:pPr>
      <w:r>
        <w:rPr/>
        <w:t xml:space="preserve">Moramo pronaći pravedan mehanizam koji će potrošačima omogućiti bolju potrošnju. Međutim, važno je ne povećavati poreze, što bi imalo negativne posljedice za potrošače smanjenjem njihove kupovne moći. </w:t>
      </w:r>
    </w:p>
    <w:p>
      <w:pPr>
        <w:pStyle w:val="Normal"/>
        <w:rPr/>
      </w:pPr>
      <w:r>
        <w:rPr/>
        <w:t xml:space="preserve">Potrošači bi trebali znati pod kojim se uvjetima proizvode proizvodi koje kupuju i zadovoljavaju li održive standarde kvalitete. </w:t>
      </w:r>
    </w:p>
    <w:p>
      <w:pPr>
        <w:pStyle w:val="Normal"/>
        <w:rPr/>
      </w:pPr>
      <w:r>
        <w:rPr/>
        <w:t xml:space="preserve"> </w:t>
      </w:r>
    </w:p>
    <w:p>
      <w:pPr>
        <w:pStyle w:val="Titre3"/>
        <w:numPr>
          <w:ilvl w:val="2"/>
          <w:numId w:val="2"/>
        </w:numPr>
        <w:rPr/>
      </w:pPr>
      <w:bookmarkStart w:id="167" w:name="__RefHeading___Toc297269_1346298689"/>
      <w:bookmarkEnd w:id="167"/>
      <w:r>
        <w:rPr/>
        <w:t xml:space="preserve">Os 4: prema održivom društvu </w:t>
      </w:r>
    </w:p>
    <w:p>
      <w:pPr>
        <w:pStyle w:val="Titre4"/>
        <w:numPr>
          <w:ilvl w:val="3"/>
          <w:numId w:val="2"/>
        </w:numPr>
        <w:rPr/>
      </w:pPr>
      <w:bookmarkStart w:id="168" w:name="__RefHeading___Toc297271_1346298689"/>
      <w:bookmarkEnd w:id="168"/>
      <w:r>
        <w:rPr/>
        <w:t xml:space="preserve">Podos 4.1 Obnovljiva energija, od sada </w:t>
      </w:r>
    </w:p>
    <w:p>
      <w:pPr>
        <w:pStyle w:val="P68B1DB1Normal15"/>
        <w:rPr>
          <w:b/>
          <w:b/>
        </w:rPr>
      </w:pPr>
      <w:r>
        <w:rPr/>
        <w:t xml:space="preserve">29. Preporučujemo da EU poduzme korake kako bi filteri CO2 bili obvezni, posebno za elektrane na ugljen, tijekom prijelaznog razdoblja, sve dok se i dalje oslanjamo na konvencionalnu energiju. Osim toga, preporučujemo da EU pruži financijsku pomoć državama članicama koje nemaju financijska sredstva za primjenu filtara CO2. Potpora je uvjetovana usklađenošću s klimatskim politikama EU-a povezanima s Pariškim sporazumom, zelenim planom i svim novim propisima o klimi. </w:t>
      </w:r>
    </w:p>
    <w:p>
      <w:pPr>
        <w:pStyle w:val="Normal"/>
        <w:rPr/>
      </w:pPr>
      <w:r>
        <w:rPr>
          <w:b/>
        </w:rPr>
        <w:t>To je konkretan korak koji treba poduzeti usporedno s kontinuiranim ulaganjem u istraživanje sigurnosti proizvodnje energije i čiji je cilj pomoći državama članicama EU-a da postupno ostvare zajedničke ciljeve smanjenja CO2.</w:t>
      </w:r>
      <w:r>
        <w:rPr/>
        <w:t xml:space="preserve"> </w:t>
      </w:r>
    </w:p>
    <w:p>
      <w:pPr>
        <w:pStyle w:val="Normal"/>
        <w:rPr/>
      </w:pPr>
      <w:r>
        <w:rPr/>
        <w:t xml:space="preserve"> </w:t>
      </w:r>
    </w:p>
    <w:p>
      <w:pPr>
        <w:pStyle w:val="Normal"/>
        <w:rPr/>
      </w:pPr>
      <w:r>
        <w:rPr/>
        <w:t xml:space="preserve">Znamo da upotreba konvencionalnih goriva dovodi do emisija stakleničkih plinova, a države članice EU-a moraju smanjiti uporabu konvencionalnih goriva kako bi se uskladile s Pariškim sporazumom. Budući da nije moguće odmah okončati emisije CO2 i još uvijek ovisimo o ugljenu, moramo poduzeti mjere u kratkoročnom i srednjoročnom razdoblju. </w:t>
      </w:r>
    </w:p>
    <w:p>
      <w:pPr>
        <w:pStyle w:val="Normal"/>
        <w:rPr/>
      </w:pPr>
      <w:r>
        <w:rPr/>
        <w:t xml:space="preserve">Smanjenje emisija CO2 od zajedničkog je interesa za sve građane, unutar i izvan EU-a; EU kao institucija ima svoje odgovornosti, a institucija daje preporuke i pruža rješenja jer države članice ne mogu same ostvariti ciljeve. </w:t>
      </w:r>
    </w:p>
    <w:p>
      <w:pPr>
        <w:pStyle w:val="Normal"/>
        <w:rPr/>
      </w:pPr>
      <w:r>
        <w:rPr/>
      </w:r>
    </w:p>
    <w:p>
      <w:pPr>
        <w:pStyle w:val="P68B1DB1Normal15"/>
        <w:rPr>
          <w:b/>
          <w:b/>
        </w:rPr>
      </w:pPr>
      <w:r>
        <w:rPr/>
        <w:t xml:space="preserve">30. Preporučujemo smanjenje intenzivnog industrijskog uzgoja kako bi se smanjila proizvodnja metana i onečišćenje vode. U tu svrhu EU revidira svoju zajedničku poljoprivrednu politiku kako bi usmjerio svoje subvencije na održivu i lokalnu poljoprivredu, među ostalim putem sustava označivanja kojim se potrošačima omogućuje da prepoznaju održive mesne proizvode. Također potičemo EU da ulaže u metode ponovne uporabe otpada iz proizvodnje životinja i drugih industrija. </w:t>
      </w:r>
    </w:p>
    <w:p>
      <w:pPr>
        <w:pStyle w:val="Normal"/>
        <w:rPr/>
      </w:pPr>
      <w:r>
        <w:rPr/>
        <w:t xml:space="preserve"> </w:t>
      </w:r>
    </w:p>
    <w:p>
      <w:pPr>
        <w:pStyle w:val="Normal"/>
        <w:rPr/>
      </w:pPr>
      <w:r>
        <w:rPr/>
        <w:t xml:space="preserve">Stanovništvo raste, što će rezultirati povećanom potražnjom za mesom u budućnosti. Stoga je potrebno smanjiti potrošnju mesa. </w:t>
      </w:r>
    </w:p>
    <w:p>
      <w:pPr>
        <w:pStyle w:val="Normal"/>
        <w:rPr/>
      </w:pPr>
      <w:r>
        <w:rPr/>
        <w:t xml:space="preserve">Budući da metan proizvodi stakleničke plinove, vjerujemo da je prirodno početi smanjenjem emisija stoke. </w:t>
      </w:r>
    </w:p>
    <w:p>
      <w:pPr>
        <w:pStyle w:val="Normal"/>
        <w:rPr/>
      </w:pPr>
      <w:r>
        <w:rPr/>
        <w:t xml:space="preserve">Svi znamo da treba konzumirati manje mesa i stoga bi se broj goveda trebao smanjiti u skladu s tim. </w:t>
      </w:r>
    </w:p>
    <w:p>
      <w:pPr>
        <w:pStyle w:val="Normal"/>
        <w:rPr/>
      </w:pPr>
      <w:r>
        <w:rPr/>
        <w:t xml:space="preserve"> </w:t>
      </w:r>
    </w:p>
    <w:p>
      <w:pPr>
        <w:pStyle w:val="P68B1DB1Normal15"/>
        <w:rPr>
          <w:b/>
          <w:b/>
        </w:rPr>
      </w:pPr>
      <w:r>
        <w:rPr/>
        <w:t xml:space="preserve">31. Iako je proizvodnja zelenog vodika skup proces, jer je za dobivanje 25 % vodika potrebno 75 % energije, ova vrsta energije ima mnogo pozitivnih aspekata. Najbolje rješenje može biti proizvodnja energije bez CO2 uz razvoj zelenog vodika. Energija vjetra trebala bi se koristiti za proizvodnju zelenog vodika, a EU bi trebao više ulagati i povećati proizvodnju energije vjetra te je skladištiti za buduće potrebe. </w:t>
      </w:r>
    </w:p>
    <w:p>
      <w:pPr>
        <w:pStyle w:val="Normal"/>
        <w:rPr/>
      </w:pPr>
      <w:r>
        <w:rPr/>
        <w:t xml:space="preserve"> </w:t>
      </w:r>
    </w:p>
    <w:p>
      <w:pPr>
        <w:pStyle w:val="Normal"/>
        <w:rPr/>
      </w:pPr>
      <w:r>
        <w:rPr/>
        <w:t xml:space="preserve">Zeleni vodik je fleksibilan i može se pohraniti za upotrebu kada je to potrebno. To ne uzrokuje CO2 zagađenje. </w:t>
      </w:r>
    </w:p>
    <w:p>
      <w:pPr>
        <w:pStyle w:val="Normal"/>
        <w:rPr/>
      </w:pPr>
      <w:r>
        <w:rPr/>
        <w:t xml:space="preserve"> </w:t>
      </w:r>
    </w:p>
    <w:p>
      <w:pPr>
        <w:pStyle w:val="Titre4"/>
        <w:numPr>
          <w:ilvl w:val="3"/>
          <w:numId w:val="2"/>
        </w:numPr>
        <w:rPr/>
      </w:pPr>
      <w:bookmarkStart w:id="169" w:name="__RefHeading___Toc297273_1346298689"/>
      <w:bookmarkEnd w:id="169"/>
      <w:r>
        <w:rPr/>
        <w:t xml:space="preserve">Podos 4.2 Potpora promjeni </w:t>
      </w:r>
    </w:p>
    <w:p>
      <w:pPr>
        <w:pStyle w:val="P68B1DB1Normal15"/>
        <w:rPr>
          <w:b/>
          <w:b/>
        </w:rPr>
      </w:pPr>
      <w:r>
        <w:rPr/>
        <w:t xml:space="preserve">32. Preporučujemo da EU uspostavi sustav prisile i nagrade za borbu protiv onečišćenja, uključujući vodu, tlo, zrak i zračenje. Kazne se moraju izreći onečišćivačima, zajedno s obveznom potporom specijalizirane organizacije, posebno osmišljene kako bi se subjektima pomoglo u uklanjanju onečišćenja i obnovi ekosustava. Ta specijalizirana organizacija trebala bi imati vodeću ulogu u sprečavanju i kontroli razina onečišćenja. </w:t>
      </w:r>
    </w:p>
    <w:p>
      <w:pPr>
        <w:pStyle w:val="Normal"/>
        <w:rPr/>
      </w:pPr>
      <w:r>
        <w:rPr/>
        <w:t xml:space="preserve"> </w:t>
      </w:r>
    </w:p>
    <w:p>
      <w:pPr>
        <w:pStyle w:val="Normal"/>
        <w:rPr/>
      </w:pPr>
      <w:r>
        <w:rPr/>
        <w:t xml:space="preserve">Budući da je važno usredotočiti se na odgovornosti onečišćivača i potaknuti subjekte da smanje onečišćenje ciljanjem nulte stope onečišćenja. Od ključne je važnosti imati zdrav planet jer je izravno povezan s našom dobrobiti i našim budućim postojanjem. </w:t>
      </w:r>
    </w:p>
    <w:p>
      <w:pPr>
        <w:pStyle w:val="Normal"/>
        <w:rPr/>
      </w:pPr>
      <w:r>
        <w:rPr/>
        <w:t xml:space="preserve"> </w:t>
      </w:r>
    </w:p>
    <w:p>
      <w:pPr>
        <w:pStyle w:val="P68B1DB1Normal15"/>
        <w:rPr>
          <w:b/>
          <w:b/>
        </w:rPr>
      </w:pPr>
      <w:r>
        <w:rPr/>
        <w:t xml:space="preserve">33. Preporučujemo da EU uspostavi posebnu internetsku stranicu/platformu koju će provjeriti više stručnjaka, s raznolikim i redovito ažuriranim znanstvenim informacijama o okolišu, koja će biti lako dostupna i transparentna za sve građane. Ova internetska stranica/platforma bit će povezana s forumom na kojem građani i stručnjaci mogu komunicirati. Također preporučujemo pokretanje medijske kampanje za promicanje ove internetske stranice/platforme (npr. putem društvenih medija kao što su YouTube, TikTok i LinkedIn). </w:t>
      </w:r>
    </w:p>
    <w:p>
      <w:pPr>
        <w:pStyle w:val="Normal"/>
        <w:rPr/>
      </w:pPr>
      <w:r>
        <w:rPr/>
        <w:t xml:space="preserve"> </w:t>
      </w:r>
    </w:p>
    <w:p>
      <w:pPr>
        <w:pStyle w:val="Normal"/>
        <w:rPr/>
      </w:pPr>
      <w:r>
        <w:rPr/>
        <w:t xml:space="preserve">Svi građani moraju imati neovisne izvore informacija, koji se temelje na znanstvenim dokazima, kako bi razumjeli izazove povezane s klimatskim promjenama (njihove posljedice i mjere koje treba poduzeti za njihovo poništavanje) te kako bi se nosili s lažnim vijestima. Medijskom kampanjom podići će se svijest o postojanju ove platforme/internetske stranice. Također je važno da informacije koje pružaju internetske stranice/platforme budu razumljive svim građanima, uz pristup izvornom materijalu za one koji žele produbiti tu temu. </w:t>
      </w:r>
    </w:p>
    <w:p>
      <w:pPr>
        <w:pStyle w:val="Normal"/>
        <w:rPr/>
      </w:pPr>
      <w:r>
        <w:rPr/>
        <w:t xml:space="preserve"> </w:t>
      </w:r>
    </w:p>
    <w:p>
      <w:pPr>
        <w:pStyle w:val="P68B1DB1Normal15"/>
        <w:rPr>
          <w:b/>
          <w:b/>
        </w:rPr>
      </w:pPr>
      <w:r>
        <w:rPr/>
        <w:t xml:space="preserve">34. Preporučujemo da EU smanji količinu uvezene robe koja ne ispunjava standarde EU-a o ekološkom otisku. </w:t>
      </w:r>
    </w:p>
    <w:p>
      <w:pPr>
        <w:pStyle w:val="Normal"/>
        <w:rPr/>
      </w:pPr>
      <w:r>
        <w:rPr/>
        <w:t xml:space="preserve"> </w:t>
      </w:r>
    </w:p>
    <w:p>
      <w:pPr>
        <w:pStyle w:val="Normal"/>
        <w:rPr/>
      </w:pPr>
      <w:r>
        <w:rPr/>
        <w:t xml:space="preserve">Time osiguravamo da roba uvezena u EU ima zeleniji otisak. Cilj je smanjiti zagađenje na globalnoj razini. Također je važno predstaviti standarde zemljama ako žele izvoziti robu u EU. </w:t>
      </w:r>
    </w:p>
    <w:p>
      <w:pPr>
        <w:pStyle w:val="Normal"/>
        <w:rPr/>
      </w:pPr>
      <w:r>
        <w:rPr/>
        <w:t xml:space="preserve"> </w:t>
      </w:r>
    </w:p>
    <w:p>
      <w:pPr>
        <w:pStyle w:val="P68B1DB1Normal15"/>
        <w:rPr>
          <w:b/>
          <w:b/>
        </w:rPr>
      </w:pPr>
      <w:r>
        <w:rPr/>
        <w:t xml:space="preserve">35. Preporučujemo da EU potiče, promiče i olakšava dijalog o klimatskim promjenama među svim razinama donošenja odluka, od vrlo lokalnih (građana) do globalnih (nacionalnih, međunarodnih i interkontinentalnih) kako bi se riješili problemi svih dionika. </w:t>
      </w:r>
    </w:p>
    <w:p>
      <w:pPr>
        <w:pStyle w:val="Normal"/>
        <w:rPr/>
      </w:pPr>
      <w:r>
        <w:rPr/>
        <w:t xml:space="preserve"> </w:t>
      </w:r>
    </w:p>
    <w:p>
      <w:pPr>
        <w:pStyle w:val="Normal"/>
        <w:rPr/>
      </w:pPr>
      <w:r>
        <w:rPr/>
        <w:t xml:space="preserve">Budući da su dijalog i konsenzus najbolji način za rješavanje izazova povezanih s klimatskim promjenama: ako se stranke međusobno razumiju, postoji veća spremnost za pronalaženje zajedničkog stajališta. </w:t>
      </w:r>
    </w:p>
    <w:p>
      <w:pPr>
        <w:pStyle w:val="Normal"/>
        <w:rPr/>
      </w:pPr>
      <w:r>
        <w:rPr/>
        <w:t xml:space="preserve"> </w:t>
      </w:r>
    </w:p>
    <w:p>
      <w:pPr>
        <w:pStyle w:val="Titre4"/>
        <w:numPr>
          <w:ilvl w:val="3"/>
          <w:numId w:val="2"/>
        </w:numPr>
        <w:rPr/>
      </w:pPr>
      <w:bookmarkStart w:id="170" w:name="__RefHeading___Toc297275_1346298689"/>
      <w:bookmarkEnd w:id="170"/>
      <w:r>
        <w:rPr/>
        <w:t xml:space="preserve">Podos 4.3 Prijevoz prihvatljiv za okoliš </w:t>
      </w:r>
    </w:p>
    <w:p>
      <w:pPr>
        <w:pStyle w:val="Normal"/>
        <w:rPr/>
      </w:pPr>
      <w:r>
        <w:rPr>
          <w:b/>
        </w:rPr>
        <w:t>36. Preporučujemo da EU financijski podupre države članice EU-a u poboljšanju povezivosti u ruralnim područjima. Za to je potreban razvoj europske mreže javnog prijevoza koja se temelji na pristupačnim cijenama (prioritet željeznica) i poticajima za korištenje javnim prijevozom. U tu bi svrhu u ruralnim područjima trebalo razviti i internetsku povezivost u kratkom i realističnom vremenskom okviru.</w:t>
      </w:r>
      <w:r>
        <w:rPr/>
        <w:t xml:space="preserve"> </w:t>
      </w:r>
    </w:p>
    <w:p>
      <w:pPr>
        <w:pStyle w:val="Normal"/>
        <w:rPr/>
      </w:pPr>
      <w:r>
        <w:rPr/>
        <w:t xml:space="preserve"> </w:t>
      </w:r>
    </w:p>
    <w:p>
      <w:pPr>
        <w:pStyle w:val="Normal"/>
        <w:rPr/>
      </w:pPr>
      <w:r>
        <w:rPr/>
        <w:t xml:space="preserve">Dajemo tu preporuku jer ne postoji jednak pristup javnom prijevozu i internetskoj povezivosti između ruralnih i urbanih područja. Ojačao bi se zajednički europski projekt jer bi svi građani osjećali da imaju ista prava. Jačanje mreže javnog prijevoza i internetske povezivosti potaknulo bi ljude da se nastane u ruralnim područjima. Tim bi se procesom smanjilo zagađenje jer bi manje ljudi živjelo u prenapučenim gradovima. </w:t>
      </w:r>
    </w:p>
    <w:p>
      <w:pPr>
        <w:pStyle w:val="Normal"/>
        <w:rPr/>
      </w:pPr>
      <w:r>
        <w:rPr/>
        <w:t xml:space="preserve"> </w:t>
      </w:r>
    </w:p>
    <w:p>
      <w:pPr>
        <w:pStyle w:val="P68B1DB1Normal15"/>
        <w:rPr>
          <w:b/>
          <w:b/>
        </w:rPr>
      </w:pPr>
      <w:r>
        <w:rPr/>
        <w:t xml:space="preserve">37. Preporučujemo poboljšanje postojeće prometne infrastrukture koja nije iskorištena ili se može dodatno poboljšati s ekološkog stajališta (uspostava električnih vlakova). Taj se postupak mora provoditi ne dovodeći u pitanje ekološki zaštićena područja. </w:t>
      </w:r>
    </w:p>
    <w:p>
      <w:pPr>
        <w:pStyle w:val="Normal"/>
        <w:rPr/>
      </w:pPr>
      <w:r>
        <w:rPr/>
        <w:t xml:space="preserve"> </w:t>
      </w:r>
    </w:p>
    <w:p>
      <w:pPr>
        <w:pStyle w:val="Normal"/>
        <w:rPr/>
      </w:pPr>
      <w:r>
        <w:rPr/>
        <w:t>Poboljšanjem postojeće infrastrukture izbjeglo bi se trošenje previše resursa i naštetilo važnim zaštićenim područjima za očuvanje biološke raznolikosti. Povećanjem željezničke infrastrukture smanjile bi se emisije CO2 i</w:t>
      </w:r>
      <w:r>
        <w:rPr>
          <w:vertAlign w:val="subscript"/>
        </w:rPr>
        <w:t>promicala</w:t>
      </w:r>
      <w:r>
        <w:rPr/>
        <w:t xml:space="preserve"> mobilnost ljudi iz urbanih u ruralna područja. </w:t>
      </w:r>
    </w:p>
    <w:p>
      <w:pPr>
        <w:pStyle w:val="Normal"/>
        <w:rPr/>
      </w:pPr>
      <w:r>
        <w:rPr/>
        <w:t xml:space="preserve"> </w:t>
      </w:r>
    </w:p>
    <w:p>
      <w:pPr>
        <w:pStyle w:val="P68B1DB1Normal15"/>
        <w:rPr>
          <w:b/>
          <w:b/>
        </w:rPr>
      </w:pPr>
      <w:r>
        <w:rPr/>
        <w:t xml:space="preserve">38. Preporučujemo da EU potiče kupnju električnih vozila koja zadovoljavaju dobre standarde životnog vijeka baterija. U tu svrhu EU bi mogao poduzeti poticaje za sve države članice i poboljšati elektroenergetsku infrastrukturu. EU bi istodobno trebao ulagati u razvoj drugih čistih tehnologija, kao što su biogoriva i vodik za vozila čija je elektrifikacija teško postići, kao što su brodovi i kamioni. </w:t>
      </w:r>
    </w:p>
    <w:p>
      <w:pPr>
        <w:pStyle w:val="Normal"/>
        <w:rPr/>
      </w:pPr>
      <w:r>
        <w:rPr/>
        <w:t xml:space="preserve"> </w:t>
      </w:r>
    </w:p>
    <w:p>
      <w:pPr>
        <w:pStyle w:val="Normal"/>
        <w:rPr/>
      </w:pPr>
      <w:r>
        <w:rPr/>
        <w:t xml:space="preserve">Dajemo ovu preporuku jer je električna energija najbrži način za smanjenje emisija vozila, s drugim izvorima energije kao što su vodik i biogoriva. Najbrže, ekonomično i izvedivo rješenje je električna energija, nakon čega slijede biogoriva. Dugoročno gledano, zeleni vodik trebao bi imati komplementarnu ulogu u obuhvaćanju načina prijevoza koji se ne mogu elektrificirati. </w:t>
      </w:r>
    </w:p>
    <w:p>
      <w:pPr>
        <w:pStyle w:val="Normal"/>
        <w:rPr/>
      </w:pPr>
      <w:r>
        <w:rPr/>
        <w:t xml:space="preserve"> </w:t>
      </w:r>
    </w:p>
    <w:p>
      <w:pPr>
        <w:pStyle w:val="Titre3"/>
        <w:numPr>
          <w:ilvl w:val="2"/>
          <w:numId w:val="2"/>
        </w:numPr>
        <w:rPr/>
      </w:pPr>
      <w:bookmarkStart w:id="171" w:name="__RefHeading___Toc297277_1346298689"/>
      <w:bookmarkEnd w:id="171"/>
      <w:r>
        <w:rPr/>
        <w:t xml:space="preserve">OS 5 Njega za sve </w:t>
      </w:r>
    </w:p>
    <w:p>
      <w:pPr>
        <w:pStyle w:val="Titre4"/>
        <w:numPr>
          <w:ilvl w:val="3"/>
          <w:numId w:val="2"/>
        </w:numPr>
        <w:rPr/>
      </w:pPr>
      <w:bookmarkStart w:id="172" w:name="__RefHeading___Toc297279_1346298689"/>
      <w:bookmarkEnd w:id="172"/>
      <w:r>
        <w:rPr/>
        <w:t xml:space="preserve">Podos 5.1 Jačanje zdravstvenog sustava </w:t>
      </w:r>
    </w:p>
    <w:p>
      <w:pPr>
        <w:pStyle w:val="P68B1DB1Normal15"/>
        <w:rPr>
          <w:b/>
          <w:b/>
        </w:rPr>
      </w:pPr>
      <w:r>
        <w:rPr/>
        <w:t xml:space="preserve">39. Preporučujemo da Europska unija zajamči zajedničke zdravstvene standarde, ali i da se zalaže za pristojne minimalne plaće, maksimalno radno vrijeme i iste standarde osposobljavanja za iste kvalifikacije za zdravstvene djelatnike diljem Europske unije. </w:t>
      </w:r>
    </w:p>
    <w:p>
      <w:pPr>
        <w:pStyle w:val="Normal"/>
        <w:rPr/>
      </w:pPr>
      <w:r>
        <w:rPr/>
        <w:t xml:space="preserve"> </w:t>
      </w:r>
    </w:p>
    <w:p>
      <w:pPr>
        <w:pStyle w:val="Normal"/>
        <w:rPr/>
      </w:pPr>
      <w:r>
        <w:rPr/>
        <w:t xml:space="preserve">Ako nemamo zajedničke standarde zdravstvene skrbi, plaća i zajedničkog osposobljavanja zdravstvenih djelatnika, razlike među državama članicama mogle bi dovesti do neuravnoteženih situacija diljem Europske unije. Standardizacija zdravstvene skrbi mogla bi doprinijeti snažnijem, učinkovitijem i otpornijem sustavu (npr. kriza uzrokovana bolešću COVID-19 u pogledu stabilnosti naših sustava). Time bi se također olakšala razmjena znanja i informacija u sektoru zdravstvenih djelatnika. </w:t>
      </w:r>
    </w:p>
    <w:p>
      <w:pPr>
        <w:pStyle w:val="Normal"/>
        <w:rPr/>
      </w:pPr>
      <w:r>
        <w:rPr/>
        <w:t xml:space="preserve"> </w:t>
      </w:r>
    </w:p>
    <w:p>
      <w:pPr>
        <w:pStyle w:val="P68B1DB1Normal15"/>
        <w:rPr>
          <w:b/>
          <w:b/>
        </w:rPr>
      </w:pPr>
      <w:r>
        <w:rPr/>
        <w:t xml:space="preserve">40. Preporučujemo da Europska unija osigura jednaku kvalitetu liječenja diljem EU-a uz poštene lokalne troškove. To bi se moglo osigurati, na primjer, proširenjem nadležnosti Europske agencije za lijekove (EMA) ili osnivanjem nove europske agencije za javnu nabavu koja bi bila nadležna za pregovaranje i dobivanje prikladnijih cijena lijekova za sve države članice. Rizik od monopola u farmaceutskoj industriji mora se svesti na najmanju moguću mjeru. </w:t>
      </w:r>
    </w:p>
    <w:p>
      <w:pPr>
        <w:pStyle w:val="Normal"/>
        <w:rPr/>
      </w:pPr>
      <w:r>
        <w:rPr/>
        <w:t xml:space="preserve"> </w:t>
      </w:r>
    </w:p>
    <w:p>
      <w:pPr>
        <w:pStyle w:val="Normal"/>
        <w:rPr/>
      </w:pPr>
      <w:r>
        <w:rPr/>
        <w:t xml:space="preserve">Jednakost zdravstvenih odredbi i liječenja u EU-u jamči jednaka zdravstvena prava za sve europske građane. Povećani kupovni kapacitet osigurava bolje uvjete nabave. Međutim, to ne bi trebalo dovesti do monopolskih struktura i farmaceutskog lobiranja. Upravljanje krizom uzrokovanom bolešću COVID-19 dobar je primjer suradničkog upravljanja zdravstvom Europske unije u cjelini. </w:t>
      </w:r>
    </w:p>
    <w:p>
      <w:pPr>
        <w:pStyle w:val="Normal"/>
        <w:rPr/>
      </w:pPr>
      <w:r>
        <w:rPr/>
        <w:t xml:space="preserve"> </w:t>
      </w:r>
    </w:p>
    <w:p>
      <w:pPr>
        <w:pStyle w:val="P68B1DB1Normal15"/>
        <w:rPr>
          <w:b/>
          <w:b/>
        </w:rPr>
      </w:pPr>
      <w:r>
        <w:rPr/>
        <w:t xml:space="preserve">41. Preporučujemo stvaranje europske baze podataka o zdravstvenoj zaštiti u kojoj bi zdravstveni kartoni bili dostupni u hitnim slučajevima ili bolesti. Sudjelovanje bi trebalo biti neobavezno i trebalo bi osigurati zaštitu osobnih podataka. </w:t>
      </w:r>
    </w:p>
    <w:p>
      <w:pPr>
        <w:pStyle w:val="Normal"/>
        <w:rPr/>
      </w:pPr>
      <w:r>
        <w:rPr/>
        <w:t xml:space="preserve"> </w:t>
      </w:r>
    </w:p>
    <w:p>
      <w:pPr>
        <w:pStyle w:val="Normal"/>
        <w:rPr/>
      </w:pPr>
      <w:r>
        <w:rPr/>
        <w:t xml:space="preserve">Pristup podacima i upotreba podataka omogućuju brzu reakciju u slučajevima u kojima je život ugrožen. Piratstvo ili zlouporaba velike su prijetnje takvom europskom sustavu zdravstvene baze podataka, stoga je potrebno osigurati podatke, a sudjelovanje je i dalje neobvezno te, naravno, spriječiti prijetnje povezane sa sigurnošću. </w:t>
      </w:r>
    </w:p>
    <w:p>
      <w:pPr>
        <w:pStyle w:val="Normal"/>
        <w:rPr/>
      </w:pPr>
      <w:r>
        <w:rPr/>
        <w:t xml:space="preserve"> </w:t>
      </w:r>
    </w:p>
    <w:p>
      <w:pPr>
        <w:pStyle w:val="P68B1DB1Normal15"/>
        <w:rPr>
          <w:b/>
          <w:b/>
        </w:rPr>
      </w:pPr>
      <w:r>
        <w:rPr/>
        <w:t xml:space="preserve">42. Preporučujemo da Europska unija nastavi razvijati i sinkronizirati postojeće istraživačke i inovacijske programe u području zdravstva, kao što je slučaj u okviru postojećeg programa Obzor Europa. Rezultati studija trebali bi biti slobodno dostupni u svim državama članicama. </w:t>
      </w:r>
    </w:p>
    <w:p>
      <w:pPr>
        <w:pStyle w:val="Normal"/>
        <w:rPr/>
      </w:pPr>
      <w:r>
        <w:rPr/>
        <w:t xml:space="preserve"> </w:t>
      </w:r>
    </w:p>
    <w:p>
      <w:pPr>
        <w:pStyle w:val="Normal"/>
        <w:rPr/>
      </w:pPr>
      <w:r>
        <w:rPr/>
        <w:t xml:space="preserve">Znanstvena suradnja na razini EU-a mogla bi obogatiti znanstvene kapacitete i znanje pojedinačnih istraživača. Razmjena znanja mogla bi, primjerice, dovesti do rane dijagnoze i boljeg liječenja kako bi se smanjile ozbiljne i smrtonosne bolesti diljem Europe. Njime bi se promicala i europska samodostatnost u području lijekova i opreme. </w:t>
      </w:r>
    </w:p>
    <w:p>
      <w:pPr>
        <w:pStyle w:val="Normal"/>
        <w:rPr/>
      </w:pPr>
      <w:r>
        <w:rPr/>
        <w:t xml:space="preserve"> </w:t>
      </w:r>
    </w:p>
    <w:p>
      <w:pPr>
        <w:pStyle w:val="P68B1DB1Normal15"/>
        <w:rPr>
          <w:b/>
          <w:b/>
        </w:rPr>
      </w:pPr>
      <w:r>
        <w:rPr/>
        <w:t xml:space="preserve">43. Preporučujemo da EU poveća svoj proračun za zajedničke zdravstvene istraživačke i inovacijske projekte (bez proračunskih rezova u drugim programima EU-a povezanima sa zdravljem). Time bi se ojačale i europske znanstvene i istraživačke institucije u cjelini. </w:t>
      </w:r>
    </w:p>
    <w:p>
      <w:pPr>
        <w:pStyle w:val="Normal"/>
        <w:rPr/>
      </w:pPr>
      <w:r>
        <w:rPr/>
        <w:t xml:space="preserve"> </w:t>
      </w:r>
    </w:p>
    <w:p>
      <w:pPr>
        <w:pStyle w:val="Normal"/>
        <w:rPr/>
      </w:pPr>
      <w:r>
        <w:rPr/>
        <w:t xml:space="preserve">Istraživanje i ulaganja u području zdravstva dugoročno će ojačati preventivnu medicinu i smanjiti troškove povezane sa zdravljem. Povećanim financiranjem mogao bi se spriječiti odljev europskih mozgova u druge razvijene zemlje s većim proračunima za istraživanje i razvoj u području zdravstva. Ta sredstva ne bi trebala dolaziti iz postojećih financijskih sredstava za zdravstvenu skrb. </w:t>
      </w:r>
    </w:p>
    <w:p>
      <w:pPr>
        <w:pStyle w:val="Normal"/>
        <w:rPr/>
      </w:pPr>
      <w:r>
        <w:rPr/>
        <w:t xml:space="preserve"> </w:t>
      </w:r>
    </w:p>
    <w:p>
      <w:pPr>
        <w:pStyle w:val="Titre4"/>
        <w:numPr>
          <w:ilvl w:val="3"/>
          <w:numId w:val="2"/>
        </w:numPr>
        <w:rPr/>
      </w:pPr>
      <w:bookmarkStart w:id="173" w:name="__RefHeading___Toc297281_1346298689"/>
      <w:bookmarkEnd w:id="173"/>
      <w:r>
        <w:rPr/>
        <w:t xml:space="preserve">Podos 5.2. Širi pogled na zdravlje </w:t>
      </w:r>
    </w:p>
    <w:p>
      <w:pPr>
        <w:pStyle w:val="P68B1DB1Normal15"/>
        <w:rPr>
          <w:b/>
          <w:b/>
        </w:rPr>
      </w:pPr>
      <w:r>
        <w:rPr/>
        <w:t xml:space="preserve">44. Preporučujemo uspostavu Tjedna zdravlja kao inicijative EU-a u svim državama članicama, istog tjedna, posvećenog svim zdravstvenim pitanjima, s naglaskom na mentalnom zdravlju. Tijekom ovog tjedna, sve glavne teme mentalnog zdravlja bit će pokrivene i promovirane kolektivno, kao i druge već postojeće inicijative, kao što su inicijative Mental Health Europe. </w:t>
      </w:r>
    </w:p>
    <w:p>
      <w:pPr>
        <w:pStyle w:val="Normal"/>
        <w:rPr/>
      </w:pPr>
      <w:r>
        <w:rPr/>
        <w:t xml:space="preserve"> </w:t>
      </w:r>
    </w:p>
    <w:p>
      <w:pPr>
        <w:pStyle w:val="Normal"/>
        <w:rPr/>
      </w:pPr>
      <w:r>
        <w:rPr/>
        <w:t xml:space="preserve">Dajemo tu preporuku jer se svi europski građani moraju osjećati prihvaćenima i uključenima, posebno ako pate od problema s mentalnim zdravljem. Osim toga, potrebno je standardizirati i poboljšati svijest o problemima mentalnog zdravlja, kao i spriječiti povezane socijalne probleme kao što je diskriminacija. Nadalje, s obzirom na to da su se problemi s mentalnim zdravljem povećali zbog pandemije i da će se vjerojatno nastaviti, ta je inicijativa još važnija. </w:t>
      </w:r>
    </w:p>
    <w:p>
      <w:pPr>
        <w:pStyle w:val="Normal"/>
        <w:rPr/>
      </w:pPr>
      <w:r>
        <w:rPr/>
        <w:t xml:space="preserve"> </w:t>
      </w:r>
    </w:p>
    <w:p>
      <w:pPr>
        <w:pStyle w:val="P68B1DB1Normal15"/>
        <w:rPr>
          <w:b/>
          <w:b/>
        </w:rPr>
      </w:pPr>
      <w:r>
        <w:rPr/>
        <w:t xml:space="preserve">45. Preporučujemo da se ženski higijenski proizvodi prestanu smatrati luksuznom robom u smislu oporezivanja, budući da su ključni proizvodi. Također preporučujemo da se hormonski kontraceptivi koji se koriste iz medicinskih razloga, kao što su fibromijalgija i endometrioza, oporezuju kao redovito liječenje. Također preporučujemo da Europska unija potiče usklađivanje medicinski potpomognutog reproduktivnog liječenja za sve žene (jednokrevetne ili vjenčane) u svim državama članicama. </w:t>
      </w:r>
    </w:p>
    <w:p>
      <w:pPr>
        <w:pStyle w:val="Normal"/>
        <w:rPr/>
      </w:pPr>
      <w:r>
        <w:rPr/>
        <w:t xml:space="preserve"> </w:t>
      </w:r>
    </w:p>
    <w:p>
      <w:pPr>
        <w:pStyle w:val="Normal"/>
        <w:rPr/>
      </w:pPr>
      <w:r>
        <w:rPr/>
        <w:t xml:space="preserve">U nekim se europskim zemljama higijenski proizvodi žena oporezuju kao luksuzna roba, što je nepošteno. Neki hormonski kontraceptivi koriste se u medicinske svrhe i stoga ih treba oporezivati u skladu s tim. Budući da reproduktivni tretmani za žene, kao što su oplodnja in vitro i metode zamrzavanja jaja, imaju različite uvjete prihvatljivosti u državama članicama te ih Europska unija mora nastojati uskladiti. </w:t>
      </w:r>
    </w:p>
    <w:p>
      <w:pPr>
        <w:pStyle w:val="Normal"/>
        <w:rPr/>
      </w:pPr>
      <w:r>
        <w:rPr/>
        <w:t xml:space="preserve"> </w:t>
      </w:r>
    </w:p>
    <w:p>
      <w:pPr>
        <w:pStyle w:val="P68B1DB1Normal15"/>
        <w:rPr>
          <w:b/>
          <w:b/>
        </w:rPr>
      </w:pPr>
      <w:r>
        <w:rPr/>
        <w:t xml:space="preserve">46. Preporučujemo da Europska unija zauzme čvrsto stajalište kako bi potaknula sve države članice da u svoje školske kurikulume prema potrebi uključe pitanja povezana s mentalnim zdravljem i spolnim odgojem. Kako bi se državama članicama pomoglo u usvajanju tih pitanja u školskim kurikulumima, Europska unija trebala bi razviti i staviti na raspolaganje standardni program o mentalnom zdravlju i seksualnim pitanjima. </w:t>
      </w:r>
    </w:p>
    <w:p>
      <w:pPr>
        <w:pStyle w:val="Normal"/>
        <w:rPr/>
      </w:pPr>
      <w:r>
        <w:rPr/>
        <w:t xml:space="preserve"> </w:t>
      </w:r>
    </w:p>
    <w:p>
      <w:pPr>
        <w:pStyle w:val="Normal"/>
        <w:rPr/>
      </w:pPr>
      <w:r>
        <w:rPr/>
        <w:t xml:space="preserve">Potrebno je smanjiti diskriminaciju i tabue s obzirom na probleme s mentalnim zdravljem. Također se moraju izbjegavati dezinformacije i neznanstveni pristupi. Osim toga, spolni odgoj je od temeljne važnosti za zdrav život i zajednicu te sprječava probleme kao što su tinejdžerske trudnoće. </w:t>
      </w:r>
    </w:p>
    <w:p>
      <w:pPr>
        <w:pStyle w:val="Normal"/>
        <w:rPr/>
      </w:pPr>
      <w:r>
        <w:rPr/>
        <w:t xml:space="preserve"> </w:t>
      </w:r>
    </w:p>
    <w:p>
      <w:pPr>
        <w:pStyle w:val="P68B1DB1Normal15"/>
        <w:rPr>
          <w:b/>
          <w:b/>
        </w:rPr>
      </w:pPr>
      <w:r>
        <w:rPr/>
        <w:t xml:space="preserve">47. Preporučujemo da Europska unija razvije bolji komunikacijski sustav za sve svoje inicijative za mentalno zdravlje, odnosno portal za javno zdravlje o najboljim praksama, unutar država članica i za sve građane. Zastupnici bi mogli predstaviti te najbolje prakse jedni drugima kako bi ih bolje upoznali u svim državama članicama. </w:t>
      </w:r>
    </w:p>
    <w:p>
      <w:pPr>
        <w:pStyle w:val="Normal"/>
        <w:rPr/>
      </w:pPr>
      <w:r>
        <w:rPr/>
        <w:t xml:space="preserve"> </w:t>
      </w:r>
    </w:p>
    <w:p>
      <w:pPr>
        <w:pStyle w:val="Normal"/>
        <w:rPr/>
      </w:pPr>
      <w:r>
        <w:rPr/>
        <w:t xml:space="preserve">Građani nisu dobro informirani o inicijativama EU-a, a razmjena najboljih praksi omogućuje nam da učimo jedni od drugih. </w:t>
      </w:r>
    </w:p>
    <w:p>
      <w:pPr>
        <w:pStyle w:val="Normal"/>
        <w:rPr/>
      </w:pPr>
      <w:r>
        <w:rPr/>
        <w:t xml:space="preserve"> </w:t>
      </w:r>
    </w:p>
    <w:p>
      <w:pPr>
        <w:pStyle w:val="Titre4"/>
        <w:numPr>
          <w:ilvl w:val="3"/>
          <w:numId w:val="2"/>
        </w:numPr>
        <w:rPr/>
      </w:pPr>
      <w:bookmarkStart w:id="174" w:name="__RefHeading___Toc297283_1346298689"/>
      <w:bookmarkEnd w:id="174"/>
      <w:r>
        <w:rPr/>
        <w:t xml:space="preserve">Podosi 5.3 Jednak pristup zdravstvenoj skrbi za sve </w:t>
      </w:r>
    </w:p>
    <w:p>
      <w:pPr>
        <w:pStyle w:val="P68B1DB1Normal15"/>
        <w:rPr>
          <w:b/>
          <w:b/>
        </w:rPr>
      </w:pPr>
      <w:r>
        <w:rPr/>
        <w:t xml:space="preserve">48. Preporučujemo da EU uspostavi i promiče minimalne standarde kvalitetne stomatološke skrbi, uključujući profilaksu, za sve države članice EU-a. Djeci, skupinama s niskim dohotkom i drugim ranjivim skupinama trebalo bi pružiti besplatnu stomatološku skrb. U roku od 15 do 20 godina EU bi trebao osigurati dostupnost stomatološke skrbi svima po pristupačnim cijenama. </w:t>
      </w:r>
    </w:p>
    <w:p>
      <w:pPr>
        <w:pStyle w:val="Normal"/>
        <w:rPr/>
      </w:pPr>
      <w:r>
        <w:rPr/>
        <w:t xml:space="preserve"> </w:t>
      </w:r>
    </w:p>
    <w:p>
      <w:pPr>
        <w:pStyle w:val="Normal"/>
        <w:rPr/>
      </w:pPr>
      <w:r>
        <w:rPr/>
        <w:t xml:space="preserve">Dajemo tu preporuku jer stomatološka skrb trenutačno nije pristupačna za mnoge osobe koje žive u EU-u. Nedostatak stomatološke skrbi i dentalne profilakse štetan je za njihovo zdravlje i životne izglede. EU bi trebao započeti utvrđivanjem minimalnog standarda za stomatološko liječenje i zahtijevati besplatnu stomatološkom skrbi za djecu i skupine s niskim dohotkom. Na kraju, svatko bi trebao imati pravo na kvalitetnu stomatološku njegu. </w:t>
      </w:r>
    </w:p>
    <w:p>
      <w:pPr>
        <w:pStyle w:val="Normal"/>
        <w:rPr/>
      </w:pPr>
      <w:r>
        <w:rPr/>
        <w:t xml:space="preserve"> </w:t>
      </w:r>
    </w:p>
    <w:p>
      <w:pPr>
        <w:pStyle w:val="P68B1DB1Normal15"/>
        <w:rPr>
          <w:b/>
          <w:b/>
        </w:rPr>
      </w:pPr>
      <w:r>
        <w:rPr/>
        <w:t xml:space="preserve">49. Preporučujemo da se zdravlje i zdravstvena skrb uključe u nadležnosti koje dijele EU i njegove države članice. Kako bi se uključila ta nova podijeljena nadležnost, potrebno je izmijeniti članak 4. Ugovora o funkcioniranju Europske unije (UFEU). </w:t>
      </w:r>
    </w:p>
    <w:p>
      <w:pPr>
        <w:pStyle w:val="Normal"/>
        <w:rPr/>
      </w:pPr>
      <w:r>
        <w:rPr/>
        <w:t xml:space="preserve"> </w:t>
      </w:r>
    </w:p>
    <w:p>
      <w:pPr>
        <w:pStyle w:val="Normal"/>
        <w:rPr/>
      </w:pPr>
      <w:r>
        <w:rPr/>
        <w:t xml:space="preserve">Dajemo tu preporuku jer Europska unija trenutačno nema dovoljno ovlasti za donošenje zakona u području zdravstvene skrbi. Pandemija bolesti COVID-19 ukazala je na potrebu za većom prisutnošću EU-a u zdravstvenim politikama. Ovom izmjenom Ugovora EU-u će se omogućiti da učini više kako bi osigurala zdravstvenu skrb za sve građane EU-a i donijela obvezujuće propise i odluke. </w:t>
      </w:r>
    </w:p>
    <w:p>
      <w:pPr>
        <w:pStyle w:val="Normal"/>
        <w:rPr/>
      </w:pPr>
      <w:r>
        <w:rPr/>
        <w:t xml:space="preserve"> </w:t>
      </w:r>
    </w:p>
    <w:p>
      <w:pPr>
        <w:pStyle w:val="P68B1DB1Normal15"/>
        <w:rPr>
          <w:b/>
          <w:b/>
        </w:rPr>
      </w:pPr>
      <w:r>
        <w:rPr/>
        <w:t xml:space="preserve">50. Preporučujemo da EU svim građanima EU-a ponudi besplatne tečajeve prve pomoći. EU bi mogao razmotriti mogućnost da ti tečajevi budu obvezni za studente i na radnom mjestu (u javnom i privatnom sektoru). Ti tečajevi također moraju biti praktični, ponavljajući i prilagođeni dobi učenika. Minimalni broj defibrilatora trebao bi biti dostupan i na javnim mjestima u svim državama članicama EU-a. </w:t>
      </w:r>
    </w:p>
    <w:p>
      <w:pPr>
        <w:pStyle w:val="Normal"/>
        <w:rPr/>
      </w:pPr>
      <w:r>
        <w:rPr/>
        <w:t xml:space="preserve"> </w:t>
      </w:r>
    </w:p>
    <w:p>
      <w:pPr>
        <w:pStyle w:val="Normal"/>
        <w:rPr/>
      </w:pPr>
      <w:r>
        <w:rPr/>
        <w:t xml:space="preserve">Preporučujemo ga jer mnogi ljudi u Europskoj uniji nisu spremni djelovati kada osoba treba pomoć i jer ne poznaju tehnike prve pomoći. Zato su mnogi životi izgubljeni. Na nekim javnim mjestima nema defibrilatora. </w:t>
      </w:r>
    </w:p>
    <w:p>
      <w:pPr>
        <w:pStyle w:val="Normal"/>
        <w:rPr/>
      </w:pPr>
      <w:r>
        <w:rPr/>
        <w:t xml:space="preserve"> </w:t>
      </w:r>
    </w:p>
    <w:p>
      <w:pPr>
        <w:pStyle w:val="P68B1DB1Normal15"/>
        <w:rPr>
          <w:b/>
          <w:b/>
        </w:rPr>
      </w:pPr>
      <w:r>
        <w:rPr/>
        <w:t xml:space="preserve">51. Preporučujemo da Europska unija osigura da privatni pružatelji zdravstvene zaštite ne ostvaruju nepoštene koristi od javnih sredstava i da se ne koriste resursima sustava javnog zdravstva. Europska unija trebala bi državama članicama dati čvrste preporuke za povećanje sredstava za javno zdravstvo. </w:t>
      </w:r>
    </w:p>
    <w:p>
      <w:pPr>
        <w:pStyle w:val="Normal"/>
        <w:rPr/>
      </w:pPr>
      <w:r>
        <w:rPr/>
        <w:t xml:space="preserve"> </w:t>
      </w:r>
    </w:p>
    <w:p>
      <w:pPr>
        <w:pStyle w:val="Normal"/>
        <w:rPr/>
      </w:pPr>
      <w:r>
        <w:rPr/>
        <w:t xml:space="preserve">Dajemo tu preporuku jer Europska unija i njezine države članice imaju obvezu osigurati pristup zdravstvenoj skrbi za sve svoje građane. Osim toga, za snažniji sustav javnog zdravstva potrebna je i bolja pripravnost za buduće pandemije. </w:t>
      </w:r>
    </w:p>
    <w:p>
      <w:pPr>
        <w:pStyle w:val="Normal"/>
        <w:rPr/>
      </w:pPr>
      <w:r>
        <w:rPr/>
        <w:t xml:space="preserve"> </w:t>
      </w:r>
    </w:p>
    <w:p>
      <w:pPr>
        <w:pStyle w:val="Titre3"/>
        <w:numPr>
          <w:ilvl w:val="2"/>
          <w:numId w:val="2"/>
        </w:numPr>
        <w:rPr/>
      </w:pPr>
      <w:bookmarkStart w:id="175" w:name="__RefHeading___Toc297285_1346298689"/>
      <w:bookmarkEnd w:id="175"/>
      <w:r>
        <w:rPr/>
        <w:t xml:space="preserve">Prilog: OSTALE PREPORUKE KOJE JE RAZMOTRILO POVJERENSTVO KOJE NISU DONESENE </w:t>
      </w:r>
    </w:p>
    <w:p>
      <w:pPr>
        <w:pStyle w:val="Titre4"/>
        <w:numPr>
          <w:ilvl w:val="3"/>
          <w:numId w:val="2"/>
        </w:numPr>
        <w:rPr/>
      </w:pPr>
      <w:bookmarkStart w:id="176" w:name="__RefHeading___Toc297287_1346298689"/>
      <w:bookmarkEnd w:id="176"/>
      <w:r>
        <w:rPr/>
        <w:t xml:space="preserve">Os 1: Bolji načini života </w:t>
      </w:r>
    </w:p>
    <w:p>
      <w:pPr>
        <w:pStyle w:val="Normal"/>
        <w:rPr/>
      </w:pPr>
      <w:r>
        <w:rPr/>
        <w:t xml:space="preserve">Podos 1.1 Zdravi način života </w:t>
      </w:r>
    </w:p>
    <w:p>
      <w:pPr>
        <w:pStyle w:val="P68B1DB1Normal15"/>
        <w:rPr>
          <w:b/>
          <w:b/>
        </w:rPr>
      </w:pPr>
      <w:r>
        <w:rPr/>
        <w:t xml:space="preserve">Preporučujemo da EU svim državama članicama pošalje preporuku o najboljim praksama za zabranu ili ograničavanje oglašavanja alkohola i duhana u svim oblicima medija i za sve dobne skupine, ali s posebnim naglaskom na mladoj publici. EU bi trebao osigurati provedbu zakona kojima se ograničava prodaja tih proizvoda maloljetnicima. Sve države članice trebale bi osigurati provedbu, uz sankcije, zakonskih odredbi o pušenju u javnim prostorima, posebno u školama, te stvoriti prostore rezervirane za pušače. </w:t>
      </w:r>
    </w:p>
    <w:p>
      <w:pPr>
        <w:pStyle w:val="Normal"/>
        <w:rPr/>
      </w:pPr>
      <w:r>
        <w:rPr/>
        <w:t xml:space="preserve"> </w:t>
      </w:r>
    </w:p>
    <w:p>
      <w:pPr>
        <w:pStyle w:val="Normal"/>
        <w:rPr/>
      </w:pPr>
      <w:r>
        <w:rPr/>
        <w:t xml:space="preserve">Način života štetan za zdravlje ne može se pojaviti u oglašavanju i trebao bi biti manje vidljiv u javnom životu. Štoviše, budući da su alkohol i duhan među najkorištenijim štetnim tvarima, ova preporuka će spriječiti njihovu zlouporabu. </w:t>
      </w:r>
    </w:p>
    <w:p>
      <w:pPr>
        <w:pStyle w:val="Normal"/>
        <w:rPr/>
      </w:pPr>
      <w:r>
        <w:rPr/>
        <w:t xml:space="preserve"> </w:t>
      </w:r>
    </w:p>
    <w:p>
      <w:pPr>
        <w:pStyle w:val="P68B1DB1Normal15"/>
        <w:rPr>
          <w:b/>
          <w:b/>
        </w:rPr>
      </w:pPr>
      <w:r>
        <w:rPr/>
        <w:t xml:space="preserve">Preporučujemo da EU potakne države članice da uključe tečajeve u nacionalne školske kurikulume kako bi naučili kuhati na održiv, zdrav i ukusan način. U tu svrhu EU može zdrave vodiče za kuhanje učiniti dostupnima na internetu i u tiskanom obliku. Do mladih bi trebalo doći aktivnim oglašavanjem na tradicionalnim i društvenim medijima. Također bismo trebali educirati roditelje da nauče kako najbolje koristiti hranu za usvajanje zdravog načina života. Potrebno je promicati i obogatiti istraživanja u tom području. </w:t>
      </w:r>
    </w:p>
    <w:p>
      <w:pPr>
        <w:pStyle w:val="Normal"/>
        <w:rPr/>
      </w:pPr>
      <w:r>
        <w:rPr/>
        <w:t xml:space="preserve"> </w:t>
      </w:r>
    </w:p>
    <w:p>
      <w:pPr>
        <w:pStyle w:val="Normal"/>
        <w:rPr/>
      </w:pPr>
      <w:r>
        <w:rPr/>
        <w:t xml:space="preserve">Organiziranje nastave kuhanja i prehrane u školi poboljšalo bi zdravlje mladih i obeshrabrilo konzumaciju brze hrane. Obrazovanje mladih omogućilo bi im da roditeljima objasne što su naučili. Osim toga, educiranje roditelja o zdravom načinu života omogućilo bi im da daju primjer svojoj djeci. </w:t>
      </w:r>
    </w:p>
    <w:p>
      <w:pPr>
        <w:pStyle w:val="Normal"/>
        <w:rPr/>
      </w:pPr>
      <w:r>
        <w:rPr/>
      </w:r>
    </w:p>
    <w:p>
      <w:pPr>
        <w:pStyle w:val="P68B1DB1Normal15"/>
        <w:rPr>
          <w:b/>
          <w:b/>
        </w:rPr>
      </w:pPr>
      <w:r>
        <w:rPr/>
        <w:t xml:space="preserve">Preporučujemo jačanje javne kampanje Europske komisije za zdrav način života, HealthyLifestyle4All i pozitivan učinak društvenih aktivnosti konkretnim primjerima i sveobuhvatnom strategijom. Potrebno je definirati informativne kampanje za dobro strukturirane ciljne skupine i odabrati odgovarajuća sredstva komunikacije za svaku od tih skupina. Osim toga, važno je uspostaviti sustave nagrađivanja i poticaja za promicanje pozitivnog ponašanja. Kampanje trebaju uključivati influencere, slavne osobe ili vlasti. Moraju istaknuti dvojne koristi za zdravlje, okoliš i klimu. Osim toga, u svim državama članicama trebala bi biti dostupna bespovratna sredstva za promicanje besplatne javne sportske infrastrukture. </w:t>
      </w:r>
    </w:p>
    <w:p>
      <w:pPr>
        <w:pStyle w:val="Normal"/>
        <w:rPr/>
      </w:pPr>
      <w:r>
        <w:rPr/>
        <w:t xml:space="preserve"> </w:t>
      </w:r>
    </w:p>
    <w:p>
      <w:pPr>
        <w:pStyle w:val="Normal"/>
        <w:rPr/>
      </w:pPr>
      <w:r>
        <w:rPr/>
        <w:t xml:space="preserve">Zdraviji način života ima pozitivan učinak na zdravstveni sustav jer smanjuje zdravstvene probleme. Fizičko zdravlje utječe na mentalno zdravlje i sreću. Aktualne kampanje nisu dovoljno poznate. Oni su učinkovitiji i motivirajući kada su ličnosti i influenceri povezani s njom. </w:t>
      </w:r>
    </w:p>
    <w:p>
      <w:pPr>
        <w:pStyle w:val="Normal"/>
        <w:rPr/>
      </w:pPr>
      <w:r>
        <w:rPr/>
        <w:t xml:space="preserve"> </w:t>
      </w:r>
    </w:p>
    <w:p>
      <w:pPr>
        <w:pStyle w:val="P68B1DB1Normal15"/>
        <w:rPr>
          <w:b/>
          <w:b/>
        </w:rPr>
      </w:pPr>
      <w:r>
        <w:rPr/>
        <w:t xml:space="preserve">Preporučamo informativnu kampanju o zdravoj prehrani i prehrani. EU bi trebao poticati veće oporezivanje mesa i šećera u državama članicama. Trebala bi ispitati mogućnosti razlikovanja zdrave hrane i štetne hrane te na njih primjenjivati diferencirani PDV. Preporučujemo postavljanje vrlo jasnih signala upozorenja na proizvode koji su vrlo štetni za zdravlje (kao što su duhanski proizvodi). Osim toga, preporučujemo sustav bodovanja hranjivih vrijednosti na europskoj razini koji bi pružao relevantne informacije i QR kôd koji potrošačima omogućuje donošenje informiranijih odluka. Istražiti mogućnosti da zdravu hranu učinimo jeftinijom od junk hrane i dodatno potaknuti poljoprivrednike na proizvodnju zdravih proizvoda. </w:t>
      </w:r>
    </w:p>
    <w:p>
      <w:pPr>
        <w:pStyle w:val="Normal"/>
        <w:rPr/>
      </w:pPr>
      <w:r>
        <w:rPr/>
        <w:t xml:space="preserve"> </w:t>
      </w:r>
    </w:p>
    <w:p>
      <w:pPr>
        <w:pStyle w:val="Normal"/>
        <w:rPr/>
      </w:pPr>
      <w:r>
        <w:rPr/>
        <w:t xml:space="preserve">Zdrava prehrana temelj je zdravog života. Potrebno je intervenirati i na strani proizvođača i na strani potrošača. Proizvodnja zdravih proizvoda također ima pozitivne učinke na okoliš i može pomoći lokalnim poljoprivrednicima. Ako se proizvodnja zdrave hrane poveća, cijene padaju, a potražnja raste. </w:t>
      </w:r>
    </w:p>
    <w:p>
      <w:pPr>
        <w:pStyle w:val="Normal"/>
        <w:rPr/>
      </w:pPr>
      <w:r>
        <w:rPr/>
        <w:t xml:space="preserve"> </w:t>
      </w:r>
    </w:p>
    <w:p>
      <w:pPr>
        <w:pStyle w:val="Normal"/>
        <w:rPr/>
      </w:pPr>
      <w:r>
        <w:rPr/>
        <w:t xml:space="preserve">Podos 1.2. Obrazovanje u području okoliša </w:t>
      </w:r>
    </w:p>
    <w:p>
      <w:pPr>
        <w:pStyle w:val="P68B1DB1Normal15"/>
        <w:rPr>
          <w:b/>
          <w:b/>
        </w:rPr>
      </w:pPr>
      <w:r>
        <w:rPr/>
        <w:t xml:space="preserve">Preporučujemo da EU uspostavi mehanizam financiranja za promicanje uključivanja dugoročnog programa obrazovanja o okolišu u nacionalne obrazovne sustave za djecu u osnovnim i srednjim školama. Taj mehanizam financiranja trebao bi uključivati financiranje roditelja kojima je potrebna financijska pomoć. </w:t>
      </w:r>
    </w:p>
    <w:p>
      <w:pPr>
        <w:pStyle w:val="Normal"/>
        <w:rPr/>
      </w:pPr>
      <w:r>
        <w:rPr/>
        <w:t xml:space="preserve"> </w:t>
      </w:r>
    </w:p>
    <w:p>
      <w:pPr>
        <w:pStyle w:val="Normal"/>
        <w:rPr/>
      </w:pPr>
      <w:r>
        <w:rPr/>
        <w:t xml:space="preserve">Postojeći obrazovni sustavi ne sadrže dovoljno praktičnih elemenata koji olakšavaju izravne i duboke interakcije između djece i okoliša. Postojeći programi, osmišljeni iz kratkoročne perspektive, heterogeni su i ne promiču potrebnu promjenu stava. Roditeljima bi trebalo pružiti potporu kako bi se osiguralo da sva djeca imaju jednaku korist od programa te da nijedno nije isključeno iz financijskih razloga. </w:t>
      </w:r>
    </w:p>
    <w:p>
      <w:pPr>
        <w:pStyle w:val="Normal"/>
        <w:rPr/>
      </w:pPr>
      <w:r>
        <w:rPr/>
        <w:t xml:space="preserve"> </w:t>
      </w:r>
    </w:p>
    <w:p>
      <w:pPr>
        <w:pStyle w:val="Titre4"/>
        <w:numPr>
          <w:ilvl w:val="3"/>
          <w:numId w:val="2"/>
        </w:numPr>
        <w:rPr/>
      </w:pPr>
      <w:bookmarkStart w:id="177" w:name="__RefHeading___Toc297289_1346298689"/>
      <w:bookmarkEnd w:id="177"/>
      <w:r>
        <w:rPr/>
        <w:t xml:space="preserve">Os 2: Zaštita okoliša i zdravlja </w:t>
      </w:r>
    </w:p>
    <w:p>
      <w:pPr>
        <w:pStyle w:val="Normal"/>
        <w:rPr/>
      </w:pPr>
      <w:r>
        <w:rPr/>
        <w:t xml:space="preserve">Podos 2.1 Zdravi prirodni okoliš </w:t>
      </w:r>
    </w:p>
    <w:p>
      <w:pPr>
        <w:pStyle w:val="P68B1DB1Normal15"/>
        <w:rPr>
          <w:b/>
          <w:b/>
        </w:rPr>
      </w:pPr>
      <w:r>
        <w:rPr/>
        <w:t xml:space="preserve">Preporučujemo da se odmah uvede najviši mogući standard kvalitete vode u cijelom EU-u. Za uštedu vode nudimo sustav nagrađivanja koji se temelji na cijeni vode kako bismo potaknuli i potaknuli manju potrošnju, na primjer: 1) stvaranjem dinamičnog sustava koji obeshrabruje potrošače od prekoračenja prosječne potrošnje vode (na primjer, 10 %-tno povećanje potrošnje vode dovodi do povećanja cijene od 11 %), 2) stvaranjem tržišnog sustava za kvote za vodu onečišćene od strane proizvodnih poduzeća, što bi bilo slično tržištu dozvola za ugljik koje su već na snazi. </w:t>
      </w:r>
    </w:p>
    <w:p>
      <w:pPr>
        <w:pStyle w:val="Normal"/>
        <w:rPr/>
      </w:pPr>
      <w:r>
        <w:rPr/>
        <w:t xml:space="preserve"> </w:t>
      </w:r>
    </w:p>
    <w:p>
      <w:pPr>
        <w:pStyle w:val="Normal"/>
        <w:rPr/>
      </w:pPr>
      <w:r>
        <w:rPr/>
        <w:t xml:space="preserve">Ta je preporuka opravdana činjenicom da povećanja cijena potiču sve korisnike da donose informiranije odluke. S obzirom na različite okolnosti u državama članicama EU-a i u cilju postizanja socijalno pravednog sustava, siromašnije ljude možemo podržati u njihovu upravljanju vodama zajedničkim ulaganjem u vodoopskrbnu infrastrukturu i istraživanje. </w:t>
      </w:r>
    </w:p>
    <w:p>
      <w:pPr>
        <w:pStyle w:val="Normal"/>
        <w:rPr/>
      </w:pPr>
      <w:r>
        <w:rPr/>
        <w:t xml:space="preserve"> </w:t>
      </w:r>
    </w:p>
    <w:p>
      <w:pPr>
        <w:pStyle w:val="Titre4"/>
        <w:numPr>
          <w:ilvl w:val="3"/>
          <w:numId w:val="2"/>
        </w:numPr>
        <w:rPr/>
      </w:pPr>
      <w:bookmarkStart w:id="178" w:name="__RefHeading___Toc297291_1346298689"/>
      <w:bookmarkEnd w:id="178"/>
      <w:r>
        <w:rPr/>
        <w:t xml:space="preserve">Os 3: preusmjeravanje našeg gospodarstva i potrošnje </w:t>
      </w:r>
    </w:p>
    <w:p>
      <w:pPr>
        <w:pStyle w:val="Normal"/>
        <w:rPr/>
      </w:pPr>
      <w:r>
        <w:rPr/>
        <w:t xml:space="preserve">Podos 3.1 Regulacija prekomjerne proizvodnje i prekomjerne potrošnje </w:t>
      </w:r>
    </w:p>
    <w:p>
      <w:pPr>
        <w:pStyle w:val="P68B1DB1Normal15"/>
        <w:rPr>
          <w:b/>
          <w:b/>
        </w:rPr>
      </w:pPr>
      <w:r>
        <w:rPr/>
        <w:t xml:space="preserve">Preporučujemo da EU izrekne novčane kazne poduzećima koja eliminiraju neprodane proizvode proizvedene prekomjernom proizvodnjom. </w:t>
      </w:r>
    </w:p>
    <w:p>
      <w:pPr>
        <w:pStyle w:val="Normal"/>
        <w:rPr/>
      </w:pPr>
      <w:r>
        <w:rPr/>
        <w:t xml:space="preserve"> </w:t>
      </w:r>
    </w:p>
    <w:p>
      <w:pPr>
        <w:pStyle w:val="Normal"/>
        <w:rPr/>
      </w:pPr>
      <w:r>
        <w:rPr/>
        <w:t xml:space="preserve">U nekim slučajevima poduzeća smatraju da je isplativije odbaciti neprodanu robu, a ne reciklirati ili ponovno upotrijebiti robu. Stoga je važno odvratiti od prekomjerne proizvodnje nametanjem novčanih kazni kako ta praksa više ne bi bila profitabilna za proizvođače. </w:t>
      </w:r>
    </w:p>
    <w:p>
      <w:pPr>
        <w:pStyle w:val="Normal"/>
        <w:rPr/>
      </w:pPr>
      <w:r>
        <w:rPr/>
        <w:t xml:space="preserve"> </w:t>
      </w:r>
    </w:p>
    <w:p>
      <w:pPr>
        <w:pStyle w:val="Normal"/>
        <w:rPr/>
      </w:pPr>
      <w:r>
        <w:rPr/>
        <w:t xml:space="preserve">Podosi 3.2. Smanjenje otpada </w:t>
      </w:r>
    </w:p>
    <w:p>
      <w:pPr>
        <w:pStyle w:val="P68B1DB1Normal15"/>
        <w:rPr>
          <w:b/>
          <w:b/>
        </w:rPr>
      </w:pPr>
      <w:r>
        <w:rPr/>
        <w:t xml:space="preserve">Preporučujemo da EU osmisli i provede politiku gospodarenja otpadom za kućanstva i građane, skrećući pozornost na stvarnu količinu otpada koju proizvode i dopunjujući ga potrebnim mjerama za podizanje svijesti građana o koristima smanjenja stvaranja otpada i selektivnog prikupljanja otpada. Trebalo bi provesti i mjere usmjerene na socijalno ugrožene obitelji (npr. mlade obitelji s djecom, starije osobe itd.), uz poštovanje načela „nitko ne smije biti zapostavljen”. </w:t>
      </w:r>
    </w:p>
    <w:p>
      <w:pPr>
        <w:pStyle w:val="Normal"/>
        <w:rPr/>
      </w:pPr>
      <w:r>
        <w:rPr/>
        <w:t xml:space="preserve"> </w:t>
      </w:r>
    </w:p>
    <w:p>
      <w:pPr>
        <w:pStyle w:val="Normal"/>
        <w:rPr/>
      </w:pPr>
      <w:r>
        <w:rPr/>
        <w:t xml:space="preserve">Cilj je takve politike razviti jedinstven pristup gospodarenju otpadom u kućanstvima; njome se također olakšava zaštita okoliša smanjenjem otpada, dodatno potiče kružno gospodarstvo i povećava učinkovitost prikupljanja otpada. Naposljetku, što nije zanemarivo, podiže svijest građana i jača osjećaj odgovornosti za okoliš. </w:t>
      </w:r>
    </w:p>
    <w:p>
      <w:pPr>
        <w:pStyle w:val="Normal"/>
        <w:rPr/>
      </w:pPr>
      <w:r>
        <w:rPr/>
        <w:t xml:space="preserve"> </w:t>
      </w:r>
    </w:p>
    <w:p>
      <w:pPr>
        <w:pStyle w:val="P68B1DB1Normal15"/>
        <w:rPr>
          <w:b/>
          <w:b/>
        </w:rPr>
      </w:pPr>
      <w:r>
        <w:rPr/>
        <w:t xml:space="preserve">Preporučujemo da EU potiče slobodno tržišno natjecanje i potiče privatni sektor da aktivnije doprinosi obradi otpada, uključujući otpadne vode, te aktivnostima recikliranja i oporabe otpada. </w:t>
      </w:r>
    </w:p>
    <w:p>
      <w:pPr>
        <w:pStyle w:val="Normal"/>
        <w:rPr/>
      </w:pPr>
      <w:r>
        <w:rPr/>
        <w:t xml:space="preserve"> </w:t>
      </w:r>
    </w:p>
    <w:p>
      <w:pPr>
        <w:pStyle w:val="Normal"/>
        <w:rPr/>
      </w:pPr>
      <w:r>
        <w:rPr/>
        <w:t xml:space="preserve">EU je odgovarajuća razina za provedbu ove Preporuke jer se njome dopunjuju Okvirna direktiva o otpadu i akcijski plan za kružno gospodarstvo. Osim toga, provedbom Preporuke ojačat će se inovativna rješenja za gospodarenje otpadom, poboljšati kvaliteta gospodarenja otpadom i povećati količina obrađenog otpada jer će u tim aktivnostima sudjelovati više poduzeća. </w:t>
      </w:r>
    </w:p>
    <w:p>
      <w:pPr>
        <w:pStyle w:val="Normal"/>
        <w:rPr/>
      </w:pPr>
      <w:r>
        <w:rPr/>
        <w:t xml:space="preserve"> </w:t>
      </w:r>
    </w:p>
    <w:p>
      <w:pPr>
        <w:pStyle w:val="Normal"/>
        <w:rPr/>
      </w:pPr>
      <w:r>
        <w:rPr/>
        <w:t xml:space="preserve">Podosi 3.3. Pravedni proizvodi, jednak pristup i poštena potrošnja </w:t>
      </w:r>
    </w:p>
    <w:p>
      <w:pPr>
        <w:pStyle w:val="P68B1DB1Normal15"/>
        <w:rPr>
          <w:b/>
          <w:b/>
        </w:rPr>
      </w:pPr>
      <w:r>
        <w:rPr/>
        <w:t xml:space="preserve">Preporučujemo premještanje industrije u Europsku uniju kako bi se osigurali visokokvalitetni pravedni proizvodi i utjecala na klimatske probleme. </w:t>
      </w:r>
    </w:p>
    <w:p>
      <w:pPr>
        <w:pStyle w:val="Normal"/>
        <w:rPr/>
      </w:pPr>
      <w:r>
        <w:rPr/>
        <w:t xml:space="preserve"> </w:t>
      </w:r>
    </w:p>
    <w:p>
      <w:pPr>
        <w:pStyle w:val="Normal"/>
        <w:rPr/>
      </w:pPr>
      <w:r>
        <w:rPr/>
        <w:t xml:space="preserve">Europska unija raspolaže znanjem i iskustvom koje treba promicati na vlastitom tržištu. </w:t>
      </w:r>
    </w:p>
    <w:p>
      <w:pPr>
        <w:pStyle w:val="Normal"/>
        <w:rPr/>
      </w:pPr>
      <w:r>
        <w:rPr/>
        <w:t xml:space="preserve">Zbog premještanja industrija izvan EU-a, posebno u Aziji, premještaju se i neke profesionalne vještine. Ova preporuka uključuje strukovno osposobljavanje europskih radnika. Naglašavamo potrebu da se izbjegne premještanje među različitim državama članicama kako bi se izbjeglo nepošteno tržišno natjecanje. </w:t>
      </w:r>
    </w:p>
    <w:p>
      <w:pPr>
        <w:pStyle w:val="Normal"/>
        <w:rPr/>
      </w:pPr>
      <w:r>
        <w:rPr/>
        <w:t xml:space="preserve">Primijetili smo da masovno premještanje industrija diljem svijeta utječe na europske industrije. Stoga će lokalna proizvodnja poboljšati zdravlje građana i okoliša. </w:t>
      </w:r>
    </w:p>
    <w:p>
      <w:pPr>
        <w:pStyle w:val="Normal"/>
        <w:rPr/>
      </w:pPr>
      <w:r>
        <w:rPr/>
      </w:r>
    </w:p>
    <w:p>
      <w:pPr>
        <w:pStyle w:val="Titre4"/>
        <w:numPr>
          <w:ilvl w:val="3"/>
          <w:numId w:val="2"/>
        </w:numPr>
        <w:rPr/>
      </w:pPr>
      <w:bookmarkStart w:id="179" w:name="__RefHeading___Toc297293_1346298689"/>
      <w:bookmarkEnd w:id="179"/>
      <w:r>
        <w:rPr/>
        <w:t xml:space="preserve">Os 4: prema održivom društvu </w:t>
      </w:r>
    </w:p>
    <w:p>
      <w:pPr>
        <w:pStyle w:val="Normal"/>
        <w:rPr/>
      </w:pPr>
      <w:r>
        <w:rPr/>
        <w:t xml:space="preserve">Podos 4.3 Prijevoz prihvatljiv za okoliš </w:t>
      </w:r>
    </w:p>
    <w:p>
      <w:pPr>
        <w:pStyle w:val="P68B1DB1Normal15"/>
        <w:rPr>
          <w:b/>
          <w:b/>
        </w:rPr>
      </w:pPr>
      <w:r>
        <w:rPr/>
        <w:t xml:space="preserve">Preporučujemo da se veliki gradovi kažnjavaju ili subvencioniraju u skladu s okolišnim i zagađenim učinkom javnog prijevoza (električna vozila, zeleni javni prijevoz, stvaranje pješačkih površina, promicanje upotrebe bicikla itd.). Konkretno, novčane kazne ili subvencije koje se primjenjuju na lokalne vlasti u gradu trebale bi se odrediti na temelju promjena u zelenom prijevozu u usporedbi s početnim stanjem u tom gradu. Europska unija trebala bi kroz svoje zakonodavstvo definirati pokazatelje uspješnosti mjera povezanih s onečišćenjem i odrediti proporcionalno smanjenje. U tom smislu treba uzeti u obzir polazišnu točku svakog grada. </w:t>
      </w:r>
    </w:p>
    <w:p>
      <w:pPr>
        <w:pStyle w:val="Normal"/>
        <w:rPr/>
      </w:pPr>
      <w:r>
        <w:rPr/>
        <w:t xml:space="preserve"> </w:t>
      </w:r>
    </w:p>
    <w:p>
      <w:pPr>
        <w:pStyle w:val="Normal"/>
        <w:rPr/>
      </w:pPr>
      <w:r>
        <w:rPr/>
        <w:t xml:space="preserve">Dajemo ovu preporuku jer su gradovi pogođeni onečišćenjem zraka, što je uzrokovalo zdravstvene probleme. Razvojem zelenog prijevoza poboljšali bi se život i zdravlje ljudi te smanjio učinak staklenika. Subvencije i sankcije učinkovite su mjere za promicanje promjena i olakšavanje prilagodbe različitim situacijama u različitim gradovima. </w:t>
      </w:r>
    </w:p>
    <w:p>
      <w:pPr>
        <w:pStyle w:val="Normal"/>
        <w:rPr/>
      </w:pPr>
      <w:r>
        <w:rPr/>
        <w:t xml:space="preserve"> </w:t>
      </w:r>
    </w:p>
    <w:p>
      <w:pPr>
        <w:pStyle w:val="P68B1DB1Normal15"/>
        <w:rPr>
          <w:b/>
          <w:b/>
        </w:rPr>
      </w:pPr>
      <w:r>
        <w:rPr/>
        <w:t xml:space="preserve">Preporučujemo da se zakonodavstvom EU-a ograniči i regulira upotreba kratkih letova i brodova za kružna putovanja. Ljudima bi trebalo ponuditi alternative za prijevoz prihvatljive za okoliš. Jedna od takvih alternativa trebala bi biti standardizacija željeznica radi povezivanja europskih glavnih gradova. Također preporučujemo da EU osigura subvencije kako bi prijevoz robe bio ekološki prihvatljiviji, uključujući željeznički i brodski prijevoz (za kratka putovanja). </w:t>
      </w:r>
    </w:p>
    <w:p>
      <w:pPr>
        <w:pStyle w:val="Normal"/>
        <w:rPr/>
      </w:pPr>
      <w:r>
        <w:rPr/>
        <w:t xml:space="preserve"> </w:t>
      </w:r>
    </w:p>
    <w:p>
      <w:pPr>
        <w:pStyle w:val="Normal"/>
        <w:rPr/>
      </w:pPr>
      <w:r>
        <w:rPr/>
        <w:t xml:space="preserve">Dajemo ovu preporuku, jer su putovanja na kratke udaljenosti prečesta, onečišćujuća i laka za zamjenu. Ograničavanjem brodova za kružna putovanja smanjilo bi se onečišćenje mora (veliki ekološki problem), kao i negativni učinci na obalne gradove. Zato moramo uvesti pristupačnije alternative rješenjima koja više zagađuju. Jedinstvena širina kolosijeka poboljšala bi željezničke veze između europskih glavnih gradova. </w:t>
      </w:r>
    </w:p>
    <w:p>
      <w:pPr>
        <w:pStyle w:val="Normal"/>
        <w:rPr/>
      </w:pPr>
      <w:r>
        <w:rPr/>
        <w:t xml:space="preserve"> </w:t>
      </w:r>
    </w:p>
    <w:p>
      <w:pPr>
        <w:pStyle w:val="Titre4"/>
        <w:numPr>
          <w:ilvl w:val="3"/>
          <w:numId w:val="2"/>
        </w:numPr>
        <w:rPr/>
      </w:pPr>
      <w:bookmarkStart w:id="180" w:name="__RefHeading___Toc297295_1346298689"/>
      <w:bookmarkEnd w:id="180"/>
      <w:r>
        <w:rPr/>
        <w:t xml:space="preserve">Os 5: Briga za sve </w:t>
      </w:r>
    </w:p>
    <w:p>
      <w:pPr>
        <w:pStyle w:val="Normal"/>
        <w:rPr/>
      </w:pPr>
      <w:r>
        <w:rPr/>
        <w:t xml:space="preserve">Podos 5.2. Širi pogled na zdravlje </w:t>
      </w:r>
    </w:p>
    <w:p>
      <w:pPr>
        <w:pStyle w:val="Normal"/>
        <w:rPr>
          <w:b/>
          <w:b/>
        </w:rPr>
      </w:pPr>
      <w:r>
        <w:rPr>
          <w:b/>
        </w:rPr>
        <w:t>Preporučujemo da Europska unija, u skladu sa svojom</w:t>
      </w:r>
      <w:r>
        <w:rPr>
          <w:b/>
        </w:rPr>
        <w:commentReference w:id="5"/>
      </w:r>
      <w:r>
        <w:rPr>
          <w:b/>
        </w:rPr>
        <w:t xml:space="preserve"> kampanjom HealthyLife4All, također potiče inicijative kao što su društveni sportski događaji, školske sportske aktivnosti, polugodišnje Olimpijske igre otvorene za sve uzraste i sve sportove [ne za profesionalce]. Također preporučujemo razvoj besplatne europske sportske aplikacije za poticanje kolektivnih sportskih aktivnosti. Ova aplikacija bi trebala pomoći ljudima da se upoznaju kroz sport. Osim toga, te bi inicijative trebale biti široko poznate i diseminirane. </w:t>
      </w:r>
    </w:p>
    <w:p>
      <w:pPr>
        <w:pStyle w:val="Normal"/>
        <w:rPr/>
      </w:pPr>
      <w:r>
        <w:rPr/>
        <w:t xml:space="preserve"> </w:t>
      </w:r>
    </w:p>
    <w:p>
      <w:pPr>
        <w:pStyle w:val="Normal"/>
        <w:rPr/>
      </w:pPr>
      <w:r>
        <w:rPr/>
        <w:t xml:space="preserve">Kako bi se poboljšalo zdravlje europskog stanovništva, Europska unija mora promicati sport i zdrav način života. Osim toga, stanovništvo je vrlo često nesvjesno odnosa između sporta i zdravog načina života. Aplikacija je važna, jer su ljudi spremniji baviti se sportom ako to rade zajedno. </w:t>
      </w:r>
      <w:r>
        <w:br w:type="page"/>
      </w:r>
    </w:p>
    <w:p>
      <w:pPr>
        <w:pStyle w:val="P68B1DB1Normal19"/>
        <w:rPr>
          <w:rFonts w:ascii="Times New Roman" w:hAnsi="Times New Roman"/>
          <w:color w:val="000000"/>
          <w:sz w:val="24"/>
        </w:rPr>
      </w:pPr>
      <w:r>
        <w:rPr/>
        <w:t xml:space="preserve"> </w:t>
      </w:r>
    </w:p>
    <w:p>
      <w:pPr>
        <w:pStyle w:val="Titre2"/>
        <w:numPr>
          <w:ilvl w:val="1"/>
          <w:numId w:val="2"/>
        </w:numPr>
        <w:rPr/>
      </w:pPr>
      <w:bookmarkStart w:id="181" w:name="__RefHeading___Toc297297_1346298689"/>
      <w:bookmarkEnd w:id="181"/>
      <w:r>
        <w:rPr/>
        <w:t xml:space="preserve">Europski panel građana i građanki i građanki 4: „EU u svijetu/migracije” </w:t>
      </w:r>
    </w:p>
    <w:p>
      <w:pPr>
        <w:pStyle w:val="Normal"/>
        <w:rPr/>
      </w:pPr>
      <w:r>
        <w:rPr/>
        <w:t xml:space="preserve">PREPORUKE KOJE JE DONIJELO POVJERENSTVO (PODNIJET ĆE SE NA PLENARNOJ SJEDNICI) </w:t>
      </w:r>
    </w:p>
    <w:p>
      <w:pPr>
        <w:pStyle w:val="Normal"/>
        <w:rPr/>
      </w:pPr>
      <w:r>
        <w:rPr/>
      </w:r>
    </w:p>
    <w:p>
      <w:pPr>
        <w:pStyle w:val="Titre3"/>
        <w:numPr>
          <w:ilvl w:val="2"/>
          <w:numId w:val="2"/>
        </w:numPr>
        <w:rPr/>
      </w:pPr>
      <w:bookmarkStart w:id="182" w:name="__RefHeading___Toc297299_1346298689"/>
      <w:bookmarkEnd w:id="182"/>
      <w:r>
        <w:rPr/>
        <w:t xml:space="preserve">Os 1: Samodostatnost i stabilnost </w:t>
      </w:r>
    </w:p>
    <w:p>
      <w:pPr>
        <w:pStyle w:val="Titre4"/>
        <w:numPr>
          <w:ilvl w:val="3"/>
          <w:numId w:val="2"/>
        </w:numPr>
        <w:rPr/>
      </w:pPr>
      <w:bookmarkStart w:id="183" w:name="__RefHeading___Toc297301_1346298689"/>
      <w:bookmarkEnd w:id="183"/>
      <w:r>
        <w:rPr/>
        <w:t xml:space="preserve">Podos 1.1. Autonomija EU-a </w:t>
      </w:r>
    </w:p>
    <w:p>
      <w:pPr>
        <w:pStyle w:val="Normal"/>
        <w:rPr>
          <w:b/>
          <w:b/>
        </w:rPr>
      </w:pPr>
      <w:r>
        <w:rPr>
          <w:b/>
        </w:rPr>
        <w:t>1. Preporučujemo da se strateški europski proizvodni proizvodi (kao što su poljoprivredni proizvodi, poluvodiči, medicinski proizvodi ili inovativne digitalne i ekološke tehnologije) dodatno potiču i financijski podupiru kako bi bili dostupni i dostupni europskim potrošačima te kako bi se u najvećoj mogućoj mjeri smanjila ovisnost o neeuropskim dobavljačima. Takva potpora mogla bi uključivati strukturne i regionalne mjere, potporu za održavanje industrija i lanaca opskrbe unutar Unije,</w:t>
      </w:r>
      <w:r>
        <w:rPr>
          <w:b/>
        </w:rPr>
        <w:commentReference w:id="6"/>
      </w:r>
      <w:r>
        <w:rPr>
          <w:b/>
        </w:rPr>
        <w:t xml:space="preserve"> porezneolakšice, subvencije, aktivnu politiku za MSP-ove ili obrazovne programe za zaštitu relevantnih vještina i radnih mjesta u Europi. Međutim, aktivna industrijska politika trebala bi biti selektivna i usmjerena na inovativne proizvode ili proizvode nužne za jamčenje osnovnih dobara i usluga. </w:t>
      </w:r>
    </w:p>
    <w:p>
      <w:pPr>
        <w:pStyle w:val="Normal"/>
        <w:rPr/>
      </w:pPr>
      <w:r>
        <w:rPr/>
        <w:t xml:space="preserve"> </w:t>
      </w:r>
    </w:p>
    <w:p>
      <w:pPr>
        <w:pStyle w:val="Normal"/>
        <w:rPr/>
      </w:pPr>
      <w:r>
        <w:rPr/>
        <w:t xml:space="preserve">Preporučujemo te mjere jer Europa previše ovisi o </w:t>
      </w:r>
      <w:commentRangeStart w:id="7"/>
      <w:r>
        <w:rPr/>
        <w:t>neeuropskim dobavljačima</w:t>
      </w:r>
      <w:r>
        <w:rPr/>
      </w:r>
      <w:commentRangeEnd w:id="7"/>
      <w:r>
        <w:commentReference w:id="7"/>
      </w:r>
      <w:r>
        <w:rPr/>
        <w:t xml:space="preserve"> u ključnim područjima koja mogu uzrokovati diplomatske sukobe i dovesti do nedostatka osnovnih proizvoda ili usluga ili od strateške važnosti. Budući da su troškovi proizvodnje općenito viši u EU-u nego drugdje u svijetu, politika aktivnog poticanja i potpore tim proizvodima omogućit će Europljanima da kupuju konkurentne europske proizvode i da to čine. Tom će se politikom ojačati i europska konkurentnost te očuvati buduće industrije i radna mjesta u Europi. Osim toga, većom regionalizacijom proizvodnje smanjit će se troškovi prijevoza i izbjeći uništavanje okoliša. </w:t>
      </w:r>
    </w:p>
    <w:p>
      <w:pPr>
        <w:pStyle w:val="Normal"/>
        <w:rPr/>
      </w:pPr>
      <w:r>
        <w:rPr/>
        <w:t xml:space="preserve"> </w:t>
      </w:r>
    </w:p>
    <w:p>
      <w:pPr>
        <w:pStyle w:val="P68B1DB1Normal15"/>
        <w:rPr>
          <w:b/>
          <w:b/>
        </w:rPr>
      </w:pPr>
      <w:r>
        <w:rPr/>
        <w:t>2. Preporučujemo da EU smanji svoju ovisnost o uvozu nafte i plina. To bi zahtijevalo aktivnu potporu projektima javnog prijevoza i energetske učinkovitosti, europsku željezničku mrežu velikih brzina, širenje opskrbe čistom i obnovljivom energijom (uključujući solarnu energiju i energiju vjetra) i alternativne tehnologije (kao što su vodik ili energetska oporaba otpada). Europska unija također bi trebala poticati promjenu načina razmišljanja i poticati napuštanje privatnih automobila u korist javnog prijevoza, zajedničkog korištenja automobila električnim vozilima i biciklima.</w:t>
      </w:r>
    </w:p>
    <w:p>
      <w:pPr>
        <w:pStyle w:val="Normal"/>
        <w:rPr/>
      </w:pPr>
      <w:r>
        <w:rPr/>
      </w:r>
    </w:p>
    <w:p>
      <w:pPr>
        <w:pStyle w:val="Normal"/>
        <w:rPr/>
      </w:pPr>
      <w:r>
        <w:rPr/>
        <w:t>Preporučujemo te mjere jer se njima stvara situacija kojom se promiče autonomija Europe smanjenjem njezine vanjske ovisnosti i postizanjem ambicioznih ciljeva u području klime i smanjenja emisija</w:t>
      </w:r>
      <w:r>
        <w:rPr>
          <w:vertAlign w:val="subscript"/>
        </w:rPr>
        <w:t>CO2</w:t>
      </w:r>
      <w:r>
        <w:rPr/>
        <w:t xml:space="preserve">. Također će omogućiti Europi da postane važan akter u budućim tehnologijama, ojača svoje gospodarstvo i otvori radna mjesta. </w:t>
      </w:r>
    </w:p>
    <w:p>
      <w:pPr>
        <w:pStyle w:val="Normal"/>
        <w:rPr/>
      </w:pPr>
      <w:r>
        <w:rPr/>
        <w:t xml:space="preserve"> </w:t>
      </w:r>
    </w:p>
    <w:p>
      <w:pPr>
        <w:pStyle w:val="P68B1DB1Normal15"/>
        <w:rPr>
          <w:b/>
          <w:b/>
        </w:rPr>
      </w:pPr>
      <w:r>
        <w:rPr/>
        <w:t xml:space="preserve">3. Preporučujemo donošenje zakona na razini EU-a kako bi se osiguralo da svi procesi proizvodnje i opskrbe u EU-u i uvezena roba budu u skladu s europskim standardima kvalitete, etike i održivosti, kao i svim primjenjivim europskim standardima ljudskih prava, te da su proizvodi koji su u skladu s tim kriterijima certificirani. </w:t>
      </w:r>
    </w:p>
    <w:p>
      <w:pPr>
        <w:pStyle w:val="Normal"/>
        <w:rPr/>
      </w:pPr>
      <w:r>
        <w:rPr/>
        <w:t xml:space="preserve"> </w:t>
      </w:r>
    </w:p>
    <w:p>
      <w:pPr>
        <w:pStyle w:val="Normal"/>
        <w:rPr/>
      </w:pPr>
      <w:r>
        <w:rPr/>
        <w:t xml:space="preserve">Preporučujemo ove mjere jer omogućuju potrošačima i trgovcima jednostavan pristup informacijama o proizvodima koje kupuju ili prodaju. Da biste to učinili, jednostavno konzultirajte certifikacijski sustav. Certificiranje također smanjuje jaz između jeftinih i skupih proizvoda dostupnih na tržištu. Jeftini proizvodi neće zadovoljiti tražene kriterije i stoga se neće moći predstaviti kao kvalitetni. Ispunjavanjem kriterija certificiranja okoliš će biti zaštićen, štedeći resurse i potičući odgovornu potrošnju. </w:t>
      </w:r>
    </w:p>
    <w:p>
      <w:pPr>
        <w:pStyle w:val="Normal"/>
        <w:rPr/>
      </w:pPr>
      <w:r>
        <w:rPr/>
        <w:t xml:space="preserve"> </w:t>
      </w:r>
    </w:p>
    <w:p>
      <w:pPr>
        <w:pStyle w:val="P68B1DB1Normal15"/>
        <w:rPr>
          <w:b/>
          <w:b/>
        </w:rPr>
      </w:pPr>
      <w:r>
        <w:rPr/>
        <w:t xml:space="preserve">4. Preporučujemo provedbu europskog programa za potporu malim lokalnim proizvođačima u strateškim sektorima u svim državama članicama. Ti bi proizvođači imali koristi od strukovnog osposobljavanja, financijske potpore putem subvencija i (ako su sirovine dostupne u Uniji) poticaja za proizvodnju prihvatljivijih dobara na štetu uvoza. </w:t>
      </w:r>
    </w:p>
    <w:p>
      <w:pPr>
        <w:pStyle w:val="Normal"/>
        <w:rPr/>
      </w:pPr>
      <w:r>
        <w:rPr/>
        <w:t xml:space="preserve"> </w:t>
      </w:r>
    </w:p>
    <w:p>
      <w:pPr>
        <w:pStyle w:val="Normal"/>
        <w:rPr/>
      </w:pPr>
      <w:r>
        <w:rPr/>
        <w:t xml:space="preserve">Preporučujemo te mjere jer podupiranjem proizvođača u strateškim sektorima koji se nalaze u Uniji Unija može steći svoju gospodarsku neovisnost u tim sektorima. To može samo potaknuti jačanje cijelog proizvodnog procesa i na taj način potaknuti inovacije. To će rezultirati održivijom proizvodnjom sirovina u EU-u kojom će se smanjiti troškovi prijevoza i zaštititi okoliš. </w:t>
      </w:r>
    </w:p>
    <w:p>
      <w:pPr>
        <w:pStyle w:val="Normal"/>
        <w:rPr/>
      </w:pPr>
      <w:r>
        <w:rPr/>
        <w:t xml:space="preserve"> </w:t>
      </w:r>
    </w:p>
    <w:p>
      <w:pPr>
        <w:pStyle w:val="P68B1DB1Normal15"/>
        <w:rPr>
          <w:b/>
          <w:b/>
        </w:rPr>
      </w:pPr>
      <w:r>
        <w:rPr/>
        <w:t xml:space="preserve">5. Preporučujemo poboljšanje provedbe ljudskih prava na europskoj razini kako slijedi: podizanje svijesti među zemljama koje, u odgovarajućoj mjeri, ne poštuju Europsku konvenciju o ljudskim pravima (EKLJP) ili Konvenciju za zaštitu ljudskih prava i temeljnih sloboda; osigurati strogo praćenje, koje koordinira Europska unija i Pregled stanja u području pravosuđa, mjere u kojoj se poštuju ljudska prava u različitim državama članicama te osigurati njihovu strogu usklađenost s pomoću različitih oblika sankcija. </w:t>
      </w:r>
    </w:p>
    <w:p>
      <w:pPr>
        <w:pStyle w:val="Normal"/>
        <w:rPr/>
      </w:pPr>
      <w:r>
        <w:rPr/>
        <w:t xml:space="preserve"> </w:t>
      </w:r>
    </w:p>
    <w:p>
      <w:pPr>
        <w:pStyle w:val="Normal"/>
        <w:rPr/>
      </w:pPr>
      <w:r>
        <w:rPr/>
        <w:t xml:space="preserve">Preporučujemo te mjere jer su države članice već prihvatile ljudska prava kada su ratificirale Europsku konvenciju o ljudskim pravima, ali sada je potrebno poboljšati njihovo prihvaćanje u svakoj od država članica kako bi se ljudska prava poznavala i aktivno provodila u tim državama članicama. </w:t>
      </w:r>
    </w:p>
    <w:p>
      <w:pPr>
        <w:pStyle w:val="Normal"/>
        <w:rPr/>
      </w:pPr>
      <w:r>
        <w:rPr/>
        <w:t xml:space="preserve"> </w:t>
      </w:r>
    </w:p>
    <w:p>
      <w:pPr>
        <w:pStyle w:val="P68B1DB1Normal15"/>
        <w:rPr>
          <w:b/>
          <w:b/>
        </w:rPr>
      </w:pPr>
      <w:r>
        <w:rPr/>
        <w:t xml:space="preserve">6. Preporučujemo pokretanje revizije i organiziranje intenzivne komunikacijske kampanje na europskoj razini kako bi se osiguralo da EURES (Europska mreža službi za zapošljavanje), portal EU-a za imigraciju i Europski alat za profiliranje vještina za državljane trećih zemalja budu bolje poznati europskim građanima te da ih poduzeća iz EU-a češće upotrebljavaju za objavljivanje i oglašavanje svojih ponuda za posao. </w:t>
      </w:r>
    </w:p>
    <w:p>
      <w:pPr>
        <w:pStyle w:val="Normal"/>
        <w:rPr/>
      </w:pPr>
      <w:r>
        <w:rPr/>
        <w:t xml:space="preserve"> </w:t>
      </w:r>
    </w:p>
    <w:p>
      <w:pPr>
        <w:pStyle w:val="Normal"/>
        <w:rPr/>
      </w:pPr>
      <w:r>
        <w:rPr/>
        <w:t xml:space="preserve">Preporučujemo da se ne stvori nova internetska platforma za objavu ponuda radnih mjesta za mlade Europljane. Na europskoj razini već postoji više nego dovoljno inicijativa takve vrste. Smatramo da je za podizanje svijesti o postojećoj radnoj snazi i mogućnostima zapošljavanja na europskoj razini bolje poboljšati ono što već postoji. </w:t>
      </w:r>
    </w:p>
    <w:p>
      <w:pPr>
        <w:pStyle w:val="Normal"/>
        <w:rPr/>
      </w:pPr>
      <w:r>
        <w:rPr/>
        <w:t xml:space="preserve"> </w:t>
      </w:r>
    </w:p>
    <w:p>
      <w:pPr>
        <w:pStyle w:val="Titre4"/>
        <w:numPr>
          <w:ilvl w:val="3"/>
          <w:numId w:val="2"/>
        </w:numPr>
        <w:rPr/>
      </w:pPr>
      <w:bookmarkStart w:id="184" w:name="__RefHeading___Toc297303_1346298689"/>
      <w:bookmarkEnd w:id="184"/>
      <w:r>
        <w:rPr/>
        <w:t xml:space="preserve">Podos 1.2. – Granice </w:t>
      </w:r>
    </w:p>
    <w:p>
      <w:pPr>
        <w:pStyle w:val="P68B1DB1Normal15"/>
        <w:rPr>
          <w:b/>
          <w:b/>
        </w:rPr>
      </w:pPr>
      <w:r>
        <w:rPr/>
        <w:t xml:space="preserve">7. Preporučujemo uspostavu mehanizma migracije radne snage u EU-u na temelju stvarnih potreba europskih tržišta rada. Trebao bi postojati jedinstveni sustav priznavanja stručnih i akademskih diploma koje postoje unutar Europske unije i u trećim zemljama. Trebale bi postojati ponude stručnih kvalifikacija, kao i ponude kulturne i jezične integracije za kvalificirane migrante. Tražitelji azila s odgovarajućim kvalifikacijama trebali bi imati pristup tržištu rada. Trebala bi postojati integrirana agencija na kojoj bi se mogla temeljiti europska mreža službi za zapošljavanje. </w:t>
      </w:r>
    </w:p>
    <w:p>
      <w:pPr>
        <w:pStyle w:val="Normal"/>
        <w:rPr/>
      </w:pPr>
      <w:r>
        <w:rPr/>
        <w:t xml:space="preserve"> </w:t>
      </w:r>
    </w:p>
    <w:p>
      <w:pPr>
        <w:pStyle w:val="Normal"/>
        <w:rPr/>
      </w:pPr>
      <w:r>
        <w:rPr/>
        <w:t xml:space="preserve">Preporučujemo te mjere jer je Europi potrebna kvalificirana radna snaga u određenim sektorima u kojima nije moguće u potpunosti pokriti potražnju radnika u EU-u. Trenutačno ne postoji dovoljno održivih načina za pravno podnošenje zahtjeva za radnu dozvolu u EU-u. Europski sustav za priznavanje stručnih i akademskih diploma olakšat će zadovoljavanje tih potreba i pojednostavniti migracije radne snage unutar Unije i migracije radne snage iz zemalja izvan Unije. Stoga bi se potražnja za radnom snagom mogla bolje zadovoljiti, a nezakonitom imigracijom bolje bi se upravljalo. Otvaranjem mehanizma migracije radne snage tražiteljima azila ubrzala bi se njihova integracija u europska gospodarstva i društva. </w:t>
      </w:r>
    </w:p>
    <w:p>
      <w:pPr>
        <w:pStyle w:val="Normal"/>
        <w:rPr/>
      </w:pPr>
      <w:r>
        <w:rPr/>
        <w:t xml:space="preserve"> </w:t>
      </w:r>
    </w:p>
    <w:p>
      <w:pPr>
        <w:pStyle w:val="P68B1DB1Normal15"/>
        <w:rPr>
          <w:b/>
          <w:b/>
        </w:rPr>
      </w:pPr>
      <w:r>
        <w:rPr/>
        <w:t xml:space="preserve">8. Preporučujemo da Europska unija ojača svoje zakonodavstvo kako bi Frontexu dala veću moć i neovisnost. Stoga će moći intervenirati u svim državama članicama kako bi se osigurala zaštita svih vanjskih granica Unije. Međutim, Unija bi trebala provoditi revizije Frontexovih organizacijskih postupaka jer mora djelovati na transparentan način kako bi se izbjegla svaka vrsta zlouporabe. </w:t>
      </w:r>
    </w:p>
    <w:p>
      <w:pPr>
        <w:pStyle w:val="Normal"/>
        <w:rPr/>
      </w:pPr>
      <w:r>
        <w:rPr/>
        <w:t xml:space="preserve"> </w:t>
      </w:r>
    </w:p>
    <w:p>
      <w:pPr>
        <w:pStyle w:val="Normal"/>
        <w:rPr/>
      </w:pPr>
      <w:r>
        <w:rPr/>
        <w:t xml:space="preserve">Preporučujemo te mjere jer je, prema našem mišljenju, neprihvatljivo da se Frontexu uskrati pristup granicama, posebno u slučaju kršenja ljudskih prava. Želimo biti sigurni da Frontex primjenjuje europsko zakonodavstvo. Sam Frontex mora biti podvrgnut provjerama i provjerama kako bi se izbjeglo svako neprimjereno ponašanje unutar Frontexa. </w:t>
      </w:r>
    </w:p>
    <w:p>
      <w:pPr>
        <w:pStyle w:val="Normal"/>
        <w:rPr/>
      </w:pPr>
      <w:r>
        <w:rPr/>
        <w:t xml:space="preserve"> </w:t>
      </w:r>
    </w:p>
    <w:p>
      <w:pPr>
        <w:pStyle w:val="P68B1DB1Normal15"/>
        <w:rPr>
          <w:b/>
          <w:b/>
        </w:rPr>
      </w:pPr>
      <w:r>
        <w:rPr/>
        <w:t xml:space="preserve">9. Preporučujemo da Europska unija organizira, posebno za gospodarske migrante, mogućnost odabira građana u zemlji podrijetla (na temelju njihovih dokazanih vještina, podrijetla itd.) kako bi se utvrdilo tko bi mogao doći na posao u EU-u u skladu s potrebama gospodarstva i slobodnim radnim mjestima u zemlji domaćinu. Ti kriteriji odabira moraju biti javni i dostupni svima. Kako bi se to postiglo, trebalo bi osnovati Europsku agenciju za imigraciju (online). </w:t>
      </w:r>
    </w:p>
    <w:p>
      <w:pPr>
        <w:pStyle w:val="Normal"/>
        <w:rPr/>
      </w:pPr>
      <w:r>
        <w:rPr/>
        <w:t xml:space="preserve"> </w:t>
      </w:r>
    </w:p>
    <w:p>
      <w:pPr>
        <w:pStyle w:val="Normal"/>
        <w:rPr/>
      </w:pPr>
      <w:r>
        <w:rPr/>
        <w:t xml:space="preserve">Preporučujemo te mjere jer na taj način više ne bi bilo potrebe za nezakonitim prijelazom granica. Kontrolirao bi se priljev ljudi koji ulaze u EU, čime bi se smanjio pritisak na granicama, a istodobno bi se olakšalo zadovoljavanje potreba za radnom snagom zemalja domaćina. </w:t>
      </w:r>
    </w:p>
    <w:p>
      <w:pPr>
        <w:pStyle w:val="Normal"/>
        <w:rPr/>
      </w:pPr>
      <w:r>
        <w:rPr/>
        <w:t xml:space="preserve"> </w:t>
      </w:r>
    </w:p>
    <w:p>
      <w:pPr>
        <w:pStyle w:val="P68B1DB1Normal15"/>
        <w:rPr>
          <w:b/>
          <w:b/>
        </w:rPr>
      </w:pPr>
      <w:r>
        <w:rPr/>
        <w:t xml:space="preserve">10. Preporučujemo da Europska unija osigura da su politika prihvata i objekti jednaki na svim granicama, da poštuju ljudska prava te da osiguraju sigurnost i zdravlje svih migranata (uključujući, na primjer, trudnice i djecu). </w:t>
      </w:r>
    </w:p>
    <w:p>
      <w:pPr>
        <w:pStyle w:val="Normal"/>
        <w:rPr/>
      </w:pPr>
      <w:r>
        <w:rPr/>
        <w:t xml:space="preserve"> </w:t>
      </w:r>
    </w:p>
    <w:p>
      <w:pPr>
        <w:pStyle w:val="Normal"/>
        <w:rPr/>
      </w:pPr>
      <w:r>
        <w:rPr/>
        <w:t xml:space="preserve">Preporučujemo te mjere jer pridajemo veliku važnost jednakom postupanju prema migrantima na svim granicama. Želimo osigurati da migranti ne ostanu predugo na granicama i da su države članice preopterećene priljevom migranata. Države članice moraju biti dobro opremljene za smještaj. </w:t>
      </w:r>
    </w:p>
    <w:p>
      <w:pPr>
        <w:pStyle w:val="Normal"/>
        <w:rPr/>
      </w:pPr>
      <w:r>
        <w:rPr/>
        <w:t xml:space="preserve"> </w:t>
      </w:r>
    </w:p>
    <w:p>
      <w:pPr>
        <w:pStyle w:val="Titre3"/>
        <w:numPr>
          <w:ilvl w:val="2"/>
          <w:numId w:val="2"/>
        </w:numPr>
        <w:rPr/>
      </w:pPr>
      <w:bookmarkStart w:id="185" w:name="__RefHeading___Toc297305_1346298689"/>
      <w:bookmarkEnd w:id="185"/>
      <w:r>
        <w:rPr/>
        <w:t xml:space="preserve">Os 2: EU kao međunarodni partner </w:t>
      </w:r>
    </w:p>
    <w:p>
      <w:pPr>
        <w:pStyle w:val="Titre4"/>
        <w:numPr>
          <w:ilvl w:val="3"/>
          <w:numId w:val="2"/>
        </w:numPr>
        <w:rPr/>
      </w:pPr>
      <w:bookmarkStart w:id="186" w:name="__RefHeading___Toc297307_1346298689"/>
      <w:bookmarkEnd w:id="186"/>
      <w:r>
        <w:rPr/>
        <w:t xml:space="preserve">Podos 2.1 – Trgovina i odnosi iz etičke perspektive </w:t>
      </w:r>
    </w:p>
    <w:p>
      <w:pPr>
        <w:pStyle w:val="P68B1DB1Normal15"/>
        <w:rPr>
          <w:b/>
          <w:b/>
        </w:rPr>
      </w:pPr>
      <w:r>
        <w:rPr/>
        <w:t xml:space="preserve">11. Preporučujemo da EU uvede ograničenja na uvoz proizvoda iz zemalja koje omogućuju dječji rad. Kako bi se to postiglo, trebalo bi sastaviti crnu listu trgovačkih društava koja bi se redovito ažurirala u skladu s razvojem događaja. Također preporučujemo osiguravanje progresivnog pristupa obrazovanju za djecu koja prestanu raditi, kao i podizanje svijesti potrošača o dječjem radu putem informacija koje službeno širi Europska unija, primjerice kampanjama ili pripovijedanjem. </w:t>
      </w:r>
    </w:p>
    <w:p>
      <w:pPr>
        <w:pStyle w:val="Normal"/>
        <w:rPr/>
      </w:pPr>
      <w:r>
        <w:rPr/>
        <w:t xml:space="preserve"> </w:t>
      </w:r>
    </w:p>
    <w:p>
      <w:pPr>
        <w:pStyle w:val="Normal"/>
        <w:rPr/>
      </w:pPr>
      <w:r>
        <w:rPr/>
        <w:t xml:space="preserve">Preporučujemo ove mjere jer vjerujemo da postoji veza između nedostatka školovanja i dječjeg rada. Ovom preporukom želimo podići svijest potrošača i smanjiti potražnju za proizvodima koje proizvode djeca kako bi ova praksa na kraju nestala. </w:t>
      </w:r>
    </w:p>
    <w:p>
      <w:pPr>
        <w:pStyle w:val="Normal"/>
        <w:rPr/>
      </w:pPr>
      <w:r>
        <w:rPr/>
        <w:t xml:space="preserve"> </w:t>
      </w:r>
    </w:p>
    <w:p>
      <w:pPr>
        <w:pStyle w:val="P68B1DB1Normal15"/>
        <w:rPr>
          <w:b/>
          <w:b/>
        </w:rPr>
      </w:pPr>
      <w:r>
        <w:rPr/>
        <w:t xml:space="preserve">12. Preporučujemo da Europska unija razvije partnerstva sa zemljama u razvoju kako bi poduprla njihovu infrastrukturu i podijelila stručno znanje u zamjenu za uzajamno korisne trgovinske sporazume koji će ih pratiti u prijelazu na zelene izvore energije. </w:t>
      </w:r>
    </w:p>
    <w:p>
      <w:pPr>
        <w:pStyle w:val="Normal"/>
        <w:rPr/>
      </w:pPr>
      <w:r>
        <w:rPr/>
        <w:t xml:space="preserve"> </w:t>
      </w:r>
    </w:p>
    <w:p>
      <w:pPr>
        <w:pStyle w:val="Normal"/>
        <w:rPr/>
      </w:pPr>
      <w:r>
        <w:rPr/>
        <w:t xml:space="preserve">Preporučujemo te mjere za olakšavanje prijelaza zemalja u razvoju na obnovljivu energiju putem trgovinskih partnerstava i diplomatskih sporazuma. Stoga bi Europska unija i zemlje u razvoju razvile dobre dugoročne odnose koji bi doprinijeli borbi protiv klimatskih promjena. </w:t>
      </w:r>
    </w:p>
    <w:p>
      <w:pPr>
        <w:pStyle w:val="Normal"/>
        <w:rPr/>
      </w:pPr>
      <w:r>
        <w:rPr/>
        <w:t xml:space="preserve"> </w:t>
      </w:r>
    </w:p>
    <w:p>
      <w:pPr>
        <w:pStyle w:val="P68B1DB1Normal15"/>
        <w:rPr>
          <w:b/>
          <w:b/>
        </w:rPr>
      </w:pPr>
      <w:r>
        <w:rPr/>
        <w:t xml:space="preserve">13. Preporučujemo da Europska unija uvede europski pokazatelj utjecaja na okoliš (ecoscore) za sve potrošačke proizvode. Ecoscore bi se izračunavao na temelju emisija iz proizvodnje i prijevoza, kao i štetnosti sadržaja, na temelju popisa opasnih proizvoda. Ecoscoreom bi trebalo upravljati i nadzirati ga europsko tijelo. </w:t>
      </w:r>
    </w:p>
    <w:p>
      <w:pPr>
        <w:pStyle w:val="Normal"/>
        <w:rPr/>
      </w:pPr>
      <w:r>
        <w:rPr/>
        <w:t xml:space="preserve"> </w:t>
      </w:r>
    </w:p>
    <w:p>
      <w:pPr>
        <w:pStyle w:val="Normal"/>
        <w:rPr/>
      </w:pPr>
      <w:r>
        <w:rPr/>
        <w:t xml:space="preserve">Preporučujemo te mjere kako bi europski potrošači bili svjesniji ekološkog otiska proizvoda koje kupuju. Ecoscore bi olakšao naznaku u kojoj mjeri proizvod poštuje okoliš u mjerilu koja je zajednička u cijeloj Europi. Ecoscore bi trebao imati QR kod na stražnjoj strani proizvoda kako bi mogao pregledati dodatne informacije o njegovu ekološkom otisku. </w:t>
      </w:r>
    </w:p>
    <w:p>
      <w:pPr>
        <w:pStyle w:val="Normal"/>
        <w:rPr/>
      </w:pPr>
      <w:r>
        <w:rPr/>
        <w:t xml:space="preserve"> </w:t>
      </w:r>
    </w:p>
    <w:p>
      <w:pPr>
        <w:pStyle w:val="Titre4"/>
        <w:numPr>
          <w:ilvl w:val="3"/>
          <w:numId w:val="2"/>
        </w:numPr>
        <w:rPr/>
      </w:pPr>
      <w:bookmarkStart w:id="187" w:name="__RefHeading___Toc297309_1346298689"/>
      <w:bookmarkEnd w:id="187"/>
      <w:r>
        <w:rPr/>
        <w:t xml:space="preserve">Podosi 2.2. Međunarodne klimatske aktivnosti </w:t>
      </w:r>
    </w:p>
    <w:p>
      <w:pPr>
        <w:pStyle w:val="P68B1DB1Normal15"/>
        <w:rPr>
          <w:b/>
          <w:b/>
        </w:rPr>
      </w:pPr>
      <w:r>
        <w:rPr/>
        <w:t xml:space="preserve">14. Preporučujemo da Europska unija donese strategiju kako bi postala autonomnija u proizvodnji energije. Europsko tijelo koje okuplja postojeće europske energetske institucije trebalo bi koordinirati razvoj obnovljive energije u skladu s potrebama, kapacitetima i resursima država članica, poštujući pritom njihovu suverenost. Institucije bi poticale međusobnu razmjenu znanja kako bi provele tu strategiju. </w:t>
      </w:r>
    </w:p>
    <w:p>
      <w:pPr>
        <w:pStyle w:val="Normal"/>
        <w:rPr/>
      </w:pPr>
      <w:r>
        <w:rPr/>
        <w:t xml:space="preserve"> </w:t>
      </w:r>
    </w:p>
    <w:p>
      <w:pPr>
        <w:pStyle w:val="Normal"/>
        <w:rPr/>
      </w:pPr>
      <w:r>
        <w:rPr/>
        <w:t xml:space="preserve">Preporučujemo te mjere jer nas naša trenutačna ovisnost čini ranjivima u slučaju političkih napetosti sa zemljama koje uvozimo energiju. To se sada događa s elektroenergetskom krizom. Međutim, takva bi koordinacija trebala poštovati suverenitet svake zemlje. </w:t>
      </w:r>
    </w:p>
    <w:p>
      <w:pPr>
        <w:pStyle w:val="Normal"/>
        <w:rPr/>
      </w:pPr>
      <w:r>
        <w:rPr/>
        <w:t xml:space="preserve"> </w:t>
      </w:r>
    </w:p>
    <w:p>
      <w:pPr>
        <w:pStyle w:val="P68B1DB1Normal15"/>
        <w:rPr>
          <w:b/>
          <w:b/>
        </w:rPr>
      </w:pPr>
      <w:r>
        <w:rPr/>
        <w:t xml:space="preserve">15. Preporučujemo jačanje ekoloških standarda za izvoz otpada unutar i izvan EU-a, kao i strože kontrole i sankcije kako bi se zaustavio nezakonit izvoz. EU bi trebao poticati države članice da dodatno recikliraju vlastiti otpad i upotrebljavaju ga za proizvodnju energije. </w:t>
      </w:r>
    </w:p>
    <w:p>
      <w:pPr>
        <w:pStyle w:val="Normal"/>
        <w:rPr/>
      </w:pPr>
      <w:r>
        <w:rPr/>
        <w:t xml:space="preserve"> </w:t>
      </w:r>
    </w:p>
    <w:p>
      <w:pPr>
        <w:pStyle w:val="Normal"/>
        <w:rPr/>
      </w:pPr>
      <w:r>
        <w:rPr/>
        <w:t xml:space="preserve">Preporučujemo da se tim mjerama stane na kraj štetama za okoliš u zemljama koje odlažu svoj otpad na štetu drugih zemalja, posebno kada postoji potpuna neusklađenost sa standardima zaštite okoliša. </w:t>
      </w:r>
    </w:p>
    <w:p>
      <w:pPr>
        <w:pStyle w:val="Normal"/>
        <w:rPr/>
      </w:pPr>
      <w:r>
        <w:rPr/>
        <w:t xml:space="preserve"> </w:t>
      </w:r>
    </w:p>
    <w:p>
      <w:pPr>
        <w:pStyle w:val="P68B1DB1Normal15"/>
        <w:rPr>
          <w:b/>
          <w:b/>
        </w:rPr>
      </w:pPr>
      <w:r>
        <w:rPr/>
        <w:t xml:space="preserve">16. Preporučujemo EU-u da odlučnije potakne tekuću ekološku tranziciju s ciljem uklanjanja onečišćujuće ambalaže. To bi se trebalo postići poticanjem smanjenja ambalaže ili promicanjem zelenije ambalaže. Kako bi se mala poduzeća prilagodila, trebala bi primiti potporu i prilagodbe. </w:t>
      </w:r>
    </w:p>
    <w:p>
      <w:pPr>
        <w:pStyle w:val="Normal"/>
        <w:rPr/>
      </w:pPr>
      <w:r>
        <w:rPr/>
        <w:t xml:space="preserve"> </w:t>
      </w:r>
    </w:p>
    <w:p>
      <w:pPr>
        <w:pStyle w:val="Normal"/>
        <w:rPr/>
      </w:pPr>
      <w:r>
        <w:rPr/>
        <w:t xml:space="preserve">Preporučujemo te mjere jer moramo smanjiti upotrebu prirodnih resursa, uključujući sirovine iz zemalja izvan EU-a. Moramo smanjiti i štetu koju Europljani nanose našem planetu i njegovoj klimi. Ključno je bolje podupirati mala poduzeća kako bi se mogla prilagoditi bez podizanja njihovih cijena. </w:t>
      </w:r>
    </w:p>
    <w:p>
      <w:pPr>
        <w:pStyle w:val="Normal"/>
        <w:rPr/>
      </w:pPr>
      <w:r>
        <w:rPr/>
        <w:t xml:space="preserve"> </w:t>
      </w:r>
    </w:p>
    <w:p>
      <w:pPr>
        <w:pStyle w:val="P68B1DB1Normal15"/>
        <w:rPr>
          <w:b/>
          <w:b/>
        </w:rPr>
      </w:pPr>
      <w:r>
        <w:rPr/>
        <w:t xml:space="preserve">17. Preporučujemo zemljama Europske unije da ozbiljnije sagledaju pitanje nuklearne energije zajedno. Trebalo bi pojačati suradnju kako bi se procijenila upotreba nuklearne energije i njezina uloga u prijelazu na zelenu energiju u Europi. </w:t>
      </w:r>
    </w:p>
    <w:p>
      <w:pPr>
        <w:pStyle w:val="Normal"/>
        <w:rPr/>
      </w:pPr>
      <w:r>
        <w:rPr/>
        <w:t xml:space="preserve"> </w:t>
      </w:r>
    </w:p>
    <w:p>
      <w:pPr>
        <w:pStyle w:val="Normal"/>
        <w:rPr/>
      </w:pPr>
      <w:r>
        <w:rPr/>
        <w:t xml:space="preserve">Predlažemo te mjere jer nuklearno pitanje ne može riješiti izolirana zemlja. U polovici država članica trenutačno postoji više od 100 reaktora, a novi reaktori su u izgradnji. Budući da dijelimo zajedničku elektroenergetsku mrežu, od niskougljične električne energije koju proizvodimo koristi svim Europljanima i povećava se energetska autonomija našeg kontinenta. Osim toga, napuštanje nuklearnog otpada ili nesreća utjecalo bi na nekoliko zemalja. Bez obzira na to je li riječ o upotrebi nuklearne energije ili ne, Europljani moraju o tome raspravljati zajedno i definirati konvergentnije strategije uz poštovanje nacionalnog suvereniteta. </w:t>
      </w:r>
    </w:p>
    <w:p>
      <w:pPr>
        <w:pStyle w:val="Normal"/>
        <w:rPr/>
      </w:pPr>
      <w:r>
        <w:rPr/>
        <w:t xml:space="preserve"> </w:t>
      </w:r>
    </w:p>
    <w:p>
      <w:pPr>
        <w:pStyle w:val="Titre4"/>
        <w:numPr>
          <w:ilvl w:val="3"/>
          <w:numId w:val="2"/>
        </w:numPr>
        <w:rPr/>
      </w:pPr>
      <w:bookmarkStart w:id="188" w:name="__RefHeading___Toc297311_1346298689"/>
      <w:bookmarkEnd w:id="188"/>
      <w:r>
        <w:rPr/>
        <w:t xml:space="preserve">Podos 2.3 – Promicanje europskih vrijednosti </w:t>
      </w:r>
    </w:p>
    <w:p>
      <w:pPr>
        <w:pStyle w:val="P68B1DB1Normal15"/>
        <w:rPr>
          <w:b/>
          <w:b/>
        </w:rPr>
      </w:pPr>
      <w:r>
        <w:rPr/>
        <w:t xml:space="preserve">18. EU bi trebao biti bliži građanima. Preporučujemo da EU uspostavi i ojača veze s građanima i lokalnim institucijama kao što su lokalne vlasti, škole i općine. Cilj je poboljšati transparentnost, doprijeti do građana, bolje ih informirati o konkretnim inicijativama EU-a i bolje priopćavati opće informacije EU-a. </w:t>
      </w:r>
    </w:p>
    <w:p>
      <w:pPr>
        <w:pStyle w:val="Normal"/>
        <w:rPr/>
      </w:pPr>
      <w:r>
        <w:rPr/>
        <w:t xml:space="preserve"> </w:t>
      </w:r>
    </w:p>
    <w:p>
      <w:pPr>
        <w:pStyle w:val="Normal"/>
        <w:rPr/>
      </w:pPr>
      <w:r>
        <w:rPr/>
        <w:t xml:space="preserve">Preporučujemo te mjere jer trenutačne informacije o EU-u nisu dovoljno dostupne svim društvenim skupinama i ne utječu na obične građane. Često su dosadni, teško razumljivi i neprijateljski raspoloženi. Ta se situacija mora promijeniti kako bi građani imali jasnu viziju djelovanja i uloge EU-a. Kako bi se privukao interes javnosti, informacije povezane s EU-om moraju biti lako dostupne, motivirajuće, zanimljive i napisane na zajedničkom jeziku. Evo naših prijedloga: organizacija posjeta europskih političara školama, radijske kampanje u obliku podcasta, pisama, novinskih članaka, promidžbenih autobusa i društvenih medija, lokalnih skupština građana i osnivanje radne skupine za poboljšanje komunikacije EU-a. Tim će se mjerama građanima omogućiti dobivanje informacija o EU-u koje nacionalni mediji ne filtriraju. </w:t>
      </w:r>
    </w:p>
    <w:p>
      <w:pPr>
        <w:pStyle w:val="Normal"/>
        <w:rPr/>
      </w:pPr>
      <w:r>
        <w:rPr/>
        <w:t xml:space="preserve"> </w:t>
      </w:r>
    </w:p>
    <w:p>
      <w:pPr>
        <w:pStyle w:val="P68B1DB1Normal15"/>
        <w:rPr>
          <w:b/>
          <w:b/>
        </w:rPr>
      </w:pPr>
      <w:r>
        <w:rPr/>
        <w:t xml:space="preserve">19. Preporučujemo veće sudjelovanje građana u politikama EU-a. Predlažemo organizaciju događanja koja uključuju izravno sudjelovanje građana po uzoru na Konferenciju o budućnosti Europe. Trebalo bi ih organizirati na nacionalnoj, lokalnoj i europskoj razini. EU bi trebao definirati dosljednu strategiju i centralizirane smjernice za te događaje. </w:t>
      </w:r>
    </w:p>
    <w:p>
      <w:pPr>
        <w:pStyle w:val="Normal"/>
        <w:rPr/>
      </w:pPr>
      <w:r>
        <w:rPr/>
        <w:t xml:space="preserve"> </w:t>
      </w:r>
    </w:p>
    <w:p>
      <w:pPr>
        <w:pStyle w:val="Normal"/>
        <w:rPr/>
      </w:pPr>
      <w:r>
        <w:rPr/>
        <w:t xml:space="preserve">Preporučujemo te mjere jer će se tim postupcima participativne demokracije pružiti točne informacije o EU-u i poboljšati kvaliteta politika EU-a. Događanja bi se trebala organizirati na način kojim se promiču temeljne vrijednosti Unije – demokracija i sudjelovanje građana. Ti bi događaji političarima pružili priliku da pokažu građanima da im je važno da građani budu informirani o aktualnim događajima i da su povezani s njihovom definicijom. Centraliziranim smjernicama osigurat će se dosljednost i dosljednost nacionalnih i lokalnih konferencija. </w:t>
      </w:r>
    </w:p>
    <w:p>
      <w:pPr>
        <w:pStyle w:val="Normal"/>
        <w:rPr/>
      </w:pPr>
      <w:r>
        <w:rPr/>
        <w:t xml:space="preserve"> </w:t>
      </w:r>
    </w:p>
    <w:p>
      <w:pPr>
        <w:pStyle w:val="Titre3"/>
        <w:numPr>
          <w:ilvl w:val="2"/>
          <w:numId w:val="2"/>
        </w:numPr>
        <w:rPr/>
      </w:pPr>
      <w:bookmarkStart w:id="189" w:name="__RefHeading___Toc297313_1346298689"/>
      <w:bookmarkEnd w:id="189"/>
      <w:r>
        <w:rPr/>
        <w:t xml:space="preserve">Os 3: Snažan EU u mirnom svijetu </w:t>
      </w:r>
    </w:p>
    <w:p>
      <w:pPr>
        <w:pStyle w:val="Titre4"/>
        <w:numPr>
          <w:ilvl w:val="3"/>
          <w:numId w:val="2"/>
        </w:numPr>
        <w:rPr/>
      </w:pPr>
      <w:bookmarkStart w:id="190" w:name="__RefHeading___Toc297315_1346298689"/>
      <w:bookmarkEnd w:id="190"/>
      <w:r>
        <w:rPr/>
        <w:t xml:space="preserve">Podos 3.1. – Sigurnost i obrana </w:t>
      </w:r>
    </w:p>
    <w:p>
      <w:pPr>
        <w:pStyle w:val="P68B1DB1Normal15"/>
        <w:rPr>
          <w:b/>
          <w:b/>
        </w:rPr>
      </w:pPr>
      <w:r>
        <w:rPr/>
        <w:t xml:space="preserve">20. Preporučujemo da se buduće zajedničke oružane snage Europske unije koriste prvenstveno u obrambene svrhe. Svaka agresivna vojna akcija, bez obzira na njezinu prirodu, je isključena. U Europi bi se time osigurala sredstva za pružanje pomoći u slučaju krize, posebno u slučaju prirodne katastrofe. Izvan europskih granica time bi se omogućilo raspoređivanje resursa na područja s iznimnim okolnostima, isključivo u okviru pravnog mandata Vijeća sigurnosti UN-a, a time i u skladu s međunarodnim pravom. </w:t>
      </w:r>
    </w:p>
    <w:p>
      <w:pPr>
        <w:pStyle w:val="Normal"/>
        <w:rPr/>
      </w:pPr>
      <w:r>
        <w:rPr/>
        <w:t xml:space="preserve"> </w:t>
      </w:r>
    </w:p>
    <w:p>
      <w:pPr>
        <w:pStyle w:val="Normal"/>
        <w:rPr/>
      </w:pPr>
      <w:r>
        <w:rPr/>
        <w:t xml:space="preserve">Ako se provede, Europska unija mogla bi se smatrati vjerodostojnim, odgovornim, snažnim i mirnim partnerom na međunarodnoj sceni. Stoga bi se njegovim povećanim kapacitetom za odgovor na krizne situacije u zemlji i inozemstvu trebale zaštititi njegove temeljne vrijednosti. </w:t>
      </w:r>
    </w:p>
    <w:p>
      <w:pPr>
        <w:pStyle w:val="Normal"/>
        <w:rPr/>
      </w:pPr>
      <w:r>
        <w:rPr/>
        <w:t xml:space="preserve"> </w:t>
      </w:r>
    </w:p>
    <w:p>
      <w:pPr>
        <w:pStyle w:val="Titre4"/>
        <w:numPr>
          <w:ilvl w:val="3"/>
          <w:numId w:val="2"/>
        </w:numPr>
        <w:rPr/>
      </w:pPr>
      <w:bookmarkStart w:id="191" w:name="__RefHeading___Toc297317_1346298689"/>
      <w:bookmarkEnd w:id="191"/>
      <w:r>
        <w:rPr/>
        <w:t xml:space="preserve">Podos 3.2. – Donošenje odluka i vanjska politika EU-a </w:t>
      </w:r>
    </w:p>
    <w:p>
      <w:pPr>
        <w:pStyle w:val="P68B1DB1Normal15"/>
        <w:rPr>
          <w:b/>
          <w:b/>
        </w:rPr>
      </w:pPr>
      <w:r>
        <w:rPr/>
        <w:t xml:space="preserve">21. Preporučujemo da se sva područja u kojima se odluke donose jednoglasno donose kvalificiranom većinom. Jedine iznimke trebale bi biti ulazak novih država članica u Uniju i izmjena temeljnih načela Unije sadržanih u članku 2. Ugovora iz Lisabona i Povelji Europske unije o temeljnim pravima. </w:t>
      </w:r>
    </w:p>
    <w:p>
      <w:pPr>
        <w:pStyle w:val="Normal"/>
        <w:rPr/>
      </w:pPr>
      <w:r>
        <w:rPr/>
        <w:t xml:space="preserve"> </w:t>
      </w:r>
    </w:p>
    <w:p>
      <w:pPr>
        <w:pStyle w:val="Normal"/>
        <w:rPr/>
      </w:pPr>
      <w:r>
        <w:rPr/>
        <w:t xml:space="preserve">Time bi se ojačao položaj EU-a u svijetu predstavljanjem ujedinjenog fronta u odnosu na treće zemlje i olakšao njegov ukupni kapacitet za odgovor, uključujući odgovor na krizu. </w:t>
      </w:r>
    </w:p>
    <w:p>
      <w:pPr>
        <w:pStyle w:val="Normal"/>
        <w:rPr/>
      </w:pPr>
      <w:r>
        <w:rPr/>
        <w:t xml:space="preserve"> </w:t>
      </w:r>
    </w:p>
    <w:p>
      <w:pPr>
        <w:pStyle w:val="P68B1DB1Normal15"/>
        <w:rPr>
          <w:b/>
          <w:b/>
        </w:rPr>
      </w:pPr>
      <w:r>
        <w:rPr/>
        <w:t xml:space="preserve">22. Preporučujemo da Europska unija ojača svoje kapacitete za nametanje sankcija državama članicama, vladama, subjektima, skupinama ili organizacijama i pojedincima koji ne poštuju njezina temeljna načela, sporazume i zakone. Od presudne je važnosti da se sankcije koje već postoje brzo provedu i učinkovito poštuju. Sankcije nametnute trećim zemljama trebale bi biti razmjerne djelovanju koje ih je pokrenulo, biti učinkovite i pravodobno se primjenjivati. </w:t>
      </w:r>
    </w:p>
    <w:p>
      <w:pPr>
        <w:pStyle w:val="Normal"/>
        <w:rPr/>
      </w:pPr>
      <w:r>
        <w:rPr/>
        <w:t xml:space="preserve"> </w:t>
      </w:r>
    </w:p>
    <w:p>
      <w:pPr>
        <w:pStyle w:val="Normal"/>
        <w:rPr/>
      </w:pPr>
      <w:r>
        <w:rPr/>
        <w:t xml:space="preserve">Kako bi EU bio vjerodostojan i pouzdan, mora nametnuti sankcije onima koji krše njegova načela. Takve bi se sankcije trebale primjenjivati učinkovito i brzo te bi trebale podlijegati kontrolama. </w:t>
      </w:r>
    </w:p>
    <w:p>
      <w:pPr>
        <w:pStyle w:val="Normal"/>
        <w:rPr/>
      </w:pPr>
      <w:r>
        <w:rPr/>
        <w:t xml:space="preserve"> </w:t>
      </w:r>
    </w:p>
    <w:p>
      <w:pPr>
        <w:pStyle w:val="Titre4"/>
        <w:numPr>
          <w:ilvl w:val="3"/>
          <w:numId w:val="2"/>
        </w:numPr>
        <w:rPr/>
      </w:pPr>
      <w:bookmarkStart w:id="192" w:name="__RefHeading___Toc297319_1346298689"/>
      <w:bookmarkEnd w:id="192"/>
      <w:r>
        <w:rPr/>
        <w:t xml:space="preserve">Podos 3.3 – Susjedne zemlje i proširenje </w:t>
      </w:r>
    </w:p>
    <w:p>
      <w:pPr>
        <w:pStyle w:val="P68B1DB1Normal15"/>
        <w:rPr>
          <w:b/>
          <w:b/>
        </w:rPr>
      </w:pPr>
      <w:r>
        <w:rPr/>
        <w:t xml:space="preserve">23. Preporučujemo da Europska unija dodijeli poseban proračun za razvoj obrazovnih programa namijenjenih funkcioniranju EU-a i njegovim vrijednostima. Ti će se programi zatim ponuditi državama članicama ako ih žele uključiti u svoje školske kurikulume (osnovno i srednjoškolsko obrazovanje i sveučilišta). Osim toga, studentima koji žele studirati u drugoj europskoj zemlji u okviru programa Erasmus mogao bi se ponuditi poseban tečaj o EU-u i njegovu funkcioniranju. Studenti koji odaberu ovaj tečaj imali bi prednost kako bi imali koristi od tih programa Erasmus. </w:t>
      </w:r>
    </w:p>
    <w:p>
      <w:pPr>
        <w:pStyle w:val="Normal"/>
        <w:rPr/>
      </w:pPr>
      <w:r>
        <w:rPr/>
        <w:t xml:space="preserve"> </w:t>
      </w:r>
    </w:p>
    <w:p>
      <w:pPr>
        <w:pStyle w:val="Normal"/>
        <w:rPr/>
      </w:pPr>
      <w:r>
        <w:rPr/>
        <w:t xml:space="preserve">Preporučujemo te mjere kako bi se povećao osjećaj pripadnosti EU-u. Na taj će se način građani bolje poistovjetiti s Unijom i prenijeti njezine vrijednosti. Osim toga, tim će se mjerama poboljšati transparentnost u pogledu funkcioniranja EU-a i njegovih prednosti, kao i borba protiv antieuropskih pokreta. Te bi mjere trebale odvratiti države članice od napuštanja EU-a. </w:t>
      </w:r>
    </w:p>
    <w:p>
      <w:pPr>
        <w:pStyle w:val="Normal"/>
        <w:rPr/>
      </w:pPr>
      <w:r>
        <w:rPr/>
        <w:t xml:space="preserve"> </w:t>
      </w:r>
    </w:p>
    <w:p>
      <w:pPr>
        <w:pStyle w:val="P68B1DB1Normal15"/>
        <w:rPr>
          <w:b/>
          <w:b/>
        </w:rPr>
      </w:pPr>
      <w:r>
        <w:rPr/>
        <w:t xml:space="preserve">24. Preporučujemo da EU više iskoristi svoju političku i gospodarsku važnost u odnosima s drugim zemljama kako bi se spriječilo da određene države članice budu izložene bilateralnom gospodarskom, političkom i društvenom pritisku. </w:t>
      </w:r>
    </w:p>
    <w:p>
      <w:pPr>
        <w:pStyle w:val="Normal"/>
        <w:rPr/>
      </w:pPr>
      <w:r>
        <w:rPr/>
        <w:t xml:space="preserve"> </w:t>
      </w:r>
    </w:p>
    <w:p>
      <w:pPr>
        <w:pStyle w:val="Normal"/>
        <w:rPr/>
      </w:pPr>
      <w:r>
        <w:rPr/>
        <w:t xml:space="preserve">Ove mjere predlažemo iz tri razloga. Prije svega, ojačat će se osjećaj jedinstva unutar EU-a. Drugo, jednostrana reakcija bit će jasan, snažan i brz odgovor kako bi se izbjegao svaki pokušaj trećih zemalja da maltretiraju ili suzbiju države članice EU-a. Naposljetku, njima će se ojačati sigurnost Unije i osigurati da se nijedna država članica ne osjeća napušteno ili zanemareno. Bilateralne reakcije dijele EU i predstavljaju slabost koju treće zemlje koriste protiv nas. </w:t>
      </w:r>
    </w:p>
    <w:p>
      <w:pPr>
        <w:pStyle w:val="Normal"/>
        <w:rPr/>
      </w:pPr>
      <w:r>
        <w:rPr/>
        <w:t xml:space="preserve"> </w:t>
      </w:r>
    </w:p>
    <w:p>
      <w:pPr>
        <w:pStyle w:val="P68B1DB1Normal15"/>
        <w:rPr>
          <w:b/>
          <w:b/>
        </w:rPr>
      </w:pPr>
      <w:r>
        <w:rPr/>
        <w:t xml:space="preserve">25. „Preporučujemo Uniji da poboljša svoju komunikacijsku strategiju”. S jedne strane, EU bi trebao povećati svoju vidljivost na društvenim mrežama i aktivno promicati njegov sadržaj. S druge strane, svake bi godine trebao nastaviti organizirati konferencije kao što je Konferencija o budućnosti Europe. Također preporučujemo da se nastavi poticati inovacije promicanjem pristupačne europske društvene mreže. </w:t>
      </w:r>
    </w:p>
    <w:p>
      <w:pPr>
        <w:pStyle w:val="Normal"/>
        <w:rPr/>
      </w:pPr>
      <w:r>
        <w:rPr/>
        <w:t xml:space="preserve"> </w:t>
      </w:r>
    </w:p>
    <w:p>
      <w:pPr>
        <w:pStyle w:val="Normal"/>
        <w:rPr/>
      </w:pPr>
      <w:r>
        <w:rPr/>
        <w:t xml:space="preserve">Ti bi prijedlozi doprli do mladih, ali i povećali interes i sudjelovanje europskih građana s pomoću privlačnijeg i učinkovitijeg komunikacijskog alata. Organizacija događanja, kao što je Konferencija o budućnosti Europe, trebala bi građanima omogućiti veću uključenost u postupak donošenja odluka i osigurati da se njihov glas čuje. </w:t>
      </w:r>
    </w:p>
    <w:p>
      <w:pPr>
        <w:pStyle w:val="Normal"/>
        <w:rPr/>
      </w:pPr>
      <w:r>
        <w:rPr/>
        <w:t xml:space="preserve"> </w:t>
      </w:r>
    </w:p>
    <w:p>
      <w:pPr>
        <w:pStyle w:val="P68B1DB1Normal15"/>
        <w:rPr>
          <w:b/>
          <w:b/>
        </w:rPr>
      </w:pPr>
      <w:r>
        <w:rPr/>
        <w:t xml:space="preserve">26. Preporučujemo državama članicama da donesu snažnu viziju i zajedničku strategiju za usklađivanje i učvršćivanje europskog identiteta i jedinstva prije daljnjeg proširenja Unije. </w:t>
      </w:r>
    </w:p>
    <w:p>
      <w:pPr>
        <w:pStyle w:val="Normal"/>
        <w:rPr/>
      </w:pPr>
      <w:r>
        <w:rPr/>
        <w:t xml:space="preserve"> </w:t>
      </w:r>
    </w:p>
    <w:p>
      <w:pPr>
        <w:pStyle w:val="Normal"/>
        <w:rPr/>
      </w:pPr>
      <w:r>
        <w:rPr/>
        <w:t xml:space="preserve">Smatramo da je ključno ojačati EU i ojačati odnose među državama članicama prije razmatranja integracije drugih zemalja. Što je više država članica u EU-u, to je složeniji postupak donošenja odluka; stoga je važno preispitati jednoglasno odlučivanje u postupcima donošenja odluka. </w:t>
      </w:r>
    </w:p>
    <w:p>
      <w:pPr>
        <w:pStyle w:val="Normal"/>
        <w:rPr/>
      </w:pPr>
      <w:r>
        <w:rPr/>
        <w:t xml:space="preserve"> </w:t>
      </w:r>
    </w:p>
    <w:p>
      <w:pPr>
        <w:pStyle w:val="Titre3"/>
        <w:numPr>
          <w:ilvl w:val="2"/>
          <w:numId w:val="2"/>
        </w:numPr>
        <w:rPr/>
      </w:pPr>
      <w:bookmarkStart w:id="193" w:name="__RefHeading___Toc297321_1346298689"/>
      <w:bookmarkEnd w:id="193"/>
      <w:r>
        <w:rPr/>
        <w:t xml:space="preserve">Os 4: Migracija s ljudske točke gledišta </w:t>
      </w:r>
    </w:p>
    <w:p>
      <w:pPr>
        <w:pStyle w:val="Titre4"/>
        <w:numPr>
          <w:ilvl w:val="3"/>
          <w:numId w:val="2"/>
        </w:numPr>
        <w:rPr/>
      </w:pPr>
      <w:bookmarkStart w:id="194" w:name="__RefHeading___Toc297323_1346298689"/>
      <w:bookmarkEnd w:id="194"/>
      <w:r>
        <w:rPr/>
        <w:t xml:space="preserve">Podos 4.1 – Rješavanje uzroka emigracije </w:t>
      </w:r>
    </w:p>
    <w:p>
      <w:pPr>
        <w:pStyle w:val="P68B1DB1Normal15"/>
        <w:rPr>
          <w:b/>
          <w:b/>
        </w:rPr>
      </w:pPr>
      <w:r>
        <w:rPr/>
        <w:t xml:space="preserve">27. Preporučujemo da Europska unija aktivno sudjeluje u gospodarskom razvoju trećih zemalja i zemalja iz kojih potječu najveći tokovi migranata. Uz pomoć relevantnih tijela (lokalnih nevladinih organizacija i lokalnih političara, stručnjaka na terenu itd.) EU bi trebao tražiti načine mirne i učinkovite intervencije u zemljama iz kojih potječu najveći priljevi migranata i koje su pristale na modalitete suradnje. Te bi intervencije trebale imati opipljive i mjerljive učinke, koje bi trebalo jasno istaknuti kako bi europski građani mogli razumjeti politiku razvojne pomoći Unije. Stoga bi mjere razvojne pomoći EU-a trebale postati vidljivije. </w:t>
      </w:r>
    </w:p>
    <w:p>
      <w:pPr>
        <w:pStyle w:val="Normal"/>
        <w:rPr/>
      </w:pPr>
      <w:r>
        <w:rPr/>
        <w:t xml:space="preserve"> </w:t>
      </w:r>
    </w:p>
    <w:p>
      <w:pPr>
        <w:pStyle w:val="Normal"/>
        <w:rPr/>
      </w:pPr>
      <w:r>
        <w:rPr/>
        <w:t xml:space="preserve">Čak i ako EU radi na međunarodnom razvoju, mora nastaviti s djelovanjem i ulagati u transparentnost i vidljivost svoje politike u tom području. </w:t>
      </w:r>
    </w:p>
    <w:p>
      <w:pPr>
        <w:pStyle w:val="Normal"/>
        <w:rPr/>
      </w:pPr>
      <w:r>
        <w:rPr/>
        <w:t xml:space="preserve"> </w:t>
      </w:r>
    </w:p>
    <w:p>
      <w:pPr>
        <w:pStyle w:val="P68B1DB1Normal15"/>
        <w:rPr>
          <w:b/>
          <w:b/>
        </w:rPr>
      </w:pPr>
      <w:r>
        <w:rPr/>
        <w:t xml:space="preserve">28. Preporučujemo uspostavu zajedničkog europskog okvira za usklađivanje radnih uvjeta diljem Unije (minimalna plaća, radno vrijeme itd.). EU bi trebao nastojati stvoriti zajedničke osnovne standarde rada kako bi se spriječilo da građani napuste svoju zemlju kako bi tražili bolje radne uvjete drugdje. U okviru tih standarda EU bi trebao ojačati ulogu sindikata na transnacionalnoj razini. Na taj bi način EU prepoznao da su unutarnje gospodarske migracije (migracija građana EU-a) ozbiljan problem. </w:t>
      </w:r>
    </w:p>
    <w:p>
      <w:pPr>
        <w:pStyle w:val="Normal"/>
        <w:rPr/>
      </w:pPr>
      <w:r>
        <w:rPr/>
        <w:t xml:space="preserve"> </w:t>
      </w:r>
    </w:p>
    <w:p>
      <w:pPr>
        <w:pStyle w:val="Normal"/>
        <w:rPr/>
      </w:pPr>
      <w:r>
        <w:rPr/>
        <w:t xml:space="preserve">Ta preporuka proizlazi iz zaključka da velik broj ljudi u EU-u migrira iz gospodarskih razloga zbog razlika u radnim uvjetima među državama članicama. Potrebno je spriječiti taj odljev mozgova kako bi države članice zadržale svoje talente i radnu snagu. Podržavamo slobodno kretanje građana, ali vjerujemo da je migracija građana EU-a između različitih država članica, kada to nije poželjno, posljedica gospodarskih razloga. Zato je važno uspostaviti zajednički okvir za rad. </w:t>
      </w:r>
    </w:p>
    <w:p>
      <w:pPr>
        <w:pStyle w:val="Normal"/>
        <w:rPr/>
      </w:pPr>
      <w:r>
        <w:rPr/>
        <w:t xml:space="preserve"> </w:t>
      </w:r>
    </w:p>
    <w:p>
      <w:pPr>
        <w:pStyle w:val="Titre4"/>
        <w:numPr>
          <w:ilvl w:val="3"/>
          <w:numId w:val="2"/>
        </w:numPr>
        <w:rPr/>
      </w:pPr>
      <w:bookmarkStart w:id="195" w:name="__RefHeading___Toc297325_1346298689"/>
      <w:bookmarkEnd w:id="195"/>
      <w:r>
        <w:rPr/>
        <w:t xml:space="preserve">Podos 4.2. – Razmatranja ljudi </w:t>
      </w:r>
    </w:p>
    <w:p>
      <w:pPr>
        <w:pStyle w:val="P68B1DB1Normal15"/>
        <w:rPr>
          <w:b/>
          <w:b/>
        </w:rPr>
      </w:pPr>
      <w:r>
        <w:rPr/>
        <w:t xml:space="preserve">29. Preporučujemo provedbu zajedničke migracijske politike koja se temelji na načelu solidarnosti. Želimo se usredotočiti na problem izbjeglica. Zajednički postupak za sve države članice EU-a trebao bi se temeljiti na najučinkovitijim praksama u svim državama članicama EU-a. Taj bi postupak trebala proaktivno provoditi nacionalna tijela i uprava EU-a. </w:t>
      </w:r>
    </w:p>
    <w:p>
      <w:pPr>
        <w:pStyle w:val="Normal"/>
        <w:rPr/>
      </w:pPr>
      <w:r>
        <w:rPr/>
        <w:t xml:space="preserve"> </w:t>
      </w:r>
    </w:p>
    <w:p>
      <w:pPr>
        <w:pStyle w:val="Normal"/>
        <w:rPr/>
      </w:pPr>
      <w:r>
        <w:rPr/>
        <w:t xml:space="preserve">Problem izbjeglica utječe na sve države članice. Te države trenutačno imaju previše različite prakse, što negativno utječe na izbjeglice i građane EU-a. Stoga je potrebno usvojiti dosljedan i dosljedan pristup. </w:t>
      </w:r>
    </w:p>
    <w:p>
      <w:pPr>
        <w:pStyle w:val="Normal"/>
        <w:rPr/>
      </w:pPr>
      <w:r>
        <w:rPr/>
        <w:t xml:space="preserve"> </w:t>
      </w:r>
    </w:p>
    <w:p>
      <w:pPr>
        <w:pStyle w:val="P68B1DB1Normal15"/>
        <w:rPr>
          <w:b/>
          <w:b/>
        </w:rPr>
      </w:pPr>
      <w:r>
        <w:rPr/>
        <w:t xml:space="preserve">30. Preporučujemo da EU pojača napore u informiranju i obrazovanju građana država članica o pitanjima povezanima s migracijama. To bi se trebalo postići obrazovanjem djece što je prije moguće od početka osnovne škole o temama kao što su migracije i integracija. Ako ovo rano obrazovanje kombiniramo s aktivnostima nevladinih organizacija i organizacija mladih, kao i s velikim medijskim kampanjama, mogli bismo u potpunosti ostvariti naš cilj. Osim toga, mogli bi se koristiti brojni komunikacijski mediji: letci, televizija i društvene mreže, među ostalim. </w:t>
      </w:r>
    </w:p>
    <w:p>
      <w:pPr>
        <w:pStyle w:val="Normal"/>
        <w:rPr/>
      </w:pPr>
      <w:r>
        <w:rPr/>
        <w:t xml:space="preserve"> </w:t>
      </w:r>
    </w:p>
    <w:p>
      <w:pPr>
        <w:pStyle w:val="Normal"/>
        <w:rPr/>
      </w:pPr>
      <w:r>
        <w:rPr/>
        <w:t xml:space="preserve">Važno je pokazati da migracije imaju i mnoge pozitivne aspekte, kao što je dodatna radna snaga. Željeli bismo naglasiti važnost podizanja svijesti o oba procesa kako bi građani razumjeli razloge i posljedice migracija i uklonili stigmu koja proizlazi iz percipiranja kao migranta. </w:t>
      </w:r>
    </w:p>
    <w:p>
      <w:pPr>
        <w:pStyle w:val="Normal"/>
        <w:rPr/>
      </w:pPr>
      <w:r>
        <w:rPr/>
        <w:t xml:space="preserve"> </w:t>
      </w:r>
    </w:p>
    <w:p>
      <w:pPr>
        <w:pStyle w:val="Titre4"/>
        <w:numPr>
          <w:ilvl w:val="3"/>
          <w:numId w:val="2"/>
        </w:numPr>
        <w:rPr/>
      </w:pPr>
      <w:bookmarkStart w:id="196" w:name="__RefHeading___Toc297327_1346298689"/>
      <w:bookmarkEnd w:id="196"/>
      <w:r>
        <w:rPr/>
        <w:t xml:space="preserve">Podos 4.3. – Granice </w:t>
      </w:r>
    </w:p>
    <w:p>
      <w:pPr>
        <w:pStyle w:val="P68B1DB1Normal15"/>
        <w:rPr>
          <w:b/>
          <w:b/>
        </w:rPr>
      </w:pPr>
      <w:r>
        <w:rPr/>
        <w:t xml:space="preserve">31. Preporučujemo da se Direktiva 2013/33/EU o minimalnim standardima za prihvat tražitelja azila u državama članicama zamijeni obveznom uredbom EU-a koja će se ujednačeno primjenjivati u svim državama članicama. Prednost bi trebalo dati poboljšanju prihvatnih i smještajnih objekata. Sud preporučuje osnivanje posebnog tijela EU-a za praćenje provedbe Uredbe. </w:t>
      </w:r>
    </w:p>
    <w:p>
      <w:pPr>
        <w:pStyle w:val="Normal"/>
        <w:rPr/>
      </w:pPr>
      <w:r>
        <w:rPr/>
        <w:t xml:space="preserve"> </w:t>
      </w:r>
    </w:p>
    <w:p>
      <w:pPr>
        <w:pStyle w:val="Normal"/>
        <w:rPr/>
      </w:pPr>
      <w:r>
        <w:rPr/>
        <w:t xml:space="preserve">Naime, Direktiva se ne provodi ujednačeno u svim državama članicama. Moramo izbjeći ponavljanje uvjeta u izbjegličkom kampu Moria. Stoga bi preporučenu Uredbu trebalo provesti i uključivati obvezne sankcije. Tijelo za praćenje trebalo bi biti čvrsto i pouzdano. </w:t>
      </w:r>
    </w:p>
    <w:p>
      <w:pPr>
        <w:pStyle w:val="Normal"/>
        <w:rPr/>
      </w:pPr>
      <w:r>
        <w:rPr/>
        <w:t xml:space="preserve"> </w:t>
      </w:r>
    </w:p>
    <w:p>
      <w:pPr>
        <w:pStyle w:val="P68B1DB1Normal15"/>
        <w:rPr>
          <w:b/>
          <w:b/>
        </w:rPr>
      </w:pPr>
      <w:r>
        <w:rPr/>
        <w:t xml:space="preserve">32. Preporučujemo da EU osigura da svi tražitelji azila i izbjeglice pohađaju tečajeve jezika i integracije dok se njihov zahtjev za boravak ispituje. Tečajevi bi trebali biti obvezni, besplatni i uključivati osobnu pomoć za početnu integraciju. Oni bi trebali započeti u roku od dva tjedna od podnošenja zahtjeva za boravak. Također bi trebalo uspostaviti mehanizme poticaja i sankcija. </w:t>
      </w:r>
    </w:p>
    <w:p>
      <w:pPr>
        <w:pStyle w:val="Normal"/>
        <w:rPr/>
      </w:pPr>
      <w:r>
        <w:rPr/>
        <w:t xml:space="preserve"> </w:t>
      </w:r>
    </w:p>
    <w:p>
      <w:pPr>
        <w:pStyle w:val="Normal"/>
        <w:rPr/>
      </w:pPr>
      <w:r>
        <w:rPr/>
        <w:t xml:space="preserve">Učenje jezika i razumijevanje kulture, povijesti i etike zemlje dolaska ključan je korak u integraciji. Trajanje kašnjenja prije početka početnog procesa integracije negativno utječe na socijalnu asimilaciju migranata. Mehanizmi sankcioniranja mogu pomoći u utvrđivanju spremnosti migranata na integraciju. </w:t>
      </w:r>
    </w:p>
    <w:p>
      <w:pPr>
        <w:pStyle w:val="Normal"/>
        <w:rPr/>
      </w:pPr>
      <w:r>
        <w:rPr/>
        <w:t xml:space="preserve"> </w:t>
      </w:r>
    </w:p>
    <w:p>
      <w:pPr>
        <w:pStyle w:val="Titre3"/>
        <w:numPr>
          <w:ilvl w:val="2"/>
          <w:numId w:val="2"/>
        </w:numPr>
        <w:rPr/>
      </w:pPr>
      <w:bookmarkStart w:id="197" w:name="__RefHeading___Toc297329_1346298689"/>
      <w:bookmarkEnd w:id="197"/>
      <w:r>
        <w:rPr/>
        <w:t xml:space="preserve">Os 5: Odgovornost i solidarnost u EU-u </w:t>
      </w:r>
    </w:p>
    <w:p>
      <w:pPr>
        <w:pStyle w:val="Titre4"/>
        <w:numPr>
          <w:ilvl w:val="3"/>
          <w:numId w:val="2"/>
        </w:numPr>
        <w:rPr/>
      </w:pPr>
      <w:bookmarkStart w:id="198" w:name="__RefHeading___Toc297331_1346298689"/>
      <w:bookmarkEnd w:id="198"/>
      <w:r>
        <w:rPr/>
        <w:t xml:space="preserve">Podos 5.1 – Raspodjela migranata </w:t>
      </w:r>
    </w:p>
    <w:p>
      <w:pPr>
        <w:pStyle w:val="P68B1DB1Normal15"/>
        <w:rPr>
          <w:b/>
          <w:b/>
        </w:rPr>
      </w:pPr>
      <w:r>
        <w:rPr/>
        <w:t xml:space="preserve">33. Preporučujemo da se Dublinski sustav zamijeni pravno obvezujućim ugovorom kako bi se osigurala pravedna, uravnotežena i razmjerna raspodjela tražitelja azila u EU-u na temelju solidarnosti i pravde. Trenutačno izbjeglice moraju podnijeti zahtjev za azil u prvoj državi članici dolaska. Ta promjena sustava mora biti što je brže moguće. Prijedlog Europske komisije za novi pakt EU-a o migracijama i azilu od 2020. dobar je početak i trebao bi imati pravni oblik jer predviđa kvote za raspodjelu izbjeglica među državama članicama EU-a. </w:t>
      </w:r>
    </w:p>
    <w:p>
      <w:pPr>
        <w:pStyle w:val="Normal"/>
        <w:rPr/>
      </w:pPr>
      <w:r>
        <w:rPr/>
        <w:t xml:space="preserve"> </w:t>
      </w:r>
    </w:p>
    <w:p>
      <w:pPr>
        <w:pStyle w:val="Normal"/>
        <w:rPr/>
      </w:pPr>
      <w:r>
        <w:rPr/>
        <w:t xml:space="preserve">To preporučujemo jer postojeći Dublinski sustav ne poštuje načela solidarnosti i pravde. Njime se znatno opterećuje države članice blizu vanjskih granica EU-a koje tražitelji azila prelaze kako bi ušli na njezino državno područje. Sve države članice moraju preuzeti odgovornost za upravljanje priljevom izbjeglica u EU. EU je zajednica zajedničkih vrijednosti i mora djelovati u skladu s tim. </w:t>
      </w:r>
    </w:p>
    <w:p>
      <w:pPr>
        <w:pStyle w:val="Normal"/>
        <w:rPr/>
      </w:pPr>
      <w:r>
        <w:rPr/>
        <w:t xml:space="preserve"> </w:t>
      </w:r>
    </w:p>
    <w:p>
      <w:pPr>
        <w:pStyle w:val="P68B1DB1Normal15"/>
        <w:rPr>
          <w:b/>
          <w:b/>
        </w:rPr>
      </w:pPr>
      <w:r>
        <w:rPr/>
        <w:t xml:space="preserve">34. Preporučujemo da EU pomogne svojim državama članicama u bržoj obradi zahtjeva za azil i u skladu sa zajedničkim standardima. Osim toga, izbjeglicama bi trebalo osigurati humanitarni smještaj. Kako bi se iskrcale zemlje dolaska i obradili njihovi zahtjevi za azil drugdje, preporučujemo brzo i učinkovito premještanje izbjeglica u različite države članice nakon njihova prvog dolaska u EU. U tu svrhu potrebna je financijska potpora EU-a i organizacijska potpora Agencije EU-a za azil. Osobe čiji je zahtjev za azil odbijen moraju se učinkovito vratiti u njihovu zemlju podrijetla, pod uvjetom da se njihova zemlja podrijetla smatra sigurnom. </w:t>
      </w:r>
    </w:p>
    <w:p>
      <w:pPr>
        <w:pStyle w:val="Normal"/>
        <w:rPr/>
      </w:pPr>
      <w:r>
        <w:rPr/>
        <w:t xml:space="preserve"> </w:t>
      </w:r>
    </w:p>
    <w:p>
      <w:pPr>
        <w:pStyle w:val="Normal"/>
        <w:rPr/>
      </w:pPr>
      <w:r>
        <w:rPr/>
        <w:t xml:space="preserve">To preporučujemo jer postupci azila trenutačno traju predugo i mogu se razlikovati od jedne do druge države članice. Ubrzavanjem postupaka azila izbjeglice provode manje vremena čekajući konačnu odluku u objektima privremenog smještaja. Tražitelji azila mogu se brže integrirati. </w:t>
      </w:r>
    </w:p>
    <w:p>
      <w:pPr>
        <w:pStyle w:val="Normal"/>
        <w:rPr/>
      </w:pPr>
      <w:r>
        <w:rPr/>
        <w:t xml:space="preserve"> </w:t>
      </w:r>
    </w:p>
    <w:p>
      <w:pPr>
        <w:pStyle w:val="P68B1DB1Normal15"/>
        <w:rPr>
          <w:b/>
          <w:b/>
        </w:rPr>
      </w:pPr>
      <w:r>
        <w:rPr/>
        <w:t xml:space="preserve">35. Preporučujemo snažnu financijsku, logističku i operativnu potporu EU-a za upravljanje prvim prihvatom, što bi moglo dovesti do integracije ili repatrijacije nezakonitih migranata. Korisnici te potpore su pogranične države EU-a koje snose teret migracijskog priljeva. </w:t>
      </w:r>
    </w:p>
    <w:p>
      <w:pPr>
        <w:pStyle w:val="Normal"/>
        <w:rPr/>
      </w:pPr>
      <w:r>
        <w:rPr/>
        <w:t xml:space="preserve"> </w:t>
      </w:r>
    </w:p>
    <w:p>
      <w:pPr>
        <w:pStyle w:val="Normal"/>
        <w:rPr/>
      </w:pPr>
      <w:r>
        <w:rPr/>
        <w:t xml:space="preserve">Zbog svojeg zemljopisnog položaja neke su </w:t>
      </w:r>
      <w:r>
        <w:rPr/>
        <w:commentReference w:id="8"/>
      </w:r>
      <w:r>
        <w:rPr/>
        <w:t xml:space="preserve"> države članice najviše pogođene priljevom migranata. </w:t>
      </w:r>
    </w:p>
    <w:p>
      <w:pPr>
        <w:pStyle w:val="Normal"/>
        <w:rPr/>
      </w:pPr>
      <w:r>
        <w:rPr/>
        <w:t xml:space="preserve"> </w:t>
      </w:r>
    </w:p>
    <w:p>
      <w:pPr>
        <w:pStyle w:val="P68B1DB1Normal15"/>
        <w:rPr>
          <w:b/>
          <w:b/>
        </w:rPr>
      </w:pPr>
      <w:r>
        <w:rPr/>
        <w:t xml:space="preserve">36. Preporučujemo jačanje mandata Agencije EU-a za azil kako bi se postigla pravedna raspodjela tražitelja azila među državama članicama. Kako bi se to postiglo, trebalo bi uzeti u obzir potrebe takvih tražitelja azila, kao i logističke i gospodarske kapacitete država članica i njihove potrebe na tržištu rada. </w:t>
      </w:r>
    </w:p>
    <w:p>
      <w:pPr>
        <w:pStyle w:val="Normal"/>
        <w:rPr/>
      </w:pPr>
      <w:r>
        <w:rPr/>
        <w:t xml:space="preserve"> </w:t>
      </w:r>
    </w:p>
    <w:p>
      <w:pPr>
        <w:pStyle w:val="Normal"/>
        <w:rPr/>
      </w:pPr>
      <w:r>
        <w:rPr/>
        <w:t xml:space="preserve">Koordiniranom i centraliziranom raspodjelom tražitelja azila, koju države članice i njihovi građani smatraju pravednim, izbjegavaju se kaotične situacije i društvene napetosti te jača solidarnost među državama članicama. </w:t>
      </w:r>
    </w:p>
    <w:p>
      <w:pPr>
        <w:pStyle w:val="Normal"/>
        <w:rPr/>
      </w:pPr>
      <w:r>
        <w:rPr/>
        <w:t xml:space="preserve"> </w:t>
      </w:r>
    </w:p>
    <w:p>
      <w:pPr>
        <w:pStyle w:val="Titre4"/>
        <w:numPr>
          <w:ilvl w:val="3"/>
          <w:numId w:val="2"/>
        </w:numPr>
        <w:rPr/>
      </w:pPr>
      <w:bookmarkStart w:id="199" w:name="__RefHeading___Toc297333_1346298689"/>
      <w:bookmarkEnd w:id="199"/>
      <w:r>
        <w:rPr/>
        <w:t xml:space="preserve">Podos 5.2. – Zajednički pristup azilu </w:t>
      </w:r>
    </w:p>
    <w:p>
      <w:pPr>
        <w:pStyle w:val="P68B1DB1Normal15"/>
        <w:rPr>
          <w:b/>
          <w:b/>
        </w:rPr>
      </w:pPr>
      <w:r>
        <w:rPr/>
        <w:t xml:space="preserve">37. Preporučujemo osnivanje sveobuhvatne europske institucije ili jačanje Agencije EU-a za azil kako bi ona mogla obrađivati zahtjeve za azil za cijelu Europsku uniju i djelovati na temelju jedinstvenih standarda. Agencija bi također trebala biti odgovorna za ravnopravnu raspodjelu izbjeglica. Također bi trebala definirati sigurne i nesigurne zemlje podrijetla i biti odgovorna za vraćanje tražitelja azila čiji su zahtjevi odbijeni. </w:t>
      </w:r>
    </w:p>
    <w:p>
      <w:pPr>
        <w:pStyle w:val="Normal"/>
        <w:rPr/>
      </w:pPr>
      <w:r>
        <w:rPr/>
        <w:t xml:space="preserve"> </w:t>
      </w:r>
    </w:p>
    <w:p>
      <w:pPr>
        <w:pStyle w:val="Normal"/>
        <w:rPr/>
      </w:pPr>
      <w:r>
        <w:rPr/>
        <w:t xml:space="preserve">Postojeću politiku azila karakteriziraju nejasne odgovornosti i različiti standardi među državama članicama EU-a. Postupanje s postupcima azila stoga nije isto u različitim državama članicama. Osim toga, Agencija Europske unije za azil trenutačno ima samo moć utjecaja. Može savjetovati samo države članice o pitanjima azila. </w:t>
      </w:r>
    </w:p>
    <w:p>
      <w:pPr>
        <w:pStyle w:val="Normal"/>
        <w:rPr/>
      </w:pPr>
      <w:r>
        <w:rPr/>
        <w:t xml:space="preserve"> </w:t>
      </w:r>
    </w:p>
    <w:p>
      <w:pPr>
        <w:pStyle w:val="P68B1DB1Normal15"/>
        <w:rPr>
          <w:b/>
          <w:b/>
        </w:rPr>
      </w:pPr>
      <w:r>
        <w:rPr/>
        <w:t xml:space="preserve">38. Preporučujemo da se bez odgode uspostave specijalizirani centri za azil za maloljetnike bez pratnje u svim državama članicama EU-a. Cilj je pozdraviti i brinuti se o maloljetnicima u skladu s njihovim posebnim potrebama i što je prije moguće. </w:t>
      </w:r>
    </w:p>
    <w:p>
      <w:pPr>
        <w:pStyle w:val="Normal"/>
        <w:rPr/>
      </w:pPr>
      <w:r>
        <w:rPr/>
        <w:t xml:space="preserve"> </w:t>
      </w:r>
    </w:p>
    <w:p>
      <w:pPr>
        <w:pStyle w:val="Normal"/>
        <w:rPr/>
      </w:pPr>
      <w:r>
        <w:rPr/>
        <w:t xml:space="preserve">Dajemo ovu preporuku jer: </w:t>
      </w:r>
    </w:p>
    <w:p>
      <w:pPr>
        <w:pStyle w:val="Normal"/>
        <w:rPr/>
      </w:pPr>
      <w:r>
        <w:rPr/>
        <w:t xml:space="preserve">1) Mnogi maloljetnici vjerojatno će biti traumatizirani (jer dolaze iz zona sukoba); </w:t>
      </w:r>
    </w:p>
    <w:p>
      <w:pPr>
        <w:pStyle w:val="Normal"/>
        <w:rPr/>
      </w:pPr>
      <w:r>
        <w:rPr/>
        <w:t xml:space="preserve">2) Različite djece imaju različite potrebe (ovisno o dobi, zdravlju itd.); </w:t>
      </w:r>
    </w:p>
    <w:p>
      <w:pPr>
        <w:pStyle w:val="Normal"/>
        <w:rPr/>
      </w:pPr>
      <w:r>
        <w:rPr/>
        <w:t xml:space="preserve">(3) ako se provede, osigurat će se da ranjivi i traumatizirani maloljetnici dobiju svu potrebnu skrb što je prije moguće; </w:t>
      </w:r>
    </w:p>
    <w:p>
      <w:pPr>
        <w:pStyle w:val="Normal"/>
        <w:rPr/>
      </w:pPr>
      <w:r>
        <w:rPr/>
        <w:t xml:space="preserve">Ti su maloljetnici budući europski građani te bi stoga, ako se s njima postupa na odgovarajući način, trebali pozitivno doprinijeti budućnosti Europe. </w:t>
      </w:r>
    </w:p>
    <w:p>
      <w:pPr>
        <w:pStyle w:val="Normal"/>
        <w:rPr/>
      </w:pPr>
      <w:r>
        <w:rPr/>
        <w:t xml:space="preserve"> </w:t>
      </w:r>
    </w:p>
    <w:p>
      <w:pPr>
        <w:pStyle w:val="P68B1DB1Normal15"/>
        <w:rPr>
          <w:b/>
          <w:b/>
        </w:rPr>
      </w:pPr>
      <w:r>
        <w:rPr/>
        <w:t xml:space="preserve">39. Preporučujemo uspostavu zajedničkog, brzog i transparentnog sustava za obradu zahtjeva za azil. Tim bi se postupkom trebali predvidjeti minimalni standardi i primjenjivati na isti način u svim državama članicama. </w:t>
      </w:r>
    </w:p>
    <w:p>
      <w:pPr>
        <w:pStyle w:val="Normal"/>
        <w:rPr/>
      </w:pPr>
      <w:r>
        <w:rPr/>
        <w:t xml:space="preserve"> </w:t>
      </w:r>
    </w:p>
    <w:p>
      <w:pPr>
        <w:pStyle w:val="Normal"/>
        <w:rPr/>
      </w:pPr>
      <w:r>
        <w:rPr/>
        <w:t xml:space="preserve">Dajemo ovu preporuku jer: </w:t>
      </w:r>
    </w:p>
    <w:p>
      <w:pPr>
        <w:pStyle w:val="Normal"/>
        <w:rPr/>
      </w:pPr>
      <w:r>
        <w:rPr/>
        <w:t xml:space="preserve">(1) da se ta preporuka provede, obrada zahtjeva za azil bila bi brža i transparentnija; </w:t>
      </w:r>
    </w:p>
    <w:p>
      <w:pPr>
        <w:pStyle w:val="Normal"/>
        <w:rPr/>
      </w:pPr>
      <w:r>
        <w:rPr/>
        <w:t xml:space="preserve">2) sporost postojećih postupaka dovodi do nezakonitosti i kriminala; </w:t>
      </w:r>
    </w:p>
    <w:p>
      <w:pPr>
        <w:pStyle w:val="Normal"/>
        <w:rPr/>
      </w:pPr>
      <w:r>
        <w:rPr/>
        <w:t xml:space="preserve">Minimalni standardi predviđeni u našoj preporuci trebali bi uključivati poštovanje ljudskih prava, zdravlja i obrazovnih potreba tražitelja azila; </w:t>
      </w:r>
    </w:p>
    <w:p>
      <w:pPr>
        <w:pStyle w:val="Normal"/>
        <w:rPr/>
      </w:pPr>
      <w:r>
        <w:rPr/>
        <w:t xml:space="preserve">Provedba ove preporuke dovela bi do boljeg pristupa zapošljavanju i samodostatnosti, što bi omogućilo pozitivan doprinos europskom društvu; manje je vjerojatno da će se tražitelji azila čiji je profesionalni status reguliran zloupotrebljavati u njihovu radnom okruženju; time bi se mogla samo promicati integracija svih zainteresiranih strana; </w:t>
      </w:r>
    </w:p>
    <w:p>
      <w:pPr>
        <w:pStyle w:val="Normal"/>
        <w:rPr/>
      </w:pPr>
      <w:r>
        <w:rPr/>
        <w:t xml:space="preserve">5) produljeni boravak u centrima za azil negativno utječe na mentalno zdravlje i dobrobit stanara. </w:t>
      </w:r>
    </w:p>
    <w:p>
      <w:pPr>
        <w:pStyle w:val="Normal"/>
        <w:rPr/>
      </w:pPr>
      <w:r>
        <w:rPr/>
        <w:t xml:space="preserve"> </w:t>
      </w:r>
    </w:p>
    <w:p>
      <w:pPr>
        <w:pStyle w:val="P68B1DB1Normal15"/>
        <w:rPr>
          <w:b/>
          <w:b/>
        </w:rPr>
      </w:pPr>
      <w:r>
        <w:rPr/>
        <w:t xml:space="preserve">40. Snažno preporučujemo sveobuhvatnu reviziju svih sporazuma i zakona o azilu i imigraciji u Europi. Predlažemo usvajanje pristupa za cijelu Europu. </w:t>
      </w:r>
    </w:p>
    <w:p>
      <w:pPr>
        <w:pStyle w:val="Normal"/>
        <w:rPr/>
      </w:pPr>
      <w:r>
        <w:rPr/>
        <w:t xml:space="preserve"> </w:t>
      </w:r>
    </w:p>
    <w:p>
      <w:pPr>
        <w:pStyle w:val="Normal"/>
        <w:rPr/>
      </w:pPr>
      <w:r>
        <w:rPr/>
        <w:t xml:space="preserve">Dajemo ovu preporuku jer: </w:t>
      </w:r>
    </w:p>
    <w:p>
      <w:pPr>
        <w:pStyle w:val="Normal"/>
        <w:rPr/>
      </w:pPr>
      <w:r>
        <w:rPr/>
        <w:t xml:space="preserve">1) od 2015. svi su postojeći sporazumi neprimjenjivi, nepraktični i neprikladni; </w:t>
      </w:r>
    </w:p>
    <w:p>
      <w:pPr>
        <w:pStyle w:val="Normal"/>
        <w:rPr/>
      </w:pPr>
      <w:r>
        <w:rPr/>
        <w:t xml:space="preserve">2) EU treba smatrati glavnom „agencijom” koja nadzire sve druge agencije i nevladine organizacije čija je zadaća izravno rješavati pitanja azila; </w:t>
      </w:r>
    </w:p>
    <w:p>
      <w:pPr>
        <w:pStyle w:val="Normal"/>
        <w:rPr/>
      </w:pPr>
      <w:r>
        <w:rPr/>
        <w:t xml:space="preserve">(3) države članice koje su najviše pogođene situacijom su one koje se uglavnom prepuštaju da se same bore s tim problemom; izbor „à la carte” nekih država članica ne daje sliku jedinstva; </w:t>
      </w:r>
    </w:p>
    <w:p>
      <w:pPr>
        <w:pStyle w:val="Normal"/>
        <w:rPr/>
      </w:pPr>
      <w:r>
        <w:rPr/>
        <w:t xml:space="preserve">Novim ciljanim zakonodavstvom poboljšala bi se budućnost svih tražitelja azila i ojačalo jedinstvo Europe; </w:t>
      </w:r>
    </w:p>
    <w:p>
      <w:pPr>
        <w:pStyle w:val="Normal"/>
        <w:rPr/>
      </w:pPr>
      <w:r>
        <w:rPr/>
        <w:t xml:space="preserve">Nedostaci postojećeg zakonodavstva dovode do sukoba i nedovoljne usklađenosti diljem Europe te dovode do povećane netolerancije među europskim građanima prema migrantima. </w:t>
      </w:r>
    </w:p>
    <w:p>
      <w:pPr>
        <w:pStyle w:val="Normal"/>
        <w:rPr/>
      </w:pPr>
      <w:r>
        <w:rPr/>
        <w:t>Strože i relevantno zakonodavstvo smanjilo bi kriminal i zlouporabu postojećeg sustava azila.</w:t>
      </w:r>
    </w:p>
    <w:p>
      <w:pPr>
        <w:pStyle w:val="Normal"/>
        <w:rPr/>
      </w:pPr>
      <w:r>
        <w:rPr/>
        <w:t xml:space="preserve"> </w:t>
      </w:r>
    </w:p>
    <w:p>
      <w:pPr>
        <w:pStyle w:val="Titre3"/>
        <w:numPr>
          <w:ilvl w:val="2"/>
          <w:numId w:val="2"/>
        </w:numPr>
        <w:rPr/>
      </w:pPr>
      <w:bookmarkStart w:id="200" w:name="__RefHeading___Toc297335_1346298689"/>
      <w:bookmarkEnd w:id="200"/>
      <w:r>
        <w:rPr/>
        <w:t xml:space="preserve">Prilog: OSTALE PREPORUKE KOJE JE POVJERENSTVO RAZMOTRILO, ALI NISU DONESENE </w:t>
      </w:r>
    </w:p>
    <w:p>
      <w:pPr>
        <w:pStyle w:val="Titre4"/>
        <w:numPr>
          <w:ilvl w:val="3"/>
          <w:numId w:val="2"/>
        </w:numPr>
        <w:rPr/>
      </w:pPr>
      <w:bookmarkStart w:id="201" w:name="__RefHeading___Toc297337_1346298689"/>
      <w:bookmarkEnd w:id="201"/>
      <w:r>
        <w:rPr/>
        <w:t xml:space="preserve">Os 1: Samodostatnost i stabilnost </w:t>
      </w:r>
    </w:p>
    <w:p>
      <w:pPr>
        <w:pStyle w:val="Normal"/>
        <w:rPr/>
      </w:pPr>
      <w:r>
        <w:rPr/>
        <w:t xml:space="preserve">Podos 1.1. Autonomija EU-a </w:t>
      </w:r>
    </w:p>
    <w:p>
      <w:pPr>
        <w:pStyle w:val="P68B1DB1Normal15"/>
        <w:rPr>
          <w:b/>
          <w:b/>
        </w:rPr>
      </w:pPr>
      <w:r>
        <w:rPr/>
        <w:t xml:space="preserve">Ako to zatraže zemlje u razvoju, preporučujemo da se intervencijski programi za gospodarski razvoj razvijaju na temelju partnerstava prilagođenih potrebama svake zemlje i/ili na temelju trgovinskih sporazuma. Za to je potrebno prvo procijeniti gospodarski potencijal predmetnih zemalja, a zatim im pružiti potrebnu gospodarsku potporu i strukovno osposobljavanje. </w:t>
      </w:r>
    </w:p>
    <w:p>
      <w:pPr>
        <w:pStyle w:val="Normal"/>
        <w:rPr/>
      </w:pPr>
      <w:r>
        <w:rPr/>
        <w:t xml:space="preserve">To bi dovelo do veće industrijske neovisnosti i poboljšanja cjelokupne migracijske situacije otvaranjem radnih mjesta; to bi također dovelo do boljih trgovinskih sporazuma u zemljama u razvoju. </w:t>
      </w:r>
    </w:p>
    <w:p>
      <w:pPr>
        <w:pStyle w:val="Normal"/>
        <w:rPr/>
      </w:pPr>
      <w:r>
        <w:rPr/>
        <w:t xml:space="preserve"> </w:t>
      </w:r>
    </w:p>
    <w:p>
      <w:pPr>
        <w:pStyle w:val="Titre4"/>
        <w:numPr>
          <w:ilvl w:val="3"/>
          <w:numId w:val="2"/>
        </w:numPr>
        <w:rPr/>
      </w:pPr>
      <w:bookmarkStart w:id="202" w:name="__RefHeading___Toc297339_1346298689"/>
      <w:bookmarkEnd w:id="202"/>
      <w:r>
        <w:rPr/>
        <w:t xml:space="preserve">Os 2: EU kao međunarodni partner </w:t>
      </w:r>
    </w:p>
    <w:p>
      <w:pPr>
        <w:pStyle w:val="Normal"/>
        <w:rPr/>
      </w:pPr>
      <w:r>
        <w:rPr/>
        <w:t xml:space="preserve">Podos 2.1. – Etička perspektiva trgovinskih odnosa </w:t>
      </w:r>
    </w:p>
    <w:p>
      <w:pPr>
        <w:pStyle w:val="P68B1DB1Normal15"/>
        <w:rPr>
          <w:b/>
          <w:b/>
        </w:rPr>
      </w:pPr>
      <w:r>
        <w:rPr/>
        <w:t xml:space="preserve">Sud preporučuje da EU uvede pravila kojima se od poduzeća zahtijeva da revidiraju svoj lanac opskrbe i redovito podnose sveobuhvatno revizijsko izvješće, kao i odredbe za nagrađivanje ili ograničavanje uvoza na temelju etičkih kriterija. Trgovačka društva trebala bi dostaviti interno i/ili vanjsko izvješće o reviziji na temelju njihove veličine. </w:t>
      </w:r>
    </w:p>
    <w:p>
      <w:pPr>
        <w:pStyle w:val="Normal"/>
        <w:rPr/>
      </w:pPr>
      <w:r>
        <w:rPr/>
        <w:t xml:space="preserve"> </w:t>
      </w:r>
    </w:p>
    <w:p>
      <w:pPr>
        <w:pStyle w:val="Normal"/>
        <w:rPr/>
      </w:pPr>
      <w:r>
        <w:rPr/>
        <w:t xml:space="preserve">Potrebno je razviti etički aspekt trgovine s EU-om. To se može postići praćenjem poslovnih aktivnosti u međunarodnim lancima opskrbe i poticanjem poduzeća da se ponašaju prema etičkim kriterijima, kao što su opasni proizvodi, radnička prava i uvjeti, dječji rad i zaštita okoliša. Ova se preporuka ne bi primjenjivala na internetske proizvode koje izravno kupuje potrošač. </w:t>
      </w:r>
    </w:p>
    <w:p>
      <w:pPr>
        <w:pStyle w:val="Normal"/>
        <w:rPr/>
      </w:pPr>
      <w:r>
        <w:rPr/>
        <w:t xml:space="preserve"> </w:t>
      </w:r>
    </w:p>
    <w:p>
      <w:pPr>
        <w:pStyle w:val="Titre4"/>
        <w:numPr>
          <w:ilvl w:val="3"/>
          <w:numId w:val="2"/>
        </w:numPr>
        <w:rPr/>
      </w:pPr>
      <w:bookmarkStart w:id="203" w:name="__RefHeading___Toc297341_1346298689"/>
      <w:bookmarkEnd w:id="203"/>
      <w:r>
        <w:rPr/>
        <w:t xml:space="preserve">Os 3: Snažan EU u mirnom svijetu </w:t>
      </w:r>
    </w:p>
    <w:p>
      <w:pPr>
        <w:pStyle w:val="Normal"/>
        <w:rPr/>
      </w:pPr>
      <w:r>
        <w:rPr/>
        <w:t xml:space="preserve">Podos 3.1. – Sigurnost i obrana </w:t>
      </w:r>
    </w:p>
    <w:p>
      <w:pPr>
        <w:pStyle w:val="P68B1DB1Normal15"/>
        <w:rPr>
          <w:b/>
          <w:b/>
        </w:rPr>
      </w:pPr>
      <w:r>
        <w:rPr/>
        <w:t xml:space="preserve">Predlažemo da se preispita postojeća europska sigurnosna struktura kako bi postala učinkovitija i učinkovitija nadnacionalna struktura s povećanim kapacitetima u cilju stvaranja zajedničke vojske Europske unije. U tu bi svrhu nacionalne oružane snage trebalo postupno spojiti i preobraziti. Cilj je da se spajanjem vojnih kapaciteta diljem Europske unije dugoročno promiče i europska integracija. Stvaranje zajedničke vojske EU-a zahtijevalo bi i novi sporazum o suradnji s državama članicama EU-a i neeuropskim članicama NATO-a. </w:t>
      </w:r>
    </w:p>
    <w:p>
      <w:pPr>
        <w:pStyle w:val="Normal"/>
        <w:rPr/>
      </w:pPr>
      <w:r>
        <w:rPr/>
        <w:t xml:space="preserve"> </w:t>
      </w:r>
    </w:p>
    <w:p>
      <w:pPr>
        <w:pStyle w:val="Normal"/>
        <w:rPr/>
      </w:pPr>
      <w:r>
        <w:rPr/>
        <w:t xml:space="preserve">Ako se ova preporuka provede, vjerujemo da će vojne strukture unutar Europske unije postati isplativije i bolje odgovoriti i djelovati kada je to potrebno. Tim integriranim pristupom ojačala bi se sposobnost EU-a da u kritičnim situacijama odlučno i koordinirano djeluje. </w:t>
      </w:r>
    </w:p>
    <w:p>
      <w:pPr>
        <w:pStyle w:val="Normal"/>
        <w:rPr/>
      </w:pPr>
      <w:r>
        <w:rPr/>
        <w:t xml:space="preserve"> </w:t>
      </w:r>
    </w:p>
    <w:p>
      <w:pPr>
        <w:pStyle w:val="Titre4"/>
        <w:numPr>
          <w:ilvl w:val="3"/>
          <w:numId w:val="2"/>
        </w:numPr>
        <w:rPr/>
      </w:pPr>
      <w:bookmarkStart w:id="204" w:name="__RefHeading___Toc297343_1346298689"/>
      <w:bookmarkEnd w:id="204"/>
      <w:r>
        <w:rPr/>
        <w:t xml:space="preserve">Os 4: Emigracija s ljudske točke gledišta </w:t>
      </w:r>
    </w:p>
    <w:p>
      <w:pPr>
        <w:pStyle w:val="Normal"/>
        <w:rPr/>
      </w:pPr>
      <w:r>
        <w:rPr/>
        <w:t xml:space="preserve">Podos 4.1 – Rješavanje uzroka emigracije </w:t>
      </w:r>
    </w:p>
    <w:p>
      <w:pPr>
        <w:pStyle w:val="P68B1DB1Normal15"/>
        <w:rPr>
          <w:b/>
          <w:b/>
        </w:rPr>
      </w:pPr>
      <w:r>
        <w:rPr/>
        <w:t xml:space="preserve">Preporučujemo da EU uspostavi protokol djelovanja kao pripremu za sljedeću migracijsku krizu, tj. klimatsku krizu. U skladu s tim protokolom EU treba proširiti definiciju izbjeglica i tražitelja azila kako bi se uključili oni koji su pogođeni klimatskim promjenama. Budući da će zemlja podrijetla mnogih migranata postati nenastanjiva, Protokolom se također mora osigurati nova upotreba za područja pogođena klimatskim promjenama kako bi se pružila potpora onima koji su napustili ta područja. Na primjer, poplavljena područja mogla bi se koristiti za stvaranje vjetroelektrana. </w:t>
      </w:r>
    </w:p>
    <w:p>
      <w:pPr>
        <w:pStyle w:val="Normal"/>
        <w:rPr/>
      </w:pPr>
      <w:r>
        <w:rPr/>
        <w:t xml:space="preserve"> </w:t>
      </w:r>
    </w:p>
    <w:p>
      <w:pPr>
        <w:pStyle w:val="Normal"/>
        <w:rPr/>
      </w:pPr>
      <w:r>
        <w:rPr/>
        <w:t xml:space="preserve">Dajemo ovu preporuku jer smo svi odgovorni za klimatsku krizu. Dakle, imamo odgovornost prema onima koji su najviše pogođeni. Čak i ako nemamo ni predviđanja ni konkretne podatke o budućim izbjeglicama, klimatske promjene nesumnjivo će utjecati na milijune ljudi. </w:t>
      </w:r>
    </w:p>
    <w:p>
      <w:pPr>
        <w:pStyle w:val="Normal"/>
        <w:rPr/>
      </w:pPr>
      <w:r>
        <w:rPr/>
        <w:t xml:space="preserve"> </w:t>
      </w:r>
    </w:p>
    <w:p>
      <w:pPr>
        <w:pStyle w:val="Normal"/>
        <w:rPr/>
      </w:pPr>
      <w:r>
        <w:rPr/>
        <w:t xml:space="preserve">Podos 4.2. – Razmatranja ljudi </w:t>
      </w:r>
    </w:p>
    <w:p>
      <w:pPr>
        <w:pStyle w:val="P68B1DB1Normal15"/>
        <w:rPr>
          <w:b/>
          <w:b/>
        </w:rPr>
      </w:pPr>
      <w:r>
        <w:rPr/>
        <w:t xml:space="preserve">Preporučujemo da se bez odgode ojačaju i financiraju zakonite i humanitarne ceste i prijevozna sredstva kako bi se izbjeglice mogle na organizirani način preseliti iz kriznih područja. Tijelo koje je posebno osnovano u tu svrhu trebalo bi uspostaviti i regulirati poseban sustav sigurnosti za europske trake. Ta agencija mora biti osnovana u skladu sa zakonodavnim postupkom i imati posebne ovlasti utvrđene u njezinu poslovniku. </w:t>
      </w:r>
    </w:p>
    <w:p>
      <w:pPr>
        <w:pStyle w:val="Normal"/>
        <w:rPr/>
      </w:pPr>
      <w:r>
        <w:rPr/>
        <w:t xml:space="preserve"> </w:t>
      </w:r>
    </w:p>
    <w:p>
      <w:pPr>
        <w:pStyle w:val="Normal"/>
        <w:rPr/>
      </w:pPr>
      <w:r>
        <w:rPr/>
        <w:t xml:space="preserve">Trgovanje ljudima i krijumčarenje migranata ozbiljna su pitanja koja treba riješiti. Naša bi preporuka svakako smanjila te zabrinutosti. </w:t>
      </w:r>
    </w:p>
    <w:p>
      <w:pPr>
        <w:pStyle w:val="Normal"/>
        <w:rPr/>
      </w:pPr>
      <w:r>
        <w:rPr/>
        <w:t xml:space="preserve"> </w:t>
      </w:r>
    </w:p>
    <w:p>
      <w:pPr>
        <w:pStyle w:val="Normal"/>
        <w:rPr/>
      </w:pPr>
      <w:r>
        <w:rPr/>
        <w:t xml:space="preserve">Podos 4.3. – Granice </w:t>
      </w:r>
    </w:p>
    <w:p>
      <w:pPr>
        <w:pStyle w:val="P68B1DB1Normal15"/>
        <w:rPr>
          <w:b/>
          <w:b/>
        </w:rPr>
      </w:pPr>
      <w:r>
        <w:rPr/>
        <w:t xml:space="preserve">Preporučujemo da se europskom direktivom osigura da svaki životni prostor u svakoj državi članici ima najviše 30 % stanovnika trećih zemalja. Očekuje se da će se taj cilj ostvariti do 2030., a države članice EU-a trebaju primiti potporu za provedbu tog cilja. </w:t>
      </w:r>
    </w:p>
    <w:p>
      <w:pPr>
        <w:pStyle w:val="Normal"/>
        <w:rPr/>
      </w:pPr>
      <w:r>
        <w:rPr/>
        <w:t xml:space="preserve"> </w:t>
      </w:r>
    </w:p>
    <w:p>
      <w:pPr>
        <w:pStyle w:val="Normal"/>
        <w:rPr/>
      </w:pPr>
      <w:r>
        <w:rPr/>
        <w:t xml:space="preserve">Dajemo ovu preporuku jer će pravednija geografska raspodjela rezultirati boljim prihvaćanjem migranata od strane lokalnog stanovništva i time im omogućiti bolju integraciju. Taj se postotak temelji na nedavnom političkom dogovoru u Danskoj. </w:t>
      </w:r>
      <w:r>
        <w:br w:type="page"/>
      </w:r>
    </w:p>
    <w:p>
      <w:pPr>
        <w:pStyle w:val="Titre1"/>
        <w:numPr>
          <w:ilvl w:val="0"/>
          <w:numId w:val="2"/>
        </w:numPr>
        <w:rPr/>
      </w:pPr>
      <w:bookmarkStart w:id="205" w:name="__RefHeading___Toc297345_1346298689"/>
      <w:bookmarkEnd w:id="205"/>
      <w:r>
        <w:rPr/>
        <w:t xml:space="preserve">II.A – Nacionalni paneli: Belgija </w:t>
      </w:r>
    </w:p>
    <w:p>
      <w:pPr>
        <w:pStyle w:val="Normal"/>
        <w:spacing w:before="1285" w:after="57"/>
        <w:rPr/>
      </w:pPr>
      <w:r>
        <w:rPr/>
        <w:drawing>
          <wp:anchor behindDoc="0" distT="0" distB="0" distL="0" distR="0" simplePos="0" locked="0" layoutInCell="1" allowOverlap="1" relativeHeight="33">
            <wp:simplePos x="0" y="0"/>
            <wp:positionH relativeFrom="column">
              <wp:align>center</wp:align>
            </wp:positionH>
            <wp:positionV relativeFrom="paragraph">
              <wp:posOffset>635</wp:posOffset>
            </wp:positionV>
            <wp:extent cx="6120130" cy="815975"/>
            <wp:effectExtent l="0" t="0" r="0" b="0"/>
            <wp:wrapSquare wrapText="largest"/>
            <wp:docPr id="74" name="Slika 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Slika 32" descr=""/>
                    <pic:cNvPicPr>
                      <a:picLocks noChangeAspect="1" noChangeArrowheads="1"/>
                    </pic:cNvPicPr>
                  </pic:nvPicPr>
                  <pic:blipFill>
                    <a:blip r:embed="rId85"/>
                    <a:stretch>
                      <a:fillRect/>
                    </a:stretch>
                  </pic:blipFill>
                  <pic:spPr bwMode="auto">
                    <a:xfrm>
                      <a:off x="0" y="0"/>
                      <a:ext cx="6120130" cy="815975"/>
                    </a:xfrm>
                    <a:prstGeom prst="rect">
                      <a:avLst/>
                    </a:prstGeom>
                  </pic:spPr>
                </pic:pic>
              </a:graphicData>
            </a:graphic>
          </wp:anchor>
        </w:drawing>
      </w:r>
    </w:p>
    <w:p>
      <w:pPr>
        <w:pStyle w:val="P68B1DB1Normal20"/>
        <w:widowControl w:val="false"/>
        <w:spacing w:lineRule="exact" w:line="316"/>
        <w:ind w:left="0" w:right="152" w:hanging="0"/>
        <w:jc w:val="both"/>
        <w:rPr/>
      </w:pPr>
      <w:r>
        <w:rPr/>
        <w:t xml:space="preserve">Ovdje se nalaze sve preporuke 50 građana panela građana organiziranog pod pokroviteljstvom potpredsjednice vlade i ministrice vanjskih i europskih poslova Sophie Wilmès kao doprinos belgijske savezne vlade Konferenciji o budućnosti Europe. Tema ovog panela bila je „Kako više uključiti građane u europsku demokraciju”. Iako je svjestan da Konferencija ima širi opseg od poslova EU-a, tema ovog panela pojašnjava zašto se toliko izričitih upućivanja upućuje na EU i njegove institucije. Prema potrebi, upućuje se na Europu općenito. </w:t>
      </w:r>
    </w:p>
    <w:p>
      <w:pPr>
        <w:pStyle w:val="P68B1DB1Normal19"/>
        <w:widowControl w:val="false"/>
        <w:spacing w:lineRule="exact" w:line="388" w:before="146" w:after="0"/>
        <w:ind w:left="0" w:right="0" w:hanging="0"/>
        <w:jc w:val="left"/>
        <w:rPr>
          <w:rFonts w:ascii="Times New Roman" w:hAnsi="Times New Roman"/>
          <w:color w:val="000000"/>
          <w:sz w:val="24"/>
        </w:rPr>
      </w:pPr>
      <w:r>
        <w:rPr/>
        <w:t xml:space="preserve"> </w:t>
      </w:r>
    </w:p>
    <w:p>
      <w:pPr>
        <w:pStyle w:val="P68B1DB1Normal21"/>
        <w:widowControl w:val="false"/>
        <w:spacing w:lineRule="exact" w:line="316" w:before="102" w:after="0"/>
        <w:ind w:left="0" w:right="176" w:hanging="0"/>
        <w:jc w:val="left"/>
        <w:rPr/>
      </w:pPr>
      <w:r>
        <w:rPr>
          <w:color w:val="000000"/>
        </w:rPr>
        <w:t xml:space="preserve">Kako bi se uzeli u obzir svi doprinosi građana, u ovom se izvješću iznose sve preporuke, uključujući one koje na konačnom glasovanju nisu dobile običnu većinu o svim preporukama. Jasno su prepoznatljivi zbog postotka </w:t>
      </w:r>
      <w:r>
        <w:rPr>
          <w:b/>
          <w:color w:val="FF0000"/>
        </w:rPr>
        <w:t>u crvenoj i podebljanoj boji.</w:t>
      </w:r>
      <w:r>
        <w:rPr>
          <w:color w:val="000000"/>
        </w:rPr>
        <w:t xml:space="preserve"> Osim toga, neke preporuke međusobno proturječe, a čak i u završnim raspravama građani su o njima i dalje neuvjerljivi. Ove preporuke su prepoznatljive jer su u </w:t>
      </w:r>
      <w:r>
        <w:rPr>
          <w:i/>
          <w:color w:val="000000"/>
        </w:rPr>
        <w:t>kurzivu.</w:t>
      </w:r>
      <w:r>
        <w:rPr>
          <w:color w:val="000000"/>
        </w:rPr>
        <w:t xml:space="preserve"> Za jednu preporuku, podjela je bila toliko jasna da je glasovanje završilo </w:t>
      </w:r>
      <w:r>
        <w:rPr>
          <w:i/>
          <w:color w:val="000000"/>
        </w:rPr>
        <w:t xml:space="preserve">ex-aequo, </w:t>
      </w:r>
      <w:r>
        <w:rPr>
          <w:color w:val="000000"/>
        </w:rPr>
        <w:t xml:space="preserve">to je </w:t>
      </w:r>
      <w:r>
        <w:rPr>
          <w:b/>
          <w:color w:val="FF9900"/>
        </w:rPr>
        <w:t>naznačeno narančasto i podebljano</w:t>
      </w:r>
      <w:r>
        <w:rPr>
          <w:color w:val="000000"/>
        </w:rPr>
        <w:t xml:space="preserve">. Građani dijele činjenicu da se mišljenja o tim preporukama razlikuju. Stoga predlažu da tijela CoFE-a i institucije EU-a budu na oprezu u provedbi tih preporuka jer postoji oblik podjele na temelju glasovanja. </w:t>
      </w:r>
    </w:p>
    <w:p>
      <w:pPr>
        <w:pStyle w:val="Normal"/>
        <w:rPr/>
      </w:pPr>
      <w:r>
        <w:rPr/>
      </w:r>
      <w:r>
        <w:br w:type="page"/>
      </w:r>
    </w:p>
    <w:p>
      <w:pPr>
        <w:pStyle w:val="Normal"/>
        <w:rPr/>
      </w:pPr>
      <w:r>
        <w:rPr/>
        <w:t>1. Komunikacija</w:t>
      </w:r>
    </w:p>
    <w:p>
      <w:pPr>
        <w:pStyle w:val="Normal"/>
        <w:rPr/>
      </w:pPr>
      <w:r>
        <w:rPr/>
      </w:r>
    </w:p>
    <w:tbl>
      <w:tblPr>
        <w:tblW w:w="9638" w:type="dxa"/>
        <w:jc w:val="center"/>
        <w:tblInd w:w="0" w:type="dxa"/>
        <w:tblBorders>
          <w:top w:val="single" w:sz="2" w:space="0" w:color="000001"/>
          <w:left w:val="single" w:sz="2" w:space="0" w:color="000001"/>
          <w:bottom w:val="single" w:sz="2" w:space="0" w:color="000001"/>
          <w:insideH w:val="single" w:sz="2" w:space="0" w:color="000001"/>
        </w:tblBorders>
        <w:tblCellMar>
          <w:top w:w="28" w:type="dxa"/>
          <w:left w:w="25" w:type="dxa"/>
          <w:bottom w:w="28" w:type="dxa"/>
          <w:right w:w="28" w:type="dxa"/>
        </w:tblCellMar>
      </w:tblPr>
      <w:tblGrid>
        <w:gridCol w:w="2004"/>
        <w:gridCol w:w="6469"/>
        <w:gridCol w:w="1165"/>
      </w:tblGrid>
      <w:tr>
        <w:trPr/>
        <w:tc>
          <w:tcPr>
            <w:tcW w:w="2004" w:type="dxa"/>
            <w:tcBorders>
              <w:top w:val="single" w:sz="2" w:space="0" w:color="000001"/>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Style w:val="Accentuationforte"/>
              </w:rPr>
              <w:t xml:space="preserve">Problemi </w:t>
            </w:r>
          </w:p>
        </w:tc>
        <w:tc>
          <w:tcPr>
            <w:tcW w:w="6469" w:type="dxa"/>
            <w:tcBorders>
              <w:top w:val="single" w:sz="2" w:space="0" w:color="000001"/>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Style w:val="Accentuationforte"/>
              </w:rPr>
              <w:t xml:space="preserve">Preporuke </w:t>
            </w:r>
          </w:p>
        </w:tc>
        <w:tc>
          <w:tcPr>
            <w:tcW w:w="116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Style w:val="Accentuationforte"/>
              </w:rPr>
              <w:t xml:space="preserve">Podržano (%) </w:t>
            </w:r>
          </w:p>
        </w:tc>
      </w:tr>
      <w:tr>
        <w:trPr/>
        <w:tc>
          <w:tcPr>
            <w:tcW w:w="2004" w:type="dxa"/>
            <w:vMerge w:val="restart"/>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1. Komunikacija o EU-u nezadovoljavajuća </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1.1 Predlažemo uključivanje tečajeva o Europskoj uniji od treće razine osnovne škole. Cilj je doprijeti do svih građana i poboljšati znanje o Europskoj uniji. </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88,4 %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1.2 Europska unija, a posebno Komisija, trebala bi ministarstvima obrazovanja različitih država članica staviti na raspolaganje obrazovni materijal o funkcioniranju Europe. Osim što objašnjavaju funkcioniranje, sastav i ovlasti institucija, te bi formacije također trebale pružiti kratak pregled povijesti europskih integracija. Posebnu pozornost trebalo bi posvetiti upotrebi jasnog i razumljivog, dostupnog jezika, kao i obrazovnih alata kao što su dokumentarni filmovi, isječci ili školski televizijski programi, na sva 24 jezika. </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95,0 % </w:t>
            </w:r>
          </w:p>
        </w:tc>
      </w:tr>
      <w:tr>
        <w:trPr/>
        <w:tc>
          <w:tcPr>
            <w:tcW w:w="2004" w:type="dxa"/>
            <w:vMerge w:val="restart"/>
            <w:tcBorders>
              <w:left w:val="single" w:sz="2" w:space="0" w:color="000001"/>
              <w:bottom w:val="single" w:sz="2" w:space="0" w:color="000001"/>
              <w:insideH w:val="single" w:sz="2" w:space="0" w:color="000001"/>
            </w:tcBorders>
            <w:shd w:fill="auto" w:val="clear"/>
            <w:vAlign w:val="center"/>
          </w:tcPr>
          <w:p>
            <w:pPr>
              <w:pStyle w:val="Normal"/>
              <w:spacing w:before="57" w:after="57"/>
              <w:jc w:val="left"/>
              <w:rPr/>
            </w:pPr>
            <w:r>
              <w:rPr/>
              <w:t xml:space="preserve">2. Europski projekt ostaje stran građanima </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2.1 Predlažemo da europske institucije u svojoj komunikaciji osiguraju da bolje objašnjavaju što spada u područje nadležnosti EU-a, ali i što nije u njegovoj nadležnosti. </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97,6 %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2.2 Europska unija treba u svoju komunikaciju uključiti poznate primjere iz svakodnevnog života Europljana. Ta bi se objašnjenja trebala prenositi u državama članicama na temelju sporazuma između europskih institucija i nacionalnih javnih televizijskih kanala kako bi se doprlo do široke publike. </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80,5 %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2.3 Osim toga, državljane država članica trebalo bi redovito obavještavati, primjerice putem videozapisa, o ulozi Europske unije u drugim državama članicama. Prednosti i nedostaci Europe stoga bi se bolje stavili u perspektivu u raspravama o budućnosti Europe. </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85,7 %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2.4 Kako bi se ojačao europski identitet, predlažemo da se redovito prisjećamo i stavljamo na raspolaganje informacije o tome kako bi živjeli Europljani bez EU-a i njegovih konkretnih postignuća.</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92,7 %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2.5 Također predlažemo da se Dan Europe (9. svibnja) učini europskim praznikom za sve građane EU-a.</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81,4 %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2.6 Preporučujemo europskim institucijama da još više pozornosti posvete pojednostavljenju, razumijevanju i dostupnosti informacija o prioritetnim temama kojima se bavi na europskoj razini</w:t>
            </w:r>
            <w:r>
              <w:rPr/>
              <w:commentReference w:id="9"/>
            </w:r>
            <w:r>
              <w:rPr/>
              <w:t>.</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97,6 %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2.7 Preporučujemo Europskoj uniji da izradi </w:t>
            </w:r>
            <w:commentRangeStart w:id="10"/>
            <w:r>
              <w:rPr/>
              <w:t>pregled stanja u kojem će se za svaku zemlju</w:t>
            </w:r>
            <w:r>
              <w:rPr/>
            </w:r>
            <w:commentRangeEnd w:id="10"/>
            <w:r>
              <w:commentReference w:id="10"/>
            </w:r>
            <w:r>
              <w:rPr/>
              <w:t xml:space="preserve"> prikazati sredstva koja je EU dodijelio svakoj prioritetnoj temi. Sve takve informacije trebale bi biti dostupne na internetskim stranicama Europske unije.</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93,0 %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2.8 Preporučujemo Europskoj uniji da jasno predstavi zakonodavni rad koji je u tijeku. Sve takve informacije trebale bi biti dostupne na internetskim stranicama Europske unije.</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90,7 %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2.9 Želimo da europske institucije budu pristupačnije </w:t>
            </w:r>
            <w:commentRangeStart w:id="11"/>
            <w:r>
              <w:rPr/>
              <w:t>Europljanima</w:t>
            </w:r>
            <w:r>
              <w:rPr/>
            </w:r>
            <w:commentRangeEnd w:id="11"/>
            <w:r>
              <w:commentReference w:id="11"/>
            </w:r>
            <w:r>
              <w:rPr/>
              <w:t>. Trebalo bi olakšati njihovo sudjelovanje u raspravama na sjednicama Europskog parlamenta.</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79,0 %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2.10 Preporučujemo proširenje sudjelovanja u programu Erasmus na sve studente, bez obzira na njihov obrazovni put (strukovna tehnologija, izmjena). Svi bi trebali moći sudjelovati u europskim razmjenama.</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79,5 %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2.11 Preporučujemo da se radnom stanovništvu omogući korištenje europskih programa razmjene, bez obzira na sektor aktivnosti, i za lokalna poduzeća. Svi bi trebali moći sudjelovati u europskim razmjenama.</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83,7 %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2.12 Preporučujemo izradu tečajeva o europskom građanstvu za sve europske građane.</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83,7 %</w:t>
            </w:r>
          </w:p>
        </w:tc>
      </w:tr>
      <w:tr>
        <w:trPr/>
        <w:tc>
          <w:tcPr>
            <w:tcW w:w="2004"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3. Zakonodavstvo EU-a ne primjenjuje se na isti način u državama članicama.</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3.1 Preporučujemo Europskoj uniji da se više koristi izravno primjenjivim zakonodavstvom u državama članicama. Time bi se smanjile nacionalne razlike u provedbi zakonodavstva EU-a, što oslabljuje europski projekt. Time bi se povećala i najvažnija europska postignuća kao što su unutarnje tržište, euro i schengensko područje.</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81,4 %</w:t>
            </w:r>
          </w:p>
        </w:tc>
      </w:tr>
      <w:tr>
        <w:trPr/>
        <w:tc>
          <w:tcPr>
            <w:tcW w:w="2004" w:type="dxa"/>
            <w:vMerge w:val="restart"/>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4. Europska demokracija je ugrožena.</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4.1 Preporučujemo da se u Komunikaciji EU-a o europskoj demokraciji neumorno i nedvosmisleno prisjeti što u Europi znači za Europljane.</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78,0 %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4.2 Vrijednosti i načela Ugovorâ Europske unije koje su države članice potpisale nakon pristupanja nepovratne su. Njihova zaštita mora se i dalje osiguravati.</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81,0 %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4.3 Zaštita vrijednosti i načela Ugovorâ osigurava</w:t>
            </w:r>
            <w:r>
              <w:rPr/>
              <w:commentReference w:id="12"/>
            </w:r>
            <w:r>
              <w:rPr/>
              <w:t xml:space="preserve"> Europski sud te je države članice ne mogu dovesti u pitanje.</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81,0 %</w:t>
            </w:r>
          </w:p>
        </w:tc>
      </w:tr>
      <w:tr>
        <w:trPr/>
        <w:tc>
          <w:tcPr>
            <w:tcW w:w="2004"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5. Informacije o EU-u nisu lako dostupne i teško ih je razumjeti</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5.1 Preporučujemo jačanje provjere informacija o europskim pitanjima. Te informacije koje institucije šire i provjeravaju moraju biti lako dostupne europskoj javnosti i nacionalnim medijima svake države članice.</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83,3 %</w:t>
            </w:r>
          </w:p>
        </w:tc>
      </w:tr>
      <w:tr>
        <w:trPr/>
        <w:tc>
          <w:tcPr>
            <w:tcW w:w="2004"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6. Nacionalni mediji često prenose negativnu predodžbu o EU-u</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6.1 EU također mora biti prisutniji u svakodnevnom životu Europljana proaktivnije komuniciranjem. (Npr. sponzoriranjem, na primjer, kulturnih događanja koja okupljaju građane i čine ih ponosnima da su građani EU-a. Izvješćivanje i teaseri također bi Europljanima omogućili pristup kontekstualiziranim informacijama</w:t>
            </w:r>
            <w:r>
              <w:rPr/>
              <w:commentReference w:id="13"/>
            </w:r>
            <w:r>
              <w:rPr/>
              <w:t xml:space="preserve"> o EU-u).</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85,7 %</w:t>
            </w:r>
          </w:p>
        </w:tc>
      </w:tr>
      <w:tr>
        <w:trPr/>
        <w:tc>
          <w:tcPr>
            <w:tcW w:w="2004" w:type="dxa"/>
            <w:vMerge w:val="restart"/>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7. Građani ne poznaju osobe koje ih zastupaju u Europskom parlamentu.</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7.1 Preporučujemo da parlamentarci budu poznatiji u svojim matičnim zemljama, posebno izvan izbornih razdoblja. Moraju biti dostupniji. Razlozi za glasovanje u Europskom parlamentu moraju biti lakše dostupni europskim građanima na internetskoj stranici Europske unije.</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92,7 %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7.2 Preporučujemo nacionalnim političkim strankama da osiguraju pomlađivanje kandidata na listama predstavljenima na izborima za Europski parlament. Takav mandat ne bi se trebao smatrati nagradom za dobre i vjerne usluge pružene u nacionalnoj politici.</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74,4 %</w:t>
            </w:r>
          </w:p>
        </w:tc>
      </w:tr>
      <w:tr>
        <w:trPr/>
        <w:tc>
          <w:tcPr>
            <w:tcW w:w="2004" w:type="dxa"/>
            <w:vMerge w:val="restart"/>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 Komunikacija EU-a previše je ujednačena; ne uzima u obzir raznolikost stanovništva.</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8.1 Kako bi se doprlo do dovoljno široke i raznolike publike, preporučujemo da EU uzme u obzir, putem uključive komunikacije od faze začeća, obrazovni stupanj dotičnih osoba, njihov mogući invaliditet. Osim toga, preporučujemo da se u prijenos ove komunikacije uključe i pojedinci i organizacije (ulični edukatori, agenti susjedstva, CPAS, civilno društvo).</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73,2 %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8.2 Kako bi se postigla radna snaga, preporučujemo da se više ulaže u upotrebu postojećih komunikacijskih kanala kako bi se periodično pružale odgovarajuće informacije o EU-u, primjerice putem programa objašnjenja. Osim toga, preporučujemo oslanjanje na ambasadore (pojedince i organizacije) koji promiču projekt EU-a.</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83,7 %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8.3 Kako bi se doprlo do mladih i studenata, preporučujemo da se, uz postojeće kanale kao što su obrazovanje i relevantni pokreti mladih, pozovu ambasadori, posebno za utjecajne osobe koje mogu doprijeti do mladih putem društvenih medija. Druga preporuka bila bi organiziranje paneuropskog natječaja kako bi se stvorio crtani lik koji privlači mlade i šalje im europske poruke.</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69,8 %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8.4 Za starije osobe preporučujemo da se koriste istim kanalima kao što su oni koji se nude za radnu snagu. Osim toga, preporučujemo traženje prave ravnoteže između digitalne i nedigitalne komunikacije (pisani tisak, radio, događaji licem u lice) kako bi se zadovoljile potrebe svih, uključujući one koji su manje udobni u digitalnom okruženju, kao i one koji su manje mobilni u društvu.</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85,7 %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8.5 Preporučujemo da se kroz integracijske tečajeve koji već postoje u mnogim državama članicama EU obveže uključiti „nove Europljane” (osobe koje u jednom ili drugom zakonitom imigracijskom postupku borave u EU-u) te ih može upoznati s drugim tradicionalnim kanalima putem kojih EU komunicira. Na kraju, također preporučujemo da damo mjesto lokalnom asocijativnom svijetu.</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76,7 %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8.6 Također preporučujemo izlazak EU-a na ulice uključivom komunikacijom. Na primjer, mogli bi se upotrebljavati (digitalni) plakati, kao i nova sredstva komunikacije kao što su QR kodovi i tradicionalna sredstva.</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62,8 %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8.7 Ostale preporuke bile bi učiniti EU vizualnijim (putem malih filmova ili infografika), stvoriti europski sportski pokret kako bi se stvorila veza/osjećaj pripadnosti i kako bi se europska himna učinila poznatijom.</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68,2 %</w:t>
            </w:r>
          </w:p>
        </w:tc>
      </w:tr>
    </w:tbl>
    <w:p>
      <w:pPr>
        <w:pStyle w:val="Normal"/>
        <w:rPr/>
      </w:pPr>
      <w:r>
        <w:rPr/>
      </w:r>
    </w:p>
    <w:p>
      <w:pPr>
        <w:pStyle w:val="Normal"/>
        <w:rPr/>
      </w:pPr>
      <w:r>
        <w:rPr/>
        <w:t>2. Dezinformacije</w:t>
      </w:r>
    </w:p>
    <w:tbl>
      <w:tblPr>
        <w:tblW w:w="9645"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2204"/>
        <w:gridCol w:w="5625"/>
        <w:gridCol w:w="1816"/>
      </w:tblGrid>
      <w:tr>
        <w:trPr/>
        <w:tc>
          <w:tcPr>
            <w:tcW w:w="2204"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Problemi</w:t>
            </w:r>
          </w:p>
        </w:tc>
        <w:tc>
          <w:tcPr>
            <w:tcW w:w="5625"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Preporuke</w:t>
            </w:r>
          </w:p>
        </w:tc>
        <w:tc>
          <w:tcPr>
            <w:tcW w:w="1816"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Podržano (%)</w:t>
            </w:r>
          </w:p>
        </w:tc>
      </w:tr>
      <w:tr>
        <w:trPr/>
        <w:tc>
          <w:tcPr>
            <w:tcW w:w="2204"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 Rizik od dezinformiranja sve je prisutniji u medijima</w:t>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1.1 Preporučujemo reviziju modela financiranja medija, kao i obvezno objavljivanje izvora prihoda na jasan i pristupačan način. Model financiranja medija potiče ih na senzacionalizam, a time i na objavljivanje informacija izvan konteksta, pretvarajući ih u dezinformacije.</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73,8 %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1.2 Preporučujemo obvezno navođenje izvora u medijima pružanjem poveznica za njihovu provjeru. U protivnom, informacije treba označiti kao neprovjerene.</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90,2 %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1.3 Preporučujemo da Europski regulator za borbu protiv dezinformiranja (vidi točku 2.) bude odgovoran i za akreditaciju organizacija za provjeru informacija („provjera činjenica”)</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85,4 %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1.4 Preporučujemo uspostavu, u svakoj državi članici, neovisnog tijela odgovornog za provjeru medijske neutralnosti. To bi tijelo trebala financirati i nadzirati Europska unija.</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75,6 %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1.5 Preporučujemo širenje informacija o URL-ovima službenih internetskih stranica EU-a kako bi se građane uvjerilo u podrijetlo informacija.</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90,2 %</w:t>
            </w:r>
          </w:p>
        </w:tc>
      </w:tr>
      <w:tr>
        <w:trPr/>
        <w:tc>
          <w:tcPr>
            <w:tcW w:w="2204"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 Mnogi građani sumnjaju u medijsku neutralnost</w:t>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2.1 Preporučujemo uspostavu europskog regulatornog tijela za borbu protiv dezinformiranja. Konkretno, zadaća tog regulatora bila bi utvrditi kriterije za oznaku neutralnosti i, prema potrebi, uspostaviti sustav sankcija ili poticaja povezanih s poštovanjem standarda neutralnosti. Alternativno, može se razmotriti pridržavanje etičke povelje. Oznaku bi dodijelilo neovisno nacionalno tijelo i njome bi se u obzir uzele mjere koje su mediji poduzeli u borbi protiv dezinformiranja.</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87,5 %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2.2 Preporučujemo uspostavu europske dežurne linije koja bi građanima omogućila da osude dezinformacije o europskim (političkim i gospodarskim) nadležnostima.</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82,1 %</w:t>
            </w:r>
          </w:p>
        </w:tc>
      </w:tr>
      <w:tr>
        <w:trPr/>
        <w:tc>
          <w:tcPr>
            <w:tcW w:w="2204"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 Građani nisu svjesni rizika od dezinformacija kojima su izloženi.</w:t>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3.1 Preporučujemo da platforme budu obvezne objavljivati jasne i razumljive informacije o rizicima dezinformiranja kojima su njihovi korisnici izloženi. Te bi informacije trebalo automatski priopćiti čim se otvori račun.</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85,7 %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3.2 Preporučujemo obveznu obuku u korištenju medija, od rane dobi i prilagođenu različitim razinama obrazovnog sustava.</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74,4 %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3.3 Preporučujemo Europskoj uniji da pokrene opetovane kampanje protiv dezinformiranja. Te se kampanje mogu identificirati pomoću logotipa ili maskote. Europska unija mogla bi prisiliti društvene mreže da ih prenose širenjem mjesta.</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87,5 %</w:t>
            </w:r>
          </w:p>
        </w:tc>
      </w:tr>
      <w:tr>
        <w:trPr/>
        <w:tc>
          <w:tcPr>
            <w:tcW w:w="2204"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 Sredstva za borbu protiv dezinformacija nisu dovoljna.</w:t>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4.1 Preporučujemo objavljivanje informacija na jednostavnom i razumljivom jeziku o algoritmima koji organiziraju poruke koje primaju korisnici platforme.</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83,3 %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4.2 Preporučujemo da korisnici mogu na jednostavan način onemogućiti algoritme za poboljšanje ponašanja. Također bi se mogla ispitati obveza da se korisnicima omogući pristup drugim izvorima kojima se štite različita stajališta o istoj temi.</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80,0 %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4.3 Preporučujemo Europskoj uniji da podrži stvaranje platforme društvenih medija koja ispunjava vlastite standarde u pogledu neutralnosti i borbe protiv dezinformiranja. Umjesto toga, višejezična platforma uspostavljena kao potpora konferenciji o budućnosti Europe mogla bi se dodati novim značajkama.</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56,4 %</w:t>
            </w:r>
          </w:p>
        </w:tc>
      </w:tr>
    </w:tbl>
    <w:p>
      <w:pPr>
        <w:pStyle w:val="Normal"/>
        <w:rPr/>
      </w:pPr>
      <w:r>
        <w:rPr/>
      </w:r>
    </w:p>
    <w:p>
      <w:pPr>
        <w:pStyle w:val="Normal"/>
        <w:rPr/>
      </w:pPr>
      <w:r>
        <w:rPr/>
        <w:t>3. Paneli građana</w:t>
      </w:r>
    </w:p>
    <w:tbl>
      <w:tblPr>
        <w:tblW w:w="9645" w:type="dxa"/>
        <w:jc w:val="left"/>
        <w:tblInd w:w="0" w:type="dxa"/>
        <w:tblBorders>
          <w:top w:val="single" w:sz="2" w:space="0" w:color="000001"/>
          <w:left w:val="single" w:sz="2" w:space="0" w:color="000001"/>
          <w:right w:val="single" w:sz="2" w:space="0" w:color="000001"/>
          <w:insideV w:val="single" w:sz="2" w:space="0" w:color="000001"/>
        </w:tblBorders>
        <w:tblCellMar>
          <w:top w:w="28" w:type="dxa"/>
          <w:left w:w="25" w:type="dxa"/>
          <w:bottom w:w="28" w:type="dxa"/>
          <w:right w:w="28" w:type="dxa"/>
        </w:tblCellMar>
      </w:tblPr>
      <w:tblGrid>
        <w:gridCol w:w="2204"/>
        <w:gridCol w:w="5790"/>
        <w:gridCol w:w="1651"/>
      </w:tblGrid>
      <w:tr>
        <w:trPr/>
        <w:tc>
          <w:tcPr>
            <w:tcW w:w="2204" w:type="dxa"/>
            <w:tcBorders>
              <w:top w:val="single" w:sz="2" w:space="0" w:color="000001"/>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t>Problemi</w:t>
            </w:r>
          </w:p>
        </w:tc>
        <w:tc>
          <w:tcPr>
            <w:tcW w:w="5790" w:type="dxa"/>
            <w:tcBorders>
              <w:top w:val="single" w:sz="2" w:space="0" w:color="000001"/>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t>Preporuke</w:t>
            </w:r>
          </w:p>
        </w:tc>
        <w:tc>
          <w:tcPr>
            <w:tcW w:w="1651" w:type="dxa"/>
            <w:tcBorders>
              <w:top w:val="single" w:sz="2" w:space="0" w:color="000001"/>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t>Podržano (%)</w:t>
            </w:r>
          </w:p>
        </w:tc>
      </w:tr>
      <w:tr>
        <w:trPr/>
        <w:tc>
          <w:tcPr>
            <w:tcW w:w="2204" w:type="dxa"/>
            <w:vMerge w:val="restart"/>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t>1. Poteškoće u osiguravanju reprezentativnosti panela građana. U konačnici, samo mali dio stanovništva je uključen.</w:t>
            </w:r>
          </w:p>
        </w:tc>
        <w:tc>
          <w:tcPr>
            <w:tcW w:w="5790" w:type="dxa"/>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t>1.1 Preporučujemo praćenje onoga što najnoviji znanstveni rad na deliberativnoj demokraciji sugerira u smislu uzorkovanja, razvoja i znanstvene validacije metode odabira kako bi se osigurala najbolja moguća reprezentativnost.</w:t>
            </w:r>
          </w:p>
        </w:tc>
        <w:tc>
          <w:tcPr>
            <w:tcW w:w="1651" w:type="dxa"/>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t>89,7 %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1.2 Preporučujemo da za stolom bude dovoljan broj ljudi kako bi se osigurala raznolikost mišljenja i profila, uključujući, ali ne samo, osobe koje se izravno bave tom temom.</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90,2 %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1.3 Preporučujemo da se u kriterije koji uređuju uzorkovanje doda kriterij roditeljstva (tj. ima li osoba djecu ili ne?), uz tradicionalnije kriterije kao što su spol, dob, mjesto boravišta ili razina obrazovanja.</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33,3 %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1.4 Preporučujemo određivanje kvota po zemljopisnom području, tj. utvrđivanje da se odbor europskih građana mora sastojati od X osoba po europskom zemljopisnom području (koje treba utvrditi) kako bi se taj panel doista mogao kvalificirati kao europski i smisleno promišljen.</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73,2 %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1.5 Preporučujemo da se registri stanovništva (ili njihovi ekvivalenti, ovisno o zemlji) koriste kao primarne baze podataka za ždrijeb kako bi se svima pružila ista prilika za odabir i stvaranje interesa za subjekt unutar stanovništva.</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70,0 %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1.6 Preporučujemo da se sudionicima nadoknadi vrijednost ulaganja i privuku osobe koje ne bi sudjelovale da im se ne nadoknađuje naknada.</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87,5 %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1.7 Preporučujemo informiranje – vrlo minimalno: ni previše informacija niti kompliciranih informacija – prvi sudionici kroz prezentacije stručnjaka kako bi se osiguralo da čak i ljudi bez prethodnog znanja osjećaju ugodno sudjelovanje u raspravama.</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82,9 %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1.7.2 Preporučujemo da se o temi panela građana unaprijed obavijesti kako bi građani mogli znati o kojoj se temi obvezuju raspravljati.</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78,6 %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1.8 Preporučujemo da građani ne moraju sudjelovati.</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97,6 %</w:t>
            </w:r>
          </w:p>
        </w:tc>
      </w:tr>
      <w:tr>
        <w:trPr/>
        <w:tc>
          <w:tcPr>
            <w:tcW w:w="2204" w:type="dxa"/>
            <w:vMerge w:val="restart"/>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 Poteškoće u organiziranju panela na europskoj razini.</w:t>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 Preporučujemo da se sastanci europskog panela građana i građanki i građanki održavaju u hibridnom obliku (prezentativni/distancijalni). Ljudi koji se ne mogu fizički kretati također mogu sudjelovati.</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70,0 %</w:t>
            </w:r>
          </w:p>
        </w:tc>
      </w:tr>
      <w:tr>
        <w:trPr/>
        <w:tc>
          <w:tcPr>
            <w:tcW w:w="2204"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2.2 Preporučujemo da Europska unija, radi lakšeg pristupa i organizacije, delegira organizaciju panela građana (o europskim temama) na različite razine vlasti na nacionalnoj razini.</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69,0 %</w:t>
            </w:r>
          </w:p>
        </w:tc>
      </w:tr>
      <w:tr>
        <w:trPr/>
        <w:tc>
          <w:tcPr>
            <w:tcW w:w="2204"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2.3 Preporučujemo odabir jedne teme po panelu organiziranom na europskoj razini. Time će se svim sudionicima omogućiti da raspravljaju o istoj temi, bez obzira na to odakle dolaze iz Europe.</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80,5 %</w:t>
            </w:r>
          </w:p>
        </w:tc>
      </w:tr>
      <w:tr>
        <w:trPr/>
        <w:tc>
          <w:tcPr>
            <w:tcW w:w="2204" w:type="dxa"/>
            <w:vMerge w:val="restart"/>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3. Izbjegavajte ploču </w:t>
              <w:br/>
              <w:t>građani nisu preusmjereni u druge svrhe osim onih koji su prijavljeni.</w:t>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3.1 Preporučujemo da svaki građanin može podnijeti predmet za raspravu, tako da to pravo nije rezervirano za politički svijet ili svijet lobista.</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82,1 %</w:t>
            </w:r>
          </w:p>
        </w:tc>
      </w:tr>
      <w:tr>
        <w:trPr/>
        <w:tc>
          <w:tcPr>
            <w:tcW w:w="2204"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3.2 Preporučujemo da se pravo inicijative dodijeli Europskom parlamentu kako bi Europski parlament definirao temu o kojoj će se raspravljati, a zatim usvojio tekstove potrebne za praćenje preporuka koje proizlaze iz rasprava.</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63,4 %</w:t>
            </w:r>
          </w:p>
        </w:tc>
      </w:tr>
      <w:tr>
        <w:trPr/>
        <w:tc>
          <w:tcPr>
            <w:tcW w:w="2204" w:type="dxa"/>
            <w:vMerge w:val="restart"/>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 Poteškoće u odlučivanju kako najbolje organizirati proces za najbolju zastupljenost građana.</w:t>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4.1.1 Preporučujemo osnivanje stalnog odbora građana, zajedno s parlamentom, koji preuzima određene zadaće. To će se redovito obnavljati. Time bi se omogućilo dugoročno okupljanje građana i odvojilo potrebno vrijeme za rasprave. Vrijeme omogućuje nijansu rasprava i konsenzusa. Uz ovaj stalni panel, ad hoc paneli građana raspravljaju o temama koje je odabrao stalni panel. Predlažemo da se slijedi model njemačke jezične zajednice.</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54,8 %</w:t>
            </w:r>
          </w:p>
        </w:tc>
      </w:tr>
      <w:tr>
        <w:trPr/>
        <w:tc>
          <w:tcPr>
            <w:tcW w:w="2204"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4.1.2 Preporučujemo osnivanje samo jednog ili više stalnih panela europskih građana koji bi se sastajali i raspravljali o određenoj temi samo u određenom razdoblju.</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58,5 %</w:t>
            </w:r>
          </w:p>
        </w:tc>
      </w:tr>
      <w:tr>
        <w:trPr/>
        <w:tc>
          <w:tcPr>
            <w:tcW w:w="2204"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4.2 Preporučujemo da se europski paneli građana i građanki ne organiziraju o hitnim pitanjima jer je potrebno dovoljno vremena kako bi se osigurala kvaliteta rasprava.</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63,4 %</w:t>
            </w:r>
          </w:p>
        </w:tc>
      </w:tr>
      <w:tr>
        <w:trPr/>
        <w:tc>
          <w:tcPr>
            <w:tcW w:w="2204"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 Građani koji sudjeluju u inicijativama participativne demokracije, kao što su paneli građana, prečesto ne dobivaju povratne informacije o mjerama poduzetima u vezi s njihovim radom, bilo kratkoročno ni dugoročno.</w:t>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5.1 Preporučujemo građanima da daju povratne informacije o daljnjem postupanju (ili ne) na temelju preporuka izdanih nakon europskih panela građana. Ako se preporuke ne poštuju, uključene europske institucije moraju navesti razloge za svoju odluku (npr. nenadležnost). U tu svrhu preporučujemo pisanje redovitih sažetaka tijekom cijelog postupka nakon panela.</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97,5 %</w:t>
            </w:r>
          </w:p>
        </w:tc>
      </w:tr>
      <w:tr>
        <w:trPr/>
        <w:tc>
          <w:tcPr>
            <w:tcW w:w="2204"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6.1 Preporučujemo organiziranje panela građana, među ostalim s djecom od rane dobi (npr. od 10 do 16 godina) radi podizanja svijesti o sudjelovanju i raspravi. To se može organizirati u školama.</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59,5 %</w:t>
            </w:r>
          </w:p>
        </w:tc>
      </w:tr>
    </w:tbl>
    <w:p>
      <w:pPr>
        <w:pStyle w:val="Normal"/>
        <w:rPr/>
      </w:pPr>
      <w:r>
        <w:rPr/>
      </w:r>
    </w:p>
    <w:p>
      <w:pPr>
        <w:pStyle w:val="Normal"/>
        <w:rPr/>
      </w:pPr>
      <w:r>
        <w:rPr/>
        <w:t>4. Referendumi</w:t>
      </w:r>
    </w:p>
    <w:tbl>
      <w:tblPr>
        <w:tblW w:w="9645"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2160"/>
        <w:gridCol w:w="5835"/>
        <w:gridCol w:w="1650"/>
      </w:tblGrid>
      <w:tr>
        <w:trPr/>
        <w:tc>
          <w:tcPr>
            <w:tcW w:w="2160"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Problemi</w:t>
            </w:r>
          </w:p>
        </w:tc>
        <w:tc>
          <w:tcPr>
            <w:tcW w:w="5835"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Preporuke</w:t>
            </w:r>
          </w:p>
        </w:tc>
        <w:tc>
          <w:tcPr>
            <w:tcW w:w="165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Podržano (%)</w:t>
            </w:r>
          </w:p>
        </w:tc>
      </w:tr>
      <w:tr>
        <w:trPr/>
        <w:tc>
          <w:tcPr>
            <w:tcW w:w="2160"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0.1 Preporučujemo održavanje referenduma o europskim pitanjima na europskoj razini.</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73,3 %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 Kultura referenduma uvelike se razlikuje među državama članicama.</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1.1 Preporučujemo naručivanje istraživanja o tome kako stvoriti zajedničku kulturu referenduma u Europi.</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70,7 %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1.2 Preporučujemo istraživanje (nezavisnih stručnjaka) o nužnosti i mogućnosti održavanja referenduma o određenoj temi na europskoj razini</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77,5 %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 Formulacija pitanja postavljenog na referendumu može imati negativan učinak, kao i sposobnost da se odgovori samo „da” ili „ne”, što često polarizira rasprave i društva.</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2.1 Preporučujemo osnivanje znanstvenog odbora koji bi razmišljao o tome kako postavljati pitanja koja bi bila predmet europskog referenduma na najobjektivniji mogući način.</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87,2 %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2.2 Preporučujemo postavljanje pitanja s višestrukim izborom odgovora, koja nadilaze jednostavnu alternativu između „da” i „ne” kako bi se postigla nijansa ili čak pridali uvjeti „da” i „ne” (tj. „da ako”, „ne ako”).</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65,0 %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2.3 Preporučujemo da se bijeli glasovi ne uzimaju u obzir pri izračunu većine (jednostavna većina ili apsolutna većina). I dalje mora biti dovoljno glasova (potrebno je poštovati kvorum).</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75,0 %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Izbor predmeta je također osjetljiv.</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2.4.1 Preporučujemo da pitanje postavljeno na europskom referendumu bude obuhvaćeno svim europskim temama koje su u nadležnosti Europske unije.</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87,5 %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2.4.2 Preporučujemo da se isključe teme koje bi mogle biti izvor sukoba među državama članicama.</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39,0 %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2.5 Preporučujemo da se mogu postaviti i tehnička i teška pitanja, s jasnim tekstom, jer ljudi mogu biti dovoljno informirani.</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77,5 %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 Referendum nije demokratski alat ako samo politički svijet može odlučiti da ga organizira.</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3.1 Preporučujemo da Europski parlament ima pravo inicijative za održavanje</w:t>
            </w:r>
            <w:r>
              <w:rPr/>
              <w:commentReference w:id="14"/>
            </w:r>
            <w:r>
              <w:rPr/>
              <w:t xml:space="preserve"> europskih referenduma te da bi tada trebao moći provesti svoj ishod (Europska komisija i Vijeće trebali bi slijediti bez mogućnosti blokiranja).</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67,5 %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3.2 Preporučujemo da inicijativa može potjecati i od samih građana (npr. slijedeći pravila slična onima koja se primjenjuju u pogledu europske građanske inicijative).</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77,5 %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3.3 Preporučujemo da praktična organizacija europskog referenduma bude neutralno tijelo.</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75,0 %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 xml:space="preserve">4. Savjetodavni ili obvezujući aspekt referenduma mora biti </w:t>
              <w:br/>
              <w:t>to je jasno definirano.</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4.1.1 Preporučujemo da ishod europskog referenduma bude obvezujući samo ako su ispunjeni određeni uvjeti u pogledu odaziva.</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92,7 %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4.1.2 Preporučujemo da rezultati referenduma budu obvezujući samo ako se postignu određene većine (51/49, 70/30). Ti se uvjeti utvrđuju prije svakog referenduma.</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72,5 %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4.2 Preporučujemo da ishod europskog referenduma bude obvezujući ako su inicijativu njegove organizacije preuzeli građani (koji bi u tu svrhu uspjeli prikupiti brojne potpise), ali je indikativan da je inicijativu poduzela politička institucija.</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47,5 %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4.3 Preporučujemo da rezultat europskog referenduma postane obvezujući samo za određene teme, ali ne i za one za koje bi posljedice glasovanja mogle biti vrlo ozbiljne.</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40,0 %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 Stanovništvo je često loše informirano prije nego što je pozvano da glasa na referendumu. Istodobno je ključno kontrolirati priopćene informacije kako bi se izbjegli štetni utjecaji (unutarnji ili strani) na glasovanje.</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5.1 Preporučujemo da se prije svakog europskog referenduma javnost jasno informira o utjecaju glasovanja na njihov svakodnevni život, putem brošura, kao što se to čini u Švicarskoj, i/ili informativnih sastanaka.</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97,5 %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5.2 Preporučujemo osnivanje znanstvenog odbora za svaki europski referendum koji bi jamčio neutralnost dostavljenih informacija.</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87,2 %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6. Iako referendum poziva cijelo stanovništvo da izravno glasa (za razliku od građanskog vijeća), uvijek postoji određeni izostanak s posla, više ili manje važno.</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6.1.1 Preporučujemo da sudjelovanje u glasovanju na europskom referendumu bude obvezno.</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43,6 %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6.1.2 Preporučujemo da glasovanje na europskom referendumu bude dobrovoljno.</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52,5 %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6.2 Preporučujemo, kako bi se smanjila odsutnost s posla, omogućiti elektroničko glasovanje uz glasanje u papirnatom obliku (ili uz druga sredstva glasovanja, kao što je glasovanje poštom). Elektroničko glasanje posebno je zanimljivo za osobe koje idu na odmor, a također potiče osobe koje su manje zainteresirane za glasanje jer prinuda putovanja više ne postoji.</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90,0 %</w:t>
            </w:r>
          </w:p>
        </w:tc>
      </w:tr>
      <w:tr>
        <w:trPr/>
        <w:tc>
          <w:tcPr>
            <w:tcW w:w="2160"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7. Građani koji sudjeluju u inicijativama participativne demokracije, kao što su referendumi, prečesto ne</w:t>
            </w:r>
            <w:r>
              <w:rPr/>
              <w:commentReference w:id="15"/>
            </w:r>
            <w:r>
              <w:rPr/>
              <w:t xml:space="preserve"> dobivaju povrat nakon glasovanja, bilo kratkoročno ni dugoročno.</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7.1 Preporučujemo građanima da daju povratne informacije o daljnjem postupanju (ili ne) u vezi s odlukom koju su građani donijeli na temelju europskog referenduma.</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92,5 %</w:t>
            </w:r>
          </w:p>
        </w:tc>
      </w:tr>
    </w:tbl>
    <w:p>
      <w:pPr>
        <w:pStyle w:val="Normal"/>
        <w:rPr/>
      </w:pPr>
      <w:r>
        <w:rPr/>
      </w:r>
    </w:p>
    <w:p>
      <w:pPr>
        <w:pStyle w:val="Normal"/>
        <w:rPr/>
      </w:pPr>
      <w:r>
        <w:rPr/>
        <w:t>5. Postojeći alati</w:t>
      </w:r>
    </w:p>
    <w:p>
      <w:pPr>
        <w:pStyle w:val="Normal"/>
        <w:rPr/>
      </w:pPr>
      <w:r>
        <w:rPr/>
        <w:t>5.1. Europski izbori.</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1867"/>
        <w:gridCol w:w="6749"/>
        <w:gridCol w:w="1022"/>
      </w:tblGrid>
      <w:tr>
        <w:trPr>
          <w:trHeight w:val="596" w:hRule="atLeast"/>
        </w:trPr>
        <w:tc>
          <w:tcPr>
            <w:tcW w:w="186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Problemi</w:t>
            </w:r>
          </w:p>
        </w:tc>
        <w:tc>
          <w:tcPr>
            <w:tcW w:w="67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Preporuke</w:t>
            </w:r>
          </w:p>
        </w:tc>
        <w:tc>
          <w:tcPr>
            <w:tcW w:w="10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Podržano (%)</w:t>
            </w:r>
          </w:p>
        </w:tc>
      </w:tr>
      <w:tr>
        <w:trPr/>
        <w:tc>
          <w:tcPr>
            <w:tcW w:w="1867" w:type="dxa"/>
            <w:vMerge w:val="restart"/>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 Postoje razlike u propisima u različitim državama članicama</w:t>
            </w:r>
          </w:p>
        </w:tc>
        <w:tc>
          <w:tcPr>
            <w:tcW w:w="67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1.1 Zalažemo se za obvezno sudjelovanje u glasovanju za Europski parlament, ali s dovoljno informacija kako bi građani razumjeli razloge za to.</w:t>
            </w:r>
          </w:p>
        </w:tc>
        <w:tc>
          <w:tcPr>
            <w:tcW w:w="10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50,0 %</w:t>
            </w:r>
          </w:p>
        </w:tc>
      </w:tr>
      <w:tr>
        <w:trPr/>
        <w:tc>
          <w:tcPr>
            <w:tcW w:w="1867"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67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1.2 Naša je preporuka da izborna pravila za Europski parlament budu što je više moguće u svim zemljama, uključujući minimalnu dob.</w:t>
            </w:r>
          </w:p>
        </w:tc>
        <w:tc>
          <w:tcPr>
            <w:tcW w:w="10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87,2 %</w:t>
            </w:r>
          </w:p>
        </w:tc>
      </w:tr>
      <w:tr>
        <w:trPr/>
        <w:tc>
          <w:tcPr>
            <w:tcW w:w="1867" w:type="dxa"/>
            <w:vMerge w:val="restart"/>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 Ne postoji dovoljna raznolikost u pogledu dobi, podrijetla i rodnih kriterija zastupnika u Europskom parlamentu.</w:t>
            </w:r>
          </w:p>
        </w:tc>
        <w:tc>
          <w:tcPr>
            <w:tcW w:w="67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2.1.1 Predlažemo da zastupnici u Europskom parlamentu budu svih dobnih skupina i podrijetla.</w:t>
            </w:r>
          </w:p>
        </w:tc>
        <w:tc>
          <w:tcPr>
            <w:tcW w:w="10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82,1 %</w:t>
            </w:r>
          </w:p>
        </w:tc>
      </w:tr>
      <w:tr>
        <w:trPr/>
        <w:tc>
          <w:tcPr>
            <w:tcW w:w="1867"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67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2.1.2 Predlažemo da zastupnici u Europskom parlamentu izaberu namjerno za europsku karijeru, a ne samo zato što su na kraju karijere.</w:t>
            </w:r>
          </w:p>
        </w:tc>
        <w:tc>
          <w:tcPr>
            <w:tcW w:w="10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82,5 %</w:t>
            </w:r>
          </w:p>
        </w:tc>
      </w:tr>
      <w:tr>
        <w:trPr/>
        <w:tc>
          <w:tcPr>
            <w:tcW w:w="1867"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674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2.1.3 Predlažemo da se odabere uravnotežena rodna raspodjela, na primjer izmjenom rodova na popisima birača</w:t>
            </w:r>
            <w:r>
              <w:rPr/>
              <w:commentReference w:id="16"/>
            </w:r>
            <w:r>
              <w:rPr/>
              <w:t>. EU mora utvrditi te kriterije i provjeriti jesu li ispunjeni u sastavu kvote. Ako kandidat odbije svoj mandat, sljedeći kandidat po redoslijedu prioriteta i istog spola zauzet će njegovo mjesto.</w:t>
            </w:r>
          </w:p>
        </w:tc>
        <w:tc>
          <w:tcPr>
            <w:tcW w:w="102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82,5 %</w:t>
            </w:r>
          </w:p>
        </w:tc>
      </w:tr>
      <w:tr>
        <w:trPr/>
        <w:tc>
          <w:tcPr>
            <w:tcW w:w="1867"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674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2.1.4 Preporučujemo da kandidati na europskim listama obnašaju svoj mandat ako budu izabrani.</w:t>
            </w:r>
          </w:p>
        </w:tc>
        <w:tc>
          <w:tcPr>
            <w:tcW w:w="102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89,2 %</w:t>
            </w:r>
          </w:p>
        </w:tc>
      </w:tr>
      <w:tr>
        <w:trPr/>
        <w:tc>
          <w:tcPr>
            <w:tcW w:w="1867" w:type="dxa"/>
            <w:vMerge w:val="restart"/>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 Glasamo za Europski parlament i nemamo pravo glasa u sastavu odbora</w:t>
            </w:r>
          </w:p>
        </w:tc>
        <w:tc>
          <w:tcPr>
            <w:tcW w:w="674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3.1 Predlažemo izmjenu ugovora kojom bi najveća stranka u Europskom parlamentu mogla imenovati predsjednika Europske komisije.</w:t>
            </w:r>
          </w:p>
        </w:tc>
        <w:tc>
          <w:tcPr>
            <w:tcW w:w="102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48,6 %</w:t>
            </w:r>
          </w:p>
        </w:tc>
      </w:tr>
      <w:tr>
        <w:trPr/>
        <w:tc>
          <w:tcPr>
            <w:tcW w:w="1867"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674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3.2 Preporučujemo da sastav Europske komisije bude transparentniji, prema nekim osnovnim pravilima, kako bi sastav odražavao glas građana i kako bi građani znali kako se odabir odvijao.</w:t>
            </w:r>
          </w:p>
        </w:tc>
        <w:tc>
          <w:tcPr>
            <w:tcW w:w="102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88,9 %</w:t>
            </w:r>
          </w:p>
        </w:tc>
      </w:tr>
      <w:tr>
        <w:trPr/>
        <w:tc>
          <w:tcPr>
            <w:tcW w:w="1867"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 Nema puno informacija o kandidatima, ne znamo mnogo o njima i njihovom programu, kao i o političkom udjelu koji će predstavljati u Europskom parlamentu.</w:t>
            </w:r>
          </w:p>
        </w:tc>
        <w:tc>
          <w:tcPr>
            <w:tcW w:w="674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4.1 Predlažemo da se europski kandidati na konkretniji način predstave na lokalnoj razini sa svojim ciljevima i programima putem različitih kanala (komunikacija).</w:t>
            </w:r>
          </w:p>
        </w:tc>
        <w:tc>
          <w:tcPr>
            <w:tcW w:w="102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84,2 %</w:t>
            </w:r>
          </w:p>
        </w:tc>
      </w:tr>
    </w:tbl>
    <w:p>
      <w:pPr>
        <w:pStyle w:val="Normal"/>
        <w:rPr/>
      </w:pPr>
      <w:r>
        <w:rPr/>
      </w:r>
    </w:p>
    <w:p>
      <w:pPr>
        <w:pStyle w:val="Normal"/>
        <w:rPr/>
      </w:pPr>
      <w:r>
        <w:rPr/>
        <w:t>5.1.2 Europski ombudsman</w:t>
      </w:r>
    </w:p>
    <w:tbl>
      <w:tblPr>
        <w:tblW w:w="9645"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3179"/>
        <w:gridCol w:w="5431"/>
        <w:gridCol w:w="1035"/>
      </w:tblGrid>
      <w:tr>
        <w:trPr/>
        <w:tc>
          <w:tcPr>
            <w:tcW w:w="3179"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Problemi</w:t>
            </w:r>
          </w:p>
        </w:tc>
        <w:tc>
          <w:tcPr>
            <w:tcW w:w="5431"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Preporuke</w:t>
            </w:r>
          </w:p>
        </w:tc>
        <w:tc>
          <w:tcPr>
            <w:tcW w:w="1035"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Podržano (%)</w:t>
            </w:r>
          </w:p>
        </w:tc>
      </w:tr>
      <w:tr>
        <w:trPr/>
        <w:tc>
          <w:tcPr>
            <w:tcW w:w="317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 Stranica na drugim jezicima osim engleskog uključuje samo informacije na engleskom jeziku na prve dvije stranice. To stvara barijeru za građane koji ne vladaju engleskim jezikom.</w:t>
            </w:r>
          </w:p>
        </w:tc>
        <w:tc>
          <w:tcPr>
            <w:tcW w:w="543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1.1 Predlažemo staviti informacije na početnu stranicu na jeziku svakog građanina i objaviti, ako to nije moguće, vijesti na engleskom jeziku drugdje na stranici.</w:t>
            </w:r>
          </w:p>
        </w:tc>
        <w:tc>
          <w:tcPr>
            <w:tcW w:w="1035"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89,2 %</w:t>
            </w:r>
          </w:p>
        </w:tc>
      </w:tr>
      <w:tr>
        <w:trPr/>
        <w:tc>
          <w:tcPr>
            <w:tcW w:w="317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 Ombudsman nije stranka u kazni i bilo kakvoj naknadi za podnositelja pritužbe</w:t>
            </w:r>
          </w:p>
        </w:tc>
        <w:tc>
          <w:tcPr>
            <w:tcW w:w="543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2.1 Predlažemo da Ombudsman sudjeluje u postupku pronalaženja i provedbe rješenja/sankcije/naknade te da ima pravo glasa o tom pitanju.</w:t>
            </w:r>
          </w:p>
        </w:tc>
        <w:tc>
          <w:tcPr>
            <w:tcW w:w="1035"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71,1 %</w:t>
            </w:r>
          </w:p>
        </w:tc>
      </w:tr>
      <w:tr>
        <w:trPr/>
        <w:tc>
          <w:tcPr>
            <w:tcW w:w="317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 Rok je ponekad vrlo dug za potvrđivanje registracije na licu mjesta (pošta za validaciju) Ponekad traje 24 sata i degradira građanina koji prelazi na nešto drugo.</w:t>
            </w:r>
          </w:p>
        </w:tc>
        <w:tc>
          <w:tcPr>
            <w:tcW w:w="543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3.1 Predlažemo uvođenje trenutačnog sustava potvrđivanja.</w:t>
            </w:r>
          </w:p>
        </w:tc>
        <w:tc>
          <w:tcPr>
            <w:tcW w:w="1035"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47,4 %</w:t>
            </w:r>
          </w:p>
        </w:tc>
      </w:tr>
      <w:tr>
        <w:trPr/>
        <w:tc>
          <w:tcPr>
            <w:tcW w:w="317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 Pri podnošenju prigovora postavlja se sljedeće pitanje: jeste li koristili sve moguće postupke? Građanin ne zna uvijek sve postupke i ne može odgovoriti na pitanje.</w:t>
            </w:r>
          </w:p>
        </w:tc>
        <w:tc>
          <w:tcPr>
            <w:tcW w:w="543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4.1 Predlažemo da se uključi poveznica na jednostavno predstavljanje/objašnjenje drugih postupaka</w:t>
            </w:r>
          </w:p>
        </w:tc>
        <w:tc>
          <w:tcPr>
            <w:tcW w:w="1035"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89,5 %</w:t>
            </w:r>
          </w:p>
        </w:tc>
      </w:tr>
      <w:tr>
        <w:trPr/>
        <w:tc>
          <w:tcPr>
            <w:tcW w:w="317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w:t>
            </w:r>
            <w:r>
              <w:rPr/>
              <w:commentReference w:id="17"/>
            </w:r>
            <w:r>
              <w:rPr/>
              <w:t>. Internetska stranica Europskog ombudsmana dobro je napravljena, ali nema jasnu europsku sliku, što dovodi do pitanja za građane (jesam li na pravom mjestu, je li to vjerodostojno? ...).</w:t>
            </w:r>
          </w:p>
        </w:tc>
        <w:tc>
          <w:tcPr>
            <w:tcW w:w="543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5.1 Predlažemo reviziju grafičke povelje o web-lokaciji i njezino bolje usklađivanje s onom EU-a (prvi savjeti: podignite europsku zastavu na vrh stranice). Pri prvom „kliku” mora biti jasno da se građanin nalazi na internetskim stranicama pučkog pravobranitelja institucija.</w:t>
            </w:r>
          </w:p>
        </w:tc>
        <w:tc>
          <w:tcPr>
            <w:tcW w:w="1035"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78,4 %</w:t>
            </w:r>
          </w:p>
        </w:tc>
      </w:tr>
    </w:tbl>
    <w:p>
      <w:pPr>
        <w:pStyle w:val="Normal"/>
        <w:rPr/>
      </w:pPr>
      <w:r>
        <w:rPr/>
      </w:r>
    </w:p>
    <w:p>
      <w:pPr>
        <w:pStyle w:val="Normal"/>
        <w:rPr/>
      </w:pPr>
      <w:r>
        <w:rPr/>
        <w:t>5.1.3 Javno savjetovanje</w:t>
      </w:r>
      <w:r>
        <w:rPr/>
        <w:commentReference w:id="18"/>
      </w:r>
    </w:p>
    <w:tbl>
      <w:tblPr>
        <w:tblW w:w="9645"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3211"/>
        <w:gridCol w:w="5398"/>
        <w:gridCol w:w="1036"/>
      </w:tblGrid>
      <w:tr>
        <w:trPr/>
        <w:tc>
          <w:tcPr>
            <w:tcW w:w="3211"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Problemi</w:t>
            </w:r>
          </w:p>
        </w:tc>
        <w:tc>
          <w:tcPr>
            <w:tcW w:w="5398"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Preporuke</w:t>
            </w:r>
          </w:p>
        </w:tc>
        <w:tc>
          <w:tcPr>
            <w:tcW w:w="1036"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Podržano (%)</w:t>
            </w:r>
          </w:p>
        </w:tc>
      </w:tr>
      <w:tr>
        <w:trPr/>
        <w:tc>
          <w:tcPr>
            <w:tcW w:w="321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 Web-mjesto savjetovanja promijenilo se i građanin se šalje u prvom stupnju na zastarjelo mjesto. Morate pretraživati kako biste pronašli adresu nove stranice.</w:t>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1.1. Predlažemo brisanje stare stranice i upućivanje na novu stranicu na prvom mjestu.</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81,6 %</w:t>
            </w:r>
          </w:p>
        </w:tc>
      </w:tr>
      <w:tr>
        <w:trPr/>
        <w:tc>
          <w:tcPr>
            <w:tcW w:w="3211"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 Plan (engleski) i mišljenja (jezik urednika građanina) savjetovanja nisu prevedeni na jezik čitatelja građana</w:t>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2.1. Preporučujemo da se plan prevede na jezik građana. Karta na engleskom jeziku blokira svakog građanina koji ne ovlada</w:t>
            </w:r>
            <w:commentRangeStart w:id="19"/>
            <w:r>
              <w:rPr/>
              <w:t>engleskim jezikom</w:t>
            </w:r>
            <w:r>
              <w:rPr/>
            </w:r>
            <w:commentRangeEnd w:id="19"/>
            <w:r>
              <w:commentReference w:id="19"/>
            </w:r>
            <w:r>
              <w:rPr/>
              <w:t xml:space="preserve"> u svom sudjelovanju.</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81,6 %</w:t>
            </w:r>
          </w:p>
        </w:tc>
      </w:tr>
      <w:tr>
        <w:trPr/>
        <w:tc>
          <w:tcPr>
            <w:tcW w:w="3211"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 xml:space="preserve">2.2. Predlažemo staviti karticu/ikonu „automatizirani prijevod” na svaku recenziju, koja se povezuje s open source prevoditeljskim motorom kao što je </w:t>
            </w:r>
            <w:commentRangeStart w:id="20"/>
            <w:r>
              <w:rPr/>
              <w:t>Google Translate ili DeepL.</w:t>
            </w:r>
            <w:commentRangeEnd w:id="20"/>
            <w:r>
              <w:commentReference w:id="20"/>
            </w:r>
            <w:r>
              <w:rPr/>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65,8 %</w:t>
            </w:r>
          </w:p>
        </w:tc>
      </w:tr>
      <w:tr>
        <w:trPr/>
        <w:tc>
          <w:tcPr>
            <w:tcW w:w="321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 Morate se pretplatiti na daljnje postupanje nakon savjetovanja</w:t>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3.1. Predlažemo da se proces praćenja automatski pošalje svima koji su reagirali, uz mogućnost otkazivanja pretplate.</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89,5 %</w:t>
            </w:r>
          </w:p>
        </w:tc>
      </w:tr>
      <w:tr>
        <w:trPr/>
        <w:tc>
          <w:tcPr>
            <w:tcW w:w="3211"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 Ne znamo utječe li broj mišljenja u određenom smislu na povjerenstvo ili se slična mišljenja uzimaju kao jedno mišljenje (ponderiranje ili ne). Ako je broj mišljenja u određenom smislu važan, zabrinuti smo zbog važnosti lobista/aktivista/velikih poduzeća u savjetovanjima i de facto mjera koje EU poduzima prema građanima i udruženom svijetu.</w:t>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4.1. Preporučujemo postavljanje jasnih informacija na web-lokaciji o tome.</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81,6 %</w:t>
            </w:r>
          </w:p>
        </w:tc>
      </w:tr>
      <w:tr>
        <w:trPr/>
        <w:tc>
          <w:tcPr>
            <w:tcW w:w="3211"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4.2. Ako broj mišljenja u jednom smjeru ima utjecaj, preporučujemo uspostavu sustava koji može filtrirati lobiste/aktiviste/velika poduzeća itd. kako im se ne bi dala nerazmjerna važnost.</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60,5 %</w:t>
            </w:r>
          </w:p>
        </w:tc>
      </w:tr>
      <w:tr>
        <w:trPr/>
        <w:tc>
          <w:tcPr>
            <w:tcW w:w="3211"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4.3. Preporučujemo stvaranje softvera umjetne inteligencije koji rangira različite recenzije i broji suprotne ili povoljne recenzije.</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47,4 %</w:t>
            </w:r>
          </w:p>
        </w:tc>
      </w:tr>
      <w:tr>
        <w:trPr/>
        <w:tc>
          <w:tcPr>
            <w:tcW w:w="3211"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4.4. Predlažemo organiziranje releja između građana i udruga (vojnika): imati mjesta na kojima bi građani mogli doći i dati svoja mišljenja u obliku „europskih kuća” koje bi mogle doprinijeti širenju mišljenja građana na europskoj razini. Ta bi se mjesta trebala uspostaviti na različitim lokacijama, na lokalnoj razini i premjestiti.</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62,2 %</w:t>
            </w:r>
          </w:p>
        </w:tc>
      </w:tr>
      <w:tr>
        <w:trPr/>
        <w:tc>
          <w:tcPr>
            <w:tcW w:w="321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5.Obrazac za obavijest nije jasan: postoji otvoreno pitanje i upitnik. Koja je uloga svakog dokumenta, što treba dovršiti?</w:t>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5.1 Objasnite ove informacije na web-mjestu.</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81,6 %</w:t>
            </w:r>
          </w:p>
        </w:tc>
      </w:tr>
      <w:tr>
        <w:trPr/>
        <w:tc>
          <w:tcPr>
            <w:tcW w:w="321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6. Postoji previše vještina kada je riječ o alatima.</w:t>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6.1 Predlažemo stvaranje otpremnog centra koji će omogućiti upućivanje zahtjeva na nadležnu razinu vlasti.</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78,9 %</w:t>
            </w:r>
          </w:p>
        </w:tc>
      </w:tr>
    </w:tbl>
    <w:p>
      <w:pPr>
        <w:pStyle w:val="Normal"/>
        <w:rPr/>
      </w:pPr>
      <w:r>
        <w:rPr/>
      </w:r>
    </w:p>
    <w:p>
      <w:pPr>
        <w:pStyle w:val="Normal"/>
        <w:rPr/>
      </w:pPr>
      <w:r>
        <w:rPr/>
        <w:t>5.1.4 Europska građanska inicijativa</w:t>
      </w:r>
    </w:p>
    <w:tbl>
      <w:tblPr>
        <w:tblW w:w="9645"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2190"/>
        <w:gridCol w:w="6375"/>
        <w:gridCol w:w="1080"/>
      </w:tblGrid>
      <w:tr>
        <w:trPr>
          <w:trHeight w:val="596" w:hRule="atLeast"/>
        </w:trPr>
        <w:tc>
          <w:tcPr>
            <w:tcW w:w="219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Problemi</w:t>
            </w:r>
          </w:p>
        </w:tc>
        <w:tc>
          <w:tcPr>
            <w:tcW w:w="63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Preporuke</w:t>
            </w:r>
          </w:p>
        </w:tc>
        <w:tc>
          <w:tcPr>
            <w:tcW w:w="10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Podržano (%)</w:t>
            </w:r>
          </w:p>
        </w:tc>
      </w:tr>
      <w:tr>
        <w:trPr>
          <w:trHeight w:val="1481" w:hRule="atLeast"/>
        </w:trPr>
        <w:tc>
          <w:tcPr>
            <w:tcW w:w="219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 Teško je doći do građana koji nemaju internet.</w:t>
            </w:r>
          </w:p>
        </w:tc>
        <w:tc>
          <w:tcPr>
            <w:tcW w:w="63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1.1 Predlažemo da lokalne vlasti ili knjižnice, koje su neovisne o vladi, mogu biti uključene u širenje ove inicijative i prikupljanje potpisa. Elektronički i na papiru. EU bi trebao razmotriti tu mrežu po zemljama i staviti je na raspolaganje inicijatorima.</w:t>
            </w:r>
          </w:p>
        </w:tc>
        <w:tc>
          <w:tcPr>
            <w:tcW w:w="10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71,1 %</w:t>
            </w:r>
          </w:p>
        </w:tc>
      </w:tr>
      <w:tr>
        <w:trPr>
          <w:trHeight w:val="1481" w:hRule="atLeast"/>
        </w:trPr>
        <w:tc>
          <w:tcPr>
            <w:tcW w:w="219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 Broj zemalja koje trebaju sudjelovati premalen je da bi imali dovoljnu potporu.</w:t>
            </w:r>
          </w:p>
        </w:tc>
        <w:tc>
          <w:tcPr>
            <w:tcW w:w="63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 Predlažemo povećanje broja zemalja iz kojih se prikupljaju potpisi na 13 zemalja kako bi se dobila veća potpora prijedlogu. Broj potpisa mora se poštovati razmjerno broju stanovnika.</w:t>
            </w:r>
          </w:p>
        </w:tc>
        <w:tc>
          <w:tcPr>
            <w:tcW w:w="10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64,9 %</w:t>
            </w:r>
          </w:p>
        </w:tc>
      </w:tr>
      <w:tr>
        <w:trPr>
          <w:trHeight w:val="596" w:hRule="atLeast"/>
        </w:trPr>
        <w:tc>
          <w:tcPr>
            <w:tcW w:w="2190" w:type="dxa"/>
            <w:vMerge w:val="restart"/>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 Troškovi i napori za prikupljanje potpisa su visoki</w:t>
            </w:r>
          </w:p>
        </w:tc>
        <w:tc>
          <w:tcPr>
            <w:tcW w:w="63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3.1 Predlažemo da se osigura financiranje EU-a za potporu tim inicijativama.</w:t>
            </w:r>
          </w:p>
        </w:tc>
        <w:tc>
          <w:tcPr>
            <w:tcW w:w="10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71,1 %</w:t>
            </w:r>
          </w:p>
        </w:tc>
      </w:tr>
      <w:tr>
        <w:trPr>
          <w:trHeight w:val="596" w:hRule="atLeast"/>
        </w:trPr>
        <w:tc>
          <w:tcPr>
            <w:tcW w:w="2190"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637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3.2 Predlažemo osnivanje tijela za olakšavanje koordinacije među različitim zemljama.</w:t>
            </w:r>
          </w:p>
        </w:tc>
        <w:tc>
          <w:tcPr>
            <w:tcW w:w="108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75,7 %</w:t>
            </w:r>
          </w:p>
        </w:tc>
      </w:tr>
      <w:tr>
        <w:trPr>
          <w:trHeight w:val="596" w:hRule="atLeast"/>
        </w:trPr>
        <w:tc>
          <w:tcPr>
            <w:tcW w:w="21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 Procedura je složena za građane.</w:t>
            </w:r>
          </w:p>
        </w:tc>
        <w:tc>
          <w:tcPr>
            <w:tcW w:w="637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4.1 Predlažemo uspostavu službe za pomoć građanima kako bi se građanima pomoglo da dovrše taj proces.</w:t>
            </w:r>
          </w:p>
        </w:tc>
        <w:tc>
          <w:tcPr>
            <w:tcW w:w="108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83,8 %</w:t>
            </w:r>
          </w:p>
        </w:tc>
      </w:tr>
      <w:tr>
        <w:trPr>
          <w:trHeight w:val="596" w:hRule="atLeast"/>
        </w:trPr>
        <w:tc>
          <w:tcPr>
            <w:tcW w:w="2190" w:type="dxa"/>
            <w:vMerge w:val="restart"/>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 Ishod građanske inicijative nije jasan.</w:t>
            </w:r>
          </w:p>
        </w:tc>
        <w:tc>
          <w:tcPr>
            <w:tcW w:w="637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5.1 Predlažemo da se Europska komisija obveže na raspravu i rad na daljnjem postupanju u vezi s prijedlogom, a ne samo da odgovori i potvrdi primitak. Ako Komisija odluči da neće djelovati na prijedlog, mora ga obrazložiti.</w:t>
            </w:r>
          </w:p>
        </w:tc>
        <w:tc>
          <w:tcPr>
            <w:tcW w:w="108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100,0 %</w:t>
            </w:r>
          </w:p>
        </w:tc>
      </w:tr>
      <w:tr>
        <w:trPr>
          <w:trHeight w:val="596" w:hRule="atLeast"/>
        </w:trPr>
        <w:tc>
          <w:tcPr>
            <w:tcW w:w="2190"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637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5.2 Predlažemo da se prilikom primanja europske građanske inicijative organizira savjetovanje s građanima kako bi se od njih zatražilo mišljenje o njoj prije nego što ga odbor nadzire. Time bi se izbjegla samo ekstremna mišljenja/glasovi za inicijativu i mišljenje osoba koje nisu potpisale. Osim toga, ako svi građani izraze svoje mišljenje, prijedlog će imati veću važnost na razini EU-a i njegovo praćenje.</w:t>
            </w:r>
          </w:p>
        </w:tc>
        <w:tc>
          <w:tcPr>
            <w:tcW w:w="108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55,3 %</w:t>
            </w:r>
          </w:p>
        </w:tc>
      </w:tr>
    </w:tbl>
    <w:p>
      <w:pPr>
        <w:pStyle w:val="Normal"/>
        <w:rPr/>
      </w:pPr>
      <w:r>
        <w:rPr/>
      </w:r>
    </w:p>
    <w:p>
      <w:pPr>
        <w:pStyle w:val="Normal"/>
        <w:rPr/>
      </w:pPr>
      <w:r>
        <w:rPr/>
        <w:t>5.1.5 Pravo na podnošenje peticije</w:t>
      </w:r>
    </w:p>
    <w:tbl>
      <w:tblPr>
        <w:tblW w:w="9645"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3276"/>
        <w:gridCol w:w="5168"/>
        <w:gridCol w:w="1201"/>
      </w:tblGrid>
      <w:tr>
        <w:trPr>
          <w:trHeight w:val="356" w:hRule="atLeast"/>
        </w:trPr>
        <w:tc>
          <w:tcPr>
            <w:tcW w:w="32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Problemi</w:t>
            </w:r>
          </w:p>
        </w:tc>
        <w:tc>
          <w:tcPr>
            <w:tcW w:w="516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Preporuke</w:t>
            </w:r>
          </w:p>
        </w:tc>
        <w:tc>
          <w:tcPr>
            <w:tcW w:w="120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Podržano (%)</w:t>
            </w:r>
          </w:p>
        </w:tc>
      </w:tr>
      <w:tr>
        <w:trPr>
          <w:trHeight w:val="656" w:hRule="atLeast"/>
        </w:trPr>
        <w:tc>
          <w:tcPr>
            <w:tcW w:w="32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 Europska komisija donijela je konačnu odluku, nema sigurnosti u pogledu ishoda.</w:t>
            </w:r>
          </w:p>
        </w:tc>
        <w:tc>
          <w:tcPr>
            <w:tcW w:w="516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1.1 Predlažemo da Odbor slijedi preporuku Europskog parlamenta.</w:t>
            </w:r>
          </w:p>
        </w:tc>
        <w:tc>
          <w:tcPr>
            <w:tcW w:w="120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81,1 %</w:t>
            </w:r>
          </w:p>
        </w:tc>
      </w:tr>
      <w:tr>
        <w:trPr>
          <w:trHeight w:val="941" w:hRule="atLeast"/>
        </w:trPr>
        <w:tc>
          <w:tcPr>
            <w:tcW w:w="32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 Malo je transparentnosti u procesu i motivaciji odluke.</w:t>
            </w:r>
          </w:p>
        </w:tc>
        <w:tc>
          <w:tcPr>
            <w:tcW w:w="516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 Predlažemo redovito obavještavanje podnositelja predstavke o napretku i odlukama. Konačni zaključak također mora biti obrazložen.</w:t>
            </w:r>
          </w:p>
        </w:tc>
        <w:tc>
          <w:tcPr>
            <w:tcW w:w="120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94,4 %</w:t>
            </w:r>
          </w:p>
        </w:tc>
      </w:tr>
      <w:tr>
        <w:trPr>
          <w:trHeight w:val="656" w:hRule="atLeast"/>
        </w:trPr>
        <w:tc>
          <w:tcPr>
            <w:tcW w:w="32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 Građanima je teško dokazati potrebu za novim zakonodavstvom.</w:t>
            </w:r>
          </w:p>
        </w:tc>
        <w:tc>
          <w:tcPr>
            <w:tcW w:w="516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3.1 Naša je preporuka da se predstavka koristi i kao sredstvo za dokazivanje potrebe za novim zakonodavstvom.</w:t>
            </w:r>
          </w:p>
        </w:tc>
        <w:tc>
          <w:tcPr>
            <w:tcW w:w="120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78,4 %</w:t>
            </w:r>
          </w:p>
        </w:tc>
      </w:tr>
    </w:tbl>
    <w:p>
      <w:pPr>
        <w:pStyle w:val="Normal"/>
        <w:rPr/>
      </w:pPr>
      <w:r>
        <w:rPr/>
      </w:r>
    </w:p>
    <w:p>
      <w:pPr>
        <w:pStyle w:val="Normal"/>
        <w:rPr/>
      </w:pPr>
      <w:r>
        <w:rPr/>
      </w:r>
    </w:p>
    <w:p>
      <w:pPr>
        <w:pStyle w:val="Normal"/>
        <w:rPr/>
      </w:pPr>
      <w:r>
        <w:rPr/>
      </w:r>
      <w:r>
        <w:br w:type="page"/>
      </w:r>
    </w:p>
    <w:p>
      <w:pPr>
        <w:pStyle w:val="Titre1"/>
        <w:numPr>
          <w:ilvl w:val="0"/>
          <w:numId w:val="2"/>
        </w:numPr>
        <w:rPr/>
      </w:pPr>
      <w:bookmarkStart w:id="206" w:name="__RefHeading___Toc297349_1346298689"/>
      <w:bookmarkEnd w:id="206"/>
      <w:r>
        <w:rPr/>
        <w:t>II.B Nacionalni paneli: Francuska</w:t>
      </w:r>
    </w:p>
    <w:p>
      <w:pPr>
        <w:pStyle w:val="Normal"/>
        <w:spacing w:before="15880" w:after="57"/>
        <w:rPr/>
      </w:pPr>
      <w:r>
        <w:rPr/>
        <mc:AlternateContent>
          <mc:Choice Requires="wps">
            <w:drawing>
              <wp:anchor behindDoc="0" distT="72390" distB="72390" distL="72390" distR="72390" simplePos="0" locked="0" layoutInCell="1" allowOverlap="1" relativeHeight="39">
                <wp:simplePos x="0" y="0"/>
                <wp:positionH relativeFrom="column">
                  <wp:posOffset>914400</wp:posOffset>
                </wp:positionH>
                <wp:positionV relativeFrom="paragraph">
                  <wp:posOffset>5288280</wp:posOffset>
                </wp:positionV>
                <wp:extent cx="4782820" cy="1020445"/>
                <wp:effectExtent l="0" t="0" r="0" b="0"/>
                <wp:wrapTopAndBottom/>
                <wp:docPr id="75" name="Hrvatski jezik14"/>
                <a:graphic xmlns:a="http://schemas.openxmlformats.org/drawingml/2006/main">
                  <a:graphicData uri="http://schemas.microsoft.com/office/word/2010/wordprocessingShape">
                    <wps:wsp>
                      <wps:cNvSpPr/>
                      <wps:spPr>
                        <a:xfrm>
                          <a:off x="0" y="0"/>
                          <a:ext cx="4782240" cy="1019880"/>
                        </a:xfrm>
                        <a:prstGeom prst="rect">
                          <a:avLst/>
                        </a:prstGeom>
                        <a:solidFill>
                          <a:srgbClr val="eeeeee">
                            <a:alpha val="50000"/>
                          </a:srgbClr>
                        </a:solidFill>
                        <a:ln>
                          <a:noFill/>
                        </a:ln>
                      </wps:spPr>
                      <wps:style>
                        <a:lnRef idx="0"/>
                        <a:fillRef idx="0"/>
                        <a:effectRef idx="0"/>
                        <a:fontRef idx="minor"/>
                      </wps:style>
                      <wps:txbx>
                        <w:txbxContent>
                          <w:p>
                            <w:pPr>
                              <w:pStyle w:val="P68B1DB1Contenudecadre22"/>
                              <w:spacing w:before="57" w:after="57"/>
                              <w:rPr>
                                <w:color w:val="FFFFFF"/>
                              </w:rPr>
                            </w:pPr>
                            <w:r>
                              <w:rPr/>
                              <w:t xml:space="preserve">Ovaj je dokument sažetak izvješća „Doprinos građana konferenciji o budućnosti Europe” u organizaciji Francuske. Cjelovita verzija izvješća na francuskom jeziku dostupna je na sljedećoj poveznici: </w:t>
                            </w:r>
                          </w:p>
                          <w:p>
                            <w:pPr>
                              <w:pStyle w:val="Contenudecadre"/>
                              <w:spacing w:before="57" w:after="57"/>
                              <w:rPr/>
                            </w:pPr>
                            <w:hyperlink r:id="rId86">
                              <w:r>
                                <w:rPr>
                                  <w:rStyle w:val="LienInternet"/>
                                </w:rPr>
                                <w:t>https://participation-citoyenne.gouv.fr/sites/default/files/2021-11/20211126%20-%20COFE%20-%20Rapport%20final.pdf</w:t>
                              </w:r>
                            </w:hyperlink>
                            <w:r>
                              <w:rPr>
                                <w:color w:val="FFFFFF"/>
                              </w:rPr>
                              <w:t xml:space="preserve"> </w:t>
                            </w:r>
                          </w:p>
                        </w:txbxContent>
                      </wps:txbx>
                      <wps:bodyPr lIns="54000" rIns="54000" tIns="54000" bIns="54000">
                        <a:noAutofit/>
                      </wps:bodyPr>
                    </wps:wsp>
                  </a:graphicData>
                </a:graphic>
              </wp:anchor>
            </w:drawing>
          </mc:Choice>
          <mc:Fallback>
            <w:pict>
              <v:rect id="shape_0" ID="Hrvatski jezik14" fillcolor="#eeeeee" stroked="f" style="position:absolute;margin-left:72pt;margin-top:416.4pt;width:376.5pt;height:80.25pt">
                <w10:wrap type="square"/>
                <v:fill o:detectmouseclick="t" type="solid" color2="#111111" opacity="0.5"/>
                <v:stroke color="#3465a4" joinstyle="round" endcap="flat"/>
                <v:textbox>
                  <w:txbxContent>
                    <w:p>
                      <w:pPr>
                        <w:pStyle w:val="P68B1DB1Contenudecadre22"/>
                        <w:spacing w:before="57" w:after="57"/>
                        <w:rPr>
                          <w:color w:val="FFFFFF"/>
                        </w:rPr>
                      </w:pPr>
                      <w:r>
                        <w:rPr/>
                        <w:t xml:space="preserve">Ovaj je dokument sažetak izvješća „Doprinos građana konferenciji o budućnosti Europe” u organizaciji Francuske. Cjelovita verzija izvješća na francuskom jeziku dostupna je na sljedećoj poveznici: </w:t>
                      </w:r>
                    </w:p>
                    <w:p>
                      <w:pPr>
                        <w:pStyle w:val="Contenudecadre"/>
                        <w:spacing w:before="57" w:after="57"/>
                        <w:rPr/>
                      </w:pPr>
                      <w:hyperlink r:id="rId87">
                        <w:r>
                          <w:rPr>
                            <w:rStyle w:val="LienInternet"/>
                          </w:rPr>
                          <w:t>https://participation-citoyenne.gouv.fr/sites/default/files/2021-11/20211126%20-%20COFE%20-%20Rapport%20final.pdf</w:t>
                        </w:r>
                      </w:hyperlink>
                      <w:r>
                        <w:rPr>
                          <w:color w:val="FFFFFF"/>
                        </w:rPr>
                        <w:t xml:space="preserve"> </w:t>
                      </w:r>
                    </w:p>
                  </w:txbxContent>
                </v:textbox>
              </v:rect>
            </w:pict>
          </mc:Fallback>
        </mc:AlternateContent>
        <w:drawing>
          <wp:anchor behindDoc="0" distT="0" distB="0" distL="0" distR="0" simplePos="0" locked="0" layoutInCell="1" allowOverlap="1" relativeHeight="34">
            <wp:simplePos x="0" y="0"/>
            <wp:positionH relativeFrom="column">
              <wp:align>center</wp:align>
            </wp:positionH>
            <wp:positionV relativeFrom="paragraph">
              <wp:posOffset>635</wp:posOffset>
            </wp:positionV>
            <wp:extent cx="5443855" cy="6813550"/>
            <wp:effectExtent l="0" t="0" r="0" b="0"/>
            <wp:wrapTopAndBottom/>
            <wp:docPr id="77" name="Slika 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Slika 33" descr=""/>
                    <pic:cNvPicPr>
                      <a:picLocks noChangeAspect="1" noChangeArrowheads="1"/>
                    </pic:cNvPicPr>
                  </pic:nvPicPr>
                  <pic:blipFill>
                    <a:blip r:embed="rId88"/>
                    <a:stretch>
                      <a:fillRect/>
                    </a:stretch>
                  </pic:blipFill>
                  <pic:spPr bwMode="auto">
                    <a:xfrm>
                      <a:off x="0" y="0"/>
                      <a:ext cx="5443855" cy="6813550"/>
                    </a:xfrm>
                    <a:prstGeom prst="rect">
                      <a:avLst/>
                    </a:prstGeom>
                  </pic:spPr>
                </pic:pic>
              </a:graphicData>
            </a:graphic>
          </wp:anchor>
        </w:drawing>
        <w:drawing>
          <wp:anchor behindDoc="0" distT="0" distB="0" distL="0" distR="0" simplePos="0" locked="0" layoutInCell="1" allowOverlap="1" relativeHeight="35">
            <wp:simplePos x="0" y="0"/>
            <wp:positionH relativeFrom="column">
              <wp:posOffset>5186680</wp:posOffset>
            </wp:positionH>
            <wp:positionV relativeFrom="paragraph">
              <wp:posOffset>6484620</wp:posOffset>
            </wp:positionV>
            <wp:extent cx="838200" cy="485775"/>
            <wp:effectExtent l="0" t="0" r="0" b="0"/>
            <wp:wrapSquare wrapText="largest"/>
            <wp:docPr id="78" name="Slika 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Slika 38" descr=""/>
                    <pic:cNvPicPr>
                      <a:picLocks noChangeAspect="1" noChangeArrowheads="1"/>
                    </pic:cNvPicPr>
                  </pic:nvPicPr>
                  <pic:blipFill>
                    <a:blip r:embed="rId89"/>
                    <a:stretch>
                      <a:fillRect/>
                    </a:stretch>
                  </pic:blipFill>
                  <pic:spPr bwMode="auto">
                    <a:xfrm>
                      <a:off x="0" y="0"/>
                      <a:ext cx="838200" cy="485775"/>
                    </a:xfrm>
                    <a:prstGeom prst="rect">
                      <a:avLst/>
                    </a:prstGeom>
                  </pic:spPr>
                </pic:pic>
              </a:graphicData>
            </a:graphic>
          </wp:anchor>
        </w:drawing>
        <w:drawing>
          <wp:anchor behindDoc="0" distT="0" distB="0" distL="0" distR="0" simplePos="0" locked="0" layoutInCell="1" allowOverlap="1" relativeHeight="36">
            <wp:simplePos x="0" y="0"/>
            <wp:positionH relativeFrom="column">
              <wp:posOffset>3897630</wp:posOffset>
            </wp:positionH>
            <wp:positionV relativeFrom="paragraph">
              <wp:posOffset>6478270</wp:posOffset>
            </wp:positionV>
            <wp:extent cx="1212850" cy="419100"/>
            <wp:effectExtent l="0" t="0" r="0" b="0"/>
            <wp:wrapSquare wrapText="largest"/>
            <wp:docPr id="79" name="Slika 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Slika 37" descr=""/>
                    <pic:cNvPicPr>
                      <a:picLocks noChangeAspect="1" noChangeArrowheads="1"/>
                    </pic:cNvPicPr>
                  </pic:nvPicPr>
                  <pic:blipFill>
                    <a:blip r:embed="rId90"/>
                    <a:stretch>
                      <a:fillRect/>
                    </a:stretch>
                  </pic:blipFill>
                  <pic:spPr bwMode="auto">
                    <a:xfrm>
                      <a:off x="0" y="0"/>
                      <a:ext cx="1212850" cy="419100"/>
                    </a:xfrm>
                    <a:prstGeom prst="rect">
                      <a:avLst/>
                    </a:prstGeom>
                  </pic:spPr>
                </pic:pic>
              </a:graphicData>
            </a:graphic>
          </wp:anchor>
        </w:drawing>
        <w:drawing>
          <wp:anchor behindDoc="0" distT="0" distB="0" distL="0" distR="0" simplePos="0" locked="0" layoutInCell="1" allowOverlap="1" relativeHeight="37">
            <wp:simplePos x="0" y="0"/>
            <wp:positionH relativeFrom="column">
              <wp:posOffset>2844800</wp:posOffset>
            </wp:positionH>
            <wp:positionV relativeFrom="paragraph">
              <wp:posOffset>6459220</wp:posOffset>
            </wp:positionV>
            <wp:extent cx="1007745" cy="490855"/>
            <wp:effectExtent l="0" t="0" r="0" b="0"/>
            <wp:wrapSquare wrapText="largest"/>
            <wp:docPr id="80" name="Slika 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Slika 36" descr=""/>
                    <pic:cNvPicPr>
                      <a:picLocks noChangeAspect="1" noChangeArrowheads="1"/>
                    </pic:cNvPicPr>
                  </pic:nvPicPr>
                  <pic:blipFill>
                    <a:blip r:embed="rId91"/>
                    <a:stretch>
                      <a:fillRect/>
                    </a:stretch>
                  </pic:blipFill>
                  <pic:spPr bwMode="auto">
                    <a:xfrm>
                      <a:off x="0" y="0"/>
                      <a:ext cx="1007745" cy="490855"/>
                    </a:xfrm>
                    <a:prstGeom prst="rect">
                      <a:avLst/>
                    </a:prstGeom>
                  </pic:spPr>
                </pic:pic>
              </a:graphicData>
            </a:graphic>
          </wp:anchor>
        </w:drawing>
        <w:drawing>
          <wp:anchor behindDoc="0" distT="0" distB="0" distL="0" distR="0" simplePos="0" locked="0" layoutInCell="1" allowOverlap="1" relativeHeight="38">
            <wp:simplePos x="0" y="0"/>
            <wp:positionH relativeFrom="column">
              <wp:posOffset>1290955</wp:posOffset>
            </wp:positionH>
            <wp:positionV relativeFrom="paragraph">
              <wp:posOffset>6459220</wp:posOffset>
            </wp:positionV>
            <wp:extent cx="1554480" cy="240030"/>
            <wp:effectExtent l="0" t="0" r="0" b="0"/>
            <wp:wrapSquare wrapText="largest"/>
            <wp:docPr id="81" name="Slika 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Slika 34" descr=""/>
                    <pic:cNvPicPr>
                      <a:picLocks noChangeAspect="1" noChangeArrowheads="1"/>
                    </pic:cNvPicPr>
                  </pic:nvPicPr>
                  <pic:blipFill>
                    <a:blip r:embed="rId92"/>
                    <a:stretch>
                      <a:fillRect/>
                    </a:stretch>
                  </pic:blipFill>
                  <pic:spPr bwMode="auto">
                    <a:xfrm>
                      <a:off x="0" y="0"/>
                      <a:ext cx="1554480" cy="240030"/>
                    </a:xfrm>
                    <a:prstGeom prst="rect">
                      <a:avLst/>
                    </a:prstGeom>
                  </pic:spPr>
                </pic:pic>
              </a:graphicData>
            </a:graphic>
          </wp:anchor>
        </w:drawing>
        <w:drawing>
          <wp:anchor behindDoc="0" distT="0" distB="0" distL="0" distR="0" simplePos="0" locked="0" layoutInCell="1" allowOverlap="1" relativeHeight="56">
            <wp:simplePos x="0" y="0"/>
            <wp:positionH relativeFrom="column">
              <wp:posOffset>-47625</wp:posOffset>
            </wp:positionH>
            <wp:positionV relativeFrom="paragraph">
              <wp:posOffset>6496050</wp:posOffset>
            </wp:positionV>
            <wp:extent cx="1281430" cy="614680"/>
            <wp:effectExtent l="0" t="0" r="0" b="0"/>
            <wp:wrapSquare wrapText="largest"/>
            <wp:docPr id="82" name="Slika 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Slika 35" descr=""/>
                    <pic:cNvPicPr>
                      <a:picLocks noChangeAspect="1" noChangeArrowheads="1"/>
                    </pic:cNvPicPr>
                  </pic:nvPicPr>
                  <pic:blipFill>
                    <a:blip r:embed="rId93"/>
                    <a:stretch>
                      <a:fillRect/>
                    </a:stretch>
                  </pic:blipFill>
                  <pic:spPr bwMode="auto">
                    <a:xfrm>
                      <a:off x="0" y="0"/>
                      <a:ext cx="1281430" cy="614680"/>
                    </a:xfrm>
                    <a:prstGeom prst="rect">
                      <a:avLst/>
                    </a:prstGeom>
                  </pic:spPr>
                </pic:pic>
              </a:graphicData>
            </a:graphic>
          </wp:anchor>
        </w:drawing>
      </w:r>
    </w:p>
    <w:p>
      <w:pPr>
        <w:pStyle w:val="Normal"/>
        <w:widowControl w:val="false"/>
        <w:spacing w:lineRule="exact" w:line="388" w:before="80" w:after="0"/>
        <w:ind w:left="0" w:right="0" w:hanging="0"/>
        <w:jc w:val="left"/>
        <w:rPr>
          <w:rFonts w:ascii="Times New Roman" w:hAnsi="Times New Roman"/>
          <w:color w:val="000000"/>
          <w:sz w:val="24"/>
        </w:rPr>
      </w:pPr>
      <w:r>
        <w:rPr>
          <w:rFonts w:ascii="Times New Roman" w:hAnsi="Times New Roman"/>
          <w:color w:val="000000"/>
          <w:sz w:val="24"/>
        </w:rPr>
      </w:r>
      <w:r>
        <w:br w:type="page"/>
      </w:r>
    </w:p>
    <w:sdt>
      <w:sdtPr>
        <w:docPartObj>
          <w:docPartGallery w:val="Table of Contents"/>
          <w:docPartUnique w:val="true"/>
        </w:docPartObj>
      </w:sdtPr>
      <w:sdtContent>
        <w:p>
          <w:pPr>
            <w:pStyle w:val="TOAHeading"/>
            <w:suppressLineNumbers/>
            <w:ind w:left="0" w:right="0" w:hanging="0"/>
            <w:rPr/>
          </w:pPr>
          <w:r>
            <w:rPr/>
            <w:t>Sažetak</w:t>
          </w:r>
        </w:p>
        <w:p>
          <w:pPr>
            <w:pStyle w:val="Tabledesmatiresniveau1"/>
            <w:rPr/>
          </w:pPr>
          <w:r>
            <w:fldChar w:fldCharType="begin"/>
          </w:r>
          <w:r>
            <w:rPr>
              <w:rStyle w:val="Sautdindex"/>
            </w:rPr>
            <w:instrText> TOC \f \o "1-3" \h</w:instrText>
          </w:r>
          <w:r>
            <w:rPr>
              <w:rStyle w:val="Sautdindex"/>
            </w:rPr>
            <w:fldChar w:fldCharType="separate"/>
          </w:r>
          <w:hyperlink w:anchor="__RefHeading___Toc297349_1346298689">
            <w:r>
              <w:rPr>
                <w:rStyle w:val="Sautdindex"/>
              </w:rPr>
              <w:t>II B Panels nationaux : France</w:t>
              <w:tab/>
              <w:t>192</w:t>
            </w:r>
          </w:hyperlink>
        </w:p>
        <w:p>
          <w:pPr>
            <w:pStyle w:val="Tabledesmatiresniveau2"/>
            <w:tabs>
              <w:tab w:val="right" w:pos="9638" w:leader="dot"/>
            </w:tabs>
            <w:rPr/>
          </w:pPr>
          <w:hyperlink w:anchor="__RefHeading___Toc300448_1346298689">
            <w:r>
              <w:rPr>
                <w:rStyle w:val="Sautdindex"/>
              </w:rPr>
              <w:t>Introduction</w:t>
              <w:tab/>
              <w:t>194</w:t>
            </w:r>
          </w:hyperlink>
        </w:p>
        <w:p>
          <w:pPr>
            <w:pStyle w:val="Tabledesmatiresniveau2"/>
            <w:tabs>
              <w:tab w:val="right" w:pos="9638" w:leader="dot"/>
            </w:tabs>
            <w:rPr/>
          </w:pPr>
          <w:hyperlink w:anchor="__RefHeading___Toc300450_1346298689">
            <w:r>
              <w:rPr>
                <w:rStyle w:val="Sautdindex"/>
              </w:rPr>
              <w:t>Présentation des principaux résultats</w:t>
              <w:tab/>
              <w:t>197</w:t>
            </w:r>
          </w:hyperlink>
        </w:p>
        <w:p>
          <w:pPr>
            <w:pStyle w:val="Tabledesmatiresniveau2"/>
            <w:tabs>
              <w:tab w:val="right" w:pos="9638" w:leader="dot"/>
            </w:tabs>
            <w:rPr/>
          </w:pPr>
          <w:hyperlink w:anchor="__RefHeading___Toc300452_1346298689">
            <w:r>
              <w:rPr>
                <w:rStyle w:val="Sautdindex"/>
              </w:rPr>
              <w:t>Présentation des panels des conférences régionales</w:t>
              <w:tab/>
              <w:t>199</w:t>
            </w:r>
          </w:hyperlink>
        </w:p>
        <w:p>
          <w:pPr>
            <w:pStyle w:val="Tabledesmatiresniveau2"/>
            <w:tabs>
              <w:tab w:val="right" w:pos="9638" w:leader="dot"/>
            </w:tabs>
            <w:rPr/>
          </w:pPr>
          <w:hyperlink w:anchor="__RefHeading___Toc300454_1346298689">
            <w:r>
              <w:rPr>
                <w:rStyle w:val="Sautdindex"/>
              </w:rPr>
              <w:t>Engagements et partis pris méthodologiques</w:t>
              <w:tab/>
              <w:t>201</w:t>
            </w:r>
          </w:hyperlink>
        </w:p>
        <w:p>
          <w:pPr>
            <w:pStyle w:val="Tabledesmatiresniveau2"/>
            <w:tabs>
              <w:tab w:val="right" w:pos="9638" w:leader="dot"/>
            </w:tabs>
            <w:rPr/>
          </w:pPr>
          <w:hyperlink w:anchor="__RefHeading___Toc300456_1346298689">
            <w:r>
              <w:rPr>
                <w:rStyle w:val="Sautdindex"/>
              </w:rPr>
              <w:t>Première partie: présentation des résultats des conférences régionales sur l’avenir de l’Europe</w:t>
              <w:tab/>
              <w:t>207</w:t>
            </w:r>
          </w:hyperlink>
        </w:p>
        <w:p>
          <w:pPr>
            <w:pStyle w:val="Tabledesmatiresniveau2"/>
            <w:tabs>
              <w:tab w:val="right" w:pos="9638" w:leader="dot"/>
            </w:tabs>
            <w:rPr/>
          </w:pPr>
          <w:hyperlink w:anchor="__RefHeading___Toc297351_1346298689">
            <w:r>
              <w:rPr>
                <w:rStyle w:val="Sautdindex"/>
              </w:rPr>
              <w:t>Seconde partie: présentation des résultats de la consultation « Parole aux Jeunes »</w:t>
              <w:tab/>
              <w:t>218</w:t>
            </w:r>
          </w:hyperlink>
        </w:p>
        <w:p>
          <w:pPr>
            <w:pStyle w:val="Tabledesmatiresniveau2"/>
            <w:tabs>
              <w:tab w:val="right" w:pos="9638" w:leader="dot"/>
            </w:tabs>
            <w:rPr/>
          </w:pPr>
          <w:hyperlink w:anchor="__RefHeading___Toc300458_1346298689">
            <w:r>
              <w:rPr>
                <w:rStyle w:val="Sautdindex"/>
              </w:rPr>
              <w:t>Conclusion</w:t>
              <w:tab/>
              <w:t>221</w:t>
            </w:r>
          </w:hyperlink>
        </w:p>
      </w:sdtContent>
    </w:sdt>
    <w:p>
      <w:pPr>
        <w:pStyle w:val="Normal"/>
        <w:spacing w:before="57" w:after="57"/>
        <w:ind w:left="0" w:right="0" w:hanging="0"/>
        <w:rPr>
          <w:rFonts w:ascii="Arial" w:hAnsi="Arial"/>
          <w:sz w:val="22"/>
        </w:rPr>
      </w:pPr>
      <w:r>
        <w:rPr>
          <w:sz w:val="22"/>
        </w:rPr>
      </w:r>
      <w:r>
        <w:rPr>
          <w:sz w:val="22"/>
        </w:rPr>
        <w:fldChar w:fldCharType="end"/>
      </w:r>
    </w:p>
    <w:p>
      <w:pPr>
        <w:pStyle w:val="Normal"/>
        <w:rPr/>
      </w:pPr>
      <w:r>
        <w:rPr/>
      </w:r>
      <w:r>
        <w:br w:type="page"/>
      </w:r>
    </w:p>
    <w:p>
      <w:pPr>
        <w:pStyle w:val="Titre2"/>
        <w:numPr>
          <w:ilvl w:val="1"/>
          <w:numId w:val="2"/>
        </w:numPr>
        <w:rPr/>
      </w:pPr>
      <w:bookmarkStart w:id="207" w:name="__RefHeading___Toc300448_1346298689"/>
      <w:bookmarkEnd w:id="207"/>
      <w:r>
        <w:rPr/>
        <w:t xml:space="preserve">Uvod </w:t>
      </w:r>
    </w:p>
    <w:p>
      <w:pPr>
        <w:pStyle w:val="P68B1DB1Normal19"/>
        <w:widowControl w:val="false"/>
        <w:spacing w:lineRule="auto" w:line="240" w:before="156" w:after="0"/>
        <w:ind w:left="0" w:right="0" w:hanging="0"/>
        <w:jc w:val="both"/>
        <w:rPr/>
      </w:pPr>
      <w:r>
        <w:rPr/>
        <w:t xml:space="preserve">Konferencija o budućnosti Europe dosad je nezabilježena aktivnost sudjelovanja građana u savjetovanju s građanima 27 država članica Europske unije kako bi ih se stavilo u središte odluka koje će se donositi godinama i desetljećima koje dolaze. Građani EU-a stoga se pozivaju da izraze svoje mišljenje i predlože promjene i konkretne načine djelovanja koji će Europi omogućiti da postavi nove ambicije i odgovori na globalne izazove s kojima se danas suočava. </w:t>
      </w:r>
    </w:p>
    <w:p>
      <w:pPr>
        <w:pStyle w:val="P68B1DB1Normal19"/>
        <w:widowControl w:val="false"/>
        <w:spacing w:lineRule="auto" w:line="240" w:before="156" w:after="0"/>
        <w:ind w:left="0" w:right="0" w:hanging="0"/>
        <w:jc w:val="both"/>
        <w:rPr/>
      </w:pPr>
      <w:r>
        <w:rPr/>
        <w:t xml:space="preserve">Francuska vlada podupire inicijative trija predsjedništava Konferencije o budućnosti Europe, posebno poticanjem svojih građana da znatno doprinesu internetskoj platformi i organiziraju događanja diljem zemlje. </w:t>
      </w:r>
    </w:p>
    <w:p>
      <w:pPr>
        <w:pStyle w:val="P68B1DB1Normal19"/>
        <w:widowControl w:val="false"/>
        <w:spacing w:lineRule="auto" w:line="240" w:before="156" w:after="0"/>
        <w:ind w:left="0" w:right="0" w:hanging="0"/>
        <w:jc w:val="left"/>
        <w:rPr/>
      </w:pPr>
      <w:r>
        <w:rPr/>
        <w:t xml:space="preserve">Usporedno s tim europskim inicijativama, vlada je željela provesti participativnu vježbu na nacionalnoj razini. </w:t>
      </w:r>
    </w:p>
    <w:p>
      <w:pPr>
        <w:pStyle w:val="P68B1DB1Normal19"/>
        <w:widowControl w:val="false"/>
        <w:spacing w:lineRule="auto" w:line="240" w:before="156" w:after="0"/>
        <w:ind w:left="0" w:right="0" w:hanging="0"/>
        <w:jc w:val="both"/>
        <w:rPr/>
      </w:pPr>
      <w:r>
        <w:rPr/>
        <w:t xml:space="preserve">Uz potporu Ministarstva za odnose s parlamentom i sudjelovanje građana (MRPCC) i stručnog znanja Međuministarskog centra za sudjelovanje građana (ICPC), Ministarstvo Europe i vanjskih poslova (MEAE) organiziralo je građansku vježbu na temelju jakih metodoloških predrasuda (vidi u nastavku „Metodološke obveze i pristranosti”). MEAE se oslanjao na konzorcij dobavljača sastavljen od Roland Berger, Wavestone, Missions Publiques i Harris Interactive. Regionalne prefekture konačno su odigrale ključnu ulogu u organizaciji 18 konferencija diljem zemlje. </w:t>
      </w:r>
    </w:p>
    <w:p>
      <w:pPr>
        <w:pStyle w:val="P68B1DB1Normal19"/>
        <w:widowControl w:val="false"/>
        <w:spacing w:lineRule="auto" w:line="240" w:before="156" w:after="0"/>
        <w:ind w:left="0" w:right="0" w:hanging="0"/>
        <w:jc w:val="both"/>
        <w:rPr/>
      </w:pPr>
      <w:r>
        <w:rPr/>
        <w:t xml:space="preserve">U okviru ovog savjetovanja sudionicima je postavljeno jedno pitanje: </w:t>
      </w:r>
      <w:r>
        <w:rPr>
          <w:b/>
          <w:i/>
        </w:rPr>
        <w:t>Kao Francuzi, koje promjene želite za Europu?</w:t>
      </w:r>
      <w:r>
        <w:rPr/>
        <w:t xml:space="preserve"> (Vidjeti Prilog IV. „Ovlaštenje za sudjelovanje”). </w:t>
      </w:r>
    </w:p>
    <w:p>
      <w:pPr>
        <w:pStyle w:val="P68B1DB1Normal19"/>
        <w:widowControl w:val="false"/>
        <w:spacing w:lineRule="auto" w:line="240" w:before="156" w:after="0"/>
        <w:ind w:left="0" w:right="0" w:hanging="0"/>
        <w:jc w:val="both"/>
        <w:rPr/>
      </w:pPr>
      <w:r>
        <w:rPr/>
        <w:t xml:space="preserve">Ta nacionalna vježba održana je u obliku 18 regionalnih konferencija, u 13 metropolskih regija i pet francuskih ultramorskih regija, koje su se održavale tijekom tri vikenda u rujnu i listopadu 2021., a svaka je okupila između 30 i 50 građana izvlačenih ždrijebom (ukupno 746). Sinteza tih 18 regionalnih panela zatim je provedena na nacionalnoj konferenciji održanoj od 15. do 17. listopada 2021. u Vijeću za gospodarstvo, društvo i okoliš (EGSO u Parizu) i na kojoj je sudjelovalo 98 dobrovoljnih građana među sudionicima regionalnih konferencija. </w:t>
      </w:r>
    </w:p>
    <w:p>
      <w:pPr>
        <w:pStyle w:val="P68B1DB1Normal19"/>
        <w:widowControl w:val="false"/>
        <w:spacing w:lineRule="auto" w:line="240" w:before="156" w:after="0"/>
        <w:ind w:left="0" w:right="0" w:hanging="0"/>
        <w:jc w:val="both"/>
        <w:rPr/>
      </w:pPr>
      <w:r>
        <w:rPr/>
        <w:t xml:space="preserve">Osim toga, kako bi se istaknule riječi mladih Francuza uoči Europske godine mladih 2022., Ministarstvo Europe i vanjskih poslova organiziralo je internetsko savjetovanje pod </w:t>
      </w:r>
      <w:r>
        <w:rPr>
          <w:i/>
        </w:rPr>
        <w:t>nazivom „Govori mladima</w:t>
      </w:r>
      <w:r>
        <w:rPr/>
        <w:t xml:space="preserve">” u partnerstvu s tvrtkom Make.org. Više od 50 000 mladih u dobi od 15 do 35 godina izrazilo je svoje ideje i prioritete za Europu 2035. </w:t>
      </w:r>
    </w:p>
    <w:p>
      <w:pPr>
        <w:pStyle w:val="P68B1DB1Normal19"/>
        <w:widowControl w:val="false"/>
        <w:spacing w:lineRule="auto" w:line="240" w:before="156" w:after="0"/>
        <w:ind w:left="0" w:right="0" w:hanging="0"/>
        <w:jc w:val="left"/>
        <w:rPr>
          <w:rFonts w:ascii="Times New Roman" w:hAnsi="Times New Roman"/>
          <w:color w:val="000000"/>
          <w:sz w:val="24"/>
        </w:rPr>
      </w:pPr>
      <w:r>
        <w:rPr/>
        <w:t xml:space="preserve">U ovom su izvješću predstavljeni glavni rezultati dvaju savjetovanja koja je provela vlada. </w:t>
      </w:r>
    </w:p>
    <w:p>
      <w:pPr>
        <w:pStyle w:val="Normal"/>
        <w:widowControl w:val="false"/>
        <w:spacing w:lineRule="auto" w:line="240" w:before="156" w:after="0"/>
        <w:ind w:left="0" w:right="0" w:hanging="0"/>
        <w:jc w:val="left"/>
        <w:rPr>
          <w:rFonts w:ascii="Times New Roman" w:hAnsi="Times New Roman"/>
          <w:color w:val="000000"/>
          <w:sz w:val="24"/>
        </w:rPr>
      </w:pPr>
      <w:r>
        <w:rPr>
          <w:rFonts w:ascii="Times New Roman" w:hAnsi="Times New Roman"/>
          <w:color w:val="000000"/>
          <w:sz w:val="24"/>
        </w:rPr>
      </w:r>
    </w:p>
    <w:p>
      <w:pPr>
        <w:pStyle w:val="P68B1DB1Normal23"/>
        <w:widowControl w:val="false"/>
        <w:spacing w:lineRule="auto" w:line="240" w:before="156" w:after="0"/>
        <w:ind w:left="0" w:right="0" w:hanging="0"/>
        <w:jc w:val="left"/>
        <w:rPr>
          <w:rFonts w:ascii="Times New Roman" w:hAnsi="Times New Roman"/>
          <w:color w:val="000000"/>
          <w:sz w:val="24"/>
          <w:u w:val="single"/>
        </w:rPr>
      </w:pPr>
      <w:r>
        <w:rPr/>
        <w:t xml:space="preserve">Metodologija savjetovanja </w:t>
      </w:r>
    </w:p>
    <w:p>
      <w:pPr>
        <w:pStyle w:val="P68B1DB1Normal19"/>
        <w:widowControl w:val="false"/>
        <w:spacing w:lineRule="auto" w:line="240" w:before="156" w:after="0"/>
        <w:ind w:left="0" w:right="0" w:hanging="0"/>
        <w:jc w:val="both"/>
        <w:rPr/>
      </w:pPr>
      <w:r>
        <w:rPr/>
        <w:t xml:space="preserve">Zapošljavanje građana koji sudjeluju na regionalnim konferencijama kombiniralo je nasumični odabir sudionika nasumičnim odabirom njihovih telefonskih brojeva i ciljani odabir profila kako bi se došlo do panela koji predstavlja raznolikost svakog teritorija. </w:t>
      </w:r>
    </w:p>
    <w:p>
      <w:pPr>
        <w:pStyle w:val="P68B1DB1Normal19"/>
        <w:widowControl w:val="false"/>
        <w:spacing w:lineRule="auto" w:line="240" w:before="156" w:after="0"/>
        <w:ind w:left="0" w:right="0" w:hanging="0"/>
        <w:jc w:val="both"/>
        <w:rPr/>
      </w:pPr>
      <w:r>
        <w:rPr/>
        <w:t xml:space="preserve">Tijekom regionalnih panela sudionici su govorili naizmjenično radno vrijeme u skupinama, po tablici od 6 do 8 građana, uz koordinatora i vrijeme izlaganja na plenarnoj sjednici. Stručnjaci su bili prisutni tijekom vremena za razmišljanje kako bi odgovorili na pitanja građana i rasvijetlili ih, zadržavajući pritom stajalište neutralnosti. </w:t>
      </w:r>
    </w:p>
    <w:p>
      <w:pPr>
        <w:pStyle w:val="P68B1DB1Normal19"/>
        <w:widowControl w:val="false"/>
        <w:spacing w:lineRule="auto" w:line="240" w:before="156" w:after="0"/>
        <w:ind w:left="0" w:right="0" w:hanging="0"/>
        <w:jc w:val="both"/>
        <w:rPr/>
      </w:pPr>
      <w:r>
        <w:rPr/>
        <w:t xml:space="preserve">Građani su prvi put pozvani da rasprave o svojoj trenutačnoj percepciji Europe. Zatim su izrazili svoje </w:t>
      </w:r>
      <w:r>
        <w:rPr>
          <w:b/>
        </w:rPr>
        <w:t>želje za Europom 2035.</w:t>
      </w:r>
      <w:r>
        <w:rPr/>
        <w:t xml:space="preserve">, kao skupina, a zatim na plenarnoj sjednici. Te su rasprave omogućile utvrđivanje između 3 i 8 želja po regiji. Za svaku od tih želja građani su zatim oblikovali </w:t>
      </w:r>
      <w:r>
        <w:rPr>
          <w:b/>
        </w:rPr>
        <w:t>promjene</w:t>
      </w:r>
      <w:r>
        <w:rPr/>
        <w:t xml:space="preserve"> koje su smatrali potrebnima za postizanje željene Europe, a zatim su ih ilustrirali konkretnim prijedlozima koje treba provesti. Taj je proces rezultirao ukupno 515 izmjena i 1301 konkretnih prijedloga na nacionalnoj razini. </w:t>
      </w:r>
    </w:p>
    <w:p>
      <w:pPr>
        <w:pStyle w:val="P68B1DB1Normal19"/>
        <w:widowControl w:val="false"/>
        <w:spacing w:lineRule="auto" w:line="240" w:before="156" w:after="0"/>
        <w:ind w:left="0" w:right="0" w:hanging="0"/>
        <w:jc w:val="left"/>
        <w:rPr/>
      </w:pPr>
      <w:r>
        <w:rPr/>
        <w:t xml:space="preserve">Svaka regionalna konferencija rezultirala je pisanjem regionalnog objedinjenog izvješća dostavljenog svim sudionicima uoči nacionalne konferencije. </w:t>
      </w:r>
    </w:p>
    <w:p>
      <w:pPr>
        <w:pStyle w:val="P68B1DB1Normal19"/>
        <w:widowControl w:val="false"/>
        <w:spacing w:lineRule="auto" w:line="240" w:before="156" w:after="0"/>
        <w:ind w:left="0" w:right="0" w:hanging="0"/>
        <w:jc w:val="both"/>
        <w:rPr/>
      </w:pPr>
      <w:r>
        <w:rPr/>
        <w:t xml:space="preserve">Konferencija o nacionalnoj sintezi okupila je 98 nasumično izvučenih građana među sudionicima 18 regionalnih konferencija. Kako bi se osigurala raznolikost nacionalnog panela, među volonterima regionalnih konferencija u metropolitanskoj Francuskoj i Réunionu puno je bilo šest građana i četvero građana koji su sudjelovali u ultramarinskim konferencijama, poštujući jednakost i različitost dobi u svakoj regionalnoj skupini (vidi Prilog II.). </w:t>
      </w:r>
    </w:p>
    <w:p>
      <w:pPr>
        <w:pStyle w:val="Normal"/>
        <w:widowControl w:val="false"/>
        <w:spacing w:lineRule="auto" w:line="240" w:before="156" w:after="0"/>
        <w:ind w:left="0" w:right="0" w:hanging="0"/>
        <w:jc w:val="both"/>
        <w:rPr/>
      </w:pPr>
      <w:r>
        <w:rPr>
          <w:rFonts w:ascii="Times New Roman" w:hAnsi="Times New Roman"/>
          <w:color w:val="000000"/>
          <w:sz w:val="24"/>
        </w:rPr>
        <w:t>U pripremi za nacionalnu konferenciju, 515 promjena utvrđenih na regionalnim konferencijama analizirano je i pomireno kada se njihova temeljna namjera pojavila slična ili blizu, tako da čine 14 skupina promjena</w:t>
      </w:r>
      <w:r>
        <w:rPr>
          <w:rFonts w:ascii="Times New Roman" w:hAnsi="Times New Roman"/>
          <w:b/>
          <w:color w:val="000000"/>
          <w:sz w:val="24"/>
        </w:rPr>
        <w:t xml:space="preserve"> </w:t>
      </w:r>
      <w:r>
        <w:rPr>
          <w:rFonts w:ascii="Times New Roman" w:hAnsi="Times New Roman"/>
          <w:color w:val="000000"/>
          <w:sz w:val="24"/>
        </w:rPr>
        <w:t>koje odražavaju zajedničku želju za Europom (vidi dio 6.). Tih 14 europskih želja poslužilo je kao osnova za rad 98 sudionika nacionalne konferencije, čija je misija bila obogatiti rad koji se obavlja u regijama i suprotstaviti se željama Europe, promjenama i prijedlozima uz pomoć dvadeset stručnjaka kako bi došli do popisa prioritetnih promjena. Svaka skupina konačno je odabrala tri ključne izmjene, od</w:t>
      </w:r>
      <w:r>
        <w:rPr>
          <w:rFonts w:ascii="Times New Roman" w:hAnsi="Times New Roman"/>
          <w:b/>
          <w:color w:val="000000"/>
          <w:sz w:val="24"/>
        </w:rPr>
        <w:t xml:space="preserve"> </w:t>
      </w:r>
      <w:r>
        <w:rPr>
          <w:rFonts w:ascii="Times New Roman" w:hAnsi="Times New Roman"/>
          <w:color w:val="000000"/>
          <w:sz w:val="24"/>
        </w:rPr>
        <w:t xml:space="preserve">kojih je prvu glasovalo svih 98 građana, čime je utvrđeno konačno rangiranje 14 prioritetnih promjena. Objedinjeno izvješće objedinjuje sav rad ove konferencije. </w:t>
      </w:r>
      <w:r>
        <w:br w:type="page"/>
      </w:r>
    </w:p>
    <w:p>
      <w:pPr>
        <w:pStyle w:val="P68B1DB1Normal19"/>
        <w:spacing w:lineRule="auto" w:line="240" w:before="156" w:after="0"/>
        <w:ind w:left="0" w:right="0" w:hanging="0"/>
        <w:rPr/>
      </w:pPr>
      <w:r>
        <w:rPr/>
        <w:t xml:space="preserve">Internetsko savjetovanje „Parole aux Jeunes” provedeno u partnerstvu s tvrtkom Make.org održano je od svibnja do srpnja 2021. Više od 50 000 sudionika sudjelovalo je i podnijelo gotovo 3000 prijedloga za Europu. Na temelju svih reakcija mladih građana identificirano je 35 glavnih ideja, od kojih su 22 bile široko hvaljene, a 13 su bile predmet kontroverzi među sudionicima (vidi Dio 11.). </w:t>
      </w:r>
    </w:p>
    <w:p>
      <w:pPr>
        <w:pStyle w:val="P68B1DB1Normal19"/>
        <w:widowControl w:val="false"/>
        <w:spacing w:lineRule="auto" w:line="240" w:before="156" w:after="0"/>
        <w:ind w:left="0" w:right="0" w:hanging="0"/>
        <w:jc w:val="left"/>
        <w:rPr/>
      </w:pPr>
      <w:r>
        <w:rPr>
          <w:u w:val="single"/>
        </w:rPr>
        <w:t>Izlazna točka i dužnost odmah</w:t>
      </w:r>
      <w:r>
        <w:rPr/>
        <w:t xml:space="preserve"> </w:t>
      </w:r>
    </w:p>
    <w:p>
      <w:pPr>
        <w:pStyle w:val="P68B1DB1Normal19"/>
        <w:widowControl w:val="false"/>
        <w:spacing w:lineRule="auto" w:line="240" w:before="156" w:after="0"/>
        <w:ind w:left="0" w:right="0" w:hanging="0"/>
        <w:jc w:val="both"/>
        <w:rPr/>
      </w:pPr>
      <w:r>
        <w:rPr/>
        <w:t xml:space="preserve">Građani će ovo izvješće podnijeti vladi 29. studenoga 2021. u nazočnosti izabranih francuskih članova Plenarne skupštine Konferencije o budućnosti Europe. Bit će predstavljen triju predsjedništava Konferencije tijekom francuskog predsjedanja Vijećem Europske unije (PFUE). </w:t>
      </w:r>
    </w:p>
    <w:p>
      <w:pPr>
        <w:pStyle w:val="P68B1DB1Normal19"/>
        <w:widowControl w:val="false"/>
        <w:spacing w:lineRule="auto" w:line="240" w:before="156" w:after="0"/>
        <w:ind w:left="0" w:right="0" w:hanging="0"/>
        <w:jc w:val="both"/>
        <w:rPr/>
      </w:pPr>
      <w:r>
        <w:rPr/>
        <w:t xml:space="preserve">Na kraju konferencije o nacionalnoj sintezi u EGSO-u, a kako bi se ispunila visoka očekivanja građana koja su privukla mnogo ljudi, osnovan je Odbor za praćenje građana koji utjelovljuje pravo praćenja sudionika. Ovaj odbor, sastavljen od 15 članova – 14 predstavnika regionalnih konferencija i predstavnika savjetovanja „Parole aux Jeunes” – imat će zadatak informirati građane o budućnosti njihovih prijedloga. Na svakom sastanku Plenarne skupštine Konferencije jedan ili jedan od članova Odbora za praćenje sudjelovat će kao predstavnik francuske vježbe kako bi se istaknuli prijedlozi izneseni u ovom izvješću, uz istodobno zauzimanje zajedničkog stajališta sa svim zastupljenim europskim građanima. </w:t>
      </w:r>
    </w:p>
    <w:p>
      <w:pPr>
        <w:pStyle w:val="P68B1DB1Normal19"/>
        <w:widowControl w:val="false"/>
        <w:spacing w:lineRule="auto" w:line="240" w:before="156" w:after="0"/>
        <w:ind w:left="0" w:right="0" w:hanging="0"/>
        <w:jc w:val="both"/>
        <w:rPr/>
      </w:pPr>
      <w:r>
        <w:rPr/>
        <w:t xml:space="preserve">Svi dokumenti francuskog savjetovanja bit će javni i dostupni svima na platformi za sudjelovanje građana Francuske države: mandat sudjelovanja, regionalni sažeci, nacionalna sinteza, izvješće jamca i završno izvješće. </w:t>
      </w:r>
    </w:p>
    <w:p>
      <w:pPr>
        <w:pStyle w:val="Normal"/>
        <w:spacing w:lineRule="auto" w:line="240" w:before="156" w:after="0"/>
        <w:ind w:left="0" w:right="0" w:hanging="0"/>
        <w:rPr/>
      </w:pPr>
      <w:r>
        <w:rPr/>
      </w:r>
    </w:p>
    <w:p>
      <w:pPr>
        <w:pStyle w:val="Normal"/>
        <w:rPr/>
      </w:pPr>
      <w:r>
        <w:rPr/>
      </w:r>
      <w:r>
        <w:br w:type="page"/>
      </w:r>
    </w:p>
    <w:p>
      <w:pPr>
        <w:pStyle w:val="Titre2"/>
        <w:numPr>
          <w:ilvl w:val="1"/>
          <w:numId w:val="2"/>
        </w:numPr>
        <w:rPr/>
      </w:pPr>
      <w:bookmarkStart w:id="208" w:name="__RefHeading___Toc300450_1346298689"/>
      <w:bookmarkEnd w:id="208"/>
      <w:r>
        <mc:AlternateContent>
          <mc:Choice Requires="wps">
            <w:drawing>
              <wp:anchor behindDoc="0" distT="72390" distB="72390" distL="72390" distR="72390" simplePos="0" locked="0" layoutInCell="1" allowOverlap="1" relativeHeight="46">
                <wp:simplePos x="0" y="0"/>
                <wp:positionH relativeFrom="column">
                  <wp:posOffset>3595370</wp:posOffset>
                </wp:positionH>
                <wp:positionV relativeFrom="paragraph">
                  <wp:posOffset>108585</wp:posOffset>
                </wp:positionV>
                <wp:extent cx="2486660" cy="6927215"/>
                <wp:effectExtent l="0" t="0" r="0" b="0"/>
                <wp:wrapSquare wrapText="bothSides"/>
                <wp:docPr id="83" name="Hrvatski jezik21"/>
                <a:graphic xmlns:a="http://schemas.openxmlformats.org/drawingml/2006/main">
                  <a:graphicData uri="http://schemas.microsoft.com/office/word/2010/wordprocessingShape">
                    <wps:wsp>
                      <wps:cNvSpPr/>
                      <wps:spPr>
                        <a:xfrm>
                          <a:off x="0" y="0"/>
                          <a:ext cx="2486160" cy="6926760"/>
                        </a:xfrm>
                        <a:prstGeom prst="rect">
                          <a:avLst/>
                        </a:prstGeom>
                        <a:solidFill>
                          <a:srgbClr val="ffffff"/>
                        </a:solidFill>
                        <a:ln w="720">
                          <a:solidFill>
                            <a:srgbClr val="000000"/>
                          </a:solidFill>
                          <a:round/>
                        </a:ln>
                      </wps:spPr>
                      <wps:style>
                        <a:lnRef idx="0"/>
                        <a:fillRef idx="0"/>
                        <a:effectRef idx="0"/>
                        <a:fontRef idx="minor"/>
                      </wps:style>
                      <wps:txbx>
                        <w:txbxContent>
                          <w:p>
                            <w:pPr>
                              <w:pStyle w:val="Contenudecadre"/>
                              <w:spacing w:before="57" w:after="57"/>
                              <w:rPr>
                                <w:color w:val="auto"/>
                              </w:rPr>
                            </w:pPr>
                            <w:r>
                              <w:rPr>
                                <w:color w:val="auto"/>
                              </w:rPr>
                              <w:t>Pregled doprinosa Francuske konferenciji o budućnosti Europe</w:t>
                            </w:r>
                          </w:p>
                          <w:p>
                            <w:pPr>
                              <w:pStyle w:val="Contenudecadre"/>
                              <w:rPr>
                                <w:color w:val="auto"/>
                              </w:rPr>
                            </w:pPr>
                            <w:r>
                              <w:rPr>
                                <w:color w:val="auto"/>
                              </w:rPr>
                            </w:r>
                          </w:p>
                          <w:p>
                            <w:pPr>
                              <w:pStyle w:val="Contenudecadre"/>
                              <w:rPr>
                                <w:color w:val="auto"/>
                              </w:rPr>
                            </w:pPr>
                            <w:r>
                              <w:rPr>
                                <w:color w:val="auto"/>
                              </w:rPr>
                              <w:t>Građani privučeni ždrijebom morali su odgovoriti na sljedeće pitanje: „Kao francuski građani, koje promjene želite za Europu?”</w:t>
                            </w:r>
                          </w:p>
                          <w:p>
                            <w:pPr>
                              <w:pStyle w:val="Contenudecadre"/>
                              <w:rPr>
                                <w:color w:val="auto"/>
                              </w:rPr>
                            </w:pPr>
                            <w:r>
                              <w:rPr>
                                <w:color w:val="auto"/>
                              </w:rPr>
                            </w:r>
                          </w:p>
                          <w:p>
                            <w:pPr>
                              <w:pStyle w:val="Contenudecadre"/>
                              <w:rPr>
                                <w:color w:val="auto"/>
                              </w:rPr>
                            </w:pPr>
                            <w:r>
                              <w:rPr>
                                <w:color w:val="auto"/>
                              </w:rPr>
                              <w:t xml:space="preserve">Top 10 prioritetnih promjena za Europu 2035. </w:t>
                            </w:r>
                          </w:p>
                          <w:p>
                            <w:pPr>
                              <w:pStyle w:val="Contenudecadre"/>
                              <w:rPr>
                                <w:color w:val="auto"/>
                              </w:rPr>
                            </w:pPr>
                            <w:r>
                              <w:rPr>
                                <w:color w:val="auto"/>
                              </w:rPr>
                            </w:r>
                          </w:p>
                          <w:p>
                            <w:pPr>
                              <w:pStyle w:val="Contenudecadre"/>
                              <w:rPr>
                                <w:color w:val="auto"/>
                              </w:rPr>
                            </w:pPr>
                            <w:r>
                              <w:rPr>
                                <w:color w:val="auto"/>
                              </w:rPr>
                              <w:t xml:space="preserve">1. Razvijajte </w:t>
                            </w:r>
                            <w:r>
                              <w:rPr>
                                <w:b/>
                                <w:color w:val="auto"/>
                              </w:rPr>
                              <w:t>energiju trezvenost</w:t>
                            </w:r>
                            <w:r>
                              <w:rPr>
                                <w:color w:val="auto"/>
                              </w:rPr>
                              <w:t xml:space="preserve"> kako biste manje trošili zaustavljajući suvišne</w:t>
                            </w:r>
                          </w:p>
                          <w:p>
                            <w:pPr>
                              <w:pStyle w:val="Contenudecadre"/>
                              <w:rPr>
                                <w:b w:val="false"/>
                                <w:b w:val="false"/>
                                <w:color w:val="auto"/>
                              </w:rPr>
                            </w:pPr>
                            <w:r>
                              <w:rPr>
                                <w:b w:val="false"/>
                                <w:color w:val="auto"/>
                              </w:rPr>
                            </w:r>
                          </w:p>
                          <w:p>
                            <w:pPr>
                              <w:pStyle w:val="Contenudecadre"/>
                              <w:rPr>
                                <w:color w:val="auto"/>
                              </w:rPr>
                            </w:pPr>
                            <w:r>
                              <w:rPr>
                                <w:color w:val="auto"/>
                              </w:rPr>
                              <w:t>2. Jačanje</w:t>
                            </w:r>
                            <w:r>
                              <w:rPr>
                                <w:b/>
                                <w:color w:val="auto"/>
                              </w:rPr>
                              <w:t>zajedničke obrane i sigurnosti</w:t>
                            </w:r>
                            <w:r>
                              <w:rPr>
                                <w:color w:val="auto"/>
                              </w:rPr>
                              <w:t>Europske unije</w:t>
                            </w:r>
                          </w:p>
                          <w:p>
                            <w:pPr>
                              <w:pStyle w:val="Contenudecadre"/>
                              <w:rPr>
                                <w:b w:val="false"/>
                                <w:b w:val="false"/>
                                <w:color w:val="auto"/>
                              </w:rPr>
                            </w:pPr>
                            <w:r>
                              <w:rPr>
                                <w:b w:val="false"/>
                                <w:color w:val="auto"/>
                              </w:rPr>
                            </w:r>
                          </w:p>
                          <w:p>
                            <w:pPr>
                              <w:pStyle w:val="Contenudecadre"/>
                              <w:rPr>
                                <w:color w:val="auto"/>
                              </w:rPr>
                            </w:pPr>
                            <w:r>
                              <w:rPr>
                                <w:color w:val="auto"/>
                              </w:rPr>
                              <w:t xml:space="preserve">3. Poticanje </w:t>
                            </w:r>
                            <w:r>
                              <w:rPr>
                                <w:b/>
                                <w:color w:val="auto"/>
                              </w:rPr>
                              <w:t>zajedničkih gospodarskih rezultata</w:t>
                            </w:r>
                            <w:r>
                              <w:rPr>
                                <w:color w:val="auto"/>
                              </w:rPr>
                              <w:t xml:space="preserve"> s pomoću autonomne, konkurentne i cijenjene industrije EU-a</w:t>
                            </w:r>
                          </w:p>
                          <w:p>
                            <w:pPr>
                              <w:pStyle w:val="Contenudecadre"/>
                              <w:rPr>
                                <w:b w:val="false"/>
                                <w:b w:val="false"/>
                                <w:color w:val="auto"/>
                              </w:rPr>
                            </w:pPr>
                            <w:r>
                              <w:rPr>
                                <w:b w:val="false"/>
                                <w:color w:val="auto"/>
                              </w:rPr>
                            </w:r>
                          </w:p>
                          <w:p>
                            <w:pPr>
                              <w:pStyle w:val="Contenudecadre"/>
                              <w:rPr>
                                <w:color w:val="auto"/>
                              </w:rPr>
                            </w:pPr>
                            <w:r>
                              <w:rPr>
                                <w:color w:val="auto"/>
                              </w:rPr>
                              <w:t xml:space="preserve">4. </w:t>
                            </w:r>
                            <w:r>
                              <w:rPr>
                                <w:b/>
                                <w:color w:val="auto"/>
                              </w:rPr>
                              <w:t>Osnaživanje građana</w:t>
                            </w:r>
                            <w:r>
                              <w:rPr>
                                <w:color w:val="auto"/>
                              </w:rPr>
                              <w:t xml:space="preserve"> na nekoliko razina: sudjelovanje, odlučivanje, kontrola</w:t>
                            </w:r>
                          </w:p>
                          <w:p>
                            <w:pPr>
                              <w:pStyle w:val="Contenudecadre"/>
                              <w:rPr>
                                <w:b w:val="false"/>
                                <w:b w:val="false"/>
                                <w:color w:val="auto"/>
                              </w:rPr>
                            </w:pPr>
                            <w:r>
                              <w:rPr>
                                <w:b w:val="false"/>
                                <w:color w:val="auto"/>
                              </w:rPr>
                            </w:r>
                          </w:p>
                          <w:p>
                            <w:pPr>
                              <w:pStyle w:val="Contenudecadre"/>
                              <w:rPr>
                                <w:color w:val="auto"/>
                              </w:rPr>
                            </w:pPr>
                            <w:r>
                              <w:rPr>
                                <w:color w:val="auto"/>
                              </w:rPr>
                              <w:t xml:space="preserve">5. Kretanje prema </w:t>
                            </w:r>
                            <w:r>
                              <w:rPr>
                                <w:b/>
                                <w:color w:val="auto"/>
                              </w:rPr>
                              <w:t>federaciji europskih država</w:t>
                            </w:r>
                            <w:r>
                              <w:rPr>
                                <w:color w:val="auto"/>
                              </w:rPr>
                              <w:t xml:space="preserve"> sa snažnim kompetencijama u područjima od zajedničkog interesa</w:t>
                            </w:r>
                          </w:p>
                          <w:p>
                            <w:pPr>
                              <w:pStyle w:val="Contenudecadre"/>
                              <w:rPr>
                                <w:b w:val="false"/>
                                <w:b w:val="false"/>
                                <w:color w:val="auto"/>
                              </w:rPr>
                            </w:pPr>
                            <w:r>
                              <w:rPr>
                                <w:b w:val="false"/>
                                <w:color w:val="auto"/>
                              </w:rPr>
                            </w:r>
                          </w:p>
                          <w:p>
                            <w:pPr>
                              <w:pStyle w:val="Contenudecadre"/>
                              <w:spacing w:before="57" w:after="57"/>
                              <w:rPr>
                                <w:color w:val="auto"/>
                              </w:rPr>
                            </w:pPr>
                            <w:r>
                              <w:rPr>
                                <w:color w:val="auto"/>
                              </w:rPr>
                              <w:t xml:space="preserve">6. Ponuda </w:t>
                            </w:r>
                            <w:r>
                              <w:rPr>
                                <w:b/>
                                <w:color w:val="auto"/>
                              </w:rPr>
                              <w:t>programa cjeloživotne razmjene</w:t>
                            </w:r>
                          </w:p>
                        </w:txbxContent>
                      </wps:txbx>
                      <wps:bodyPr lIns="54000" rIns="54000" tIns="54000" bIns="54000">
                        <a:noAutofit/>
                      </wps:bodyPr>
                    </wps:wsp>
                  </a:graphicData>
                </a:graphic>
              </wp:anchor>
            </w:drawing>
          </mc:Choice>
          <mc:Fallback>
            <w:pict>
              <v:rect id="shape_0" ID="Hrvatski jezik21" fillcolor="white" stroked="t" style="position:absolute;margin-left:283.1pt;margin-top:8.55pt;width:195.7pt;height:545.35pt">
                <w10:wrap type="square"/>
                <v:fill o:detectmouseclick="t" type="solid" color2="black"/>
                <v:stroke color="black" weight="720" joinstyle="round" endcap="flat"/>
                <v:textbox>
                  <w:txbxContent>
                    <w:p>
                      <w:pPr>
                        <w:pStyle w:val="Contenudecadre"/>
                        <w:spacing w:before="57" w:after="57"/>
                        <w:rPr>
                          <w:color w:val="auto"/>
                        </w:rPr>
                      </w:pPr>
                      <w:r>
                        <w:rPr>
                          <w:color w:val="auto"/>
                        </w:rPr>
                        <w:t>Pregled doprinosa Francuske konferenciji o budućnosti Europe</w:t>
                      </w:r>
                    </w:p>
                    <w:p>
                      <w:pPr>
                        <w:pStyle w:val="Contenudecadre"/>
                        <w:rPr>
                          <w:color w:val="auto"/>
                        </w:rPr>
                      </w:pPr>
                      <w:r>
                        <w:rPr>
                          <w:color w:val="auto"/>
                        </w:rPr>
                      </w:r>
                    </w:p>
                    <w:p>
                      <w:pPr>
                        <w:pStyle w:val="Contenudecadre"/>
                        <w:rPr>
                          <w:color w:val="auto"/>
                        </w:rPr>
                      </w:pPr>
                      <w:r>
                        <w:rPr>
                          <w:color w:val="auto"/>
                        </w:rPr>
                        <w:t>Građani privučeni ždrijebom morali su odgovoriti na sljedeće pitanje: „Kao francuski građani, koje promjene želite za Europu?”</w:t>
                      </w:r>
                    </w:p>
                    <w:p>
                      <w:pPr>
                        <w:pStyle w:val="Contenudecadre"/>
                        <w:rPr>
                          <w:color w:val="auto"/>
                        </w:rPr>
                      </w:pPr>
                      <w:r>
                        <w:rPr>
                          <w:color w:val="auto"/>
                        </w:rPr>
                      </w:r>
                    </w:p>
                    <w:p>
                      <w:pPr>
                        <w:pStyle w:val="Contenudecadre"/>
                        <w:rPr>
                          <w:color w:val="auto"/>
                        </w:rPr>
                      </w:pPr>
                      <w:r>
                        <w:rPr>
                          <w:color w:val="auto"/>
                        </w:rPr>
                        <w:t xml:space="preserve">Top 10 prioritetnih promjena za Europu 2035. </w:t>
                      </w:r>
                    </w:p>
                    <w:p>
                      <w:pPr>
                        <w:pStyle w:val="Contenudecadre"/>
                        <w:rPr>
                          <w:color w:val="auto"/>
                        </w:rPr>
                      </w:pPr>
                      <w:r>
                        <w:rPr>
                          <w:color w:val="auto"/>
                        </w:rPr>
                      </w:r>
                    </w:p>
                    <w:p>
                      <w:pPr>
                        <w:pStyle w:val="Contenudecadre"/>
                        <w:rPr>
                          <w:color w:val="auto"/>
                        </w:rPr>
                      </w:pPr>
                      <w:r>
                        <w:rPr>
                          <w:color w:val="auto"/>
                        </w:rPr>
                        <w:t xml:space="preserve">1. Razvijajte </w:t>
                      </w:r>
                      <w:r>
                        <w:rPr>
                          <w:b/>
                          <w:color w:val="auto"/>
                        </w:rPr>
                        <w:t>energiju trezvenost</w:t>
                      </w:r>
                      <w:r>
                        <w:rPr>
                          <w:color w:val="auto"/>
                        </w:rPr>
                        <w:t xml:space="preserve"> kako biste manje trošili zaustavljajući suvišne</w:t>
                      </w:r>
                    </w:p>
                    <w:p>
                      <w:pPr>
                        <w:pStyle w:val="Contenudecadre"/>
                        <w:rPr>
                          <w:b w:val="false"/>
                          <w:b w:val="false"/>
                          <w:color w:val="auto"/>
                        </w:rPr>
                      </w:pPr>
                      <w:r>
                        <w:rPr>
                          <w:b w:val="false"/>
                          <w:color w:val="auto"/>
                        </w:rPr>
                      </w:r>
                    </w:p>
                    <w:p>
                      <w:pPr>
                        <w:pStyle w:val="Contenudecadre"/>
                        <w:rPr>
                          <w:color w:val="auto"/>
                        </w:rPr>
                      </w:pPr>
                      <w:r>
                        <w:rPr>
                          <w:color w:val="auto"/>
                        </w:rPr>
                        <w:t>2. Jačanje</w:t>
                      </w:r>
                      <w:r>
                        <w:rPr>
                          <w:b/>
                          <w:color w:val="auto"/>
                        </w:rPr>
                        <w:t>zajedničke obrane i sigurnosti</w:t>
                      </w:r>
                      <w:r>
                        <w:rPr>
                          <w:color w:val="auto"/>
                        </w:rPr>
                        <w:t>Europske unije</w:t>
                      </w:r>
                    </w:p>
                    <w:p>
                      <w:pPr>
                        <w:pStyle w:val="Contenudecadre"/>
                        <w:rPr>
                          <w:b w:val="false"/>
                          <w:b w:val="false"/>
                          <w:color w:val="auto"/>
                        </w:rPr>
                      </w:pPr>
                      <w:r>
                        <w:rPr>
                          <w:b w:val="false"/>
                          <w:color w:val="auto"/>
                        </w:rPr>
                      </w:r>
                    </w:p>
                    <w:p>
                      <w:pPr>
                        <w:pStyle w:val="Contenudecadre"/>
                        <w:rPr>
                          <w:color w:val="auto"/>
                        </w:rPr>
                      </w:pPr>
                      <w:r>
                        <w:rPr>
                          <w:color w:val="auto"/>
                        </w:rPr>
                        <w:t xml:space="preserve">3. Poticanje </w:t>
                      </w:r>
                      <w:r>
                        <w:rPr>
                          <w:b/>
                          <w:color w:val="auto"/>
                        </w:rPr>
                        <w:t>zajedničkih gospodarskih rezultata</w:t>
                      </w:r>
                      <w:r>
                        <w:rPr>
                          <w:color w:val="auto"/>
                        </w:rPr>
                        <w:t xml:space="preserve"> s pomoću autonomne, konkurentne i cijenjene industrije EU-a</w:t>
                      </w:r>
                    </w:p>
                    <w:p>
                      <w:pPr>
                        <w:pStyle w:val="Contenudecadre"/>
                        <w:rPr>
                          <w:b w:val="false"/>
                          <w:b w:val="false"/>
                          <w:color w:val="auto"/>
                        </w:rPr>
                      </w:pPr>
                      <w:r>
                        <w:rPr>
                          <w:b w:val="false"/>
                          <w:color w:val="auto"/>
                        </w:rPr>
                      </w:r>
                    </w:p>
                    <w:p>
                      <w:pPr>
                        <w:pStyle w:val="Contenudecadre"/>
                        <w:rPr>
                          <w:color w:val="auto"/>
                        </w:rPr>
                      </w:pPr>
                      <w:r>
                        <w:rPr>
                          <w:color w:val="auto"/>
                        </w:rPr>
                        <w:t xml:space="preserve">4. </w:t>
                      </w:r>
                      <w:r>
                        <w:rPr>
                          <w:b/>
                          <w:color w:val="auto"/>
                        </w:rPr>
                        <w:t>Osnaživanje građana</w:t>
                      </w:r>
                      <w:r>
                        <w:rPr>
                          <w:color w:val="auto"/>
                        </w:rPr>
                        <w:t xml:space="preserve"> na nekoliko razina: sudjelovanje, odlučivanje, kontrola</w:t>
                      </w:r>
                    </w:p>
                    <w:p>
                      <w:pPr>
                        <w:pStyle w:val="Contenudecadre"/>
                        <w:rPr>
                          <w:b w:val="false"/>
                          <w:b w:val="false"/>
                          <w:color w:val="auto"/>
                        </w:rPr>
                      </w:pPr>
                      <w:r>
                        <w:rPr>
                          <w:b w:val="false"/>
                          <w:color w:val="auto"/>
                        </w:rPr>
                      </w:r>
                    </w:p>
                    <w:p>
                      <w:pPr>
                        <w:pStyle w:val="Contenudecadre"/>
                        <w:rPr>
                          <w:color w:val="auto"/>
                        </w:rPr>
                      </w:pPr>
                      <w:r>
                        <w:rPr>
                          <w:color w:val="auto"/>
                        </w:rPr>
                        <w:t xml:space="preserve">5. Kretanje prema </w:t>
                      </w:r>
                      <w:r>
                        <w:rPr>
                          <w:b/>
                          <w:color w:val="auto"/>
                        </w:rPr>
                        <w:t>federaciji europskih država</w:t>
                      </w:r>
                      <w:r>
                        <w:rPr>
                          <w:color w:val="auto"/>
                        </w:rPr>
                        <w:t xml:space="preserve"> sa snažnim kompetencijama u područjima od zajedničkog interesa</w:t>
                      </w:r>
                    </w:p>
                    <w:p>
                      <w:pPr>
                        <w:pStyle w:val="Contenudecadre"/>
                        <w:rPr>
                          <w:b w:val="false"/>
                          <w:b w:val="false"/>
                          <w:color w:val="auto"/>
                        </w:rPr>
                      </w:pPr>
                      <w:r>
                        <w:rPr>
                          <w:b w:val="false"/>
                          <w:color w:val="auto"/>
                        </w:rPr>
                      </w:r>
                    </w:p>
                    <w:p>
                      <w:pPr>
                        <w:pStyle w:val="Contenudecadre"/>
                        <w:spacing w:before="57" w:after="57"/>
                        <w:rPr>
                          <w:color w:val="auto"/>
                        </w:rPr>
                      </w:pPr>
                      <w:r>
                        <w:rPr>
                          <w:color w:val="auto"/>
                        </w:rPr>
                        <w:t xml:space="preserve">6. Ponuda </w:t>
                      </w:r>
                      <w:r>
                        <w:rPr>
                          <w:b/>
                          <w:color w:val="auto"/>
                        </w:rPr>
                        <w:t>programa cjeloživotne razmjene</w:t>
                      </w:r>
                    </w:p>
                  </w:txbxContent>
                </v:textbox>
              </v:rect>
            </w:pict>
          </mc:Fallback>
        </mc:AlternateContent>
      </w:r>
      <w:r>
        <w:rPr/>
        <w:t>Predstavljanje glavnih rezultata</w:t>
      </w:r>
    </w:p>
    <w:p>
      <w:pPr>
        <w:pStyle w:val="P68B1DB1Normal24"/>
        <w:rPr>
          <w:b w:val="false"/>
          <w:b w:val="false"/>
          <w:sz w:val="22"/>
        </w:rPr>
      </w:pPr>
      <w:r>
        <w:rPr/>
        <w:t xml:space="preserve"> </w:t>
      </w:r>
      <w:r>
        <w:rPr/>
        <w:t>(izvornik je bio u obliku ilustracije)</w:t>
      </w:r>
    </w:p>
    <w:p>
      <w:pPr>
        <w:pStyle w:val="Normal"/>
        <w:rPr/>
      </w:pPr>
      <w:r>
        <w:rPr/>
        <w:drawing>
          <wp:anchor behindDoc="0" distT="0" distB="0" distL="0" distR="0" simplePos="0" locked="0" layoutInCell="1" allowOverlap="1" relativeHeight="44">
            <wp:simplePos x="0" y="0"/>
            <wp:positionH relativeFrom="column">
              <wp:posOffset>39370</wp:posOffset>
            </wp:positionH>
            <wp:positionV relativeFrom="paragraph">
              <wp:posOffset>95250</wp:posOffset>
            </wp:positionV>
            <wp:extent cx="3488690" cy="5027930"/>
            <wp:effectExtent l="0" t="0" r="0" b="0"/>
            <wp:wrapSquare wrapText="largest"/>
            <wp:docPr id="85" name="Slika 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Slika 39" descr=""/>
                    <pic:cNvPicPr>
                      <a:picLocks noChangeAspect="1" noChangeArrowheads="1"/>
                    </pic:cNvPicPr>
                  </pic:nvPicPr>
                  <pic:blipFill>
                    <a:blip r:embed="rId94"/>
                    <a:stretch>
                      <a:fillRect/>
                    </a:stretch>
                  </pic:blipFill>
                  <pic:spPr bwMode="auto">
                    <a:xfrm>
                      <a:off x="0" y="0"/>
                      <a:ext cx="3488690" cy="5027930"/>
                    </a:xfrm>
                    <a:prstGeom prst="rect">
                      <a:avLst/>
                    </a:prstGeom>
                  </pic:spPr>
                </pic:pic>
              </a:graphicData>
            </a:graphic>
          </wp:anchor>
        </w:drawing>
      </w:r>
    </w:p>
    <w:p>
      <w:pPr>
        <w:pStyle w:val="Normal"/>
        <w:rPr/>
      </w:pPr>
      <w:r>
        <w:rPr/>
      </w:r>
    </w:p>
    <w:p>
      <w:pPr>
        <w:pStyle w:val="Normal"/>
        <w:rPr/>
      </w:pPr>
      <w:r>
        <w:rPr/>
      </w:r>
    </w:p>
    <w:p>
      <w:pPr>
        <w:pStyle w:val="Normal"/>
        <w:rPr/>
      </w:pPr>
      <w:r>
        <w:rPr/>
      </w:r>
    </w:p>
    <w:p>
      <w:pPr>
        <w:pStyle w:val="Normal"/>
        <w:rPr/>
      </w:pPr>
      <w:r>
        <w:rPr/>
        <w:t>Izvor: Promjene koje su dobile najviše glasova na Nacionalnoj konferenciji o budućnosti Europe (15. – 17. listopada 2021.)</w:t>
      </w:r>
      <w:r>
        <w:br w:type="page"/>
      </w:r>
    </w:p>
    <w:p>
      <w:pPr>
        <w:pStyle w:val="Normal"/>
        <w:rPr/>
      </w:pPr>
      <w:r>
        <w:rPr/>
        <w:drawing>
          <wp:anchor behindDoc="0" distT="0" distB="0" distL="0" distR="0" simplePos="0" locked="0" layoutInCell="1" allowOverlap="1" relativeHeight="47">
            <wp:simplePos x="0" y="0"/>
            <wp:positionH relativeFrom="column">
              <wp:posOffset>-7620</wp:posOffset>
            </wp:positionH>
            <wp:positionV relativeFrom="paragraph">
              <wp:posOffset>635</wp:posOffset>
            </wp:positionV>
            <wp:extent cx="3395345" cy="4848225"/>
            <wp:effectExtent l="0" t="0" r="0" b="0"/>
            <wp:wrapSquare wrapText="largest"/>
            <wp:docPr id="86" name="Slika 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Slika 40" descr=""/>
                    <pic:cNvPicPr>
                      <a:picLocks noChangeAspect="1" noChangeArrowheads="1"/>
                    </pic:cNvPicPr>
                  </pic:nvPicPr>
                  <pic:blipFill>
                    <a:blip r:embed="rId95"/>
                    <a:stretch>
                      <a:fillRect/>
                    </a:stretch>
                  </pic:blipFill>
                  <pic:spPr bwMode="auto">
                    <a:xfrm>
                      <a:off x="0" y="0"/>
                      <a:ext cx="3395345" cy="4848225"/>
                    </a:xfrm>
                    <a:prstGeom prst="rect">
                      <a:avLst/>
                    </a:prstGeom>
                  </pic:spPr>
                </pic:pic>
              </a:graphicData>
            </a:graphic>
          </wp:anchor>
        </w:drawing>
      </w:r>
      <w:r>
        <w:br w:type="page"/>
      </w:r>
    </w:p>
    <w:p>
      <w:pPr>
        <w:pStyle w:val="Normal"/>
        <w:spacing w:before="7556" w:after="57"/>
        <w:rPr/>
      </w:pPr>
      <w:r>
        <w:rPr/>
        <mc:AlternateContent>
          <mc:Choice Requires="wps">
            <w:drawing>
              <wp:anchor behindDoc="0" distT="72390" distB="72390" distL="72390" distR="72390" simplePos="0" locked="0" layoutInCell="1" allowOverlap="1" relativeHeight="42">
                <wp:simplePos x="0" y="0"/>
                <wp:positionH relativeFrom="column">
                  <wp:posOffset>118745</wp:posOffset>
                </wp:positionH>
                <wp:positionV relativeFrom="paragraph">
                  <wp:posOffset>5038090</wp:posOffset>
                </wp:positionV>
                <wp:extent cx="5934710" cy="1648460"/>
                <wp:effectExtent l="0" t="0" r="0" b="0"/>
                <wp:wrapSquare wrapText="bothSides"/>
                <wp:docPr id="87" name="Okvir 41"/>
                <a:graphic xmlns:a="http://schemas.openxmlformats.org/drawingml/2006/main">
                  <a:graphicData uri="http://schemas.microsoft.com/office/word/2010/wordprocessingShape">
                    <wps:wsp>
                      <wps:cNvSpPr/>
                      <wps:spPr>
                        <a:xfrm>
                          <a:off x="0" y="0"/>
                          <a:ext cx="5934240" cy="1647720"/>
                        </a:xfrm>
                        <a:prstGeom prst="rect">
                          <a:avLst/>
                        </a:prstGeom>
                        <a:solidFill>
                          <a:srgbClr val="ffffff"/>
                        </a:solidFill>
                        <a:ln w="720">
                          <a:solidFill>
                            <a:srgbClr val="000000"/>
                          </a:solidFill>
                          <a:round/>
                        </a:ln>
                      </wps:spPr>
                      <wps:style>
                        <a:lnRef idx="0"/>
                        <a:fillRef idx="0"/>
                        <a:effectRef idx="0"/>
                        <a:fontRef idx="minor"/>
                      </wps:style>
                      <wps:txbx>
                        <w:txbxContent>
                          <w:p>
                            <w:pPr>
                              <w:pStyle w:val="Contenudecadre"/>
                              <w:spacing w:before="57" w:after="57"/>
                              <w:rPr>
                                <w:color w:val="auto"/>
                              </w:rPr>
                            </w:pPr>
                            <w:r>
                              <w:rPr>
                                <w:color w:val="auto"/>
                              </w:rPr>
                              <w:t>Internetsko savjetovanje „Riječi mladima”</w:t>
                            </w:r>
                          </w:p>
                          <w:p>
                            <w:pPr>
                              <w:pStyle w:val="Contenudecadre"/>
                              <w:rPr>
                                <w:color w:val="auto"/>
                              </w:rPr>
                            </w:pPr>
                            <w:r>
                              <w:rPr>
                                <w:color w:val="auto"/>
                              </w:rPr>
                              <w:t>Državni tajnik za europske poslove pokrenuo je 9. svibnja 2021. savjetovanje „riječ za mlade” koje je od svibnja do srpnja 2021. proveo Make.org.</w:t>
                            </w:r>
                          </w:p>
                          <w:p>
                            <w:pPr>
                              <w:pStyle w:val="Contenudecadre"/>
                              <w:rPr>
                                <w:color w:val="auto"/>
                              </w:rPr>
                            </w:pPr>
                            <w:r>
                              <w:rPr>
                                <w:color w:val="auto"/>
                              </w:rPr>
                              <w:t>Na pitanje je odgovorilo 50 000 mladih u dobi od 15 do 30 godina: „Koji su vaši prioriteti za Europu sutrašnjice?”, podneseno je 2918 prijedloga.</w:t>
                            </w:r>
                          </w:p>
                          <w:p>
                            <w:pPr>
                              <w:pStyle w:val="Contenudecadre"/>
                              <w:spacing w:before="57" w:after="57"/>
                              <w:rPr>
                                <w:color w:val="auto"/>
                              </w:rPr>
                            </w:pPr>
                            <w:r>
                              <w:rPr>
                                <w:color w:val="auto"/>
                              </w:rPr>
                              <w:t>Ideje koje francuski mladi ljudi preferiraju u kontekstu ovog internetskog savjetovanja dio su doprinosa građana Konferenciji o budućnosti Europe (vidjeti pojedinosti u dijelu 2. ovog izvješća).</w:t>
                            </w:r>
                          </w:p>
                        </w:txbxContent>
                      </wps:txbx>
                      <wps:bodyPr lIns="54000" rIns="54000" tIns="54000" bIns="54000">
                        <a:noAutofit/>
                      </wps:bodyPr>
                    </wps:wsp>
                  </a:graphicData>
                </a:graphic>
              </wp:anchor>
            </w:drawing>
          </mc:Choice>
          <mc:Fallback>
            <w:pict>
              <v:rect id="shape_0" ID="Okvir 41" fillcolor="white" stroked="t" style="position:absolute;margin-left:9.35pt;margin-top:396.7pt;width:467.2pt;height:129.7pt">
                <w10:wrap type="square"/>
                <v:fill o:detectmouseclick="t" type="solid" color2="black"/>
                <v:stroke color="black" weight="720" joinstyle="round" endcap="flat"/>
                <v:textbox>
                  <w:txbxContent>
                    <w:p>
                      <w:pPr>
                        <w:pStyle w:val="Contenudecadre"/>
                        <w:spacing w:before="57" w:after="57"/>
                        <w:rPr>
                          <w:color w:val="auto"/>
                        </w:rPr>
                      </w:pPr>
                      <w:r>
                        <w:rPr>
                          <w:color w:val="auto"/>
                        </w:rPr>
                        <w:t>Internetsko savjetovanje „Riječi mladima”</w:t>
                      </w:r>
                    </w:p>
                    <w:p>
                      <w:pPr>
                        <w:pStyle w:val="Contenudecadre"/>
                        <w:rPr>
                          <w:color w:val="auto"/>
                        </w:rPr>
                      </w:pPr>
                      <w:r>
                        <w:rPr>
                          <w:color w:val="auto"/>
                        </w:rPr>
                        <w:t>Državni tajnik za europske poslove pokrenuo je 9. svibnja 2021. savjetovanje „riječ za mlade” koje je od svibnja do srpnja 2021. proveo Make.org.</w:t>
                      </w:r>
                    </w:p>
                    <w:p>
                      <w:pPr>
                        <w:pStyle w:val="Contenudecadre"/>
                        <w:rPr>
                          <w:color w:val="auto"/>
                        </w:rPr>
                      </w:pPr>
                      <w:r>
                        <w:rPr>
                          <w:color w:val="auto"/>
                        </w:rPr>
                        <w:t>Na pitanje je odgovorilo 50 000 mladih u dobi od 15 do 30 godina: „Koji su vaši prioriteti za Europu sutrašnjice?”, podneseno je 2918 prijedloga.</w:t>
                      </w:r>
                    </w:p>
                    <w:p>
                      <w:pPr>
                        <w:pStyle w:val="Contenudecadre"/>
                        <w:spacing w:before="57" w:after="57"/>
                        <w:rPr>
                          <w:color w:val="auto"/>
                        </w:rPr>
                      </w:pPr>
                      <w:r>
                        <w:rPr>
                          <w:color w:val="auto"/>
                        </w:rPr>
                        <w:t>Ideje koje francuski mladi ljudi preferiraju u kontekstu ovog internetskog savjetovanja dio su doprinosa građana Konferenciji o budućnosti Europe (vidjeti pojedinosti u dijelu 2. ovog izvješća).</w:t>
                      </w:r>
                    </w:p>
                  </w:txbxContent>
                </v:textbox>
              </v:rect>
            </w:pict>
          </mc:Fallback>
        </mc:AlternateContent>
        <mc:AlternateContent>
          <mc:Choice Requires="wps">
            <w:drawing>
              <wp:anchor behindDoc="0" distT="72390" distB="72390" distL="72390" distR="72390" simplePos="0" locked="0" layoutInCell="1" allowOverlap="1" relativeHeight="45">
                <wp:simplePos x="0" y="0"/>
                <wp:positionH relativeFrom="column">
                  <wp:posOffset>3481070</wp:posOffset>
                </wp:positionH>
                <wp:positionV relativeFrom="paragraph">
                  <wp:posOffset>94615</wp:posOffset>
                </wp:positionV>
                <wp:extent cx="2610485" cy="3150870"/>
                <wp:effectExtent l="0" t="0" r="0" b="0"/>
                <wp:wrapSquare wrapText="bothSides"/>
                <wp:docPr id="89" name="Tagovi:31"/>
                <a:graphic xmlns:a="http://schemas.openxmlformats.org/drawingml/2006/main">
                  <a:graphicData uri="http://schemas.microsoft.com/office/word/2010/wordprocessingShape">
                    <wps:wsp>
                      <wps:cNvSpPr/>
                      <wps:spPr>
                        <a:xfrm>
                          <a:off x="0" y="0"/>
                          <a:ext cx="2610000" cy="3150360"/>
                        </a:xfrm>
                        <a:prstGeom prst="rect">
                          <a:avLst/>
                        </a:prstGeom>
                        <a:solidFill>
                          <a:srgbClr val="ffffff"/>
                        </a:solidFill>
                        <a:ln w="720">
                          <a:solidFill>
                            <a:srgbClr val="000000"/>
                          </a:solidFill>
                          <a:round/>
                        </a:ln>
                      </wps:spPr>
                      <wps:style>
                        <a:lnRef idx="0"/>
                        <a:fillRef idx="0"/>
                        <a:effectRef idx="0"/>
                        <a:fontRef idx="minor"/>
                      </wps:style>
                      <wps:txbx>
                        <w:txbxContent>
                          <w:p>
                            <w:pPr>
                              <w:pStyle w:val="Contenudecadre"/>
                              <w:spacing w:before="57" w:after="57"/>
                              <w:rPr>
                                <w:color w:val="auto"/>
                              </w:rPr>
                            </w:pPr>
                            <w:r>
                              <w:rPr>
                                <w:color w:val="auto"/>
                              </w:rPr>
                              <w:t xml:space="preserve">7. Dijeljenje europskih kultura kroz </w:t>
                            </w:r>
                            <w:r>
                              <w:rPr>
                                <w:b/>
                                <w:color w:val="auto"/>
                              </w:rPr>
                              <w:t>objedinjavanje događaja i događanja</w:t>
                            </w:r>
                          </w:p>
                          <w:p>
                            <w:pPr>
                              <w:pStyle w:val="Contenudecadre"/>
                              <w:rPr>
                                <w:b w:val="false"/>
                                <w:b w:val="false"/>
                                <w:color w:val="auto"/>
                              </w:rPr>
                            </w:pPr>
                            <w:r>
                              <w:rPr>
                                <w:b w:val="false"/>
                                <w:color w:val="auto"/>
                              </w:rPr>
                            </w:r>
                          </w:p>
                          <w:p>
                            <w:pPr>
                              <w:pStyle w:val="Contenudecadre"/>
                              <w:rPr>
                                <w:color w:val="auto"/>
                              </w:rPr>
                            </w:pPr>
                            <w:r>
                              <w:rPr>
                                <w:color w:val="auto"/>
                              </w:rPr>
                              <w:t xml:space="preserve">8.Harmonizirati </w:t>
                            </w:r>
                            <w:r>
                              <w:rPr>
                                <w:b/>
                                <w:color w:val="auto"/>
                              </w:rPr>
                              <w:t>zdravlje</w:t>
                            </w:r>
                            <w:r>
                              <w:rPr>
                                <w:color w:val="auto"/>
                              </w:rPr>
                              <w:t xml:space="preserve"> i učiniti ga dostupnim svim Europljanima putem zajedničke zdravstvene politike</w:t>
                            </w:r>
                          </w:p>
                          <w:p>
                            <w:pPr>
                              <w:pStyle w:val="Contenudecadre"/>
                              <w:rPr>
                                <w:b w:val="false"/>
                                <w:b w:val="false"/>
                                <w:color w:val="auto"/>
                              </w:rPr>
                            </w:pPr>
                            <w:r>
                              <w:rPr>
                                <w:b w:val="false"/>
                                <w:color w:val="auto"/>
                              </w:rPr>
                            </w:r>
                          </w:p>
                          <w:p>
                            <w:pPr>
                              <w:pStyle w:val="Contenudecadre"/>
                              <w:rPr>
                                <w:color w:val="auto"/>
                              </w:rPr>
                            </w:pPr>
                            <w:r>
                              <w:rPr>
                                <w:color w:val="auto"/>
                              </w:rPr>
                              <w:t xml:space="preserve">9. Razvoj i usmjeravanje </w:t>
                            </w:r>
                            <w:r>
                              <w:rPr>
                                <w:b/>
                                <w:color w:val="auto"/>
                              </w:rPr>
                              <w:t>strateških kanala</w:t>
                            </w:r>
                            <w:r>
                              <w:rPr>
                                <w:color w:val="auto"/>
                              </w:rPr>
                              <w:t xml:space="preserve"> na europskoj razini kako bi se osigurala naša suverenost</w:t>
                            </w:r>
                          </w:p>
                          <w:p>
                            <w:pPr>
                              <w:pStyle w:val="Contenudecadre"/>
                              <w:rPr>
                                <w:b w:val="false"/>
                                <w:b w:val="false"/>
                                <w:color w:val="auto"/>
                              </w:rPr>
                            </w:pPr>
                            <w:r>
                              <w:rPr>
                                <w:b w:val="false"/>
                                <w:color w:val="auto"/>
                              </w:rPr>
                            </w:r>
                          </w:p>
                          <w:p>
                            <w:pPr>
                              <w:pStyle w:val="Contenudecadre"/>
                              <w:spacing w:before="57" w:after="57"/>
                              <w:rPr>
                                <w:color w:val="auto"/>
                              </w:rPr>
                            </w:pPr>
                            <w:r>
                              <w:rPr>
                                <w:color w:val="auto"/>
                              </w:rPr>
                              <w:t xml:space="preserve">10. Poboljšanje </w:t>
                            </w:r>
                            <w:r>
                              <w:rPr>
                                <w:b/>
                                <w:color w:val="auto"/>
                              </w:rPr>
                              <w:t>zaštite okoliša i ekosustava</w:t>
                            </w:r>
                            <w:r>
                              <w:rPr>
                                <w:color w:val="auto"/>
                              </w:rPr>
                              <w:t xml:space="preserve"> te stvaranje </w:t>
                            </w:r>
                            <w:r>
                              <w:rPr>
                                <w:b/>
                                <w:color w:val="auto"/>
                              </w:rPr>
                              <w:t>zaštićenih područja</w:t>
                            </w:r>
                            <w:r>
                              <w:rPr>
                                <w:color w:val="auto"/>
                              </w:rPr>
                              <w:t xml:space="preserve"> u središtu urbanih, prigradskih i ruralnih područja</w:t>
                            </w:r>
                          </w:p>
                        </w:txbxContent>
                      </wps:txbx>
                      <wps:bodyPr lIns="54000" rIns="54000" tIns="54000" bIns="54000">
                        <a:noAutofit/>
                      </wps:bodyPr>
                    </wps:wsp>
                  </a:graphicData>
                </a:graphic>
              </wp:anchor>
            </w:drawing>
          </mc:Choice>
          <mc:Fallback>
            <w:pict>
              <v:rect id="shape_0" ID="Tagovi:31" fillcolor="white" stroked="t" style="position:absolute;margin-left:274.1pt;margin-top:7.45pt;width:205.45pt;height:248pt">
                <w10:wrap type="square"/>
                <v:fill o:detectmouseclick="t" type="solid" color2="black"/>
                <v:stroke color="black" weight="720" joinstyle="round" endcap="flat"/>
                <v:textbox>
                  <w:txbxContent>
                    <w:p>
                      <w:pPr>
                        <w:pStyle w:val="Contenudecadre"/>
                        <w:spacing w:before="57" w:after="57"/>
                        <w:rPr>
                          <w:color w:val="auto"/>
                        </w:rPr>
                      </w:pPr>
                      <w:r>
                        <w:rPr>
                          <w:color w:val="auto"/>
                        </w:rPr>
                        <w:t xml:space="preserve">7. Dijeljenje europskih kultura kroz </w:t>
                      </w:r>
                      <w:r>
                        <w:rPr>
                          <w:b/>
                          <w:color w:val="auto"/>
                        </w:rPr>
                        <w:t>objedinjavanje događaja i događanja</w:t>
                      </w:r>
                    </w:p>
                    <w:p>
                      <w:pPr>
                        <w:pStyle w:val="Contenudecadre"/>
                        <w:rPr>
                          <w:b w:val="false"/>
                          <w:b w:val="false"/>
                          <w:color w:val="auto"/>
                        </w:rPr>
                      </w:pPr>
                      <w:r>
                        <w:rPr>
                          <w:b w:val="false"/>
                          <w:color w:val="auto"/>
                        </w:rPr>
                      </w:r>
                    </w:p>
                    <w:p>
                      <w:pPr>
                        <w:pStyle w:val="Contenudecadre"/>
                        <w:rPr>
                          <w:color w:val="auto"/>
                        </w:rPr>
                      </w:pPr>
                      <w:r>
                        <w:rPr>
                          <w:color w:val="auto"/>
                        </w:rPr>
                        <w:t xml:space="preserve">8.Harmonizirati </w:t>
                      </w:r>
                      <w:r>
                        <w:rPr>
                          <w:b/>
                          <w:color w:val="auto"/>
                        </w:rPr>
                        <w:t>zdravlje</w:t>
                      </w:r>
                      <w:r>
                        <w:rPr>
                          <w:color w:val="auto"/>
                        </w:rPr>
                        <w:t xml:space="preserve"> i učiniti ga dostupnim svim Europljanima putem zajedničke zdravstvene politike</w:t>
                      </w:r>
                    </w:p>
                    <w:p>
                      <w:pPr>
                        <w:pStyle w:val="Contenudecadre"/>
                        <w:rPr>
                          <w:b w:val="false"/>
                          <w:b w:val="false"/>
                          <w:color w:val="auto"/>
                        </w:rPr>
                      </w:pPr>
                      <w:r>
                        <w:rPr>
                          <w:b w:val="false"/>
                          <w:color w:val="auto"/>
                        </w:rPr>
                      </w:r>
                    </w:p>
                    <w:p>
                      <w:pPr>
                        <w:pStyle w:val="Contenudecadre"/>
                        <w:rPr>
                          <w:color w:val="auto"/>
                        </w:rPr>
                      </w:pPr>
                      <w:r>
                        <w:rPr>
                          <w:color w:val="auto"/>
                        </w:rPr>
                        <w:t xml:space="preserve">9. Razvoj i usmjeravanje </w:t>
                      </w:r>
                      <w:r>
                        <w:rPr>
                          <w:b/>
                          <w:color w:val="auto"/>
                        </w:rPr>
                        <w:t>strateških kanala</w:t>
                      </w:r>
                      <w:r>
                        <w:rPr>
                          <w:color w:val="auto"/>
                        </w:rPr>
                        <w:t xml:space="preserve"> na europskoj razini kako bi se osigurala naša suverenost</w:t>
                      </w:r>
                    </w:p>
                    <w:p>
                      <w:pPr>
                        <w:pStyle w:val="Contenudecadre"/>
                        <w:rPr>
                          <w:b w:val="false"/>
                          <w:b w:val="false"/>
                          <w:color w:val="auto"/>
                        </w:rPr>
                      </w:pPr>
                      <w:r>
                        <w:rPr>
                          <w:b w:val="false"/>
                          <w:color w:val="auto"/>
                        </w:rPr>
                      </w:r>
                    </w:p>
                    <w:p>
                      <w:pPr>
                        <w:pStyle w:val="Contenudecadre"/>
                        <w:spacing w:before="57" w:after="57"/>
                        <w:rPr>
                          <w:color w:val="auto"/>
                        </w:rPr>
                      </w:pPr>
                      <w:r>
                        <w:rPr>
                          <w:color w:val="auto"/>
                        </w:rPr>
                        <w:t xml:space="preserve">10. Poboljšanje </w:t>
                      </w:r>
                      <w:r>
                        <w:rPr>
                          <w:b/>
                          <w:color w:val="auto"/>
                        </w:rPr>
                        <w:t>zaštite okoliša i ekosustava</w:t>
                      </w:r>
                      <w:r>
                        <w:rPr>
                          <w:color w:val="auto"/>
                        </w:rPr>
                        <w:t xml:space="preserve"> te stvaranje </w:t>
                      </w:r>
                      <w:r>
                        <w:rPr>
                          <w:b/>
                          <w:color w:val="auto"/>
                        </w:rPr>
                        <w:t>zaštićenih područja</w:t>
                      </w:r>
                      <w:r>
                        <w:rPr>
                          <w:color w:val="auto"/>
                        </w:rPr>
                        <w:t xml:space="preserve"> u središtu urbanih, prigradskih i ruralnih područja</w:t>
                      </w:r>
                    </w:p>
                  </w:txbxContent>
                </v:textbox>
              </v:rect>
            </w:pict>
          </mc:Fallback>
        </mc:AlternateContent>
      </w:r>
    </w:p>
    <w:p>
      <w:pPr>
        <w:pStyle w:val="Titre2"/>
        <w:numPr>
          <w:ilvl w:val="1"/>
          <w:numId w:val="2"/>
        </w:numPr>
        <w:rPr/>
      </w:pPr>
      <w:bookmarkStart w:id="209" w:name="__RefHeading___Toc300452_1346298689"/>
      <w:bookmarkEnd w:id="209"/>
      <w:r>
        <w:rPr/>
        <w:t>Predstavljanje panela regionalnih konferencija</w:t>
      </w:r>
    </w:p>
    <w:p>
      <w:pPr>
        <w:pStyle w:val="Normal"/>
        <w:rPr/>
      </w:pPr>
      <w:r>
        <w:rPr/>
        <mc:AlternateContent>
          <mc:Choice Requires="wpg">
            <w:drawing>
              <wp:anchor behindDoc="0" distT="0" distB="0" distL="0" distR="0" simplePos="0" locked="0" layoutInCell="1" allowOverlap="1" relativeHeight="50">
                <wp:simplePos x="0" y="0"/>
                <wp:positionH relativeFrom="column">
                  <wp:posOffset>635</wp:posOffset>
                </wp:positionH>
                <wp:positionV relativeFrom="paragraph">
                  <wp:posOffset>25400</wp:posOffset>
                </wp:positionV>
                <wp:extent cx="5971540" cy="8288020"/>
                <wp:effectExtent l="0" t="0" r="0" b="0"/>
                <wp:wrapNone/>
                <wp:docPr id="91" name="Obrazac 1"/>
                <a:graphic xmlns:a="http://schemas.openxmlformats.org/drawingml/2006/main">
                  <a:graphicData uri="http://schemas.microsoft.com/office/word/2010/wordprocessingGroup">
                    <wpg:wgp>
                      <wpg:cNvGrpSpPr/>
                      <wpg:grpSpPr>
                        <a:xfrm>
                          <a:off x="0" y="0"/>
                          <a:ext cx="5970960" cy="8287560"/>
                        </a:xfrm>
                      </wpg:grpSpPr>
                      <pic:pic xmlns:pic="http://schemas.openxmlformats.org/drawingml/2006/picture">
                        <pic:nvPicPr>
                          <pic:cNvPr id="0" name="" descr=""/>
                          <pic:cNvPicPr/>
                        </pic:nvPicPr>
                        <pic:blipFill>
                          <a:blip r:embed="rId96"/>
                          <a:stretch/>
                        </pic:blipFill>
                        <pic:spPr>
                          <a:xfrm>
                            <a:off x="93960" y="771480"/>
                            <a:ext cx="5877000" cy="7515720"/>
                          </a:xfrm>
                          <a:prstGeom prst="rect">
                            <a:avLst/>
                          </a:prstGeom>
                          <a:ln>
                            <a:noFill/>
                          </a:ln>
                        </pic:spPr>
                      </pic:pic>
                      <wps:wsp>
                        <wps:cNvSpPr/>
                        <wps:spPr>
                          <a:xfrm>
                            <a:off x="144720" y="0"/>
                            <a:ext cx="5650200" cy="12585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Raznovrstan panel od 746 građana</w:t>
                              </w:r>
                            </w:p>
                            <w:p>
                              <w:pPr>
                                <w:spacing w:before="0" w:after="0" w:lineRule="auto" w:line="240"/>
                                <w:ind w:hanging="0"/>
                                <w:jc w:val="left"/>
                                <w:rPr/>
                              </w:pPr>
                              <w:r>
                                <w:rPr>
                                  <w:sz w:val="24"/>
                                  <w:rFonts w:ascii="Times New Roman" w:hAnsi="Times New Roman"/>
                                  <w:color w:val="auto"/>
                                </w:rPr>
                              </w:r>
                            </w:p>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Pregled sudionika na 18 regionalnih konferencija</w:t>
                              </w:r>
                            </w:p>
                          </w:txbxContent>
                        </wps:txbx>
                        <wps:bodyPr lIns="90000" rIns="90000" tIns="45000" bIns="45000">
                          <a:noAutofit/>
                        </wps:bodyPr>
                      </wps:wsp>
                      <wps:wsp>
                        <wps:cNvSpPr/>
                        <wps:spPr>
                          <a:xfrm>
                            <a:off x="0" y="6246360"/>
                            <a:ext cx="2611800" cy="2040840"/>
                          </a:xfrm>
                          <a:prstGeom prst="rect">
                            <a:avLst/>
                          </a:prstGeom>
                          <a:noFill/>
                          <a:ln>
                            <a:noFill/>
                          </a:ln>
                        </wps:spPr>
                        <wps:style>
                          <a:lnRef idx="0"/>
                          <a:fillRef idx="0"/>
                          <a:effectRef idx="0"/>
                          <a:fontRef idx="minor"/>
                        </wps:style>
                        <wps:txbx>
                          <w:txbxContent>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Poljoprivrednici</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Obrtnici – trgovci – voditelji poslovanja</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Viši izvršni direktori – slobodna zanimanja</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Posrednička zanimanja</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Zaposlenici</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Radnici</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Umirovljenici</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Ostali neaktivni</w:t>
                              </w:r>
                            </w:p>
                          </w:txbxContent>
                        </wps:txbx>
                        <wps:bodyPr lIns="90000" rIns="90000" tIns="45000" bIns="45000">
                          <a:noAutofit/>
                        </wps:bodyPr>
                      </wps:wsp>
                    </wpg:wgp>
                  </a:graphicData>
                </a:graphic>
              </wp:anchor>
            </w:drawing>
          </mc:Choice>
          <mc:Fallback>
            <w:pict>
              <v:group id="shape_0" alt="Obrazac 1" style="position:absolute;margin-left:0.05pt;margin-top:2pt;width:470.15pt;height:652.55pt" coordorigin="1,40" coordsize="9403,13051">
                <v:shapetype id="shapetype_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_0" stroked="f" style="position:absolute;left:149;top:1255;width:9254;height:11835" type="shapetype_75">
                  <v:imagedata r:id="rId96" o:detectmouseclick="t"/>
                  <w10:wrap type="none"/>
                  <v:stroke color="#3465a4" joinstyle="round" endcap="flat"/>
                </v:shape>
                <v:rect id="shape_0" stroked="f" style="position:absolute;left:229;top:40;width:8897;height:1981">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Raznovrstan panel od 746 građana</w:t>
                        </w:r>
                      </w:p>
                      <w:p>
                        <w:pPr>
                          <w:spacing w:before="0" w:after="0" w:lineRule="auto" w:line="240"/>
                          <w:ind w:hanging="0"/>
                          <w:jc w:val="left"/>
                          <w:rPr/>
                        </w:pPr>
                        <w:r>
                          <w:rPr>
                            <w:sz w:val="24"/>
                            <w:rFonts w:ascii="Times New Roman" w:hAnsi="Times New Roman"/>
                            <w:color w:val="auto"/>
                          </w:rPr>
                        </w:r>
                      </w:p>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Pregled sudionika na 18 regionalnih konferencija</w:t>
                        </w:r>
                      </w:p>
                    </w:txbxContent>
                  </v:textbox>
                  <w10:wrap type="square"/>
                  <v:fill o:detectmouseclick="t" on="false"/>
                  <v:stroke color="#3465a4" joinstyle="round" endcap="flat"/>
                </v:rect>
                <v:rect id="shape_0" stroked="f" style="position:absolute;left:1;top:9877;width:4112;height:3213">
                  <v:textbox>
                    <w:txbxContent>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Poljoprivrednici</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Obrtnici – trgovci – voditelji poslovanja</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Viši izvršni direktori – slobodna zanimanja</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Posrednička zanimanja</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Zaposlenici</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Radnici</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Umirovljenici</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Ostali neaktivni</w:t>
                        </w:r>
                      </w:p>
                    </w:txbxContent>
                  </v:textbox>
                  <w10:wrap type="square"/>
                  <v:fill o:detectmouseclick="t" on="false"/>
                  <v:stroke color="#3465a4" joinstyle="round" endcap="flat"/>
                </v:rect>
              </v:group>
            </w:pict>
          </mc:Fallback>
        </mc:AlternateContent>
      </w:r>
    </w:p>
    <w:p>
      <w:pPr>
        <w:pStyle w:val="Normal"/>
        <w:rPr/>
      </w:pPr>
      <w:r>
        <w:rPr/>
      </w:r>
    </w:p>
    <w:p>
      <w:pPr>
        <w:pStyle w:val="Normal"/>
        <w:rPr/>
      </w:pPr>
      <w:r>
        <w:rPr/>
      </w:r>
      <w:r>
        <w:br w:type="page"/>
      </w:r>
    </w:p>
    <w:p>
      <w:pPr>
        <w:pStyle w:val="Normal"/>
        <w:rPr/>
      </w:pPr>
      <w:r>
        <w:rPr/>
        <mc:AlternateContent>
          <mc:Choice Requires="wpg">
            <w:drawing>
              <wp:anchor behindDoc="0" distT="0" distB="0" distL="0" distR="0" simplePos="0" locked="0" layoutInCell="1" allowOverlap="1" relativeHeight="51">
                <wp:simplePos x="0" y="0"/>
                <wp:positionH relativeFrom="column">
                  <wp:posOffset>0</wp:posOffset>
                </wp:positionH>
                <wp:positionV relativeFrom="paragraph">
                  <wp:posOffset>36195</wp:posOffset>
                </wp:positionV>
                <wp:extent cx="5873750" cy="8265160"/>
                <wp:effectExtent l="0" t="0" r="0" b="0"/>
                <wp:wrapNone/>
                <wp:docPr id="92" name="Obrazac 2"/>
                <a:graphic xmlns:a="http://schemas.openxmlformats.org/drawingml/2006/main">
                  <a:graphicData uri="http://schemas.microsoft.com/office/word/2010/wordprocessingGroup">
                    <wpg:wgp>
                      <wpg:cNvGrpSpPr/>
                      <wpg:grpSpPr>
                        <a:xfrm>
                          <a:off x="0" y="0"/>
                          <a:ext cx="5873040" cy="8264520"/>
                        </a:xfrm>
                      </wpg:grpSpPr>
                      <pic:pic xmlns:pic="http://schemas.openxmlformats.org/drawingml/2006/picture">
                        <pic:nvPicPr>
                          <pic:cNvPr id="1" name="" descr=""/>
                          <pic:cNvPicPr/>
                        </pic:nvPicPr>
                        <pic:blipFill>
                          <a:blip r:embed="rId97"/>
                          <a:stretch/>
                        </pic:blipFill>
                        <pic:spPr>
                          <a:xfrm>
                            <a:off x="720" y="1012680"/>
                            <a:ext cx="5872320" cy="7251840"/>
                          </a:xfrm>
                          <a:prstGeom prst="rect">
                            <a:avLst/>
                          </a:prstGeom>
                          <a:ln>
                            <a:noFill/>
                          </a:ln>
                        </pic:spPr>
                      </pic:pic>
                      <wps:wsp>
                        <wps:cNvSpPr/>
                        <wps:spPr>
                          <a:xfrm>
                            <a:off x="0" y="0"/>
                            <a:ext cx="5873040" cy="15811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Konferencije o budućnosti Europe diljem Francuske</w:t>
                              </w:r>
                            </w:p>
                            <w:p>
                              <w:pPr>
                                <w:spacing w:before="0" w:after="0" w:lineRule="auto" w:line="240"/>
                                <w:ind w:hanging="0"/>
                                <w:jc w:val="left"/>
                                <w:rPr/>
                              </w:pPr>
                              <w:r>
                                <w:rPr>
                                  <w:sz w:val="24"/>
                                  <w:rFonts w:ascii="Times New Roman" w:hAnsi="Times New Roman"/>
                                  <w:color w:val="auto"/>
                                </w:rPr>
                              </w:r>
                            </w:p>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18 regionalnih konferencija, 13 u metropoli i 5 u inozemstvu</w:t>
                              </w:r>
                            </w:p>
                          </w:txbxContent>
                        </wps:txbx>
                        <wps:bodyPr lIns="90000" rIns="90000" tIns="45000" bIns="45000">
                          <a:noAutofit/>
                        </wps:bodyPr>
                      </wps:wsp>
                    </wpg:wgp>
                  </a:graphicData>
                </a:graphic>
              </wp:anchor>
            </w:drawing>
          </mc:Choice>
          <mc:Fallback>
            <w:pict>
              <v:group id="shape_0" alt="Obrazac 2" style="position:absolute;margin-left:0pt;margin-top:2.85pt;width:462.45pt;height:650.75pt" coordorigin="0,57" coordsize="9249,13015">
                <v:shape id="shape_0" stroked="f" style="position:absolute;left:1;top:1652;width:9247;height:11419" type="shapetype_75">
                  <v:imagedata r:id="rId97" o:detectmouseclick="t"/>
                  <w10:wrap type="none"/>
                  <v:stroke color="#3465a4" joinstyle="round" endcap="flat"/>
                </v:shape>
                <v:rect id="shape_0" stroked="f" style="position:absolute;left:0;top:57;width:9248;height:2489">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Konferencije o budućnosti Europe diljem Francuske</w:t>
                        </w:r>
                      </w:p>
                      <w:p>
                        <w:pPr>
                          <w:spacing w:before="0" w:after="0" w:lineRule="auto" w:line="240"/>
                          <w:ind w:hanging="0"/>
                          <w:jc w:val="left"/>
                          <w:rPr/>
                        </w:pPr>
                        <w:r>
                          <w:rPr>
                            <w:sz w:val="24"/>
                            <w:rFonts w:ascii="Times New Roman" w:hAnsi="Times New Roman"/>
                            <w:color w:val="auto"/>
                          </w:rPr>
                        </w:r>
                      </w:p>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18 regionalnih konferencija, 13 u metropoli i 5 u inozemstvu</w:t>
                        </w:r>
                      </w:p>
                    </w:txbxContent>
                  </v:textbox>
                  <w10:wrap type="square"/>
                  <v:fill o:detectmouseclick="t" on="false"/>
                  <v:stroke color="#3465a4" joinstyle="round" endcap="flat"/>
                </v:rect>
              </v:group>
            </w:pict>
          </mc:Fallback>
        </mc:AlternateContent>
      </w:r>
    </w:p>
    <w:p>
      <w:pPr>
        <w:pStyle w:val="Normal"/>
        <w:rPr/>
      </w:pPr>
      <w:r>
        <w:rPr/>
      </w:r>
      <w:r>
        <w:br w:type="page"/>
      </w:r>
    </w:p>
    <w:p>
      <w:pPr>
        <w:pStyle w:val="Titre2"/>
        <w:numPr>
          <w:ilvl w:val="1"/>
          <w:numId w:val="2"/>
        </w:numPr>
        <w:spacing w:before="13366" w:after="120"/>
        <w:rPr/>
      </w:pPr>
      <w:bookmarkStart w:id="210" w:name="__RefHeading___Toc300454_1346298689"/>
      <w:bookmarkEnd w:id="210"/>
      <w:r>
        <mc:AlternateContent>
          <mc:Choice Requires="wpg">
            <w:drawing>
              <wp:anchor behindDoc="0" distT="0" distB="0" distL="0" distR="0" simplePos="0" locked="0" layoutInCell="1" allowOverlap="1" relativeHeight="69">
                <wp:simplePos x="0" y="0"/>
                <wp:positionH relativeFrom="column">
                  <wp:posOffset>175895</wp:posOffset>
                </wp:positionH>
                <wp:positionV relativeFrom="paragraph">
                  <wp:posOffset>450215</wp:posOffset>
                </wp:positionV>
                <wp:extent cx="5782945" cy="8488045"/>
                <wp:effectExtent l="0" t="0" r="0" b="0"/>
                <wp:wrapTopAndBottom/>
                <wp:docPr id="93" name="Obrazac 3"/>
                <a:graphic xmlns:a="http://schemas.openxmlformats.org/drawingml/2006/main">
                  <a:graphicData uri="http://schemas.microsoft.com/office/word/2010/wordprocessingGroup">
                    <wpg:wgp>
                      <wpg:cNvGrpSpPr/>
                      <wpg:grpSpPr>
                        <a:xfrm>
                          <a:off x="0" y="0"/>
                          <a:ext cx="5782320" cy="8487360"/>
                        </a:xfrm>
                      </wpg:grpSpPr>
                      <pic:pic xmlns:pic="http://schemas.openxmlformats.org/drawingml/2006/picture">
                        <pic:nvPicPr>
                          <pic:cNvPr id="2" name="" descr=""/>
                          <pic:cNvPicPr/>
                        </pic:nvPicPr>
                        <pic:blipFill>
                          <a:blip r:embed="rId98"/>
                          <a:stretch/>
                        </pic:blipFill>
                        <pic:spPr>
                          <a:xfrm>
                            <a:off x="0" y="0"/>
                            <a:ext cx="5782320" cy="8487360"/>
                          </a:xfrm>
                          <a:prstGeom prst="rect">
                            <a:avLst/>
                          </a:prstGeom>
                          <a:ln>
                            <a:noFill/>
                          </a:ln>
                        </pic:spPr>
                      </pic:pic>
                      <wps:wsp>
                        <wps:cNvSpPr/>
                        <wps:spPr>
                          <a:xfrm>
                            <a:off x="1104840" y="337320"/>
                            <a:ext cx="3712680" cy="41076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Obveze države</w:t>
                              </w:r>
                            </w:p>
                          </w:txbxContent>
                        </wps:txbx>
                        <wps:bodyPr lIns="90000" rIns="90000" tIns="45000" bIns="45000">
                          <a:noAutofit/>
                        </wps:bodyPr>
                      </wps:wsp>
                      <wps:wsp>
                        <wps:cNvSpPr/>
                        <wps:spPr>
                          <a:xfrm>
                            <a:off x="768960" y="1240920"/>
                            <a:ext cx="1095480" cy="4989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Transparentnost</w:t>
                              </w:r>
                            </w:p>
                          </w:txbxContent>
                        </wps:txbx>
                        <wps:bodyPr lIns="90000" rIns="90000" tIns="45000" bIns="45000">
                          <a:noAutofit/>
                        </wps:bodyPr>
                      </wps:wsp>
                      <wps:wsp>
                        <wps:cNvSpPr/>
                        <wps:spPr>
                          <a:xfrm>
                            <a:off x="3957480" y="1253520"/>
                            <a:ext cx="1095480" cy="49896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Dužnost odmah</w:t>
                              </w:r>
                            </w:p>
                          </w:txbxContent>
                        </wps:txbx>
                        <wps:bodyPr lIns="90000" rIns="90000" tIns="45000" bIns="45000">
                          <a:noAutofit/>
                        </wps:bodyPr>
                      </wps:wsp>
                      <wps:wsp>
                        <wps:cNvSpPr/>
                        <wps:spPr>
                          <a:xfrm>
                            <a:off x="2369160" y="1265040"/>
                            <a:ext cx="1094760" cy="29448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Neutralnost</w:t>
                              </w:r>
                            </w:p>
                          </w:txbxContent>
                        </wps:txbx>
                        <wps:bodyPr lIns="90000" rIns="90000" tIns="45000" bIns="45000">
                          <a:noAutofit/>
                        </wps:bodyPr>
                      </wps:wsp>
                      <wps:wsp>
                        <wps:cNvSpPr/>
                        <wps:spPr>
                          <a:xfrm>
                            <a:off x="210240" y="2037240"/>
                            <a:ext cx="4495680" cy="353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Metodološke pristranosti</w:t>
                              </w:r>
                            </w:p>
                          </w:txbxContent>
                        </wps:txbx>
                        <wps:bodyPr lIns="90000" rIns="90000" tIns="45000" bIns="45000">
                          <a:noAutofit/>
                        </wps:bodyPr>
                      </wps:wsp>
                      <pic:pic xmlns:pic="http://schemas.openxmlformats.org/drawingml/2006/picture">
                        <pic:nvPicPr>
                          <pic:cNvPr id="3" name="" descr=""/>
                          <pic:cNvPicPr/>
                        </pic:nvPicPr>
                        <pic:blipFill>
                          <a:blip r:embed="rId99"/>
                          <a:stretch/>
                        </pic:blipFill>
                        <pic:spPr>
                          <a:xfrm>
                            <a:off x="1105560" y="2401560"/>
                            <a:ext cx="4354200" cy="5891040"/>
                          </a:xfrm>
                          <a:prstGeom prst="rect">
                            <a:avLst/>
                          </a:prstGeom>
                          <a:ln>
                            <a:noFill/>
                          </a:ln>
                        </pic:spPr>
                      </pic:pic>
                    </wpg:wgp>
                  </a:graphicData>
                </a:graphic>
              </wp:anchor>
            </w:drawing>
          </mc:Choice>
          <mc:Fallback>
            <w:pict>
              <v:group id="shape_0" alt="Obrazac 3" style="position:absolute;margin-left:13.85pt;margin-top:35.45pt;width:455.3pt;height:668.3pt" coordorigin="277,709" coordsize="9106,13366">
                <v:shape id="shape_0" stroked="f" style="position:absolute;left:277;top:709;width:9105;height:13365" type="shapetype_75">
                  <v:imagedata r:id="rId98" o:detectmouseclick="t"/>
                  <w10:wrap type="none"/>
                  <v:stroke color="#3465a4" joinstyle="round" endcap="flat"/>
                </v:shape>
                <v:rect id="shape_0" stroked="f" style="position:absolute;left:2017;top:1240;width:5846;height:646">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Obveze države</w:t>
                        </w:r>
                      </w:p>
                    </w:txbxContent>
                  </v:textbox>
                  <w10:wrap type="square"/>
                  <v:fill o:detectmouseclick="t" on="false"/>
                  <v:stroke color="#3465a4" joinstyle="round" endcap="flat"/>
                </v:rect>
                <v:rect id="shape_0" stroked="f" style="position:absolute;left:1488;top:2663;width:1724;height:78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Transparentnost</w:t>
                        </w:r>
                      </w:p>
                    </w:txbxContent>
                  </v:textbox>
                  <w10:wrap type="square"/>
                  <v:fill o:detectmouseclick="t" on="false"/>
                  <v:stroke color="#3465a4" joinstyle="round" endcap="flat"/>
                </v:rect>
                <v:rect id="shape_0" stroked="f" style="position:absolute;left:6509;top:2683;width:1724;height:785">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Dužnost odmah</w:t>
                        </w:r>
                      </w:p>
                    </w:txbxContent>
                  </v:textbox>
                  <w10:wrap type="square"/>
                  <v:fill o:detectmouseclick="t" on="false"/>
                  <v:stroke color="#3465a4" joinstyle="round" endcap="flat"/>
                </v:rect>
                <v:rect id="shape_0" stroked="f" style="position:absolute;left:4008;top:2701;width:1723;height:463">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Neutralnost</w:t>
                        </w:r>
                      </w:p>
                    </w:txbxContent>
                  </v:textbox>
                  <w10:wrap type="square"/>
                  <v:fill o:detectmouseclick="t" on="false"/>
                  <v:stroke color="#3465a4" joinstyle="round" endcap="flat"/>
                </v:rect>
                <v:rect id="shape_0" stroked="f" style="position:absolute;left:608;top:3917;width:7079;height:556">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Metodološke pristranosti</w:t>
                        </w:r>
                      </w:p>
                    </w:txbxContent>
                  </v:textbox>
                  <w10:wrap type="square"/>
                  <v:fill o:detectmouseclick="t" on="false"/>
                  <v:stroke color="#3465a4" joinstyle="round" endcap="flat"/>
                </v:rect>
                <v:shape id="shape_0" stroked="f" style="position:absolute;left:2018;top:4491;width:6856;height:9276" type="shapetype_75">
                  <v:imagedata r:id="rId99" o:detectmouseclick="t"/>
                  <w10:wrap type="none"/>
                  <v:stroke color="#3465a4" joinstyle="round" endcap="flat"/>
                </v:shape>
              </v:group>
            </w:pict>
          </mc:Fallback>
        </mc:AlternateContent>
      </w:r>
      <w:r>
        <w:rPr/>
        <w:t xml:space="preserve">Metodološke obveze i pristranosti </w:t>
      </w:r>
    </w:p>
    <w:p>
      <w:pPr>
        <w:pStyle w:val="Normal"/>
        <w:rPr/>
      </w:pPr>
      <w:r>
        <w:rPr/>
      </w:r>
    </w:p>
    <w:p>
      <w:pPr>
        <w:pStyle w:val="Normal"/>
        <w:rPr/>
      </w:pPr>
      <w:r>
        <w:rPr/>
      </w:r>
    </w:p>
    <w:p>
      <w:pPr>
        <w:pStyle w:val="P68B1DB1Normal32"/>
        <w:spacing w:lineRule="auto" w:line="240" w:before="0" w:after="0"/>
        <w:ind w:left="0" w:right="0" w:hanging="0"/>
        <w:rPr/>
      </w:pPr>
      <w:r>
        <w:rPr>
          <w:rFonts w:ascii="Times New Roman" w:hAnsi="Times New Roman"/>
        </w:rPr>
        <w:t>a</w:t>
      </w:r>
      <w:r>
        <w:rPr/>
        <w:t xml:space="preserve">. </w:t>
      </w:r>
      <w:r>
        <w:rPr>
          <w:rFonts w:ascii="Times New Roman" w:hAnsi="Times New Roman"/>
        </w:rPr>
        <w:t xml:space="preserve">Obveze države u pogledu participativne demokracije </w:t>
      </w:r>
    </w:p>
    <w:p>
      <w:pPr>
        <w:pStyle w:val="P68B1DB1Normal19"/>
        <w:widowControl w:val="false"/>
        <w:spacing w:lineRule="auto" w:line="240" w:before="0" w:after="0"/>
        <w:ind w:left="0" w:right="0" w:hanging="0"/>
        <w:jc w:val="left"/>
        <w:rPr/>
      </w:pPr>
      <w:r>
        <w:rPr/>
        <w:t>Francuski dio konferencije o budućnosti Europe dio je predanosti države participativnoj demokraciji, koja se temelji na trima načelima:</w:t>
      </w:r>
      <w:r>
        <w:rPr>
          <w:b/>
        </w:rPr>
        <w:t xml:space="preserve"> transparentnost, neutralnost i dužnost odmah</w:t>
      </w:r>
      <w:r>
        <w:rPr/>
        <w:t xml:space="preserve">. </w:t>
      </w:r>
    </w:p>
    <w:p>
      <w:pPr>
        <w:pStyle w:val="P68B1DB1Normal19"/>
        <w:widowControl w:val="false"/>
        <w:spacing w:lineRule="auto" w:line="240" w:before="0" w:after="0"/>
        <w:ind w:left="0" w:right="0" w:hanging="0"/>
        <w:jc w:val="both"/>
        <w:rPr/>
      </w:pPr>
      <w:r>
        <w:rPr/>
        <w:t xml:space="preserve">Participativni pristup obvezuje organizatora da poštuje strogu metodologiju. Način sudjelovanja građana mora omogućiti građanima da sudjeluju u najboljim mogućim uvjetima i izražavaju svoja stajališta na slobodan i obrazložen način. </w:t>
      </w:r>
    </w:p>
    <w:p>
      <w:pPr>
        <w:pStyle w:val="P68B1DB1Normal33"/>
        <w:widowControl w:val="false"/>
        <w:spacing w:lineRule="auto" w:line="240" w:before="0" w:after="0"/>
        <w:ind w:left="0" w:right="0" w:hanging="0"/>
        <w:jc w:val="left"/>
        <w:rPr>
          <w:rFonts w:ascii="Times New Roman" w:hAnsi="Times New Roman"/>
          <w:b/>
          <w:b/>
          <w:color w:val="000000"/>
          <w:sz w:val="24"/>
        </w:rPr>
      </w:pPr>
      <w:r>
        <w:rPr/>
        <w:t xml:space="preserve">Transparentnost </w:t>
      </w:r>
    </w:p>
    <w:p>
      <w:pPr>
        <w:pStyle w:val="P68B1DB1Normal19"/>
        <w:widowControl w:val="false"/>
        <w:spacing w:lineRule="auto" w:line="240" w:before="0" w:after="0"/>
        <w:ind w:left="0" w:right="0" w:hanging="0"/>
        <w:jc w:val="left"/>
        <w:rPr/>
      </w:pPr>
      <w:r>
        <w:rPr/>
        <w:t xml:space="preserve">Organizacijski tim konferencije posvećen je tome da sve informacije o savjetovanju budu dostupne građanima: </w:t>
      </w:r>
    </w:p>
    <w:p>
      <w:pPr>
        <w:pStyle w:val="P68B1DB1Normal34"/>
        <w:widowControl w:val="false"/>
        <w:spacing w:lineRule="auto" w:line="240" w:before="0" w:after="0"/>
        <w:ind w:left="0" w:right="0" w:hanging="0"/>
        <w:jc w:val="left"/>
        <w:rPr/>
      </w:pPr>
      <w:r>
        <w:rPr>
          <w:rFonts w:ascii="Times New Roman" w:hAnsi="Times New Roman"/>
        </w:rPr>
        <w:t>•</w:t>
      </w:r>
      <w:r>
        <w:rPr/>
        <w:t xml:space="preserve"> </w:t>
      </w:r>
      <w:r>
        <w:rPr>
          <w:rFonts w:ascii="Times New Roman" w:hAnsi="Times New Roman"/>
        </w:rPr>
        <w:t>Okvir unutar kojeg se provodi savjetovanje; •</w:t>
      </w:r>
      <w:r>
        <w:rPr/>
        <w:t xml:space="preserve"> </w:t>
      </w:r>
      <w:r>
        <w:rPr>
          <w:rFonts w:ascii="Times New Roman" w:hAnsi="Times New Roman"/>
        </w:rPr>
        <w:t xml:space="preserve">Obveze prema građanima; </w:t>
      </w:r>
    </w:p>
    <w:p>
      <w:pPr>
        <w:pStyle w:val="P68B1DB1Normal34"/>
        <w:widowControl w:val="false"/>
        <w:spacing w:lineRule="auto" w:line="240" w:before="0" w:after="0"/>
        <w:ind w:left="0" w:right="0" w:hanging="0"/>
        <w:jc w:val="left"/>
        <w:rPr/>
      </w:pPr>
      <w:r>
        <w:rPr>
          <w:rFonts w:ascii="Times New Roman" w:hAnsi="Times New Roman"/>
        </w:rPr>
        <w:t>•</w:t>
      </w:r>
      <w:r>
        <w:rPr/>
        <w:t xml:space="preserve"> </w:t>
      </w:r>
      <w:r>
        <w:rPr>
          <w:rFonts w:ascii="Times New Roman" w:hAnsi="Times New Roman"/>
        </w:rPr>
        <w:t xml:space="preserve">Svrhe savjetovanja; </w:t>
      </w:r>
    </w:p>
    <w:p>
      <w:pPr>
        <w:pStyle w:val="P68B1DB1Normal34"/>
        <w:widowControl w:val="false"/>
        <w:spacing w:lineRule="auto" w:line="240" w:before="0" w:after="0"/>
        <w:ind w:left="0" w:right="0" w:hanging="0"/>
        <w:jc w:val="left"/>
        <w:rPr/>
      </w:pPr>
      <w:r>
        <w:rPr>
          <w:rFonts w:ascii="Times New Roman" w:hAnsi="Times New Roman"/>
        </w:rPr>
        <w:t>•</w:t>
      </w:r>
      <w:r>
        <w:rPr/>
        <w:t xml:space="preserve"> </w:t>
      </w:r>
      <w:r>
        <w:rPr>
          <w:rFonts w:ascii="Times New Roman" w:hAnsi="Times New Roman"/>
        </w:rPr>
        <w:t xml:space="preserve">Rezultati savjetovanja. </w:t>
      </w:r>
    </w:p>
    <w:p>
      <w:pPr>
        <w:pStyle w:val="Normal"/>
        <w:widowControl w:val="false"/>
        <w:spacing w:lineRule="auto" w:line="240" w:before="0" w:after="0"/>
        <w:ind w:left="0" w:right="0" w:hanging="0"/>
        <w:jc w:val="both"/>
        <w:rPr/>
      </w:pPr>
      <w:r>
        <w:rPr>
          <w:rFonts w:ascii="Times New Roman" w:hAnsi="Times New Roman"/>
          <w:color w:val="000000"/>
          <w:sz w:val="24"/>
        </w:rPr>
        <w:t>Metodologija Konferencije o budućnosti Europe stoga je uspostavljena sa stalnim ciljem osiguravanja transparentnosti za građane. Jasno je utvrđena metodologija za zapošljavanje nasumično odabranih građana, metodološke pristranosti i postupanje s govorom građana. Sudionici su također primili sažetak svoje regionalne konferencije e-poštom na kraju konferencije. Osim toga, svi radni i izlazni dokumenti bit će objavljeni na kraju programa na platformi za sudjelovanje građana države</w:t>
      </w:r>
      <w:r>
        <w:rPr>
          <w:rStyle w:val="Ancredenotedebasdepage"/>
          <w:rStyle w:val="Ancredenotedebasdepage"/>
          <w:rFonts w:ascii="Times New Roman" w:hAnsi="Times New Roman"/>
          <w:color w:val="000000"/>
          <w:sz w:val="16"/>
        </w:rPr>
        <w:footnoteReference w:id="14"/>
      </w:r>
      <w:r>
        <w:rPr>
          <w:rFonts w:ascii="Times New Roman" w:hAnsi="Times New Roman"/>
          <w:color w:val="000000"/>
          <w:sz w:val="24"/>
        </w:rPr>
        <w:t xml:space="preserve">. </w:t>
      </w:r>
    </w:p>
    <w:p>
      <w:pPr>
        <w:pStyle w:val="P68B1DB1Normal19"/>
        <w:widowControl w:val="false"/>
        <w:spacing w:lineRule="auto" w:line="240" w:before="0" w:after="0"/>
        <w:ind w:left="0" w:right="0" w:hanging="0"/>
        <w:jc w:val="left"/>
        <w:rPr>
          <w:rFonts w:ascii="Times New Roman" w:hAnsi="Times New Roman"/>
          <w:color w:val="000000"/>
          <w:sz w:val="24"/>
        </w:rPr>
      </w:pPr>
      <w:r>
        <w:rPr/>
        <w:t xml:space="preserve"> </w:t>
      </w:r>
    </w:p>
    <w:p>
      <w:pPr>
        <w:pStyle w:val="Normal"/>
        <w:spacing w:lineRule="auto" w:line="240" w:before="0" w:after="0"/>
        <w:ind w:left="0" w:right="0" w:hanging="0"/>
        <w:rPr/>
      </w:pPr>
      <w:r>
        <w:rPr/>
      </w:r>
      <w:r>
        <w:br w:type="page"/>
      </w:r>
    </w:p>
    <w:p>
      <w:pPr>
        <w:pStyle w:val="P68B1DB1Normal33"/>
        <w:spacing w:lineRule="auto" w:line="240" w:before="0" w:after="0"/>
        <w:ind w:left="0" w:right="0" w:hanging="0"/>
        <w:rPr>
          <w:rFonts w:ascii="Times New Roman" w:hAnsi="Times New Roman"/>
          <w:b/>
          <w:b/>
          <w:color w:val="000000"/>
          <w:sz w:val="24"/>
        </w:rPr>
      </w:pPr>
      <w:r>
        <w:rPr/>
        <w:t xml:space="preserve">Neutralnost </w:t>
      </w:r>
    </w:p>
    <w:p>
      <w:pPr>
        <w:pStyle w:val="P68B1DB1Normal19"/>
        <w:widowControl w:val="false"/>
        <w:spacing w:lineRule="auto" w:line="240" w:before="0" w:after="0"/>
        <w:ind w:left="0" w:right="0" w:hanging="0"/>
        <w:jc w:val="both"/>
        <w:rPr/>
      </w:pPr>
      <w:r>
        <w:rPr/>
        <w:t xml:space="preserve">Tijekom savjetovanja organizacijski tim mora osigurati da ostane neutralan u olakšavanju razmjena i sastavljanju sažetaka s rezultatima. Dionici u programu – posrednici, posrednici, stručnjaci – ne bi smjeli izražavati svoja stajališta niti nastojati voditi raspravu subjektivno. </w:t>
      </w:r>
    </w:p>
    <w:p>
      <w:pPr>
        <w:pStyle w:val="P68B1DB1Normal19"/>
        <w:widowControl w:val="false"/>
        <w:spacing w:lineRule="auto" w:line="240" w:before="0" w:after="0"/>
        <w:ind w:left="0" w:right="0" w:hanging="0"/>
        <w:jc w:val="both"/>
        <w:rPr/>
      </w:pPr>
      <w:r>
        <w:rPr/>
        <w:t xml:space="preserve">Cilj neutralnosti ostvaren je u svim fazama savjetovanja, posebno osiguravajući nepristran odabir sudionika, potpunu slobodu u raspravama i nedostatak utjecaja sponzora ili dionika na govor građana. Taj imperativ neutralnosti ostvario se objektivnim i transparentnim postupkom zapošljavanja sudionika, dosljednim metodološkim predrasudama (preokrenuto stručno znanje, nedostatak tematskog oblikovanja rasprava) i posebnim naglaskom na stav različitih govornika (posrednika, posrednika, stručnjaka). Naposljetku, organizacijski tim pobrinuo se da cijeni sve riječi, a ne filtrira prijedloge građana. </w:t>
      </w:r>
    </w:p>
    <w:p>
      <w:pPr>
        <w:pStyle w:val="P68B1DB1Normal19"/>
        <w:widowControl w:val="false"/>
        <w:spacing w:lineRule="auto" w:line="240" w:before="0" w:after="0"/>
        <w:ind w:left="0" w:right="0" w:hanging="0"/>
        <w:jc w:val="both"/>
        <w:rPr/>
      </w:pPr>
      <w:r>
        <w:rPr/>
        <w:t xml:space="preserve">Kolegij </w:t>
      </w:r>
      <w:r>
        <w:rPr>
          <w:b/>
        </w:rPr>
        <w:t>od tri jamca</w:t>
      </w:r>
      <w:r>
        <w:rPr/>
        <w:t xml:space="preserve">, koji su imenovali predsjednici Nacionalne skupštine i Europskog parlamenta te Vlada, također je osigurao da se sva mišljenja izražavaju i uzimaju u obzir. </w:t>
      </w:r>
    </w:p>
    <w:p>
      <w:pPr>
        <w:pStyle w:val="P68B1DB1Normal33"/>
        <w:widowControl w:val="false"/>
        <w:spacing w:lineRule="auto" w:line="240" w:before="0" w:after="0"/>
        <w:ind w:left="0" w:right="0" w:hanging="0"/>
        <w:jc w:val="left"/>
        <w:rPr>
          <w:rFonts w:ascii="Times New Roman" w:hAnsi="Times New Roman"/>
          <w:b/>
          <w:b/>
          <w:color w:val="000000"/>
          <w:sz w:val="24"/>
        </w:rPr>
      </w:pPr>
      <w:r>
        <w:rPr/>
        <w:t xml:space="preserve">Dužnost odmah </w:t>
      </w:r>
    </w:p>
    <w:p>
      <w:pPr>
        <w:pStyle w:val="P68B1DB1Normal19"/>
        <w:widowControl w:val="false"/>
        <w:spacing w:lineRule="auto" w:line="240" w:before="0" w:after="0"/>
        <w:ind w:left="0" w:right="0" w:hanging="0"/>
        <w:jc w:val="both"/>
        <w:rPr/>
      </w:pPr>
      <w:r>
        <w:rPr/>
        <w:t xml:space="preserve">Građani, bez obzira na to jesu li sudjelovali u savjetovanju ili ne, imaju pravo biti obaviješteni o odabranim prijedlozima i mišljenjima koja su iz njih iznijeli i iz kojih razloga. To se zove </w:t>
      </w:r>
      <w:r>
        <w:rPr>
          <w:b/>
        </w:rPr>
        <w:t>dužnost odmah</w:t>
      </w:r>
      <w:r>
        <w:rPr/>
        <w:t xml:space="preserve">. </w:t>
      </w:r>
    </w:p>
    <w:p>
      <w:pPr>
        <w:pStyle w:val="P68B1DB1Normal19"/>
        <w:widowControl w:val="false"/>
        <w:spacing w:lineRule="auto" w:line="240" w:before="0" w:after="0"/>
        <w:ind w:left="0" w:right="0" w:hanging="0"/>
        <w:jc w:val="left"/>
        <w:rPr>
          <w:rFonts w:ascii="Times New Roman" w:hAnsi="Times New Roman"/>
          <w:color w:val="000000"/>
          <w:sz w:val="24"/>
        </w:rPr>
      </w:pPr>
      <w:r>
        <w:rPr/>
        <w:t xml:space="preserve"> </w:t>
      </w:r>
    </w:p>
    <w:p>
      <w:pPr>
        <w:pStyle w:val="P68B1DB1Normal19"/>
        <w:spacing w:lineRule="auto" w:line="240" w:before="0" w:after="0"/>
        <w:ind w:left="0" w:right="0" w:hanging="0"/>
        <w:jc w:val="both"/>
        <w:rPr/>
      </w:pPr>
      <w:r>
        <w:rPr/>
        <w:t xml:space="preserve">Međuresorni centar za sudjelovanje građana (ICPC) i Međuresorna uprava za javnu transformaciju (DITP) definiraju ga kao obvezu javnog donositelja odluka da građanima pruži jasan i čitljiv odgovor na ishod savjetovanja. Konkretno, dužnost je da se građani vrate kako bi im objasnili kako se njihovi doprinosi uzimaju u obzir i utječu na donošenje odluka i na prakse uprave. </w:t>
      </w:r>
    </w:p>
    <w:p>
      <w:pPr>
        <w:pStyle w:val="Normal"/>
        <w:spacing w:lineRule="auto" w:line="240" w:before="0" w:after="0"/>
        <w:ind w:left="0" w:right="0" w:hanging="0"/>
        <w:jc w:val="both"/>
        <w:rPr>
          <w:rFonts w:ascii="Times New Roman" w:hAnsi="Times New Roman"/>
          <w:color w:val="000000"/>
          <w:sz w:val="24"/>
        </w:rPr>
      </w:pPr>
      <w:r>
        <w:rPr>
          <w:rFonts w:ascii="Times New Roman" w:hAnsi="Times New Roman"/>
          <w:color w:val="000000"/>
          <w:sz w:val="24"/>
        </w:rPr>
      </w:r>
    </w:p>
    <w:p>
      <w:pPr>
        <w:pStyle w:val="P68B1DB1Normal19"/>
        <w:widowControl w:val="false"/>
        <w:spacing w:lineRule="auto" w:line="240" w:before="0" w:after="0"/>
        <w:ind w:left="0" w:right="0" w:hanging="0"/>
        <w:jc w:val="both"/>
        <w:rPr/>
      </w:pPr>
      <w:r>
        <w:rPr/>
        <w:t xml:space="preserve">Vlada je preuzela tu dužnost kao nastavak Konferencije o budućnosti Europe i najavila ambiciozan mehanizam praćenja nakon nacionalne konferencije opisane u sljedećem dijelu ovog izvješća (vidi „ </w:t>
      </w:r>
      <w:r>
        <w:rPr>
          <w:i/>
        </w:rPr>
        <w:t>metodološke stranke”</w:t>
      </w:r>
      <w:r>
        <w:rPr/>
        <w:t xml:space="preserve">). </w:t>
      </w:r>
    </w:p>
    <w:p>
      <w:pPr>
        <w:pStyle w:val="P68B1DB1Normal19"/>
        <w:widowControl w:val="false"/>
        <w:spacing w:lineRule="auto" w:line="240" w:before="0" w:after="0"/>
        <w:ind w:left="0" w:right="0" w:hanging="0"/>
        <w:jc w:val="both"/>
        <w:rPr>
          <w:rFonts w:ascii="Times New Roman" w:hAnsi="Times New Roman"/>
          <w:color w:val="000000"/>
          <w:sz w:val="24"/>
        </w:rPr>
      </w:pPr>
      <w:r>
        <w:rPr/>
        <w:t xml:space="preserve"> </w:t>
      </w:r>
    </w:p>
    <w:p>
      <w:pPr>
        <w:pStyle w:val="P68B1DB1Normal33"/>
        <w:spacing w:lineRule="auto" w:line="240" w:before="0" w:after="0"/>
        <w:ind w:left="0" w:right="0" w:hanging="0"/>
        <w:jc w:val="both"/>
        <w:rPr>
          <w:rFonts w:ascii="Times New Roman" w:hAnsi="Times New Roman"/>
          <w:b/>
          <w:b/>
          <w:color w:val="000000"/>
          <w:sz w:val="24"/>
        </w:rPr>
      </w:pPr>
      <w:r>
        <w:rPr/>
        <w:t xml:space="preserve">B. Metodološke stranke </w:t>
      </w:r>
    </w:p>
    <w:p>
      <w:pPr>
        <w:pStyle w:val="P68B1DB1Normal19"/>
        <w:widowControl w:val="false"/>
        <w:spacing w:lineRule="auto" w:line="240" w:before="0" w:after="0"/>
        <w:ind w:left="0" w:right="0" w:hanging="0"/>
        <w:jc w:val="both"/>
        <w:rPr/>
      </w:pPr>
      <w:r>
        <w:rPr/>
        <w:t xml:space="preserve">Te tri obveze države uzete su u obzir u metodologiji savjetovanja u obliku </w:t>
      </w:r>
      <w:r>
        <w:rPr>
          <w:b/>
        </w:rPr>
        <w:t>sedam snažnih metodoloških pristranosti</w:t>
      </w:r>
      <w:r>
        <w:rPr/>
        <w:t xml:space="preserve">. </w:t>
      </w:r>
    </w:p>
    <w:p>
      <w:pPr>
        <w:pStyle w:val="Normal"/>
        <w:widowControl w:val="false"/>
        <w:spacing w:lineRule="auto" w:line="240" w:before="0" w:after="0"/>
        <w:ind w:left="0" w:right="0" w:hanging="0"/>
        <w:jc w:val="both"/>
        <w:rPr>
          <w:rFonts w:ascii="Times New Roman" w:hAnsi="Times New Roman"/>
          <w:color w:val="000000"/>
          <w:sz w:val="24"/>
        </w:rPr>
      </w:pPr>
      <w:r>
        <w:rPr>
          <w:rFonts w:ascii="Times New Roman" w:hAnsi="Times New Roman"/>
          <w:color w:val="000000"/>
          <w:sz w:val="24"/>
        </w:rPr>
      </w:r>
    </w:p>
    <w:p>
      <w:pPr>
        <w:pStyle w:val="P68B1DB1Normal35"/>
        <w:widowControl w:val="false"/>
        <w:spacing w:lineRule="auto" w:line="240" w:before="0" w:after="0"/>
        <w:ind w:left="0" w:right="0" w:hanging="0"/>
        <w:jc w:val="both"/>
        <w:rPr/>
      </w:pPr>
      <w:r>
        <w:rPr>
          <w:rFonts w:ascii="Times New Roman" w:hAnsi="Times New Roman"/>
        </w:rPr>
        <w:t>1.</w:t>
      </w:r>
      <w:r>
        <w:rPr/>
        <w:t xml:space="preserve"> </w:t>
      </w:r>
      <w:r>
        <w:rPr>
          <w:rFonts w:ascii="Times New Roman" w:hAnsi="Times New Roman"/>
        </w:rPr>
        <w:t>Lokalizacija i blizina</w:t>
      </w:r>
    </w:p>
    <w:p>
      <w:pPr>
        <w:pStyle w:val="P68B1DB1Normal24"/>
        <w:widowControl w:val="false"/>
        <w:spacing w:lineRule="auto" w:line="240" w:before="0" w:after="0"/>
        <w:ind w:left="0" w:right="0" w:hanging="0"/>
        <w:jc w:val="both"/>
        <w:rPr/>
      </w:pPr>
      <w:r>
        <w:rPr/>
        <w:t xml:space="preserve">Nacionalna sastavnica Konferencije o budućnosti Europe bila je u obliku 18 regionalnih konferencija u 13 metropolskih regija i pet francuskih ultramorskih regija, nakon čega je uslijedila nacionalna konferencija u Parizu. Izborom organiziranja panela na lokalnoj razini želja je bila </w:t>
      </w:r>
      <w:r>
        <w:rPr>
          <w:b/>
        </w:rPr>
        <w:t>prikupiti glas što je više moguće građanima</w:t>
      </w:r>
      <w:r>
        <w:rPr/>
        <w:t xml:space="preserve">. Ta je pristranost također obogatila savjetovanje pokazivanjem linija konsenzusa i neslaganja među područjima o različitim temama. </w:t>
      </w:r>
    </w:p>
    <w:p>
      <w:pPr>
        <w:pStyle w:val="Normal"/>
        <w:widowControl w:val="false"/>
        <w:spacing w:lineRule="auto" w:line="240" w:before="0" w:after="0"/>
        <w:ind w:left="0" w:right="0" w:hanging="0"/>
        <w:jc w:val="both"/>
        <w:rPr>
          <w:rFonts w:ascii="Times New Roman" w:hAnsi="Times New Roman"/>
          <w:color w:val="000000"/>
          <w:sz w:val="22"/>
        </w:rPr>
      </w:pPr>
      <w:r>
        <w:rPr>
          <w:rFonts w:ascii="Times New Roman" w:hAnsi="Times New Roman"/>
          <w:color w:val="000000"/>
          <w:sz w:val="22"/>
        </w:rPr>
      </w:r>
    </w:p>
    <w:p>
      <w:pPr>
        <w:pStyle w:val="P68B1DB1Normal35"/>
        <w:widowControl w:val="false"/>
        <w:spacing w:lineRule="auto" w:line="240" w:before="0" w:after="0"/>
        <w:ind w:left="0" w:right="0" w:hanging="0"/>
        <w:jc w:val="both"/>
        <w:rPr/>
      </w:pPr>
      <w:r>
        <w:rPr>
          <w:rFonts w:ascii="Times New Roman" w:hAnsi="Times New Roman"/>
        </w:rPr>
        <w:t>2.</w:t>
      </w:r>
      <w:r>
        <w:rPr/>
        <w:t xml:space="preserve"> </w:t>
      </w:r>
      <w:r>
        <w:rPr>
          <w:rFonts w:ascii="Times New Roman" w:hAnsi="Times New Roman"/>
        </w:rPr>
        <w:t>Raznolikost profila građana i korištenje ždrijebom</w:t>
      </w:r>
    </w:p>
    <w:p>
      <w:pPr>
        <w:pStyle w:val="P68B1DB1Normal24"/>
        <w:widowControl w:val="false"/>
        <w:spacing w:lineRule="auto" w:line="240" w:before="0" w:after="0"/>
        <w:ind w:left="0" w:right="0" w:hanging="0"/>
        <w:jc w:val="both"/>
        <w:rPr/>
      </w:pPr>
      <w:r>
        <w:rPr/>
        <w:t xml:space="preserve">Cilj za zapošljavanje 50 građana po regionalnoj konferenciji postavljen je prije tog procesa, s iznimkom ultramarinskih konferencija Martinik, Mayotte, Guadeloupe i Gvajana, svaka s 30 do 40 građana, te konferencije Grand Est na kojoj je sudjelovalo i 5 njemačkih građana iz triju pograničnih Landersa. Nasumična </w:t>
      </w:r>
      <w:r>
        <w:rPr>
          <w:b/>
        </w:rPr>
        <w:t>generacija</w:t>
      </w:r>
      <w:r>
        <w:rPr/>
        <w:t xml:space="preserve"> telefonskih brojeva omogućila je privlačenje velikog broja građana pozvanih na sudjelovanje na regionalnim konferencijama. </w:t>
      </w:r>
    </w:p>
    <w:p>
      <w:pPr>
        <w:pStyle w:val="P68B1DB1Normal24"/>
        <w:widowControl w:val="false"/>
        <w:spacing w:lineRule="auto" w:line="240" w:before="0" w:after="0"/>
        <w:ind w:left="0" w:right="0" w:hanging="0"/>
        <w:jc w:val="both"/>
        <w:rPr/>
      </w:pPr>
      <w:r>
        <w:rPr/>
        <w:t xml:space="preserve">Da bi ispunjavali uvjete, građani koji su izvučeni ždrijebom morali su biti stariji od 18 godina i biti Francuzi ili osobe sa stalnim boravištem u redovnoj situaciji. Svaki regionalni panel građana morao je biti </w:t>
      </w:r>
      <w:r>
        <w:rPr>
          <w:b/>
        </w:rPr>
        <w:t>predstavnik raznolikosti regionalnog stanovništva</w:t>
      </w:r>
      <w:r>
        <w:rPr/>
        <w:t xml:space="preserve">i objediniti različita </w:t>
      </w:r>
      <w:r>
        <w:rPr>
          <w:b/>
        </w:rPr>
        <w:t>stajališta o Europi</w:t>
      </w:r>
      <w:r>
        <w:rPr/>
        <w:t xml:space="preserve">. Precizna metodologija za zapošljavanje ždrijebom utvrđena je u Prilogu II. </w:t>
      </w:r>
    </w:p>
    <w:p>
      <w:pPr>
        <w:pStyle w:val="Normal"/>
        <w:widowControl w:val="false"/>
        <w:spacing w:lineRule="auto" w:line="240" w:before="0" w:after="0"/>
        <w:ind w:left="0" w:right="0" w:hanging="0"/>
        <w:jc w:val="both"/>
        <w:rPr>
          <w:rFonts w:ascii="Times New Roman" w:hAnsi="Times New Roman"/>
          <w:color w:val="000000"/>
          <w:sz w:val="22"/>
        </w:rPr>
      </w:pPr>
      <w:r>
        <w:rPr>
          <w:rFonts w:ascii="Times New Roman" w:hAnsi="Times New Roman"/>
          <w:color w:val="000000"/>
          <w:sz w:val="22"/>
        </w:rPr>
      </w:r>
    </w:p>
    <w:p>
      <w:pPr>
        <w:pStyle w:val="P68B1DB1Normal35"/>
        <w:widowControl w:val="false"/>
        <w:spacing w:lineRule="auto" w:line="240" w:before="0" w:after="0"/>
        <w:ind w:left="0" w:right="0" w:hanging="0"/>
        <w:jc w:val="both"/>
        <w:rPr/>
      </w:pPr>
      <w:r>
        <w:rPr>
          <w:rFonts w:ascii="Times New Roman" w:hAnsi="Times New Roman"/>
        </w:rPr>
        <w:t>3.</w:t>
      </w:r>
      <w:r>
        <w:rPr/>
        <w:t xml:space="preserve"> </w:t>
      </w:r>
      <w:r>
        <w:rPr>
          <w:rFonts w:ascii="Times New Roman" w:hAnsi="Times New Roman"/>
        </w:rPr>
        <w:t>Transparentnost pristupa</w:t>
      </w:r>
    </w:p>
    <w:p>
      <w:pPr>
        <w:pStyle w:val="P68B1DB1Normal24"/>
        <w:widowControl w:val="false"/>
        <w:spacing w:lineRule="auto" w:line="240" w:before="0" w:after="0"/>
        <w:ind w:left="0" w:right="0" w:hanging="0"/>
        <w:jc w:val="both"/>
        <w:rPr/>
      </w:pPr>
      <w:r>
        <w:rPr/>
        <w:t xml:space="preserve">Kolegij </w:t>
      </w:r>
      <w:r>
        <w:rPr>
          <w:b/>
        </w:rPr>
        <w:t>od tri jamca</w:t>
      </w:r>
      <w:r>
        <w:rPr/>
        <w:t xml:space="preserve"> koje su imenovali državni tajnik za europske poslove, predsjednik Nacionalne skupštine i predsjednik Europskog parlamenta slijedio je cijeli postupak kako bi se osigurala njegova neutralnost i pravilnost. Konkretno, jamci su: pratili iskrenost zapošljavanja građana ždrijebom, dali preporuke za odabir stručnjaka i osigurali dobru organizaciju rasprava. Na kraju postupka jamci će objaviti svoje mišljenje o savjetovanju. Ovaj dokument bit će objavljen na državnoj platformi za sudjelovanje građana. </w:t>
      </w:r>
    </w:p>
    <w:p>
      <w:pPr>
        <w:pStyle w:val="P68B1DB1Normal24"/>
        <w:widowControl w:val="false"/>
        <w:spacing w:lineRule="auto" w:line="240" w:before="0" w:after="0"/>
        <w:ind w:left="0" w:right="0" w:hanging="0"/>
        <w:jc w:val="both"/>
        <w:rPr/>
      </w:pPr>
      <w:r>
        <w:rPr/>
        <w:t xml:space="preserve">Objavit će se i na platformi za sudjelovanje građana države: sažeci osamnaest regionalnih konferencija, sažetak svih promjena izraženih na regionalnim konferencijama, sinteza nacionalne konferencije i konačno završno izvješće dostavljeno Vladi. </w:t>
      </w:r>
    </w:p>
    <w:p>
      <w:pPr>
        <w:pStyle w:val="P68B1DB1Normal19"/>
        <w:widowControl w:val="false"/>
        <w:spacing w:lineRule="auto" w:line="240" w:before="0" w:after="0"/>
        <w:ind w:left="0" w:right="0" w:hanging="0"/>
        <w:jc w:val="both"/>
        <w:rPr>
          <w:rFonts w:ascii="Times New Roman" w:hAnsi="Times New Roman"/>
          <w:color w:val="000000"/>
          <w:sz w:val="24"/>
        </w:rPr>
      </w:pPr>
      <w:r>
        <w:rPr/>
        <w:t xml:space="preserve"> </w:t>
      </w:r>
    </w:p>
    <w:p>
      <w:pPr>
        <w:pStyle w:val="P68B1DB1Normal35"/>
        <w:spacing w:lineRule="auto" w:line="240" w:before="0" w:after="0"/>
        <w:ind w:left="0" w:right="0" w:hanging="0"/>
        <w:jc w:val="both"/>
        <w:rPr/>
      </w:pPr>
      <w:r>
        <w:rPr>
          <w:rFonts w:ascii="Times New Roman" w:hAnsi="Times New Roman"/>
        </w:rPr>
        <w:t>4.</w:t>
      </w:r>
      <w:r>
        <w:rPr/>
        <w:t xml:space="preserve"> </w:t>
      </w:r>
      <w:r>
        <w:rPr>
          <w:rFonts w:ascii="Times New Roman" w:hAnsi="Times New Roman"/>
        </w:rPr>
        <w:t>Otvorena rasprava bez nametnute teme</w:t>
      </w:r>
    </w:p>
    <w:p>
      <w:pPr>
        <w:pStyle w:val="P68B1DB1Normal24"/>
        <w:widowControl w:val="false"/>
        <w:spacing w:lineRule="auto" w:line="240" w:before="215" w:after="0"/>
        <w:ind w:left="1" w:right="0" w:hanging="0"/>
        <w:jc w:val="left"/>
        <w:rPr/>
      </w:pPr>
      <w:r>
        <w:rPr/>
        <w:t xml:space="preserve">U kontekstu ovog nacionalnog savjetovanja postavljeno je jedno pitanje namijenjeno građanima koji sudjeluju: „ </w:t>
      </w:r>
      <w:r>
        <w:rPr>
          <w:i/>
        </w:rPr>
        <w:t>Kao Francuzi, koje promjene želite za Europu?</w:t>
      </w:r>
      <w:r>
        <w:rPr/>
        <w:t xml:space="preserve">” </w:t>
      </w:r>
    </w:p>
    <w:p>
      <w:pPr>
        <w:pStyle w:val="P68B1DB1Normal24"/>
        <w:widowControl w:val="false"/>
        <w:spacing w:lineRule="auto" w:line="240" w:before="235" w:after="0"/>
        <w:ind w:left="1" w:right="0" w:hanging="0"/>
        <w:jc w:val="both"/>
        <w:rPr/>
      </w:pPr>
      <w:r>
        <w:rPr/>
        <w:t xml:space="preserve">Kroz razvoj i uspostavljenu metodologiju, građani su mogli sami odrediti dnevni red željenih promjena, a da pritom nisu bili ograničeni određenom temom ili prethodnim normativnim okvirom. </w:t>
      </w:r>
    </w:p>
    <w:p>
      <w:pPr>
        <w:pStyle w:val="Normal"/>
        <w:widowControl w:val="false"/>
        <w:spacing w:lineRule="auto" w:line="240" w:before="233" w:after="0"/>
        <w:ind w:left="1" w:right="1" w:hanging="0"/>
        <w:jc w:val="both"/>
        <w:rPr/>
      </w:pPr>
      <w:r>
        <w:rPr>
          <w:rFonts w:ascii="Times New Roman" w:hAnsi="Times New Roman"/>
          <w:color w:val="000000"/>
        </w:rPr>
        <w:t>Cilj je bio omogućiti građanima regionalnih konferencija da uživaju punu slobodu u temama kojima se žele baviti. Ministarstvo Europe i vanjskih poslova za nacionalni dio Konferencije o budućnosti Europe stoga je odlučilo razviti komplementaran pristup europskoj vježbi, koja je strukturirana oko devet tema: klimatske promjene i okoliš; zdravlje; snažnije gospodarstvo, socijalna pravda i zapošljavanje; EU u svijetu; vrijednosti i prava, vladavina prava, sigurnost; digitalna transformacija; Europska demokracija; migracije; obrazovanje, kultura, mladi i sport; ostale ideje</w:t>
      </w:r>
      <w:r>
        <w:rPr>
          <w:rStyle w:val="Ancredenotedebasdepage"/>
          <w:rStyle w:val="Ancredenotedebasdepage"/>
          <w:rFonts w:ascii="Times New Roman" w:hAnsi="Times New Roman"/>
          <w:color w:val="000000"/>
          <w:sz w:val="14"/>
        </w:rPr>
        <w:footnoteReference w:id="15"/>
      </w:r>
      <w:r>
        <w:rPr>
          <w:rFonts w:ascii="Times New Roman" w:hAnsi="Times New Roman"/>
          <w:color w:val="000000"/>
        </w:rPr>
        <w:t xml:space="preserve">. </w:t>
      </w:r>
    </w:p>
    <w:p>
      <w:pPr>
        <w:pStyle w:val="P68B1DB1Normal24"/>
        <w:widowControl w:val="false"/>
        <w:spacing w:lineRule="auto" w:line="240" w:before="235" w:after="0"/>
        <w:ind w:left="0" w:right="2" w:hanging="0"/>
        <w:jc w:val="left"/>
        <w:rPr/>
      </w:pPr>
      <w:r>
        <w:rPr/>
        <w:t xml:space="preserve">Teme razmjene regionalnih konferencija tako su definirali sami građani, a ne pokrovitelj vježbe. </w:t>
      </w:r>
    </w:p>
    <w:p>
      <w:pPr>
        <w:pStyle w:val="P68B1DB1Normal35"/>
        <w:widowControl w:val="false"/>
        <w:spacing w:lineRule="exact" w:line="379" w:before="352" w:after="0"/>
        <w:ind w:left="358" w:right="0" w:hanging="0"/>
        <w:jc w:val="left"/>
        <w:rPr/>
      </w:pPr>
      <w:r>
        <w:rPr>
          <w:rFonts w:ascii="Times New Roman" w:hAnsi="Times New Roman"/>
        </w:rPr>
        <w:t>5.</w:t>
      </w:r>
      <w:r>
        <w:rPr/>
        <w:t xml:space="preserve"> </w:t>
      </w:r>
      <w:r>
        <w:rPr>
          <w:rFonts w:ascii="Times New Roman" w:hAnsi="Times New Roman"/>
        </w:rPr>
        <w:t>Obrnuta stručnost</w:t>
      </w:r>
    </w:p>
    <w:p>
      <w:pPr>
        <w:pStyle w:val="P68B1DB1Normal24"/>
        <w:widowControl w:val="false"/>
        <w:spacing w:lineRule="auto" w:line="240" w:before="218" w:after="0"/>
        <w:ind w:left="1" w:right="0" w:hanging="0"/>
        <w:jc w:val="left"/>
        <w:rPr/>
      </w:pPr>
      <w:r>
        <w:rPr/>
        <w:t xml:space="preserve">Kako bi se što je manje moguće utjecalo na sudionike u postupku utvrđivanja njihovih želja za Europom, </w:t>
      </w:r>
      <w:r>
        <w:rPr>
          <w:b/>
        </w:rPr>
        <w:t>odlučeno je da se ne pružaju prethodne informacije ili stručno znanje</w:t>
      </w:r>
      <w:r>
        <w:rPr/>
        <w:t xml:space="preserve"> (npr. o trenutačnom projektu Europske unije, njezinim nadležnostima ili funkcioniranju institucija), nego da se krene od pitanja samih građana. Ta se metodološka pristranost temelji na načelu „ </w:t>
      </w:r>
      <w:r>
        <w:rPr>
          <w:i/>
        </w:rPr>
        <w:t>obrnute stručnosti</w:t>
      </w:r>
      <w:r>
        <w:rPr/>
        <w:t xml:space="preserve">” prema kojem se </w:t>
      </w:r>
      <w:r>
        <w:rPr>
          <w:b/>
        </w:rPr>
        <w:t>kolektivno promišljanje</w:t>
      </w:r>
      <w:r>
        <w:rPr/>
        <w:t xml:space="preserve"> temelji na iskustvima i mišljenjima građana, koji zatim ispituju stručnjake kako bi podržali njihove rasprave i učvrstili svoje radne hipoteze. </w:t>
      </w:r>
    </w:p>
    <w:p>
      <w:pPr>
        <w:pStyle w:val="P68B1DB1Normal24"/>
        <w:widowControl w:val="false"/>
        <w:spacing w:lineRule="auto" w:line="240" w:before="232" w:after="0"/>
        <w:ind w:left="0" w:right="0" w:hanging="0"/>
        <w:jc w:val="both"/>
        <w:rPr/>
      </w:pPr>
      <w:r>
        <w:rPr/>
        <w:t xml:space="preserve">Kako bi se postigao taj cilj, </w:t>
      </w:r>
      <w:r>
        <w:rPr>
          <w:b/>
        </w:rPr>
        <w:t>stručnjaci</w:t>
      </w:r>
      <w:r>
        <w:rPr/>
        <w:t xml:space="preserve"> su mobilizirani u različitim regijama (u prosjeku tri), posebno iz akademske zajednice i informacijskih centara Europe Direct na predmetnim područjima. Bili su prisutni u subotu i nedjelju kako bi odgovorili na pitanja građana, govoreći samo na njihov zahtjev. Provjere </w:t>
      </w:r>
      <w:r>
        <w:rPr>
          <w:b/>
        </w:rPr>
        <w:t>činjenica</w:t>
      </w:r>
      <w:r>
        <w:rPr/>
        <w:t xml:space="preserve"> bile su dostupne i</w:t>
      </w:r>
      <w:r>
        <w:rPr>
          <w:i/>
        </w:rPr>
        <w:t>kako</w:t>
      </w:r>
      <w:r>
        <w:rPr/>
        <w:t xml:space="preserve">bi se brzo provjerila činjenična pitanja koja su građani riješili. </w:t>
      </w:r>
    </w:p>
    <w:p>
      <w:pPr>
        <w:pStyle w:val="P68B1DB1Normal24"/>
        <w:widowControl w:val="false"/>
        <w:spacing w:lineRule="auto" w:line="240" w:before="235" w:after="0"/>
        <w:ind w:left="0" w:right="1" w:hanging="0"/>
        <w:jc w:val="both"/>
        <w:rPr/>
      </w:pPr>
      <w:r>
        <w:rPr/>
        <w:t xml:space="preserve">Na konferenciji o nacionalnoj sintezi EGSO-a sudjelovalo je 19 stručnjaka na visokoj razini iz akademske zajednice, skupina za strateško promišljanje i diplomatskih zborova. Ti stručnjaci pratili su skupinu tijekom vikenda, što im je omogućilo da prodube promjene izražene u regijama. </w:t>
      </w:r>
    </w:p>
    <w:p>
      <w:pPr>
        <w:pStyle w:val="Normal"/>
        <w:spacing w:lineRule="auto" w:line="240" w:before="0" w:after="0"/>
        <w:ind w:left="0" w:right="0" w:hanging="0"/>
        <w:jc w:val="both"/>
        <w:rPr/>
      </w:pPr>
      <w:r>
        <w:rPr/>
      </w:r>
    </w:p>
    <w:p>
      <w:pPr>
        <w:pStyle w:val="P68B1DB1Normal35"/>
        <w:spacing w:lineRule="auto" w:line="240" w:before="0" w:after="0"/>
        <w:ind w:left="0" w:right="0" w:hanging="0"/>
        <w:jc w:val="both"/>
        <w:rPr/>
      </w:pPr>
      <w:r>
        <w:rPr>
          <w:rFonts w:ascii="Times New Roman" w:hAnsi="Times New Roman"/>
        </w:rPr>
        <w:t>6.</w:t>
      </w:r>
      <w:r>
        <w:rPr/>
        <w:t xml:space="preserve"> </w:t>
      </w:r>
      <w:r>
        <w:rPr>
          <w:rFonts w:ascii="Times New Roman" w:hAnsi="Times New Roman"/>
        </w:rPr>
        <w:t>Kolegijalnost i agilno upravljanje</w:t>
      </w:r>
    </w:p>
    <w:p>
      <w:pPr>
        <w:pStyle w:val="P68B1DB1Normal24"/>
        <w:widowControl w:val="false"/>
        <w:spacing w:lineRule="auto" w:line="240" w:before="212" w:after="0"/>
        <w:ind w:left="0" w:right="0" w:hanging="0"/>
        <w:jc w:val="left"/>
        <w:rPr/>
      </w:pPr>
      <w:r>
        <w:rPr/>
        <w:t xml:space="preserve">Cijeli je proces </w:t>
      </w:r>
      <w:r>
        <w:rPr>
          <w:b/>
        </w:rPr>
        <w:t>zajednički izgradilo</w:t>
      </w:r>
      <w:r>
        <w:rPr/>
        <w:t xml:space="preserve"> Ministarstvo Europe i vanjskih poslova (MEAE). </w:t>
      </w:r>
    </w:p>
    <w:p>
      <w:pPr>
        <w:pStyle w:val="P68B1DB1Normal24"/>
        <w:widowControl w:val="false"/>
        <w:spacing w:lineRule="auto" w:line="240"/>
        <w:ind w:left="0" w:right="4" w:hanging="0"/>
        <w:jc w:val="both"/>
        <w:rPr/>
      </w:pPr>
      <w:r>
        <w:rPr/>
        <w:t xml:space="preserve">uz potporu participativne strategije Međuministarskog centra za sudjelovanje građana (ICPC) Međuministarske uprave za javnu transformaciju (DITP) i Ministarstva parlamentarnih odnosa i sudjelovanja građana (MRPC). Program je proveo konzorcij dobavljača sastavljen od Roland Berger, Wavestone, Missions Publiques i Harris Interactive za upravljanje procesom, animaciju konferencija, sastavljanje građana i sastavljanje izvješća i sažetaka, u suradnji s regionalnim prefekturama za lokalnu organizaciju regionalnih konferencija. </w:t>
      </w:r>
    </w:p>
    <w:p>
      <w:pPr>
        <w:pStyle w:val="P68B1DB1Normal24"/>
        <w:widowControl w:val="false"/>
        <w:spacing w:lineRule="auto" w:line="240" w:before="232" w:after="0"/>
        <w:ind w:left="0" w:right="4" w:hanging="0"/>
        <w:jc w:val="left"/>
        <w:rPr/>
      </w:pPr>
      <w:r>
        <w:rPr>
          <w:b/>
        </w:rPr>
        <w:t>Posebno upravljanje</w:t>
      </w:r>
      <w:r>
        <w:rPr/>
        <w:t xml:space="preserve"> uspostavljeno je oko projektnog tima kojim predsjeda MEAE, a koji okuplja CPIC, MRPC i konzorcij dobavljača. </w:t>
      </w:r>
    </w:p>
    <w:p>
      <w:pPr>
        <w:pStyle w:val="P68B1DB1Normal35"/>
        <w:widowControl w:val="false"/>
        <w:spacing w:lineRule="auto" w:line="240" w:before="354" w:after="0"/>
        <w:ind w:left="358" w:right="0" w:hanging="0"/>
        <w:jc w:val="left"/>
        <w:rPr/>
      </w:pPr>
      <w:r>
        <w:rPr>
          <w:rFonts w:ascii="Times New Roman" w:hAnsi="Times New Roman"/>
        </w:rPr>
        <w:t>7.</w:t>
      </w:r>
      <w:r>
        <w:rPr/>
        <w:t xml:space="preserve"> </w:t>
      </w:r>
      <w:r>
        <w:rPr>
          <w:rFonts w:ascii="Times New Roman" w:hAnsi="Times New Roman"/>
        </w:rPr>
        <w:t>Dužnost praćenja i povezivanja s europskim postupkom</w:t>
      </w:r>
    </w:p>
    <w:p>
      <w:pPr>
        <w:pStyle w:val="P68B1DB1Normal19"/>
        <w:widowControl w:val="false"/>
        <w:spacing w:lineRule="auto" w:line="240" w:before="211" w:after="0"/>
        <w:ind w:left="0" w:right="0" w:hanging="0"/>
        <w:jc w:val="left"/>
        <w:rPr/>
      </w:pPr>
      <w:r>
        <w:rPr/>
        <w:t xml:space="preserve">Povodom nacionalne konferencije najavljeno je </w:t>
      </w:r>
      <w:r>
        <w:rPr>
          <w:b/>
        </w:rPr>
        <w:t>nekoliko elemenata dužnosti</w:t>
      </w:r>
      <w:r>
        <w:rPr/>
        <w:t xml:space="preserve"> francuskih institucija nakon provedbe konferencije o budućnosti Europe: </w:t>
      </w:r>
    </w:p>
    <w:p>
      <w:pPr>
        <w:pStyle w:val="P68B1DB1Normal34"/>
        <w:widowControl w:val="false"/>
        <w:spacing w:lineRule="auto" w:line="240" w:before="333" w:after="0"/>
        <w:ind w:left="720" w:right="0" w:hanging="359"/>
        <w:jc w:val="both"/>
        <w:rPr/>
      </w:pPr>
      <w:r>
        <w:rPr>
          <w:rFonts w:ascii="Calibri" w:hAnsi="Calibri"/>
        </w:rPr>
        <w:t>—</w:t>
      </w:r>
      <w:r>
        <w:rPr/>
        <w:t xml:space="preserve"> </w:t>
      </w:r>
      <w:r>
        <w:rPr>
          <w:rFonts w:ascii="Times New Roman" w:hAnsi="Times New Roman"/>
          <w:b/>
        </w:rPr>
        <w:t>Stavljanje na raspolaganje svih informacija</w:t>
      </w:r>
      <w:r>
        <w:rPr>
          <w:rFonts w:ascii="Times New Roman" w:hAnsi="Times New Roman"/>
        </w:rPr>
        <w:t xml:space="preserve"> o pristupu, ovog dokumenta kao i objedinjenih izvješća regionalnih i nacionalnih konferencija, na transparentan i pristupačan način svima na novoj platformi za sudjelovanje građana, pokrenutoj povodom povratka vladi; </w:t>
      </w:r>
    </w:p>
    <w:p>
      <w:pPr>
        <w:pStyle w:val="P68B1DB1Normal34"/>
        <w:widowControl w:val="false"/>
        <w:spacing w:lineRule="auto" w:line="240" w:before="90" w:after="0"/>
        <w:ind w:left="360" w:right="0" w:hanging="0"/>
        <w:jc w:val="left"/>
        <w:rPr/>
      </w:pPr>
      <w:r>
        <w:rPr>
          <w:rFonts w:ascii="Calibri" w:hAnsi="Calibri"/>
        </w:rPr>
        <w:t>—</w:t>
      </w:r>
      <w:r>
        <w:rPr/>
        <w:t xml:space="preserve"> </w:t>
      </w:r>
      <w:r>
        <w:rPr>
          <w:rFonts w:ascii="Times New Roman" w:hAnsi="Times New Roman"/>
        </w:rPr>
        <w:t xml:space="preserve">Organizacija </w:t>
      </w:r>
      <w:r>
        <w:rPr>
          <w:rFonts w:ascii="Times New Roman" w:hAnsi="Times New Roman"/>
          <w:b/>
        </w:rPr>
        <w:t>događanja kako bi se Vladi</w:t>
      </w:r>
      <w:r>
        <w:rPr>
          <w:rFonts w:ascii="Times New Roman" w:hAnsi="Times New Roman"/>
        </w:rPr>
        <w:t xml:space="preserve"> vratilo završno izvješće nacionalne sastavnice Konferencije o budućnosti Europe u studenome 2021.; </w:t>
      </w:r>
    </w:p>
    <w:p>
      <w:pPr>
        <w:pStyle w:val="P68B1DB1Normal34"/>
        <w:widowControl w:val="false"/>
        <w:spacing w:lineRule="auto" w:line="240" w:before="90" w:after="0"/>
        <w:ind w:left="720" w:right="0" w:hanging="359"/>
        <w:jc w:val="both"/>
        <w:rPr/>
      </w:pPr>
      <w:r>
        <w:rPr>
          <w:rFonts w:ascii="Calibri" w:hAnsi="Calibri"/>
        </w:rPr>
        <w:t>—</w:t>
      </w:r>
      <w:r>
        <w:rPr/>
        <w:t xml:space="preserve"> </w:t>
      </w:r>
      <w:r>
        <w:rPr>
          <w:rFonts w:ascii="Times New Roman" w:hAnsi="Times New Roman"/>
        </w:rPr>
        <w:t xml:space="preserve">Osnivanje </w:t>
      </w:r>
      <w:r>
        <w:rPr>
          <w:rFonts w:ascii="Times New Roman" w:hAnsi="Times New Roman"/>
          <w:b/>
        </w:rPr>
        <w:t>odbora za praćenje građana kako</w:t>
      </w:r>
      <w:r>
        <w:rPr>
          <w:rFonts w:ascii="Times New Roman" w:hAnsi="Times New Roman"/>
        </w:rPr>
        <w:t xml:space="preserve"> bi se osiguralo da je ishod postupka u skladu s iznesenim prijedlozima. Odbor će se sastojati od 15 građana, uključujući 14 sudionika s regionalnih konferencija i jednog sudionika iz savjetovanja „Riječi </w:t>
      </w:r>
      <w:r>
        <w:rPr>
          <w:rFonts w:ascii="Times New Roman" w:hAnsi="Times New Roman"/>
          <w:i/>
        </w:rPr>
        <w:t>mladima”</w:t>
      </w:r>
      <w:r>
        <w:rPr>
          <w:rFonts w:ascii="Times New Roman" w:hAnsi="Times New Roman"/>
        </w:rPr>
        <w:t xml:space="preserve">; </w:t>
      </w:r>
    </w:p>
    <w:p>
      <w:pPr>
        <w:pStyle w:val="P68B1DB1Normal34"/>
        <w:widowControl w:val="false"/>
        <w:spacing w:lineRule="auto" w:line="240" w:before="95" w:after="0"/>
        <w:ind w:left="360" w:right="0" w:hanging="0"/>
        <w:jc w:val="left"/>
        <w:rPr/>
      </w:pPr>
      <w:r>
        <w:rPr>
          <w:rFonts w:ascii="Calibri" w:hAnsi="Calibri"/>
        </w:rPr>
        <w:t>—</w:t>
      </w:r>
      <w:r>
        <w:rPr/>
        <w:t xml:space="preserve"> </w:t>
      </w:r>
      <w:r>
        <w:rPr>
          <w:rFonts w:ascii="Times New Roman" w:hAnsi="Times New Roman"/>
          <w:b/>
        </w:rPr>
        <w:t>Dostava doprinosa Francuske konferenciji o budućnosti Europe europskim institucijama</w:t>
      </w:r>
      <w:r>
        <w:rPr>
          <w:rFonts w:ascii="Times New Roman" w:hAnsi="Times New Roman"/>
        </w:rPr>
        <w:t xml:space="preserve"> u siječnju</w:t>
      </w:r>
      <w:r>
        <w:rPr>
          <w:rFonts w:ascii="Times New Roman" w:hAnsi="Times New Roman"/>
          <w:b/>
        </w:rPr>
        <w:t xml:space="preserve">2022.; </w:t>
      </w:r>
    </w:p>
    <w:p>
      <w:pPr>
        <w:pStyle w:val="P68B1DB1Normal19"/>
        <w:widowControl w:val="false"/>
        <w:spacing w:lineRule="auto" w:line="240" w:before="87" w:after="0"/>
        <w:ind w:left="0" w:right="0" w:hanging="0"/>
        <w:jc w:val="left"/>
        <w:rPr/>
      </w:pPr>
      <w:r>
        <w:rPr/>
        <w:t xml:space="preserve">Prijedlozi francuskih građana bit će predmet kolektivnog promišljanja država članica i europskih institucija. Kao zemlja koja predsjeda Vijećem Europske unije u prvoj polovici 2022., na Francuskoj će biti da izrazi glas svojih građana i istovremeno radi na definiranju zajedničkog stajališta na razini cijelog kontinenta. </w:t>
      </w:r>
    </w:p>
    <w:p>
      <w:pPr>
        <w:pStyle w:val="Normal"/>
        <w:widowControl w:val="false"/>
        <w:spacing w:lineRule="exact" w:line="498" w:before="85" w:after="0"/>
        <w:ind w:left="0" w:right="0" w:hanging="0"/>
        <w:jc w:val="left"/>
        <w:rPr>
          <w:rFonts w:ascii="Times New Roman" w:hAnsi="Times New Roman"/>
          <w:b/>
          <w:b/>
          <w:color w:val="000000"/>
          <w:sz w:val="30"/>
        </w:rPr>
      </w:pPr>
      <w:r>
        <w:rPr>
          <w:rFonts w:ascii="Times New Roman" w:hAnsi="Times New Roman"/>
          <w:b/>
          <w:color w:val="000000"/>
          <w:sz w:val="30"/>
        </w:rPr>
      </w:r>
      <w:r>
        <w:br w:type="page"/>
      </w:r>
    </w:p>
    <w:p>
      <w:pPr>
        <w:pStyle w:val="P68B1DB1Titre236"/>
        <w:numPr>
          <w:ilvl w:val="0"/>
          <w:numId w:val="2"/>
        </w:numPr>
        <w:rPr/>
      </w:pPr>
      <w:bookmarkStart w:id="211" w:name="__RefHeading___Toc300456_1346298689"/>
      <w:bookmarkEnd w:id="211"/>
      <w:r>
        <w:rPr/>
        <w:t xml:space="preserve">Prvi dio: predstavljanje rezultata regionalnih konferencija o budućnosti Europe </w:t>
      </w:r>
    </w:p>
    <w:p>
      <w:pPr>
        <w:pStyle w:val="P68B1DB1Normal19"/>
        <w:widowControl w:val="false"/>
        <w:pBdr>
          <w:top w:val="single" w:sz="2" w:space="1" w:color="000001"/>
          <w:left w:val="single" w:sz="2" w:space="1" w:color="000001"/>
          <w:bottom w:val="single" w:sz="2" w:space="1" w:color="000001"/>
          <w:right w:val="single" w:sz="2" w:space="1" w:color="000001"/>
        </w:pBdr>
        <w:spacing w:lineRule="auto" w:line="240" w:before="153" w:after="0"/>
        <w:ind w:left="506" w:right="29" w:hanging="0"/>
        <w:jc w:val="both"/>
        <w:rPr/>
      </w:pPr>
      <w:r>
        <w:rPr/>
        <w:t xml:space="preserve">Na svakoj od 18 regionalnih konferencija građani su izrazili svoje želje za Europom 2035. pojedinačno, a zatim i kao skupina. Između 3 i 8 skupina želja pojavilo se u svakoj regiji, što je dovelo do ukupno </w:t>
      </w:r>
      <w:r>
        <w:rPr>
          <w:b/>
        </w:rPr>
        <w:t>101 željene Europe u cijeloj Francuskoj</w:t>
      </w:r>
      <w:r>
        <w:rPr/>
        <w:t xml:space="preserve">. Građani su zatim oblikovali promjene koje su smatrali potrebnima za dopiranje do željene Europe, a zatim su ih ilustrirali konkretnim mjerama. Taj je proces doveo do ukupno </w:t>
      </w:r>
      <w:r>
        <w:rPr>
          <w:b/>
        </w:rPr>
        <w:t>515 promjena</w:t>
      </w:r>
      <w:r>
        <w:rPr/>
        <w:t xml:space="preserve"> i 1301 </w:t>
      </w:r>
      <w:r>
        <w:rPr>
          <w:b/>
        </w:rPr>
        <w:t xml:space="preserve">konkretnih mjera u cijeloj </w:t>
      </w:r>
      <w:r>
        <w:rPr/>
        <w:t xml:space="preserve">Francuskoj. </w:t>
      </w:r>
    </w:p>
    <w:p>
      <w:pPr>
        <w:pStyle w:val="P68B1DB1Normal19"/>
        <w:widowControl w:val="false"/>
        <w:pBdr>
          <w:top w:val="single" w:sz="2" w:space="1" w:color="000001"/>
          <w:left w:val="single" w:sz="2" w:space="1" w:color="000001"/>
          <w:bottom w:val="single" w:sz="2" w:space="1" w:color="000001"/>
          <w:right w:val="single" w:sz="2" w:space="1" w:color="000001"/>
        </w:pBdr>
        <w:spacing w:lineRule="auto" w:line="240" w:before="375" w:after="0"/>
        <w:ind w:left="506" w:right="29" w:hanging="0"/>
        <w:jc w:val="both"/>
        <w:rPr/>
      </w:pPr>
      <w:r>
        <w:rPr/>
        <w:t xml:space="preserve">U tjednima koji su razdvojili regionalne konferencije i nacionalnu konferenciju, projektni tim proveo je grupiranje 515 promjena u koherentne skupine. Sve promjene izražene u regijama bile su podvrgnute leksikološkoj analizi i zaključene kada se njihova temeljna namjera činila sličnom ili bliskom, kako bi se osnovale radne skupine nacionalnih konferencija sa zajedničkom željom za Europom. Naposljetku, </w:t>
      </w:r>
      <w:r>
        <w:rPr>
          <w:b/>
        </w:rPr>
        <w:t>promjene utvrđene u regijama grupirane su u 14 različitih europskih želja</w:t>
      </w:r>
      <w:r>
        <w:rPr/>
        <w:t xml:space="preserve">. </w:t>
      </w:r>
    </w:p>
    <w:p>
      <w:pPr>
        <w:pStyle w:val="Normal"/>
        <w:rPr/>
      </w:pPr>
      <w:r>
        <w:rPr/>
        <mc:AlternateContent>
          <mc:Choice Requires="wpg">
            <w:drawing>
              <wp:anchor behindDoc="0" distT="0" distB="0" distL="0" distR="0" simplePos="0" locked="0" layoutInCell="1" allowOverlap="1" relativeHeight="52">
                <wp:simplePos x="0" y="0"/>
                <wp:positionH relativeFrom="column">
                  <wp:posOffset>436880</wp:posOffset>
                </wp:positionH>
                <wp:positionV relativeFrom="paragraph">
                  <wp:posOffset>92075</wp:posOffset>
                </wp:positionV>
                <wp:extent cx="5765800" cy="1319530"/>
                <wp:effectExtent l="0" t="0" r="0" b="0"/>
                <wp:wrapTopAndBottom/>
                <wp:docPr id="94" name="Obrazac 11"/>
                <a:graphic xmlns:a="http://schemas.openxmlformats.org/drawingml/2006/main">
                  <a:graphicData uri="http://schemas.microsoft.com/office/word/2010/wordprocessingGroup">
                    <wpg:wgp>
                      <wpg:cNvGrpSpPr/>
                      <wpg:grpSpPr>
                        <a:xfrm>
                          <a:off x="0" y="0"/>
                          <a:ext cx="5765040" cy="1319040"/>
                        </a:xfrm>
                      </wpg:grpSpPr>
                      <pic:pic xmlns:pic="http://schemas.openxmlformats.org/drawingml/2006/picture">
                        <pic:nvPicPr>
                          <pic:cNvPr id="4" name="" descr=""/>
                          <pic:cNvPicPr/>
                        </pic:nvPicPr>
                        <pic:blipFill>
                          <a:blip r:embed="rId100"/>
                          <a:stretch/>
                        </pic:blipFill>
                        <pic:spPr>
                          <a:xfrm>
                            <a:off x="0" y="0"/>
                            <a:ext cx="5765040" cy="1077480"/>
                          </a:xfrm>
                          <a:prstGeom prst="rect">
                            <a:avLst/>
                          </a:prstGeom>
                          <a:ln>
                            <a:noFill/>
                          </a:ln>
                        </pic:spPr>
                      </pic:pic>
                      <wps:wsp>
                        <wps:cNvSpPr/>
                        <wps:spPr>
                          <a:xfrm>
                            <a:off x="1058040" y="195120"/>
                            <a:ext cx="1094040" cy="875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auto"/>
                                </w:rPr>
                                <w:t>Želja</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auto"/>
                                </w:rPr>
                                <w:t xml:space="preserve"> za Europom 2035</w:t>
                              </w:r>
                            </w:p>
                          </w:txbxContent>
                        </wps:txbx>
                        <wps:bodyPr lIns="90000" rIns="90000" tIns="45000" bIns="45000">
                          <a:noAutofit/>
                        </wps:bodyPr>
                      </wps:wsp>
                      <wps:wsp>
                        <wps:cNvSpPr/>
                        <wps:spPr>
                          <a:xfrm>
                            <a:off x="2309040" y="195120"/>
                            <a:ext cx="1454040" cy="11239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auto"/>
                                </w:rPr>
                                <w:t xml:space="preserve">Promjene </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auto"/>
                                </w:rPr>
                                <w:t>za postizanje željene Europe</w:t>
                              </w:r>
                            </w:p>
                          </w:txbxContent>
                        </wps:txbx>
                        <wps:bodyPr lIns="90000" rIns="90000" tIns="45000" bIns="45000">
                          <a:noAutofit/>
                        </wps:bodyPr>
                      </wps:wsp>
                      <wps:wsp>
                        <wps:cNvSpPr/>
                        <wps:spPr>
                          <a:xfrm>
                            <a:off x="3931920" y="79200"/>
                            <a:ext cx="1743120" cy="11239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auto"/>
                                </w:rPr>
                                <w:t xml:space="preserve">Konkretni prijedlozi </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auto"/>
                                </w:rPr>
                                <w:t xml:space="preserve"> za provedbu tih promjena</w:t>
                              </w:r>
                            </w:p>
                          </w:txbxContent>
                        </wps:txbx>
                        <wps:bodyPr lIns="90000" rIns="90000" tIns="45000" bIns="45000">
                          <a:noAutofit/>
                        </wps:bodyPr>
                      </wps:wsp>
                    </wpg:wgp>
                  </a:graphicData>
                </a:graphic>
              </wp:anchor>
            </w:drawing>
          </mc:Choice>
          <mc:Fallback>
            <w:pict>
              <v:group id="shape_0" alt="Obrazac 11" style="position:absolute;margin-left:34.4pt;margin-top:7.25pt;width:453.95pt;height:103.85pt" coordorigin="688,145" coordsize="9079,2077">
                <v:shape id="shape_0" stroked="f" style="position:absolute;left:688;top:145;width:9078;height:1696" type="shapetype_75">
                  <v:imagedata r:id="rId100" o:detectmouseclick="t"/>
                  <w10:wrap type="none"/>
                  <v:stroke color="#3465a4" joinstyle="round" endcap="flat"/>
                </v:shape>
                <v:rect id="shape_0" stroked="f" style="position:absolute;left:2354;top:452;width:1722;height:1377">
                  <v:textbox>
                    <w:txbxContent>
                      <w:p>
                        <w:pPr>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auto"/>
                          </w:rPr>
                          <w:t>Želja</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auto"/>
                          </w:rPr>
                          <w:t xml:space="preserve"> za Europom 2035</w:t>
                        </w:r>
                      </w:p>
                    </w:txbxContent>
                  </v:textbox>
                  <w10:wrap type="square"/>
                  <v:fill o:detectmouseclick="t" on="false"/>
                  <v:stroke color="#3465a4" joinstyle="round" endcap="flat"/>
                </v:rect>
                <v:rect id="shape_0" stroked="f" style="position:absolute;left:4325;top:452;width:2289;height:1769">
                  <v:textbox>
                    <w:txbxContent>
                      <w:p>
                        <w:pPr>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auto"/>
                          </w:rPr>
                          <w:t xml:space="preserve">Promjene </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auto"/>
                          </w:rPr>
                          <w:t>za postizanje željene Europe</w:t>
                        </w:r>
                      </w:p>
                    </w:txbxContent>
                  </v:textbox>
                  <w10:wrap type="square"/>
                  <v:fill o:detectmouseclick="t" on="false"/>
                  <v:stroke color="#3465a4" joinstyle="round" endcap="flat"/>
                </v:rect>
                <v:rect id="shape_0" stroked="f" style="position:absolute;left:6880;top:270;width:2744;height:1769">
                  <v:textbox>
                    <w:txbxContent>
                      <w:p>
                        <w:pPr>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auto"/>
                          </w:rPr>
                          <w:t xml:space="preserve">Konkretni prijedlozi </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auto"/>
                          </w:rPr>
                          <w:t xml:space="preserve"> za provedbu tih promjena</w:t>
                        </w:r>
                      </w:p>
                    </w:txbxContent>
                  </v:textbox>
                  <w10:wrap type="square"/>
                  <v:fill o:detectmouseclick="t" on="false"/>
                  <v:stroke color="#3465a4" joinstyle="round" endcap="flat"/>
                </v:rect>
              </v:group>
            </w:pict>
          </mc:Fallback>
        </mc:AlternateContent>
      </w:r>
    </w:p>
    <w:tbl>
      <w:tblPr>
        <w:tblW w:w="9638"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2409"/>
        <w:gridCol w:w="2409"/>
        <w:gridCol w:w="2410"/>
        <w:gridCol w:w="2409"/>
      </w:tblGrid>
      <w:tr>
        <w:trPr/>
        <w:tc>
          <w:tcPr>
            <w:tcW w:w="2409"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Pitanje građanima</w:t>
            </w:r>
          </w:p>
        </w:tc>
        <w:tc>
          <w:tcPr>
            <w:tcW w:w="2409"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Koja je vaša želja za Europu 2035. godine?</w:t>
            </w:r>
          </w:p>
        </w:tc>
        <w:tc>
          <w:tcPr>
            <w:tcW w:w="2410"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Koje su promjene potrebne za postizanje željene Europe?</w:t>
            </w:r>
          </w:p>
        </w:tc>
        <w:tc>
          <w:tcPr>
            <w:tcW w:w="2409"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Koje biste konkretne prijedloge iznijeli za provedbu tih promjena?</w:t>
            </w:r>
          </w:p>
        </w:tc>
      </w:tr>
      <w:tr>
        <w:trPr/>
        <w:tc>
          <w:tcPr>
            <w:tcW w:w="240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Ishod regionalnih konferencija</w:t>
            </w:r>
          </w:p>
        </w:tc>
        <w:tc>
          <w:tcPr>
            <w:tcW w:w="2409"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101 želja</w:t>
            </w:r>
          </w:p>
        </w:tc>
        <w:tc>
          <w:tcPr>
            <w:tcW w:w="2410"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515 promjena</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jc w:val="center"/>
              <w:rPr/>
            </w:pPr>
            <w:r>
              <w:rPr/>
              <w:t>1301 konkretni prijedlozi</w:t>
            </w:r>
          </w:p>
        </w:tc>
      </w:tr>
      <w:tr>
        <w:trPr/>
        <w:tc>
          <w:tcPr>
            <w:tcW w:w="240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2409"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Naručivanje 515 regionalnih promjena u 14 dosljednih želja organizacijskog tima</w:t>
            </w:r>
          </w:p>
        </w:tc>
        <w:tc>
          <w:tcPr>
            <w:tcW w:w="4819"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jc w:val="center"/>
              <w:rPr/>
            </w:pPr>
            <w:r>
              <w:rPr/>
              <w:t>Grupiranje, određivanje prioriteta i pojedinosti o promjenama sudionika tijekom nacionalne konferencije</w:t>
            </w:r>
          </w:p>
        </w:tc>
      </w:tr>
      <w:tr>
        <w:trPr/>
        <w:tc>
          <w:tcPr>
            <w:tcW w:w="2409" w:type="dxa"/>
            <w:tcBorders>
              <w:left w:val="single" w:sz="4" w:space="0" w:color="000001"/>
              <w:bottom w:val="single" w:sz="4" w:space="0" w:color="000001"/>
              <w:insideH w:val="single" w:sz="4" w:space="0" w:color="000001"/>
            </w:tcBorders>
            <w:shd w:fill="EEEEEE" w:val="clear"/>
          </w:tcPr>
          <w:p>
            <w:pPr>
              <w:pStyle w:val="Normal"/>
              <w:spacing w:before="57" w:after="57"/>
              <w:ind w:left="0" w:right="0" w:hanging="0"/>
              <w:rPr/>
            </w:pPr>
            <w:r>
              <w:rPr/>
              <w:t>Ishod nacionalne konferencije</w:t>
            </w:r>
          </w:p>
        </w:tc>
        <w:tc>
          <w:tcPr>
            <w:tcW w:w="2409" w:type="dxa"/>
            <w:tcBorders>
              <w:left w:val="single" w:sz="4" w:space="0" w:color="000001"/>
              <w:bottom w:val="single" w:sz="4" w:space="0" w:color="000001"/>
              <w:insideH w:val="single" w:sz="4" w:space="0" w:color="000001"/>
            </w:tcBorders>
            <w:shd w:fill="EEEEEE" w:val="clear"/>
          </w:tcPr>
          <w:p>
            <w:pPr>
              <w:pStyle w:val="Normal"/>
              <w:spacing w:before="57" w:after="57"/>
              <w:ind w:left="0" w:right="0" w:hanging="0"/>
              <w:rPr/>
            </w:pPr>
            <w:r>
              <w:rPr/>
              <w:t>14 želja</w:t>
            </w:r>
          </w:p>
        </w:tc>
        <w:tc>
          <w:tcPr>
            <w:tcW w:w="2410" w:type="dxa"/>
            <w:tcBorders>
              <w:left w:val="single" w:sz="4" w:space="0" w:color="000001"/>
              <w:bottom w:val="single" w:sz="4" w:space="0" w:color="000001"/>
              <w:insideH w:val="single" w:sz="4" w:space="0" w:color="000001"/>
            </w:tcBorders>
            <w:shd w:fill="EEEEEE" w:val="clear"/>
          </w:tcPr>
          <w:p>
            <w:pPr>
              <w:pStyle w:val="Normal"/>
              <w:spacing w:before="57" w:after="57"/>
              <w:ind w:left="0" w:right="0" w:hanging="0"/>
              <w:rPr/>
            </w:pPr>
            <w:r>
              <w:rPr/>
              <w:t>80 promjena</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EEEEEE" w:val="clear"/>
          </w:tcPr>
          <w:p>
            <w:pPr>
              <w:pStyle w:val="Normal"/>
              <w:spacing w:before="57" w:after="57"/>
              <w:ind w:left="0" w:right="0" w:hanging="0"/>
              <w:rPr/>
            </w:pPr>
            <w:r>
              <w:rPr/>
              <w:t>Ključni koraci provedbe i kriteriji uspješnosti za svaku promjenu</w:t>
            </w:r>
          </w:p>
        </w:tc>
      </w:tr>
    </w:tbl>
    <w:p>
      <w:pPr>
        <w:pStyle w:val="Normal"/>
        <w:rPr/>
      </w:pPr>
      <w:r>
        <w:rPr/>
      </w:r>
      <w:r>
        <w:br w:type="page"/>
      </w:r>
    </w:p>
    <w:p>
      <w:pPr>
        <w:pStyle w:val="P68B1DB1Normal33"/>
        <w:spacing w:lineRule="auto" w:line="240"/>
        <w:rPr>
          <w:rFonts w:ascii="Times New Roman" w:hAnsi="Times New Roman"/>
          <w:b/>
          <w:b/>
          <w:color w:val="000000"/>
          <w:sz w:val="24"/>
        </w:rPr>
      </w:pPr>
      <w:r>
        <w:rPr/>
        <w:t xml:space="preserve">a. Ranking od 14 želja Europe </w:t>
      </w:r>
    </w:p>
    <w:p>
      <w:pPr>
        <w:pStyle w:val="P68B1DB1Normal19"/>
        <w:widowControl w:val="false"/>
        <w:spacing w:lineRule="auto" w:line="240" w:before="322" w:after="0"/>
        <w:ind w:left="0" w:right="0" w:hanging="0"/>
        <w:jc w:val="left"/>
        <w:rPr>
          <w:rFonts w:ascii="Times New Roman" w:hAnsi="Times New Roman"/>
          <w:color w:val="000000"/>
          <w:sz w:val="24"/>
        </w:rPr>
      </w:pPr>
      <w:r>
        <w:rPr/>
        <w:t xml:space="preserve">Na kraju svake regionalne konferencije građani koji su sudjelovali glasovali su kako bi izrazili potporu promjenama koje su utvrdile različite radne skupine. </w:t>
      </w:r>
    </w:p>
    <w:p>
      <w:pPr>
        <w:pStyle w:val="Normal"/>
        <w:widowControl w:val="false"/>
        <w:spacing w:lineRule="auto" w:line="240" w:before="332" w:after="0"/>
        <w:ind w:left="0" w:right="0" w:hanging="0"/>
        <w:jc w:val="both"/>
        <w:rPr/>
      </w:pPr>
      <w:r>
        <mc:AlternateContent>
          <mc:Choice Requires="wps">
            <w:drawing>
              <wp:anchor behindDoc="0" distT="0" distB="0" distL="0" distR="0" simplePos="0" locked="0" layoutInCell="1" allowOverlap="1" relativeHeight="8">
                <wp:simplePos x="0" y="0"/>
                <wp:positionH relativeFrom="column">
                  <wp:posOffset>635</wp:posOffset>
                </wp:positionH>
                <wp:positionV relativeFrom="paragraph">
                  <wp:posOffset>1340485</wp:posOffset>
                </wp:positionV>
                <wp:extent cx="5111750" cy="6269990"/>
                <wp:effectExtent l="0" t="0" r="0" b="0"/>
                <wp:wrapTopAndBottom/>
                <wp:docPr id="95" name="Hrvatski jezik51"/>
                <a:graphic xmlns:a="http://schemas.openxmlformats.org/drawingml/2006/main">
                  <a:graphicData uri="http://schemas.microsoft.com/office/word/2010/wordprocessingShape">
                    <wps:wsp>
                      <wps:cNvSpPr/>
                      <wps:spPr>
                        <a:xfrm>
                          <a:off x="0" y="0"/>
                          <a:ext cx="5111280" cy="6269400"/>
                        </a:xfrm>
                        <a:prstGeom prst="rect">
                          <a:avLst/>
                        </a:prstGeom>
                        <a:solidFill>
                          <a:srgbClr val="ffffff"/>
                        </a:solidFill>
                        <a:ln>
                          <a:noFill/>
                        </a:ln>
                      </wps:spPr>
                      <wps:style>
                        <a:lnRef idx="0"/>
                        <a:fillRef idx="0"/>
                        <a:effectRef idx="0"/>
                        <a:fontRef idx="minor"/>
                      </wps:style>
                      <wps:txbx>
                        <w:txbxContent>
                          <w:p>
                            <w:pPr>
                              <w:pStyle w:val="Lgende"/>
                              <w:suppressLineNumbers/>
                              <w:spacing w:before="120" w:after="120"/>
                              <w:rPr>
                                <w:color w:val="auto"/>
                              </w:rPr>
                            </w:pPr>
                            <w:r>
                              <w:rPr>
                                <w:color w:val="auto"/>
                              </w:rPr>
                              <w:t xml:space="preserve">Rangiranje želja Europe prema stopi popularnosti </w:t>
                            </w:r>
                          </w:p>
                        </w:txbxContent>
                      </wps:txbx>
                      <wps:bodyPr lIns="0" rIns="0" tIns="0" bIns="0">
                        <a:noAutofit/>
                      </wps:bodyPr>
                    </wps:wsp>
                  </a:graphicData>
                </a:graphic>
              </wp:anchor>
            </w:drawing>
          </mc:Choice>
          <mc:Fallback>
            <w:pict>
              <v:rect id="shape_0" ID="Hrvatski jezik51" fillcolor="white" stroked="f" style="position:absolute;margin-left:0.05pt;margin-top:105.55pt;width:402.4pt;height:493.6pt">
                <w10:wrap type="square"/>
                <v:fill o:detectmouseclick="t" type="solid" color2="black"/>
                <v:stroke color="#3465a4" joinstyle="round" endcap="flat"/>
                <v:textbox>
                  <w:txbxContent>
                    <w:p>
                      <w:pPr>
                        <w:pStyle w:val="Lgende"/>
                        <w:suppressLineNumbers/>
                        <w:spacing w:before="120" w:after="120"/>
                        <w:rPr>
                          <w:color w:val="auto"/>
                        </w:rPr>
                      </w:pPr>
                      <w:r>
                        <w:rPr>
                          <w:color w:val="auto"/>
                        </w:rPr>
                        <w:t xml:space="preserve">Rangiranje želja Europe prema stopi popularnosti </w:t>
                      </w:r>
                    </w:p>
                  </w:txbxContent>
                </v:textbox>
              </v:rect>
            </w:pict>
          </mc:Fallback>
        </mc:AlternateContent>
      </w:r>
      <w:r>
        <w:rPr>
          <w:rFonts w:ascii="Times New Roman" w:hAnsi="Times New Roman"/>
          <w:color w:val="000000"/>
          <w:sz w:val="24"/>
        </w:rPr>
        <w:t xml:space="preserve">Na temelju grupacija provedenih prije nacionalne sinteze konferencije, moguće je odrediti – zahvaljujući glasovanju o promjenama u svakoj regiji – želje Europe koja je bila najpopularnija među građanima. Stoga su želje „ </w:t>
      </w:r>
      <w:r>
        <w:rPr>
          <w:rFonts w:ascii="Times New Roman" w:hAnsi="Times New Roman"/>
          <w:i/>
          <w:color w:val="000000"/>
          <w:sz w:val="24"/>
        </w:rPr>
        <w:t>Europa koja obrazovanje stavlja u prvi plan”</w:t>
      </w:r>
      <w:r>
        <w:rPr>
          <w:rFonts w:ascii="Times New Roman" w:hAnsi="Times New Roman"/>
          <w:color w:val="000000"/>
          <w:sz w:val="24"/>
        </w:rPr>
        <w:t xml:space="preserve"> i „ </w:t>
      </w:r>
      <w:r>
        <w:rPr>
          <w:rFonts w:ascii="Times New Roman" w:hAnsi="Times New Roman"/>
          <w:i/>
          <w:color w:val="000000"/>
          <w:sz w:val="24"/>
        </w:rPr>
        <w:t>bliža i pristupačna Europa</w:t>
      </w:r>
      <w:r>
        <w:rPr>
          <w:rFonts w:ascii="Times New Roman" w:hAnsi="Times New Roman"/>
          <w:color w:val="000000"/>
          <w:sz w:val="24"/>
        </w:rPr>
        <w:t>” široko prihvaćene, a promjene</w:t>
      </w:r>
      <w:r>
        <w:rPr>
          <w:rFonts w:ascii="Times New Roman" w:hAnsi="Times New Roman"/>
          <w:i/>
          <w:color w:val="000000"/>
          <w:sz w:val="24"/>
        </w:rPr>
        <w:t xml:space="preserve"> </w:t>
      </w:r>
      <w:r>
        <w:rPr>
          <w:rFonts w:ascii="Times New Roman" w:hAnsi="Times New Roman"/>
          <w:color w:val="000000"/>
          <w:sz w:val="24"/>
        </w:rPr>
        <w:t xml:space="preserve">je u prosjeku poduprlo 56 % građana na regionalnim konferencijama. </w:t>
      </w:r>
    </w:p>
    <w:p>
      <w:pPr>
        <w:pStyle w:val="Normal"/>
        <w:rPr/>
      </w:pPr>
      <w:r>
        <w:rPr/>
        <mc:AlternateContent>
          <mc:Choice Requires="wpg">
            <w:drawing>
              <wp:anchor behindDoc="0" distT="0" distB="0" distL="0" distR="0" simplePos="0" locked="0" layoutInCell="1" allowOverlap="1" relativeHeight="53">
                <wp:simplePos x="0" y="0"/>
                <wp:positionH relativeFrom="column">
                  <wp:posOffset>273050</wp:posOffset>
                </wp:positionH>
                <wp:positionV relativeFrom="paragraph">
                  <wp:posOffset>506095</wp:posOffset>
                </wp:positionV>
                <wp:extent cx="4505960" cy="6283960"/>
                <wp:effectExtent l="0" t="0" r="0" b="0"/>
                <wp:wrapTopAndBottom/>
                <wp:docPr id="97" name="Obrazac 4"/>
                <a:graphic xmlns:a="http://schemas.openxmlformats.org/drawingml/2006/main">
                  <a:graphicData uri="http://schemas.microsoft.com/office/word/2010/wordprocessingGroup">
                    <wpg:wgp>
                      <wpg:cNvGrpSpPr/>
                      <wpg:grpSpPr>
                        <a:xfrm>
                          <a:off x="0" y="0"/>
                          <a:ext cx="4505400" cy="6283440"/>
                        </a:xfrm>
                      </wpg:grpSpPr>
                      <pic:pic xmlns:pic="http://schemas.openxmlformats.org/drawingml/2006/picture">
                        <pic:nvPicPr>
                          <pic:cNvPr id="5" name="" descr=""/>
                          <pic:cNvPicPr/>
                        </pic:nvPicPr>
                        <pic:blipFill>
                          <a:blip r:embed="rId101"/>
                          <a:stretch/>
                        </pic:blipFill>
                        <pic:spPr>
                          <a:xfrm>
                            <a:off x="2270160" y="590400"/>
                            <a:ext cx="1982520" cy="5692680"/>
                          </a:xfrm>
                          <a:prstGeom prst="rect">
                            <a:avLst/>
                          </a:prstGeom>
                          <a:ln>
                            <a:noFill/>
                          </a:ln>
                        </pic:spPr>
                      </pic:pic>
                      <wps:wsp>
                        <wps:cNvSpPr/>
                        <wps:spPr>
                          <a:xfrm>
                            <a:off x="1151280" y="0"/>
                            <a:ext cx="3354120" cy="4989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Koje promjene biste željeli vidjeti da se provedu?</w:t>
                              </w:r>
                            </w:p>
                          </w:txbxContent>
                        </wps:txbx>
                        <wps:bodyPr lIns="90000" rIns="90000" tIns="45000" bIns="45000">
                          <a:noAutofit/>
                        </wps:bodyPr>
                      </wps:wsp>
                      <wps:wsp>
                        <wps:cNvSpPr/>
                        <wps:spPr>
                          <a:xfrm>
                            <a:off x="0" y="738360"/>
                            <a:ext cx="221760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 Europa koja obrazovanje stavlja u prvi plan</w:t>
                              </w:r>
                            </w:p>
                          </w:txbxContent>
                        </wps:txbx>
                        <wps:bodyPr lIns="90000" rIns="90000" tIns="45000" bIns="45000">
                          <a:noAutofit/>
                        </wps:bodyPr>
                      </wps:wsp>
                      <wps:wsp>
                        <wps:cNvSpPr/>
                        <wps:spPr>
                          <a:xfrm>
                            <a:off x="0" y="1079640"/>
                            <a:ext cx="221760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2. Bliža i pristupačnija Europa</w:t>
                              </w:r>
                            </w:p>
                          </w:txbxContent>
                        </wps:txbx>
                        <wps:bodyPr lIns="90000" rIns="90000" tIns="45000" bIns="45000">
                          <a:noAutofit/>
                        </wps:bodyPr>
                      </wps:wsp>
                      <wps:wsp>
                        <wps:cNvSpPr/>
                        <wps:spPr>
                          <a:xfrm>
                            <a:off x="0" y="1548000"/>
                            <a:ext cx="2217600" cy="353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Europa sa zajedničkim kulturama i identitetima</w:t>
                              </w:r>
                            </w:p>
                          </w:txbxContent>
                        </wps:txbx>
                        <wps:bodyPr lIns="90000" rIns="90000" tIns="45000" bIns="45000">
                          <a:noAutofit/>
                        </wps:bodyPr>
                      </wps:wsp>
                      <wps:wsp>
                        <wps:cNvSpPr/>
                        <wps:spPr>
                          <a:xfrm>
                            <a:off x="0" y="1948680"/>
                            <a:ext cx="221760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4. Europa posvećena klimatskom i okolišnom izazovu</w:t>
                              </w:r>
                            </w:p>
                          </w:txbxContent>
                        </wps:txbx>
                        <wps:bodyPr lIns="90000" rIns="90000" tIns="45000" bIns="45000">
                          <a:noAutofit/>
                        </wps:bodyPr>
                      </wps:wsp>
                      <wps:wsp>
                        <wps:cNvSpPr/>
                        <wps:spPr>
                          <a:xfrm>
                            <a:off x="0" y="2327760"/>
                            <a:ext cx="2217600" cy="2444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5. Ujedinjenija Europa</w:t>
                              </w:r>
                            </w:p>
                          </w:txbxContent>
                        </wps:txbx>
                        <wps:bodyPr lIns="90000" rIns="90000" tIns="45000" bIns="45000">
                          <a:noAutofit/>
                        </wps:bodyPr>
                      </wps:wsp>
                      <wps:wsp>
                        <wps:cNvSpPr/>
                        <wps:spPr>
                          <a:xfrm>
                            <a:off x="0" y="2630880"/>
                            <a:ext cx="2217600" cy="2444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6. Solidarnost Europa koja štiti</w:t>
                              </w:r>
                            </w:p>
                          </w:txbxContent>
                        </wps:txbx>
                        <wps:bodyPr lIns="90000" rIns="90000" tIns="45000" bIns="45000">
                          <a:noAutofit/>
                        </wps:bodyPr>
                      </wps:wsp>
                      <wps:wsp>
                        <wps:cNvSpPr/>
                        <wps:spPr>
                          <a:xfrm>
                            <a:off x="0" y="3034800"/>
                            <a:ext cx="221760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7. Europa koja jamči poštovanje temeljnih prava</w:t>
                              </w:r>
                            </w:p>
                          </w:txbxContent>
                        </wps:txbx>
                        <wps:bodyPr lIns="90000" rIns="90000" tIns="45000" bIns="45000">
                          <a:noAutofit/>
                        </wps:bodyPr>
                      </wps:wsp>
                      <wps:wsp>
                        <wps:cNvSpPr/>
                        <wps:spPr>
                          <a:xfrm>
                            <a:off x="0" y="3468240"/>
                            <a:ext cx="2217600" cy="2444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8. Konkurentna i inovativna Europa</w:t>
                              </w:r>
                            </w:p>
                          </w:txbxContent>
                        </wps:txbx>
                        <wps:bodyPr lIns="90000" rIns="90000" tIns="45000" bIns="45000">
                          <a:noAutofit/>
                        </wps:bodyPr>
                      </wps:wsp>
                      <wps:wsp>
                        <wps:cNvSpPr/>
                        <wps:spPr>
                          <a:xfrm>
                            <a:off x="0" y="3912840"/>
                            <a:ext cx="221760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9. Europa koja promiče održivi razvoj</w:t>
                              </w:r>
                            </w:p>
                          </w:txbxContent>
                        </wps:txbx>
                        <wps:bodyPr lIns="90000" rIns="90000" tIns="45000" bIns="45000">
                          <a:noAutofit/>
                        </wps:bodyPr>
                      </wps:wsp>
                      <wps:wsp>
                        <wps:cNvSpPr/>
                        <wps:spPr>
                          <a:xfrm>
                            <a:off x="0" y="4245120"/>
                            <a:ext cx="2217600" cy="2444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10. Demokratskija Europa</w:t>
                              </w:r>
                            </w:p>
                          </w:txbxContent>
                        </wps:txbx>
                        <wps:bodyPr lIns="90000" rIns="90000" tIns="45000" bIns="45000">
                          <a:noAutofit/>
                        </wps:bodyPr>
                      </wps:wsp>
                      <wps:wsp>
                        <wps:cNvSpPr/>
                        <wps:spPr>
                          <a:xfrm>
                            <a:off x="0" y="4566960"/>
                            <a:ext cx="2217600" cy="353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11. Europa s učinkovitijim upravljanjem</w:t>
                              </w:r>
                            </w:p>
                          </w:txbxContent>
                        </wps:txbx>
                        <wps:bodyPr lIns="90000" rIns="90000" tIns="45000" bIns="45000">
                          <a:noAutofit/>
                        </wps:bodyPr>
                      </wps:wsp>
                      <wps:wsp>
                        <wps:cNvSpPr/>
                        <wps:spPr>
                          <a:xfrm>
                            <a:off x="0" y="5103360"/>
                            <a:ext cx="2217600" cy="2217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12. Europa koja brani svoje interese</w:t>
                              </w:r>
                            </w:p>
                          </w:txbxContent>
                        </wps:txbx>
                        <wps:bodyPr lIns="90000" rIns="90000" tIns="45000" bIns="45000">
                          <a:noAutofit/>
                        </wps:bodyPr>
                      </wps:wsp>
                      <wps:wsp>
                        <wps:cNvSpPr/>
                        <wps:spPr>
                          <a:xfrm>
                            <a:off x="0" y="5522760"/>
                            <a:ext cx="221760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13. Snažna Europa u svijetu</w:t>
                              </w:r>
                            </w:p>
                          </w:txbxContent>
                        </wps:txbx>
                        <wps:bodyPr lIns="90000" rIns="90000" tIns="45000" bIns="45000">
                          <a:noAutofit/>
                        </wps:bodyPr>
                      </wps:wsp>
                      <wps:wsp>
                        <wps:cNvSpPr/>
                        <wps:spPr>
                          <a:xfrm>
                            <a:off x="0" y="5877000"/>
                            <a:ext cx="221760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14. Europa u kojoj prevladavaju interesi svake države</w:t>
                              </w:r>
                            </w:p>
                          </w:txbxContent>
                        </wps:txbx>
                        <wps:bodyPr lIns="90000" rIns="90000" tIns="45000" bIns="45000">
                          <a:noAutofit/>
                        </wps:bodyPr>
                      </wps:wsp>
                    </wpg:wgp>
                  </a:graphicData>
                </a:graphic>
              </wp:anchor>
            </w:drawing>
          </mc:Choice>
          <mc:Fallback>
            <w:pict>
              <v:group id="shape_0" alt="Obrazac 4" style="position:absolute;margin-left:21.5pt;margin-top:39.85pt;width:354.75pt;height:494.75pt" coordorigin="430,797" coordsize="7095,9895">
                <v:shape id="shape_0" stroked="f" style="position:absolute;left:4005;top:1727;width:3121;height:8964" type="shapetype_75">
                  <v:imagedata r:id="rId101" o:detectmouseclick="t"/>
                  <w10:wrap type="none"/>
                  <v:stroke color="#3465a4" joinstyle="round" endcap="flat"/>
                </v:shape>
                <v:rect id="shape_0" stroked="f" style="position:absolute;left:2243;top:797;width:5281;height:78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Koje promjene biste željeli vidjeti da se provedu?</w:t>
                        </w:r>
                      </w:p>
                    </w:txbxContent>
                  </v:textbox>
                  <w10:wrap type="square"/>
                  <v:fill o:detectmouseclick="t" on="false"/>
                  <v:stroke color="#3465a4" joinstyle="round" endcap="flat"/>
                </v:rect>
                <v:rect id="shape_0" stroked="f" style="position:absolute;left:430;top:1960;width:3491;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 Europa koja obrazovanje stavlja u prvi plan</w:t>
                        </w:r>
                      </w:p>
                    </w:txbxContent>
                  </v:textbox>
                  <w10:wrap type="square"/>
                  <v:fill o:detectmouseclick="t" on="false"/>
                  <v:stroke color="#3465a4" joinstyle="round" endcap="flat"/>
                </v:rect>
                <v:rect id="shape_0" stroked="f" style="position:absolute;left:430;top:2497;width:3491;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2. Bliža i pristupačnija Europa</w:t>
                        </w:r>
                      </w:p>
                    </w:txbxContent>
                  </v:textbox>
                  <w10:wrap type="square"/>
                  <v:fill o:detectmouseclick="t" on="false"/>
                  <v:stroke color="#3465a4" joinstyle="round" endcap="flat"/>
                </v:rect>
                <v:rect id="shape_0" stroked="f" style="position:absolute;left:430;top:3235;width:3491;height:556">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Europa sa zajedničkim kulturama i identitetima</w:t>
                        </w:r>
                      </w:p>
                    </w:txbxContent>
                  </v:textbox>
                  <w10:wrap type="square"/>
                  <v:fill o:detectmouseclick="t" on="false"/>
                  <v:stroke color="#3465a4" joinstyle="round" endcap="flat"/>
                </v:rect>
                <v:rect id="shape_0" stroked="f" style="position:absolute;left:430;top:3866;width:3491;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4. Europa posvećena klimatskom i okolišnom izazovu</w:t>
                        </w:r>
                      </w:p>
                    </w:txbxContent>
                  </v:textbox>
                  <w10:wrap type="square"/>
                  <v:fill o:detectmouseclick="t" on="false"/>
                  <v:stroke color="#3465a4" joinstyle="round" endcap="flat"/>
                </v:rect>
                <v:rect id="shape_0" stroked="f" style="position:absolute;left:430;top:4463;width:3491;height:38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5. Ujedinjenija Europa</w:t>
                        </w:r>
                      </w:p>
                    </w:txbxContent>
                  </v:textbox>
                  <w10:wrap type="square"/>
                  <v:fill o:detectmouseclick="t" on="false"/>
                  <v:stroke color="#3465a4" joinstyle="round" endcap="flat"/>
                </v:rect>
                <v:rect id="shape_0" stroked="f" style="position:absolute;left:430;top:4940;width:3491;height:38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6. Solidarnost Europa koja štiti</w:t>
                        </w:r>
                      </w:p>
                    </w:txbxContent>
                  </v:textbox>
                  <w10:wrap type="square"/>
                  <v:fill o:detectmouseclick="t" on="false"/>
                  <v:stroke color="#3465a4" joinstyle="round" endcap="flat"/>
                </v:rect>
                <v:rect id="shape_0" stroked="f" style="position:absolute;left:430;top:5576;width:3491;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7. Europa koja jamči poštovanje temeljnih prava</w:t>
                        </w:r>
                      </w:p>
                    </w:txbxContent>
                  </v:textbox>
                  <w10:wrap type="square"/>
                  <v:fill o:detectmouseclick="t" on="false"/>
                  <v:stroke color="#3465a4" joinstyle="round" endcap="flat"/>
                </v:rect>
                <v:rect id="shape_0" stroked="f" style="position:absolute;left:430;top:6259;width:3491;height:38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8. Konkurentna i inovativna Europa</w:t>
                        </w:r>
                      </w:p>
                    </w:txbxContent>
                  </v:textbox>
                  <w10:wrap type="square"/>
                  <v:fill o:detectmouseclick="t" on="false"/>
                  <v:stroke color="#3465a4" joinstyle="round" endcap="flat"/>
                </v:rect>
                <v:rect id="shape_0" stroked="f" style="position:absolute;left:430;top:6959;width:3491;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9. Europa koja promiče održivi razvoj</w:t>
                        </w:r>
                      </w:p>
                    </w:txbxContent>
                  </v:textbox>
                  <w10:wrap type="square"/>
                  <v:fill o:detectmouseclick="t" on="false"/>
                  <v:stroke color="#3465a4" joinstyle="round" endcap="flat"/>
                </v:rect>
                <v:rect id="shape_0" stroked="f" style="position:absolute;left:430;top:7482;width:3491;height:38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10. Demokratskija Europa</w:t>
                        </w:r>
                      </w:p>
                    </w:txbxContent>
                  </v:textbox>
                  <w10:wrap type="square"/>
                  <v:fill o:detectmouseclick="t" on="false"/>
                  <v:stroke color="#3465a4" joinstyle="round" endcap="flat"/>
                </v:rect>
                <v:rect id="shape_0" stroked="f" style="position:absolute;left:430;top:7989;width:3491;height:556">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11. Europa s učinkovitijim upravljanjem</w:t>
                        </w:r>
                      </w:p>
                    </w:txbxContent>
                  </v:textbox>
                  <w10:wrap type="square"/>
                  <v:fill o:detectmouseclick="t" on="false"/>
                  <v:stroke color="#3465a4" joinstyle="round" endcap="flat"/>
                </v:rect>
                <v:rect id="shape_0" stroked="f" style="position:absolute;left:430;top:8834;width:3491;height:348">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12. Europa koja brani svoje interese</w:t>
                        </w:r>
                      </w:p>
                    </w:txbxContent>
                  </v:textbox>
                  <w10:wrap type="square"/>
                  <v:fill o:detectmouseclick="t" on="false"/>
                  <v:stroke color="#3465a4" joinstyle="round" endcap="flat"/>
                </v:rect>
                <v:rect id="shape_0" stroked="f" style="position:absolute;left:430;top:9494;width:3491;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13. Snažna Europa u svijetu</w:t>
                        </w:r>
                      </w:p>
                    </w:txbxContent>
                  </v:textbox>
                  <w10:wrap type="square"/>
                  <v:fill o:detectmouseclick="t" on="false"/>
                  <v:stroke color="#3465a4" joinstyle="round" endcap="flat"/>
                </v:rect>
                <v:rect id="shape_0" stroked="f" style="position:absolute;left:430;top:10052;width:3491;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14. Europa u kojoj prevladavaju interesi svake države</w:t>
                        </w:r>
                      </w:p>
                    </w:txbxContent>
                  </v:textbox>
                  <w10:wrap type="square"/>
                  <v:fill o:detectmouseclick="t" on="false"/>
                  <v:stroke color="#3465a4" joinstyle="round" endcap="flat"/>
                </v:rect>
              </v:group>
            </w:pict>
          </mc:Fallback>
        </mc:AlternateContent>
      </w:r>
      <w:r>
        <w:br w:type="page"/>
      </w:r>
    </w:p>
    <w:p>
      <w:pPr>
        <w:pStyle w:val="P68B1DB1Normal33"/>
        <w:rPr>
          <w:rFonts w:ascii="Times New Roman" w:hAnsi="Times New Roman"/>
          <w:b/>
          <w:b/>
          <w:color w:val="000000"/>
          <w:sz w:val="24"/>
        </w:rPr>
      </w:pPr>
      <w:r>
        <w:rPr/>
        <w:t xml:space="preserve">B. Predstavljanje 14 prioritetnih promjena koje proizlaze iz nacionalne konferencije </w:t>
      </w:r>
    </w:p>
    <w:p>
      <w:pPr>
        <w:pStyle w:val="P68B1DB1Normal19"/>
        <w:widowControl w:val="false"/>
        <w:spacing w:lineRule="exact" w:line="388" w:before="322" w:after="0"/>
        <w:ind w:left="0" w:right="0" w:hanging="0"/>
        <w:jc w:val="left"/>
        <w:rPr/>
      </w:pPr>
      <w:r>
        <w:rPr/>
        <w:t xml:space="preserve">Na konferenciji National Synthesis, 100 građana koji su sudjelovali radili su na jednoj od 14 etabliranih skupina želja. Na kraju rada svaka skupina odabrana kako bi izrazila svoju želju da Europa </w:t>
      </w:r>
      <w:r>
        <w:rPr>
          <w:b/>
        </w:rPr>
        <w:t>postane prioritetna promjena koja će se uvesti do 2035</w:t>
      </w:r>
      <w:r>
        <w:rPr/>
        <w:t xml:space="preserve">. Tih 14 prioritetnih izmjena zatim je predloženo na glasovanje 100 građana posljednjeg dana nacionalne konferencije. Rezultat ovog glasovanja naveden je u nastavku, silaznim redoslijedom prema broju glasova dobivenih za svaku promjenu. </w:t>
      </w:r>
    </w:p>
    <w:p>
      <w:pPr>
        <w:pStyle w:val="P68B1DB1Normal19"/>
        <w:widowControl w:val="false"/>
        <w:spacing w:lineRule="exact" w:line="413" w:before="332" w:after="0"/>
        <w:ind w:left="0" w:right="708" w:hanging="0"/>
        <w:jc w:val="left"/>
        <w:rPr/>
      </w:pPr>
      <w:r>
        <w:rPr/>
        <w:t xml:space="preserve">Promjena koja je dobila najviše glasova od 100 građana nacionalne konferencije je „ </w:t>
      </w:r>
      <w:r>
        <w:rPr>
          <w:i/>
        </w:rPr>
        <w:t>Razvijte trezvenost energije da manje trošite zaustavljanjem suvišnih”</w:t>
      </w:r>
      <w:r>
        <w:rPr/>
        <w:t xml:space="preserve">. </w:t>
      </w:r>
    </w:p>
    <w:p>
      <w:pPr>
        <w:pStyle w:val="P68B1DB1Normal39"/>
        <w:widowControl w:val="false"/>
        <w:spacing w:lineRule="exact" w:line="199" w:before="42" w:after="0"/>
        <w:ind w:left="0" w:right="0" w:hanging="0"/>
        <w:jc w:val="left"/>
        <w:rPr>
          <w:rFonts w:ascii="Times New Roman" w:hAnsi="Times New Roman"/>
          <w:b/>
          <w:b/>
          <w:color w:val="000000"/>
          <w:sz w:val="12"/>
        </w:rPr>
      </w:pPr>
      <w:r>
        <w:rPr/>
        <w:t xml:space="preserve"> </w:t>
      </w:r>
    </w:p>
    <w:p>
      <w:pPr>
        <w:pStyle w:val="P68B1DB1Normal40"/>
        <w:widowControl w:val="false"/>
        <w:spacing w:lineRule="auto" w:line="240"/>
        <w:ind w:left="208" w:right="0" w:hanging="0"/>
        <w:jc w:val="left"/>
        <w:rPr/>
      </w:pPr>
      <w:r>
        <w:rPr>
          <w:b/>
          <w:sz w:val="34"/>
        </w:rPr>
        <w:t xml:space="preserve">14 </w:t>
      </w:r>
      <w:r>
        <w:rPr>
          <w:sz w:val="30"/>
        </w:rPr>
        <w:t>ključnih promjena za Europu 2035.</w:t>
      </w:r>
    </w:p>
    <w:p>
      <w:pPr>
        <w:pStyle w:val="P68B1DB1Normal41"/>
        <w:widowControl w:val="false"/>
        <w:spacing w:lineRule="auto" w:line="240" w:before="202" w:after="0"/>
        <w:ind w:left="336" w:right="0" w:hanging="0"/>
        <w:jc w:val="left"/>
        <w:rPr/>
      </w:pPr>
      <w:r>
        <w:rPr>
          <w:color w:val="FFFFFF"/>
        </w:rPr>
        <w:t>1</w:t>
      </w:r>
      <w:r>
        <w:rPr>
          <w:color w:val="000000"/>
        </w:rPr>
        <w:t>(1)</w:t>
      </w:r>
      <w:r>
        <w:rPr>
          <w:color w:val="FFFFFF"/>
        </w:rPr>
        <w:t xml:space="preserve"> </w:t>
      </w:r>
      <w:r>
        <w:rPr>
          <w:color w:val="000000"/>
        </w:rPr>
        <w:t>Razvoj energije trezvenost trošiti manje od suvišnih</w:t>
      </w:r>
    </w:p>
    <w:p>
      <w:pPr>
        <w:pStyle w:val="P68B1DB1Normal41"/>
        <w:widowControl w:val="false"/>
        <w:spacing w:lineRule="auto" w:line="240" w:before="193" w:after="0"/>
        <w:ind w:left="324" w:right="0" w:hanging="0"/>
        <w:jc w:val="left"/>
        <w:rPr/>
      </w:pPr>
      <w:r>
        <w:rPr>
          <w:color w:val="FFFFFF"/>
        </w:rPr>
        <w:t>2</w:t>
      </w:r>
      <w:r>
        <w:rPr>
          <w:color w:val="000000"/>
        </w:rPr>
        <w:t>(2)</w:t>
      </w:r>
      <w:r>
        <w:rPr>
          <w:color w:val="FFFFFF"/>
        </w:rPr>
        <w:t xml:space="preserve"> </w:t>
      </w:r>
      <w:r>
        <w:rPr>
          <w:color w:val="000000"/>
        </w:rPr>
        <w:t>Jačanje zajedničke obrane i sigurnosti Europske unije</w:t>
      </w:r>
    </w:p>
    <w:p>
      <w:pPr>
        <w:pStyle w:val="P68B1DB1Normal41"/>
        <w:widowControl w:val="false"/>
        <w:spacing w:lineRule="auto" w:line="240" w:before="193" w:after="0"/>
        <w:ind w:left="324" w:right="0" w:hanging="0"/>
        <w:jc w:val="left"/>
        <w:rPr/>
      </w:pPr>
      <w:r>
        <w:rPr>
          <w:color w:val="FFFFFF"/>
        </w:rPr>
        <w:t>3</w:t>
      </w:r>
      <w:r>
        <w:rPr>
          <w:color w:val="000000"/>
        </w:rPr>
        <w:t>(3)</w:t>
      </w:r>
      <w:r>
        <w:rPr>
          <w:color w:val="FFFFFF"/>
        </w:rPr>
        <w:t xml:space="preserve"> </w:t>
      </w:r>
      <w:r>
        <w:rPr>
          <w:color w:val="000000"/>
        </w:rPr>
        <w:t>Poticanje zajedničkih gospodarskih rezultata putem autonomne, konkurentne i cijenjene industrije Europske unije</w:t>
      </w:r>
    </w:p>
    <w:p>
      <w:pPr>
        <w:pStyle w:val="P68B1DB1Normal41"/>
        <w:widowControl w:val="false"/>
        <w:spacing w:lineRule="auto" w:line="240" w:before="136" w:after="0"/>
        <w:ind w:left="324" w:right="0" w:hanging="0"/>
        <w:jc w:val="left"/>
        <w:rPr/>
      </w:pPr>
      <w:r>
        <w:rPr>
          <w:color w:val="FFFFFF"/>
        </w:rPr>
        <w:t>4</w:t>
      </w:r>
      <w:r>
        <w:rPr>
          <w:color w:val="000000"/>
        </w:rPr>
        <w:t>(4)</w:t>
      </w:r>
      <w:r>
        <w:rPr>
          <w:color w:val="FFFFFF"/>
        </w:rPr>
        <w:t xml:space="preserve"> </w:t>
      </w:r>
      <w:r>
        <w:rPr>
          <w:color w:val="000000"/>
        </w:rPr>
        <w:t>Osnivanje građanske vlasti na nekoliko razina: sudjelovanje, odlučivanje, kontrola</w:t>
      </w:r>
    </w:p>
    <w:p>
      <w:pPr>
        <w:pStyle w:val="P68B1DB1Normal41"/>
        <w:widowControl w:val="false"/>
        <w:spacing w:lineRule="auto" w:line="240" w:before="193" w:after="0"/>
        <w:ind w:left="324" w:right="695" w:hanging="0"/>
        <w:jc w:val="left"/>
        <w:rPr/>
      </w:pPr>
      <w:r>
        <w:rPr>
          <w:color w:val="FFFFFF"/>
        </w:rPr>
        <w:t>5</w:t>
      </w:r>
      <w:r>
        <w:rPr>
          <w:color w:val="000000"/>
        </w:rPr>
        <w:t>(5)</w:t>
      </w:r>
      <w:r>
        <w:rPr>
          <w:color w:val="FFFFFF"/>
        </w:rPr>
        <w:t xml:space="preserve"> </w:t>
      </w:r>
      <w:r>
        <w:rPr>
          <w:color w:val="000000"/>
        </w:rPr>
        <w:t>Udruženje europskih država sa snažnim kompetencijama u područjima od zajedničkog interesa</w:t>
      </w:r>
    </w:p>
    <w:p>
      <w:pPr>
        <w:pStyle w:val="P68B1DB1Normal41"/>
        <w:widowControl w:val="false"/>
        <w:spacing w:lineRule="auto" w:line="240" w:before="136" w:after="0"/>
        <w:ind w:left="324" w:right="0" w:hanging="0"/>
        <w:jc w:val="left"/>
        <w:rPr/>
      </w:pPr>
      <w:r>
        <w:rPr>
          <w:color w:val="000000"/>
        </w:rPr>
        <w:t>6 (6)</w:t>
      </w:r>
      <w:r>
        <w:rPr>
          <w:color w:val="FFFFFF"/>
        </w:rPr>
        <w:t xml:space="preserve"> </w:t>
      </w:r>
      <w:r>
        <w:rPr>
          <w:color w:val="000000"/>
        </w:rPr>
        <w:t>Predlaganje programa cjeloživotne razmjene</w:t>
      </w:r>
    </w:p>
    <w:p>
      <w:pPr>
        <w:pStyle w:val="P68B1DB1Normal41"/>
        <w:widowControl w:val="false"/>
        <w:spacing w:lineRule="auto" w:line="240" w:before="193" w:after="0"/>
        <w:ind w:left="324" w:right="0" w:hanging="0"/>
        <w:jc w:val="left"/>
        <w:rPr/>
      </w:pPr>
      <w:r>
        <w:rPr>
          <w:color w:val="FFFFFF"/>
        </w:rPr>
        <w:t>7</w:t>
      </w:r>
      <w:r>
        <w:rPr>
          <w:color w:val="000000"/>
        </w:rPr>
        <w:t>(7)</w:t>
      </w:r>
      <w:r>
        <w:rPr>
          <w:color w:val="FFFFFF"/>
        </w:rPr>
        <w:t xml:space="preserve"> </w:t>
      </w:r>
      <w:r>
        <w:rPr>
          <w:color w:val="000000"/>
        </w:rPr>
        <w:t>Razmjena europskih kultura kroz objedinjavanje događaja i događaja</w:t>
      </w:r>
    </w:p>
    <w:p>
      <w:pPr>
        <w:pStyle w:val="P68B1DB1Normal41"/>
        <w:widowControl w:val="false"/>
        <w:spacing w:lineRule="auto" w:line="240" w:before="353" w:after="0"/>
        <w:ind w:left="324" w:right="0" w:hanging="0"/>
        <w:jc w:val="left"/>
        <w:rPr/>
      </w:pPr>
      <w:r>
        <w:rPr>
          <w:color w:val="FFFFFF"/>
        </w:rPr>
        <w:t>8</w:t>
      </w:r>
      <w:r>
        <w:rPr>
          <w:color w:val="000000"/>
        </w:rPr>
        <w:t>(8)</w:t>
      </w:r>
      <w:r>
        <w:rPr>
          <w:color w:val="FFFFFF"/>
        </w:rPr>
        <w:t xml:space="preserve"> </w:t>
      </w:r>
      <w:r>
        <w:rPr>
          <w:color w:val="000000"/>
        </w:rPr>
        <w:t>Usklađivanje zdravlja i njegova dostupnost svim Europljanima putem zajedničke zdravstvene politike</w:t>
      </w:r>
    </w:p>
    <w:p>
      <w:pPr>
        <w:pStyle w:val="P68B1DB1Normal41"/>
        <w:widowControl w:val="false"/>
        <w:spacing w:lineRule="auto" w:line="240" w:before="193" w:after="0"/>
        <w:ind w:left="324" w:right="0" w:hanging="0"/>
        <w:jc w:val="left"/>
        <w:rPr/>
      </w:pPr>
      <w:r>
        <w:rPr>
          <w:color w:val="FFFFFF"/>
        </w:rPr>
        <w:t>9</w:t>
      </w:r>
      <w:r>
        <w:rPr>
          <w:color w:val="000000"/>
        </w:rPr>
        <w:t>(9)</w:t>
      </w:r>
      <w:r>
        <w:rPr>
          <w:color w:val="FFFFFF"/>
        </w:rPr>
        <w:t xml:space="preserve"> </w:t>
      </w:r>
      <w:r>
        <w:rPr>
          <w:color w:val="000000"/>
        </w:rPr>
        <w:t>Razvoj i pokusno izvođenje strateških kanala na europskoj razini kako bi se osigurala naša suverenost</w:t>
      </w:r>
    </w:p>
    <w:p>
      <w:pPr>
        <w:pStyle w:val="P68B1DB1Normal41"/>
        <w:widowControl w:val="false"/>
        <w:spacing w:lineRule="auto" w:line="240" w:before="193" w:after="0"/>
        <w:ind w:left="324" w:right="0" w:hanging="0"/>
        <w:jc w:val="left"/>
        <w:rPr/>
      </w:pPr>
      <w:r>
        <w:rPr>
          <w:color w:val="FFFFFF"/>
        </w:rPr>
        <w:t>10</w:t>
      </w:r>
      <w:r>
        <w:rPr>
          <w:color w:val="000000"/>
        </w:rPr>
        <w:t>(10)Poboljšanje zaštite okoliša i ekosustava te stvaranje zaštićenih područja u središtu urbanih, prigradskih i ruralnih područja</w:t>
      </w:r>
    </w:p>
    <w:p>
      <w:pPr>
        <w:pStyle w:val="P68B1DB1Normal41"/>
        <w:widowControl w:val="false"/>
        <w:spacing w:lineRule="auto" w:line="240" w:before="136" w:after="0"/>
        <w:ind w:left="295" w:right="0" w:hanging="0"/>
        <w:jc w:val="left"/>
        <w:rPr/>
      </w:pPr>
      <w:r>
        <w:rPr>
          <w:color w:val="FFFFFF"/>
        </w:rPr>
        <w:t>11</w:t>
      </w:r>
      <w:r>
        <w:rPr>
          <w:color w:val="000000"/>
        </w:rPr>
        <w:t>(11)</w:t>
      </w:r>
      <w:r>
        <w:rPr>
          <w:color w:val="FFFFFF"/>
        </w:rPr>
        <w:t xml:space="preserve"> </w:t>
      </w:r>
      <w:r>
        <w:rPr>
          <w:color w:val="000000"/>
        </w:rPr>
        <w:t>Uspostava europskih releja na državnim područjima radi slušanja i savjetovanja građana</w:t>
      </w:r>
    </w:p>
    <w:p>
      <w:pPr>
        <w:pStyle w:val="P68B1DB1Normal41"/>
        <w:widowControl w:val="false"/>
        <w:spacing w:lineRule="auto" w:line="240" w:before="193" w:after="0"/>
        <w:ind w:left="283" w:right="643" w:hanging="0"/>
        <w:jc w:val="left"/>
        <w:rPr/>
      </w:pPr>
      <w:r>
        <w:rPr>
          <w:color w:val="000000"/>
        </w:rPr>
        <w:t>(12)</w:t>
      </w:r>
      <w:r>
        <w:rPr>
          <w:color w:val="FFFFFF"/>
        </w:rPr>
        <w:t xml:space="preserve"> </w:t>
      </w:r>
      <w:r>
        <w:rPr>
          <w:color w:val="000000"/>
        </w:rPr>
        <w:t>Ujednačiti način izbora za Europski parlament za dvadeset sedam država i poboljšati blizinu građana zamjenom trenutačnog glasovanja jednokratnim glasovanjem na regionalnoj razini</w:t>
      </w:r>
    </w:p>
    <w:p>
      <w:pPr>
        <w:pStyle w:val="P68B1DB1Normal41"/>
        <w:widowControl w:val="false"/>
        <w:spacing w:lineRule="auto" w:line="240" w:before="136" w:after="0"/>
        <w:ind w:left="283" w:right="164" w:hanging="0"/>
        <w:jc w:val="left"/>
        <w:rPr/>
      </w:pPr>
      <w:r>
        <w:rPr>
          <w:color w:val="000000"/>
        </w:rPr>
        <w:t>(13)</w:t>
      </w:r>
      <w:r>
        <w:rPr>
          <w:color w:val="FFFFFF"/>
        </w:rPr>
        <w:t xml:space="preserve"> </w:t>
      </w:r>
      <w:r>
        <w:rPr>
          <w:color w:val="000000"/>
        </w:rPr>
        <w:t>Definiranje zajedničke politike za poboljšanje prihvata te društvene i profesionalne integracije migranata (uključujući nezakonite migrante)</w:t>
      </w:r>
    </w:p>
    <w:p>
      <w:pPr>
        <w:pStyle w:val="P68B1DB1Normal41"/>
        <w:widowControl w:val="false"/>
        <w:spacing w:lineRule="auto" w:line="240" w:before="136" w:after="0"/>
        <w:ind w:left="283" w:right="700" w:hanging="0"/>
        <w:jc w:val="left"/>
        <w:rPr/>
      </w:pPr>
      <w:r>
        <w:rPr>
          <w:color w:val="000000"/>
        </w:rPr>
        <w:t>(14)</w:t>
      </w:r>
      <w:r>
        <w:rPr>
          <w:color w:val="FFFFFF"/>
        </w:rPr>
        <w:t xml:space="preserve"> </w:t>
      </w:r>
      <w:r>
        <w:rPr>
          <w:color w:val="000000"/>
        </w:rPr>
        <w:t>Očuvati posebnosti (oznake hrane, obrtnička proizvodnja, tradicije) različitih europskih regija kako bi se izbjegli ujednačeni životni stilovi i osigurala sljedivost i kvaliteta proizvoda</w:t>
      </w:r>
    </w:p>
    <w:p>
      <w:pPr>
        <w:pStyle w:val="Normal"/>
        <w:spacing w:lineRule="auto" w:line="240"/>
        <w:rPr/>
      </w:pPr>
      <w:r>
        <w:rPr/>
      </w:r>
    </w:p>
    <w:p>
      <w:pPr>
        <w:pStyle w:val="Normal"/>
        <w:rPr/>
      </w:pPr>
      <w:r>
        <w:rPr/>
        <w:t xml:space="preserve">Za svaku prioritetnu promjenu građani dotične skupine dali su definiciju promjene, predložili konkretne mjere koje će se provesti za njezinu provedbu i naveli kriterije za uspjeh do 2035. </w:t>
      </w:r>
    </w:p>
    <w:p>
      <w:pPr>
        <w:pStyle w:val="Normal"/>
        <w:rPr/>
      </w:pPr>
      <w:r>
        <w:rPr/>
      </w:r>
      <w:r>
        <w:br w:type="page"/>
      </w:r>
    </w:p>
    <w:p>
      <w:pPr>
        <w:pStyle w:val="P68B1DB1Normal42"/>
        <w:widowControl w:val="false"/>
        <w:spacing w:lineRule="auto" w:line="240" w:before="237" w:after="0"/>
        <w:ind w:left="0" w:right="0" w:hanging="0"/>
        <w:jc w:val="left"/>
        <w:rPr/>
      </w:pPr>
      <w:r>
        <w:rPr/>
        <w:t xml:space="preserve">Promjena 1 – Razvijte trezvenost energije kako biste manje trošili zaustavljanjem suvišnih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Želja pridružene Europe: Europa posvećena klimatskom i okolišnom izazovu </w:t>
      </w:r>
    </w:p>
    <w:p>
      <w:pPr>
        <w:pStyle w:val="P68B1DB1Normal33"/>
        <w:widowControl w:val="false"/>
        <w:spacing w:lineRule="auto" w:line="240" w:before="323" w:after="0"/>
        <w:ind w:left="0" w:right="0" w:hanging="0"/>
        <w:jc w:val="left"/>
        <w:rPr>
          <w:rFonts w:ascii="Times New Roman" w:hAnsi="Times New Roman"/>
          <w:b/>
          <w:b/>
          <w:color w:val="000000"/>
          <w:sz w:val="24"/>
        </w:rPr>
      </w:pPr>
      <w:r>
        <w:rPr/>
        <w:t xml:space="preserve">Što ta promjena znači? </w:t>
      </w:r>
    </w:p>
    <w:p>
      <w:pPr>
        <w:pStyle w:val="P68B1DB1Normal7"/>
        <w:widowControl w:val="false"/>
        <w:spacing w:lineRule="auto" w:line="240" w:before="76" w:after="0"/>
        <w:ind w:left="0" w:right="0" w:hanging="0"/>
        <w:jc w:val="left"/>
        <w:rPr/>
      </w:pPr>
      <w:r>
        <w:rPr>
          <w:i/>
          <w:color w:val="000000"/>
        </w:rPr>
        <w:t>Ključne riječi: Razvoj obnovljivih izvora energije, smanjenje potrošnje energije</w:t>
      </w:r>
      <w:r>
        <w:rPr>
          <w:b/>
          <w:color w:val="273375"/>
        </w:rPr>
        <w:t xml:space="preserve"> </w:t>
      </w:r>
    </w:p>
    <w:p>
      <w:pPr>
        <w:pStyle w:val="P68B1DB1Normal19"/>
        <w:widowControl w:val="false"/>
        <w:spacing w:lineRule="auto" w:line="240" w:before="248" w:after="0"/>
        <w:ind w:left="0" w:right="9" w:hanging="0"/>
        <w:jc w:val="both"/>
        <w:rPr/>
      </w:pPr>
      <w:r>
        <w:rPr/>
        <w:t xml:space="preserve">Cilj je te promjene potaknuti smanjenje potrošnje energije u Europi i razvoj obnovljivih izvora energije. Davanjem prednosti građanima prenosi se njihova želja da Europu i njezine stanovnike uključe u </w:t>
      </w:r>
      <w:r>
        <w:rPr>
          <w:b/>
        </w:rPr>
        <w:t>odlučan pristup</w:t>
      </w:r>
      <w:r>
        <w:rPr/>
        <w:t xml:space="preserve"> klimatskim i okolišnim izazovima. </w:t>
      </w:r>
    </w:p>
    <w:p>
      <w:pPr>
        <w:pStyle w:val="P68B1DB1Normal33"/>
        <w:widowControl w:val="false"/>
        <w:spacing w:lineRule="auto" w:line="240" w:before="333" w:after="0"/>
        <w:ind w:left="0" w:right="0" w:hanging="0"/>
        <w:jc w:val="left"/>
        <w:rPr>
          <w:rFonts w:ascii="Times New Roman" w:hAnsi="Times New Roman"/>
          <w:b/>
          <w:b/>
          <w:color w:val="000000"/>
          <w:sz w:val="24"/>
        </w:rPr>
      </w:pPr>
      <w:r>
        <w:rPr/>
        <w:t xml:space="preserve">Koji su ključni koraci i kriteriji uspjeha? </w:t>
      </w:r>
    </w:p>
    <w:p>
      <w:pPr>
        <w:pStyle w:val="P68B1DB1Normal19"/>
        <w:widowControl w:val="false"/>
        <w:spacing w:lineRule="auto" w:line="240" w:before="237" w:after="0"/>
        <w:ind w:left="0" w:right="9" w:hanging="0"/>
        <w:jc w:val="both"/>
        <w:rPr/>
      </w:pPr>
      <w:r>
        <w:rPr/>
        <w:t xml:space="preserve">Ta se promjena odražava u razvoju </w:t>
      </w:r>
      <w:r>
        <w:rPr>
          <w:b/>
        </w:rPr>
        <w:t>ambicioznih istraživačkih programa</w:t>
      </w:r>
      <w:r>
        <w:rPr/>
        <w:t xml:space="preserve"> o obnovljivim izvorima energije i </w:t>
      </w:r>
      <w:r>
        <w:rPr>
          <w:b/>
        </w:rPr>
        <w:t>uvođenju europskih investicijskih fondova</w:t>
      </w:r>
      <w:r>
        <w:rPr/>
        <w:t xml:space="preserve"> s izravnim sudjelovanjem u poduzećima u tom sektoru. </w:t>
      </w:r>
    </w:p>
    <w:p>
      <w:pPr>
        <w:pStyle w:val="P68B1DB1Normal19"/>
        <w:widowControl w:val="false"/>
        <w:spacing w:lineRule="auto" w:line="240" w:before="326" w:after="0"/>
        <w:ind w:left="0" w:right="9" w:hanging="0"/>
        <w:jc w:val="both"/>
        <w:rPr/>
      </w:pPr>
      <w:r>
        <w:rPr/>
        <w:t xml:space="preserve">Za građane bi ta promjena bila uspješna kad bi se uspostavili </w:t>
      </w:r>
      <w:r>
        <w:rPr>
          <w:b/>
        </w:rPr>
        <w:t>obvezujući ciljevi potrošnje energije</w:t>
      </w:r>
      <w:r>
        <w:rPr/>
        <w:t xml:space="preserve"> i</w:t>
      </w:r>
      <w:r>
        <w:rPr>
          <w:b/>
        </w:rPr>
        <w:t>ključni pokazatelji trezvenosti</w:t>
      </w:r>
      <w:r>
        <w:rPr/>
        <w:t xml:space="preserve">, kao što su smanjenje europskog voznog parka ili potrošnja mesa. Cilj je i uspješno odrediti </w:t>
      </w:r>
      <w:r>
        <w:rPr>
          <w:b/>
        </w:rPr>
        <w:t>kvote potrošnje po sektorima</w:t>
      </w:r>
      <w:r>
        <w:rPr/>
        <w:t xml:space="preserve"> uzimajući u obzir fluktuacije u potrošnji poduzeća i poštovanje povjerljivosti njihovih podataka. </w:t>
      </w:r>
    </w:p>
    <w:p>
      <w:pPr>
        <w:pStyle w:val="Normal"/>
        <w:spacing w:lineRule="auto" w:line="240"/>
        <w:rPr/>
      </w:pPr>
      <w:r>
        <w:rPr/>
      </w:r>
    </w:p>
    <w:p>
      <w:pPr>
        <w:pStyle w:val="P68B1DB1Normal42"/>
        <w:spacing w:lineRule="auto" w:line="240"/>
        <w:rPr/>
      </w:pPr>
      <w:r>
        <w:rPr/>
        <w:t xml:space="preserve">Izmjena 2. – Jačanje zajedničke obrane i sigurnosti Europske unije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Želja pridružene Europe: Snažna Europa u svijetu </w:t>
      </w:r>
    </w:p>
    <w:p>
      <w:pPr>
        <w:pStyle w:val="P68B1DB1Normal33"/>
        <w:widowControl w:val="false"/>
        <w:spacing w:lineRule="auto" w:line="240" w:before="321" w:after="0"/>
        <w:ind w:left="0" w:right="0" w:hanging="0"/>
        <w:jc w:val="left"/>
        <w:rPr>
          <w:rFonts w:ascii="Times New Roman" w:hAnsi="Times New Roman"/>
          <w:b/>
          <w:b/>
          <w:color w:val="000000"/>
          <w:sz w:val="24"/>
        </w:rPr>
      </w:pPr>
      <w:r>
        <w:rPr/>
        <w:t xml:space="preserve">Što ta promjena znači? </w:t>
      </w:r>
    </w:p>
    <w:p>
      <w:pPr>
        <w:pStyle w:val="P68B1DB1Normal7"/>
        <w:widowControl w:val="false"/>
        <w:spacing w:lineRule="auto" w:line="240" w:before="78" w:after="0"/>
        <w:ind w:left="0" w:right="0" w:hanging="0"/>
        <w:jc w:val="left"/>
        <w:rPr/>
      </w:pPr>
      <w:r>
        <w:rPr>
          <w:i/>
          <w:color w:val="000000"/>
        </w:rPr>
        <w:t>Ključne riječi: Europska vojska, strateška autonomija</w:t>
      </w:r>
      <w:r>
        <w:rPr>
          <w:b/>
          <w:color w:val="273375"/>
        </w:rPr>
        <w:t xml:space="preserve"> </w:t>
      </w:r>
    </w:p>
    <w:p>
      <w:pPr>
        <w:pStyle w:val="P68B1DB1Normal19"/>
        <w:widowControl w:val="false"/>
        <w:spacing w:lineRule="auto" w:line="240" w:before="201" w:after="0"/>
        <w:ind w:left="0" w:right="10" w:hanging="0"/>
        <w:jc w:val="left"/>
        <w:rPr/>
      </w:pPr>
      <w:r>
        <w:rPr/>
        <w:t>Ta je promjena odgovor na jednoglasnu volju građana da postignu</w:t>
      </w:r>
      <w:r>
        <w:rPr>
          <w:b/>
        </w:rPr>
        <w:t>autonomiju</w:t>
      </w:r>
      <w:r>
        <w:rPr/>
        <w:t xml:space="preserve"> u obrani i sigurnosti u Europi kako ne bi ovisili o stranim silama. </w:t>
      </w:r>
    </w:p>
    <w:p>
      <w:pPr>
        <w:pStyle w:val="P68B1DB1Normal33"/>
        <w:widowControl w:val="false"/>
        <w:spacing w:lineRule="auto" w:line="240" w:before="330" w:after="0"/>
        <w:ind w:left="0" w:right="0" w:hanging="0"/>
        <w:jc w:val="left"/>
        <w:rPr>
          <w:rFonts w:ascii="Times New Roman" w:hAnsi="Times New Roman"/>
          <w:b/>
          <w:b/>
          <w:color w:val="000000"/>
          <w:sz w:val="24"/>
        </w:rPr>
      </w:pPr>
      <w:r>
        <w:rPr/>
        <w:t xml:space="preserve">Koji su ključni koraci i kriteriji uspjeha? </w:t>
      </w:r>
    </w:p>
    <w:p>
      <w:pPr>
        <w:pStyle w:val="P68B1DB1Normal19"/>
        <w:widowControl w:val="false"/>
        <w:spacing w:lineRule="auto" w:line="240" w:before="198" w:after="0"/>
        <w:ind w:left="0" w:right="10" w:hanging="0"/>
        <w:jc w:val="left"/>
        <w:rPr/>
      </w:pPr>
      <w:r>
        <w:rPr/>
        <w:t>Uspjeh te promjene doveo bi prije svega do imenovanja</w:t>
      </w:r>
      <w:r>
        <w:rPr>
          <w:b/>
        </w:rPr>
        <w:t xml:space="preserve"> europskog povjerenika</w:t>
      </w:r>
      <w:r>
        <w:rPr/>
        <w:t xml:space="preserve"> za obranu i sigurnost. </w:t>
      </w:r>
    </w:p>
    <w:p>
      <w:pPr>
        <w:pStyle w:val="P68B1DB1Normal19"/>
        <w:widowControl w:val="false"/>
        <w:spacing w:lineRule="auto" w:line="240" w:before="203" w:after="0"/>
        <w:ind w:left="0" w:right="10" w:hanging="0"/>
        <w:jc w:val="both"/>
        <w:rPr/>
      </w:pPr>
      <w:r>
        <w:rPr/>
        <w:t>Kad je riječ o obrani, stvaranje</w:t>
      </w:r>
      <w:r>
        <w:rPr>
          <w:b/>
        </w:rPr>
        <w:t xml:space="preserve"> stalne, reaktivne i projektivne vojske</w:t>
      </w:r>
      <w:r>
        <w:rPr/>
        <w:t xml:space="preserve"> diljem svijeta omogućilo bi Europi da zaštiti svoje granice i intervenira, ako je potrebno, na zahtjev trećih zemalja. </w:t>
      </w:r>
    </w:p>
    <w:p>
      <w:pPr>
        <w:pStyle w:val="P68B1DB1Normal19"/>
        <w:widowControl w:val="false"/>
        <w:spacing w:lineRule="auto" w:line="240" w:before="206" w:after="0"/>
        <w:ind w:left="0" w:right="10" w:hanging="0"/>
        <w:jc w:val="both"/>
        <w:rPr/>
      </w:pPr>
      <w:r>
        <w:rPr/>
        <w:t xml:space="preserve">Kad je riječ o sigurnosti, Europa bi, u očima svojih građana, trebala jamčiti </w:t>
      </w:r>
      <w:r>
        <w:rPr>
          <w:b/>
        </w:rPr>
        <w:t>sigurnost svojih zaliha</w:t>
      </w:r>
      <w:r>
        <w:rPr/>
        <w:t xml:space="preserve"> i štititi svoja </w:t>
      </w:r>
      <w:r>
        <w:rPr>
          <w:b/>
        </w:rPr>
        <w:t>strateška istraživanja</w:t>
      </w:r>
      <w:r>
        <w:rPr/>
        <w:t xml:space="preserve"> u prioritetnim sektorima kao što su svemir, kibersigurnost, zdravstveni sektor i okoliš. Bolja </w:t>
      </w:r>
      <w:r>
        <w:rPr>
          <w:b/>
        </w:rPr>
        <w:t>zaštita vanjskih granica</w:t>
      </w:r>
      <w:r>
        <w:rPr/>
        <w:t xml:space="preserve"> također bi trebala pomoći u zaustavljanju nezakonite imigracije i trgovanja ljudima. </w:t>
      </w:r>
    </w:p>
    <w:p>
      <w:pPr>
        <w:pStyle w:val="Normal"/>
        <w:spacing w:lineRule="auto" w:line="240"/>
        <w:rPr/>
      </w:pPr>
      <w:r>
        <w:rPr/>
      </w:r>
    </w:p>
    <w:p>
      <w:pPr>
        <w:pStyle w:val="P68B1DB1Normal42"/>
        <w:spacing w:lineRule="auto" w:line="240"/>
        <w:rPr/>
      </w:pPr>
      <w:r>
        <w:rPr/>
        <w:t xml:space="preserve">Promjena 3 – Promicanje zajedničkih gospodarskih rezultata s pomoću autonomne, konkurentne i cijenjene industrije Europske unije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Želja pridružene Europe: Europa koja brani svoje interese </w:t>
      </w:r>
    </w:p>
    <w:p>
      <w:pPr>
        <w:pStyle w:val="P68B1DB1Normal33"/>
        <w:widowControl w:val="false"/>
        <w:spacing w:lineRule="auto" w:line="240" w:before="323" w:after="0"/>
        <w:ind w:left="0" w:right="0" w:hanging="0"/>
        <w:jc w:val="left"/>
        <w:rPr>
          <w:rFonts w:ascii="Times New Roman" w:hAnsi="Times New Roman"/>
          <w:b/>
          <w:b/>
          <w:color w:val="000000"/>
          <w:sz w:val="24"/>
        </w:rPr>
      </w:pPr>
      <w:r>
        <w:rPr/>
        <w:t xml:space="preserve">Što ta promjena znači? </w:t>
      </w:r>
    </w:p>
    <w:p>
      <w:pPr>
        <w:pStyle w:val="P68B1DB1Normal44"/>
        <w:widowControl w:val="false"/>
        <w:spacing w:lineRule="auto" w:line="240" w:before="84" w:after="0"/>
        <w:ind w:left="0" w:right="10" w:hanging="0"/>
        <w:jc w:val="left"/>
        <w:rPr>
          <w:rFonts w:ascii="Times New Roman" w:hAnsi="Times New Roman"/>
          <w:i/>
          <w:i/>
          <w:color w:val="000000"/>
          <w:sz w:val="24"/>
        </w:rPr>
      </w:pPr>
      <w:r>
        <w:rPr/>
        <w:t xml:space="preserve">Ključne riječi: </w:t>
      </w:r>
    </w:p>
    <w:p>
      <w:pPr>
        <w:pStyle w:val="P68B1DB1Normal7"/>
        <w:widowControl w:val="false"/>
        <w:spacing w:lineRule="auto" w:line="240"/>
        <w:ind w:left="0" w:right="10" w:hanging="0"/>
        <w:jc w:val="left"/>
        <w:rPr/>
      </w:pPr>
      <w:r>
        <w:rPr>
          <w:i/>
          <w:color w:val="000000"/>
        </w:rPr>
        <w:t>Europska preferencija, zaštita znanja i iskustva, razvoj europskih prvaka</w:t>
      </w:r>
      <w:r>
        <w:rPr>
          <w:b/>
          <w:color w:val="273375"/>
        </w:rPr>
        <w:t xml:space="preserve"> </w:t>
      </w:r>
    </w:p>
    <w:p>
      <w:pPr>
        <w:pStyle w:val="P68B1DB1Normal19"/>
        <w:widowControl w:val="false"/>
        <w:spacing w:lineRule="auto" w:line="240" w:before="321" w:after="0"/>
        <w:ind w:left="0" w:right="10" w:hanging="0"/>
        <w:jc w:val="both"/>
        <w:rPr/>
      </w:pPr>
      <w:r>
        <w:rPr/>
        <w:t xml:space="preserve">Cilj je te promjene postići tri cilja: ojačati politiku </w:t>
      </w:r>
      <w:r>
        <w:rPr>
          <w:b/>
        </w:rPr>
        <w:t>„</w:t>
      </w:r>
      <w:r>
        <w:rPr/>
        <w:t xml:space="preserve"> </w:t>
      </w:r>
      <w:r>
        <w:rPr>
          <w:b/>
        </w:rPr>
        <w:t>europske preferencije”</w:t>
      </w:r>
      <w:r>
        <w:rPr/>
        <w:t xml:space="preserve"> unutar Unije, zajamčiti </w:t>
      </w:r>
      <w:r>
        <w:rPr>
          <w:b/>
        </w:rPr>
        <w:t>zaštitu osnovnih dobara i znanja te</w:t>
      </w:r>
      <w:r>
        <w:rPr/>
        <w:t xml:space="preserve"> stvoriti </w:t>
      </w:r>
      <w:r>
        <w:rPr>
          <w:b/>
        </w:rPr>
        <w:t>„europske prvake”.</w:t>
      </w:r>
      <w:r>
        <w:rPr/>
        <w:t xml:space="preserve"> </w:t>
      </w:r>
    </w:p>
    <w:p>
      <w:pPr>
        <w:pStyle w:val="P68B1DB1Normal33"/>
        <w:widowControl w:val="false"/>
        <w:spacing w:lineRule="auto" w:line="240" w:before="323" w:after="0"/>
        <w:ind w:left="0" w:right="0" w:hanging="0"/>
        <w:jc w:val="left"/>
        <w:rPr>
          <w:rFonts w:ascii="Times New Roman" w:hAnsi="Times New Roman"/>
          <w:b/>
          <w:b/>
          <w:color w:val="000000"/>
          <w:sz w:val="24"/>
        </w:rPr>
      </w:pPr>
      <w:r>
        <w:rPr/>
        <w:t xml:space="preserve">Koji su ključni koraci i kriteriji uspjeha? </w:t>
      </w:r>
    </w:p>
    <w:p>
      <w:pPr>
        <w:pStyle w:val="P68B1DB1Normal19"/>
        <w:widowControl w:val="false"/>
        <w:spacing w:lineRule="auto" w:line="240" w:before="316" w:after="0"/>
        <w:ind w:left="0" w:right="10" w:hanging="0"/>
        <w:jc w:val="both"/>
        <w:rPr/>
      </w:pPr>
      <w:r>
        <w:rPr/>
        <w:t xml:space="preserve">Za postizanje tih ciljeva prije svega potrebna je provedba </w:t>
      </w:r>
      <w:r>
        <w:rPr>
          <w:b/>
        </w:rPr>
        <w:t>politike „europske povlaštenosti”</w:t>
      </w:r>
      <w:r>
        <w:rPr/>
        <w:t xml:space="preserve"> u kontekstu javnih natječaja i uvođenje </w:t>
      </w:r>
      <w:r>
        <w:rPr>
          <w:b/>
        </w:rPr>
        <w:t>poreza na ugljik</w:t>
      </w:r>
      <w:r>
        <w:rPr/>
        <w:t xml:space="preserve"> na uvoz. </w:t>
      </w:r>
    </w:p>
    <w:p>
      <w:pPr>
        <w:pStyle w:val="P68B1DB1Normal19"/>
        <w:widowControl w:val="false"/>
        <w:spacing w:lineRule="auto" w:line="240" w:before="332" w:after="0"/>
        <w:ind w:left="0" w:right="10" w:hanging="0"/>
        <w:jc w:val="left"/>
        <w:rPr/>
      </w:pPr>
      <w:r>
        <w:rPr/>
        <w:t xml:space="preserve">Zaštita znanja i iskustva dovela bi do povećane kontrole inozemnih otkupa i ulaganja te razvoja pomoći za </w:t>
      </w:r>
      <w:r>
        <w:rPr>
          <w:b/>
        </w:rPr>
        <w:t>premještanje</w:t>
      </w:r>
      <w:r>
        <w:rPr/>
        <w:t xml:space="preserve">. </w:t>
      </w:r>
    </w:p>
    <w:p>
      <w:pPr>
        <w:pStyle w:val="P68B1DB1Normal19"/>
        <w:widowControl w:val="false"/>
        <w:spacing w:lineRule="auto" w:line="240" w:before="323" w:after="0"/>
        <w:ind w:left="0" w:right="10" w:hanging="0"/>
        <w:jc w:val="both"/>
        <w:rPr/>
      </w:pPr>
      <w:r>
        <w:rPr/>
        <w:t xml:space="preserve">Naposljetku, stvaranje „europskih predvodnika” uključuje poticanje europskih </w:t>
      </w:r>
      <w:r>
        <w:rPr>
          <w:b/>
        </w:rPr>
        <w:t>industrijskih saveza</w:t>
      </w:r>
      <w:r>
        <w:rPr/>
        <w:t xml:space="preserve"> u strateškim sektorima i poticanje ulaganja javnog poduzetničkog kapitala. </w:t>
      </w:r>
    </w:p>
    <w:p>
      <w:pPr>
        <w:pStyle w:val="P68B1DB1Normal45"/>
        <w:widowControl w:val="false"/>
        <w:spacing w:lineRule="auto" w:line="240" w:before="333" w:after="0"/>
        <w:ind w:left="0" w:right="13" w:hanging="0"/>
        <w:jc w:val="both"/>
        <w:rPr>
          <w:sz w:val="20"/>
        </w:rPr>
      </w:pPr>
      <w:r>
        <w:rPr/>
        <w:t xml:space="preserve">Uspjeh te promjene ostvaruje se za građane razvojem europskih industrijskih saveza u ključnim sektorima, povećanjem broja preseljenja poduzeća i poboljšanjem trgovinske bilance. </w:t>
      </w:r>
    </w:p>
    <w:p>
      <w:pPr>
        <w:pStyle w:val="P68B1DB1Normal19"/>
        <w:widowControl w:val="false"/>
        <w:spacing w:lineRule="auto" w:line="240" w:before="153" w:after="0"/>
        <w:ind w:left="0" w:right="0" w:hanging="0"/>
        <w:jc w:val="left"/>
        <w:rPr>
          <w:rFonts w:ascii="Times New Roman" w:hAnsi="Times New Roman"/>
          <w:color w:val="000000"/>
          <w:sz w:val="24"/>
        </w:rPr>
      </w:pPr>
      <w:r>
        <w:rPr/>
        <w:t xml:space="preserve"> </w:t>
      </w:r>
    </w:p>
    <w:p>
      <w:pPr>
        <w:pStyle w:val="P68B1DB1Normal42"/>
        <w:spacing w:lineRule="auto" w:line="240"/>
        <w:rPr/>
      </w:pPr>
      <w:r>
        <w:rPr/>
        <w:t xml:space="preserve">Promjena 4. – Osnaživanje moći građana na nekoliko razina: sudjelovanje, odlučivanje, kontrola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Želja pridružene Europe: Demokratskija Europa </w:t>
      </w:r>
    </w:p>
    <w:p>
      <w:pPr>
        <w:pStyle w:val="P68B1DB1Normal33"/>
        <w:widowControl w:val="false"/>
        <w:spacing w:lineRule="auto" w:line="240" w:before="323" w:after="0"/>
        <w:ind w:left="0" w:right="0" w:hanging="0"/>
        <w:jc w:val="left"/>
        <w:rPr>
          <w:rFonts w:ascii="Times New Roman" w:hAnsi="Times New Roman"/>
          <w:b/>
          <w:b/>
          <w:color w:val="000000"/>
          <w:sz w:val="24"/>
        </w:rPr>
      </w:pPr>
      <w:r>
        <w:rPr/>
        <w:t xml:space="preserve">Što ta promjena znači? </w:t>
      </w:r>
    </w:p>
    <w:p>
      <w:pPr>
        <w:pStyle w:val="P68B1DB1Normal7"/>
        <w:widowControl w:val="false"/>
        <w:spacing w:lineRule="auto" w:line="240" w:before="84" w:after="0"/>
        <w:ind w:left="0" w:right="10" w:hanging="0"/>
        <w:jc w:val="left"/>
        <w:rPr/>
      </w:pPr>
      <w:r>
        <w:rPr>
          <w:i/>
          <w:color w:val="000000"/>
        </w:rPr>
        <w:t>Ključne riječi: povećanje odaziva birača, europski barometar zadovoljstva, generalizacija savjetovanja s građanima</w:t>
      </w:r>
      <w:r>
        <w:rPr>
          <w:b/>
          <w:color w:val="273375"/>
        </w:rPr>
        <w:t xml:space="preserve"> </w:t>
      </w:r>
    </w:p>
    <w:p>
      <w:pPr>
        <w:pStyle w:val="P68B1DB1Normal19"/>
        <w:widowControl w:val="false"/>
        <w:spacing w:lineRule="auto" w:line="240" w:before="324" w:after="0"/>
        <w:ind w:left="0" w:right="10" w:hanging="0"/>
        <w:jc w:val="both"/>
        <w:rPr/>
      </w:pPr>
      <w:r>
        <w:rPr/>
        <w:t xml:space="preserve">Tom promjenom građani predlažu razvoj „ </w:t>
      </w:r>
      <w:r>
        <w:rPr>
          <w:i/>
        </w:rPr>
        <w:t xml:space="preserve">potpunog iskustva građana” </w:t>
      </w:r>
      <w:r>
        <w:rPr/>
        <w:t>za</w:t>
      </w:r>
      <w:r>
        <w:rPr>
          <w:i/>
        </w:rPr>
        <w:t xml:space="preserve"> </w:t>
      </w:r>
      <w:r>
        <w:rPr/>
        <w:t xml:space="preserve">Europljane, čime će se povećati njihovo </w:t>
      </w:r>
      <w:r>
        <w:rPr>
          <w:b/>
        </w:rPr>
        <w:t>sudjelovanje</w:t>
      </w:r>
      <w:r>
        <w:rPr/>
        <w:t xml:space="preserve"> u svim fazama postupka donošenja odluka. To odražava spremnost građana da </w:t>
      </w:r>
      <w:r>
        <w:rPr>
          <w:b/>
        </w:rPr>
        <w:t>se njihov glas čuje i da</w:t>
      </w:r>
      <w:r>
        <w:rPr/>
        <w:t xml:space="preserve"> utječu na javne politike koje utječu na njihov svakodnevni život. </w:t>
      </w:r>
    </w:p>
    <w:p>
      <w:pPr>
        <w:pStyle w:val="P68B1DB1Normal33"/>
        <w:widowControl w:val="false"/>
        <w:spacing w:lineRule="auto" w:line="240" w:before="330" w:after="0"/>
        <w:ind w:left="0" w:right="0" w:hanging="0"/>
        <w:jc w:val="left"/>
        <w:rPr>
          <w:rFonts w:ascii="Times New Roman" w:hAnsi="Times New Roman"/>
          <w:b/>
          <w:b/>
          <w:color w:val="000000"/>
          <w:sz w:val="24"/>
        </w:rPr>
      </w:pPr>
      <w:r>
        <w:rPr/>
        <w:t xml:space="preserve">Koji su ključni koraci i kriteriji uspjeha? </w:t>
      </w:r>
    </w:p>
    <w:p>
      <w:pPr>
        <w:pStyle w:val="P68B1DB1Normal24"/>
        <w:widowControl w:val="false"/>
        <w:spacing w:lineRule="auto" w:line="240" w:before="323" w:after="0"/>
        <w:ind w:left="0" w:right="13" w:hanging="0"/>
        <w:jc w:val="both"/>
        <w:rPr/>
      </w:pPr>
      <w:r>
        <w:rPr/>
        <w:t>To je uglavnom na građanima da razviju i održavaju inicijative za sudjelovanje građana</w:t>
      </w:r>
      <w:r>
        <w:rPr>
          <w:b/>
        </w:rPr>
        <w:t xml:space="preserve">. </w:t>
      </w:r>
      <w:r>
        <w:rPr/>
        <w:t xml:space="preserve">U tu bi se svrhu moglo primijeniti nekoliko poluga: osnivanje </w:t>
      </w:r>
      <w:r>
        <w:rPr>
          <w:b/>
        </w:rPr>
        <w:t>stalnog savjetodavnog vijeća</w:t>
      </w:r>
      <w:r>
        <w:rPr/>
        <w:t xml:space="preserve">, registraciju </w:t>
      </w:r>
      <w:r>
        <w:rPr>
          <w:b/>
        </w:rPr>
        <w:t>građanskih ovlasti</w:t>
      </w:r>
      <w:r>
        <w:rPr/>
        <w:t xml:space="preserve"> u europskim ugovorima ili stvaranje </w:t>
      </w:r>
      <w:r>
        <w:rPr>
          <w:b/>
        </w:rPr>
        <w:t>oznake</w:t>
      </w:r>
      <w:r>
        <w:rPr/>
        <w:t xml:space="preserve"> kojom se potvrđuju zakoni koji su bili predmet savjetovanja s građanima. </w:t>
      </w:r>
    </w:p>
    <w:p>
      <w:pPr>
        <w:pStyle w:val="P68B1DB1Normal19"/>
        <w:widowControl w:val="false"/>
        <w:spacing w:lineRule="auto" w:line="240" w:before="230" w:after="0"/>
        <w:ind w:left="0" w:right="10" w:hanging="0"/>
        <w:jc w:val="both"/>
        <w:rPr/>
      </w:pPr>
      <w:r>
        <w:rPr/>
        <w:t xml:space="preserve">Uspjeh te promjene očitovao bi se u porastu pokazatelja kao što su </w:t>
      </w:r>
      <w:r>
        <w:rPr>
          <w:b/>
        </w:rPr>
        <w:t>sudjelovanje u izborima, interes</w:t>
      </w:r>
      <w:r>
        <w:rPr/>
        <w:t xml:space="preserve"> i </w:t>
      </w:r>
      <w:r>
        <w:rPr>
          <w:b/>
        </w:rPr>
        <w:t>povjerenje</w:t>
      </w:r>
      <w:r>
        <w:rPr/>
        <w:t xml:space="preserve"> izraženi u Europskoj uniji te </w:t>
      </w:r>
      <w:r>
        <w:rPr>
          <w:b/>
        </w:rPr>
        <w:t>prisutnost europskih internetskih stranica</w:t>
      </w:r>
      <w:r>
        <w:rPr/>
        <w:t xml:space="preserve">. Povećanje broja odluka donesenih nakon savjetovanja s građanima i povećana upotreba </w:t>
      </w:r>
      <w:r>
        <w:rPr>
          <w:b/>
        </w:rPr>
        <w:t>europskih građanskih inicijativa</w:t>
      </w:r>
      <w:r>
        <w:rPr/>
        <w:t xml:space="preserve">također se smatraju pokazateljima uspjeha. </w:t>
      </w:r>
    </w:p>
    <w:p>
      <w:pPr>
        <w:pStyle w:val="P68B1DB1Normal19"/>
        <w:widowControl w:val="false"/>
        <w:spacing w:lineRule="auto" w:line="240" w:before="90" w:after="0"/>
        <w:ind w:left="0" w:right="0" w:hanging="0"/>
        <w:jc w:val="left"/>
        <w:rPr>
          <w:rFonts w:ascii="Times New Roman" w:hAnsi="Times New Roman"/>
          <w:color w:val="000000"/>
          <w:sz w:val="24"/>
        </w:rPr>
      </w:pPr>
      <w:r>
        <w:rPr/>
        <w:t xml:space="preserve"> </w:t>
      </w:r>
    </w:p>
    <w:p>
      <w:pPr>
        <w:pStyle w:val="P68B1DB1Normal42"/>
        <w:spacing w:lineRule="auto" w:line="240"/>
        <w:rPr/>
      </w:pPr>
      <w:r>
        <w:rPr/>
        <w:t xml:space="preserve">Promjena 5 – Ususret savezu europskih država sa snažnim kompetencijama u područjima od zajedničkog interesa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Želja pridružene Europe: Ujedinjenija Europa </w:t>
      </w:r>
    </w:p>
    <w:p>
      <w:pPr>
        <w:pStyle w:val="P68B1DB1Normal33"/>
        <w:widowControl w:val="false"/>
        <w:spacing w:lineRule="auto" w:line="240" w:before="323" w:after="0"/>
        <w:ind w:left="0" w:right="0" w:hanging="0"/>
        <w:jc w:val="left"/>
        <w:rPr>
          <w:rFonts w:ascii="Times New Roman" w:hAnsi="Times New Roman"/>
          <w:b/>
          <w:b/>
          <w:color w:val="000000"/>
          <w:sz w:val="24"/>
        </w:rPr>
      </w:pPr>
      <w:r>
        <w:rPr/>
        <w:t xml:space="preserve">Što ta promjena znači? </w:t>
      </w:r>
    </w:p>
    <w:p>
      <w:pPr>
        <w:pStyle w:val="P68B1DB1Normal7"/>
        <w:widowControl w:val="false"/>
        <w:spacing w:lineRule="auto" w:line="240" w:before="76" w:after="0"/>
        <w:ind w:left="0" w:right="0" w:hanging="0"/>
        <w:jc w:val="left"/>
        <w:rPr/>
      </w:pPr>
      <w:r>
        <w:rPr>
          <w:i/>
          <w:color w:val="000000"/>
        </w:rPr>
        <w:t>Ključne riječi: institucionalno ujedinjenje, novoizabrana predsjednica, jačanje nadležnosti EU-a</w:t>
      </w:r>
      <w:r>
        <w:rPr>
          <w:b/>
          <w:color w:val="273375"/>
        </w:rPr>
        <w:t xml:space="preserve"> </w:t>
      </w:r>
    </w:p>
    <w:p>
      <w:pPr>
        <w:pStyle w:val="P68B1DB1Normal19"/>
        <w:widowControl w:val="false"/>
        <w:spacing w:lineRule="auto" w:line="240" w:before="244" w:after="0"/>
        <w:ind w:left="0" w:right="10" w:hanging="0"/>
        <w:jc w:val="both"/>
        <w:rPr/>
      </w:pPr>
      <w:r>
        <w:rPr/>
        <w:t>Ta promjena odražava ambiciju građana da</w:t>
      </w:r>
      <w:r>
        <w:rPr>
          <w:b/>
        </w:rPr>
        <w:t>ujedine</w:t>
      </w:r>
      <w:r>
        <w:rPr/>
        <w:t xml:space="preserve"> europske političke institucije. Prikazan je model federacije država s ciljem </w:t>
      </w:r>
      <w:r>
        <w:rPr>
          <w:b/>
        </w:rPr>
        <w:t>jačanja zajedničkih ili isključivih nadležnosti</w:t>
      </w:r>
      <w:r>
        <w:rPr/>
        <w:t xml:space="preserve"> Europske unije, bez prelaska na saveznu državu. </w:t>
      </w:r>
    </w:p>
    <w:p>
      <w:pPr>
        <w:pStyle w:val="P68B1DB1Normal33"/>
        <w:widowControl w:val="false"/>
        <w:spacing w:lineRule="auto" w:line="240" w:before="330" w:after="0"/>
        <w:ind w:left="0" w:right="0" w:hanging="0"/>
        <w:jc w:val="left"/>
        <w:rPr>
          <w:rFonts w:ascii="Times New Roman" w:hAnsi="Times New Roman"/>
          <w:b/>
          <w:b/>
          <w:color w:val="000000"/>
          <w:sz w:val="24"/>
        </w:rPr>
      </w:pPr>
      <w:r>
        <w:rPr/>
        <w:t xml:space="preserve">Koji su ključni ciljevi i kriteriji uspješnosti? </w:t>
      </w:r>
    </w:p>
    <w:p>
      <w:pPr>
        <w:pStyle w:val="P68B1DB1Normal19"/>
        <w:widowControl w:val="false"/>
        <w:spacing w:lineRule="auto" w:line="240" w:before="239" w:after="0"/>
        <w:ind w:left="0" w:right="10" w:hanging="0"/>
        <w:jc w:val="both"/>
        <w:rPr/>
      </w:pPr>
      <w:r>
        <w:rPr/>
        <w:t xml:space="preserve">Interno, ta bi promjena mogla uključivati razvoj </w:t>
      </w:r>
      <w:r>
        <w:rPr>
          <w:b/>
        </w:rPr>
        <w:t>sudjelovanja građana</w:t>
      </w:r>
      <w:r>
        <w:rPr/>
        <w:t xml:space="preserve">, osnivanje europskih </w:t>
      </w:r>
      <w:r>
        <w:rPr>
          <w:b/>
        </w:rPr>
        <w:t>ministarstava u državama</w:t>
      </w:r>
      <w:r>
        <w:rPr/>
        <w:t xml:space="preserve"> članicama i, dugoročno,</w:t>
      </w:r>
      <w:r>
        <w:rPr>
          <w:b/>
        </w:rPr>
        <w:t xml:space="preserve">izbor </w:t>
      </w:r>
      <w:r>
        <w:rPr/>
        <w:t xml:space="preserve">predsjednika Europske komisije </w:t>
      </w:r>
      <w:r>
        <w:rPr>
          <w:b/>
        </w:rPr>
        <w:t>općim izborima</w:t>
      </w:r>
      <w:r>
        <w:rPr/>
        <w:t xml:space="preserve">. </w:t>
      </w:r>
    </w:p>
    <w:p>
      <w:pPr>
        <w:pStyle w:val="P68B1DB1Normal19"/>
        <w:widowControl w:val="false"/>
        <w:spacing w:lineRule="auto" w:line="240" w:before="327" w:after="0"/>
        <w:ind w:left="0" w:right="10" w:hanging="0"/>
        <w:jc w:val="left"/>
        <w:rPr/>
      </w:pPr>
      <w:r>
        <w:rPr/>
        <w:t xml:space="preserve">S vanjske strane, jačanje europskog glasa u inozemstvu pretvorilo bi se </w:t>
      </w:r>
      <w:r>
        <w:rPr>
          <w:b/>
        </w:rPr>
        <w:t xml:space="preserve">u </w:t>
      </w:r>
      <w:r>
        <w:rPr/>
        <w:t>inkarnaciju</w:t>
      </w:r>
      <w:r>
        <w:rPr>
          <w:b/>
        </w:rPr>
        <w:t xml:space="preserve"> putem jedinstvenog predstavnika</w:t>
      </w:r>
      <w:r>
        <w:rPr/>
        <w:t xml:space="preserve"> </w:t>
      </w:r>
      <w:r>
        <w:rPr>
          <w:b/>
        </w:rPr>
        <w:t>Europe</w:t>
      </w:r>
      <w:r>
        <w:rPr/>
        <w:t xml:space="preserve"> na međunarodnoj sceni. </w:t>
      </w:r>
    </w:p>
    <w:p>
      <w:pPr>
        <w:pStyle w:val="P68B1DB1Normal24"/>
        <w:widowControl w:val="false"/>
        <w:spacing w:lineRule="auto" w:line="240" w:before="324" w:after="0"/>
        <w:ind w:left="0" w:right="15" w:hanging="0"/>
        <w:jc w:val="left"/>
        <w:rPr/>
      </w:pPr>
      <w:r>
        <w:rPr/>
        <w:t xml:space="preserve">Ta bi federacija država također imala koristi od povećanog </w:t>
      </w:r>
      <w:r>
        <w:rPr>
          <w:b/>
        </w:rPr>
        <w:t>europskog proračuna</w:t>
      </w:r>
      <w:r>
        <w:rPr/>
        <w:t xml:space="preserve">, s ciljem postizanja 10 % BDP-a (u usporedbi s trenutačno 2 %). </w:t>
      </w:r>
    </w:p>
    <w:p>
      <w:pPr>
        <w:pStyle w:val="Normal"/>
        <w:widowControl w:val="false"/>
        <w:spacing w:lineRule="auto" w:line="240" w:before="153" w:after="0"/>
        <w:ind w:left="0" w:right="0" w:hanging="0"/>
        <w:jc w:val="left"/>
        <w:rPr>
          <w:rFonts w:ascii="Times New Roman" w:hAnsi="Times New Roman"/>
          <w:color w:val="000000"/>
          <w:sz w:val="24"/>
        </w:rPr>
      </w:pPr>
      <w:r>
        <w:rPr>
          <w:rFonts w:ascii="Times New Roman" w:hAnsi="Times New Roman"/>
          <w:color w:val="000000"/>
          <w:sz w:val="24"/>
        </w:rPr>
      </w:r>
      <w:r>
        <w:br w:type="page"/>
      </w:r>
    </w:p>
    <w:p>
      <w:pPr>
        <w:pStyle w:val="P68B1DB1Normal42"/>
        <w:spacing w:lineRule="auto" w:line="240"/>
        <w:rPr>
          <w:rFonts w:ascii="Times New Roman" w:hAnsi="Times New Roman"/>
          <w:b/>
          <w:b/>
          <w:color w:val="000000"/>
          <w:sz w:val="28"/>
        </w:rPr>
      </w:pPr>
      <w:r>
        <w:rPr/>
        <w:t xml:space="preserve">Promjena 6 – Predlaganje programa cjeloživotne razmjene </w:t>
      </w:r>
    </w:p>
    <w:p>
      <w:pPr>
        <w:pStyle w:val="P68B1DB1Normal43"/>
        <w:widowControl w:val="false"/>
        <w:spacing w:lineRule="auto" w:line="240" w:before="349" w:after="0"/>
        <w:ind w:left="0" w:right="0" w:hanging="0"/>
        <w:jc w:val="left"/>
        <w:rPr>
          <w:rFonts w:ascii="Times New Roman" w:hAnsi="Times New Roman"/>
          <w:b/>
          <w:b/>
          <w:i/>
          <w:i/>
          <w:color w:val="808080"/>
          <w:sz w:val="24"/>
        </w:rPr>
      </w:pPr>
      <w:r>
        <w:rPr/>
        <w:t xml:space="preserve">Želja pridružene Europe: Europa koja obrazovanje stavlja u prvi plan </w:t>
      </w:r>
    </w:p>
    <w:p>
      <w:pPr>
        <w:pStyle w:val="P68B1DB1Normal33"/>
        <w:widowControl w:val="false"/>
        <w:spacing w:lineRule="auto" w:line="240" w:before="326" w:after="0"/>
        <w:ind w:left="0" w:right="0" w:hanging="0"/>
        <w:jc w:val="left"/>
        <w:rPr>
          <w:rFonts w:ascii="Times New Roman" w:hAnsi="Times New Roman"/>
          <w:b/>
          <w:b/>
          <w:color w:val="000000"/>
          <w:sz w:val="24"/>
        </w:rPr>
      </w:pPr>
      <w:r>
        <w:rPr/>
        <w:t xml:space="preserve">Što ta promjena znači? </w:t>
      </w:r>
    </w:p>
    <w:p>
      <w:pPr>
        <w:pStyle w:val="P68B1DB1Normal44"/>
        <w:widowControl w:val="false"/>
        <w:spacing w:lineRule="auto" w:line="240" w:before="326" w:after="0"/>
        <w:ind w:left="0" w:right="0" w:hanging="0"/>
        <w:jc w:val="left"/>
        <w:rPr>
          <w:rFonts w:ascii="Times New Roman" w:hAnsi="Times New Roman"/>
          <w:i/>
          <w:i/>
          <w:color w:val="000000"/>
          <w:sz w:val="24"/>
        </w:rPr>
      </w:pPr>
      <w:r>
        <w:rPr/>
        <w:t xml:space="preserve">Ključne riječi: školska razmjena, Erasmus </w:t>
      </w:r>
    </w:p>
    <w:p>
      <w:pPr>
        <w:pStyle w:val="P68B1DB1Normal19"/>
        <w:widowControl w:val="false"/>
        <w:spacing w:lineRule="auto" w:line="240" w:before="330" w:after="0"/>
        <w:ind w:left="0" w:right="0" w:hanging="0"/>
        <w:jc w:val="both"/>
        <w:rPr/>
      </w:pPr>
      <w:r>
        <w:rPr/>
        <w:t xml:space="preserve">Ova promjena odražava važnost sastanaka i iskustava u inozemstvu za građane, kao snažan izvor europskog osjećaja. Cilj je prijeći </w:t>
      </w:r>
      <w:r>
        <w:rPr>
          <w:i/>
        </w:rPr>
        <w:t xml:space="preserve">s akademskog znanja na </w:t>
      </w:r>
      <w:r>
        <w:rPr>
          <w:b/>
          <w:i/>
        </w:rPr>
        <w:t>živi, iskusni i osjetljivi pristup</w:t>
      </w:r>
      <w:r>
        <w:rPr>
          <w:i/>
        </w:rPr>
        <w:t>Europi</w:t>
      </w:r>
      <w:r>
        <w:rPr/>
        <w:t xml:space="preserve">te razumjeti obrazovanje u širem smislu kao </w:t>
      </w:r>
      <w:r>
        <w:rPr>
          <w:b/>
        </w:rPr>
        <w:t xml:space="preserve">cjeloživotno učenje. </w:t>
      </w:r>
    </w:p>
    <w:p>
      <w:pPr>
        <w:pStyle w:val="P68B1DB1Normal33"/>
        <w:widowControl w:val="false"/>
        <w:spacing w:lineRule="auto" w:line="240" w:before="323" w:after="0"/>
        <w:ind w:left="0" w:right="0" w:hanging="0"/>
        <w:jc w:val="left"/>
        <w:rPr>
          <w:rFonts w:ascii="Times New Roman" w:hAnsi="Times New Roman"/>
          <w:b/>
          <w:b/>
          <w:color w:val="000000"/>
          <w:sz w:val="24"/>
        </w:rPr>
      </w:pPr>
      <w:r>
        <w:rPr/>
        <w:t xml:space="preserve">Koji su ključni koraci i kriteriji uspjeha? </w:t>
      </w:r>
    </w:p>
    <w:p>
      <w:pPr>
        <w:pStyle w:val="P68B1DB1Normal24"/>
        <w:widowControl w:val="false"/>
        <w:spacing w:lineRule="auto" w:line="240" w:before="317" w:after="0"/>
        <w:ind w:left="0" w:right="4" w:hanging="0"/>
        <w:jc w:val="both"/>
        <w:rPr/>
      </w:pPr>
      <w:r>
        <w:rPr/>
        <w:t xml:space="preserve">Uspjeh takve promjene uglavnom je posljedica uvođenja </w:t>
      </w:r>
      <w:r>
        <w:rPr>
          <w:b/>
        </w:rPr>
        <w:t>ponude proširene mobilnosti,</w:t>
      </w:r>
      <w:r>
        <w:rPr/>
        <w:t xml:space="preserve"> uključujući, među ostalim, školske razmjene, twinning, putovanja i profesionalnu mobilnost. Ta ponuda građanima mora biti dostupna svima, posebno onima s niskim resursima ili invaliditetom. Na primjer, program Erasmus mogao bi obuhvaćati sve Europljane bez dobnih granica ili ograničenja resursa. Ti programi moraju biti osmišljeni kao </w:t>
      </w:r>
      <w:r>
        <w:rPr>
          <w:b/>
        </w:rPr>
        <w:t>raznoliki, uključivi</w:t>
      </w:r>
      <w:r>
        <w:rPr>
          <w:b/>
          <w:sz w:val="20"/>
        </w:rPr>
        <w:t xml:space="preserve"> </w:t>
      </w:r>
      <w:r>
        <w:rPr>
          <w:b/>
        </w:rPr>
        <w:t>i dostupni</w:t>
      </w:r>
      <w:r>
        <w:rPr/>
        <w:t xml:space="preserve"> uz pojednostavljene administrativne postupke. </w:t>
      </w:r>
    </w:p>
    <w:p>
      <w:pPr>
        <w:pStyle w:val="P68B1DB1Normal24"/>
        <w:widowControl w:val="false"/>
        <w:spacing w:lineRule="auto" w:line="240" w:before="232" w:after="0"/>
        <w:ind w:left="0" w:right="3" w:hanging="0"/>
        <w:jc w:val="both"/>
        <w:rPr/>
      </w:pPr>
      <w:r>
        <w:rPr/>
        <w:t xml:space="preserve">Osim mobilnosti, spomenuta je </w:t>
      </w:r>
      <w:r>
        <w:rPr>
          <w:b/>
        </w:rPr>
        <w:t>i važnost razvoja mostova između obrazovnih sustava</w:t>
      </w:r>
      <w:r>
        <w:rPr/>
        <w:t xml:space="preserve"> (jednakovrijednosti diploma itd.) i povećanja privlačnosti Europe kako bi se izbjeglo istjecanje talenata u inozemstvo. </w:t>
      </w:r>
    </w:p>
    <w:p>
      <w:pPr>
        <w:pStyle w:val="P68B1DB1Normal19"/>
        <w:widowControl w:val="false"/>
        <w:spacing w:lineRule="auto" w:line="240" w:before="153" w:after="0"/>
        <w:ind w:left="0" w:right="0" w:hanging="0"/>
        <w:jc w:val="left"/>
        <w:rPr>
          <w:rFonts w:ascii="Times New Roman" w:hAnsi="Times New Roman"/>
          <w:color w:val="000000"/>
          <w:sz w:val="24"/>
        </w:rPr>
      </w:pPr>
      <w:r>
        <w:rPr/>
        <w:t xml:space="preserve"> </w:t>
      </w:r>
    </w:p>
    <w:p>
      <w:pPr>
        <w:pStyle w:val="P68B1DB1Normal42"/>
        <w:spacing w:lineRule="auto" w:line="240"/>
        <w:rPr/>
      </w:pPr>
      <w:r>
        <w:rPr/>
        <w:t xml:space="preserve">Promjena 7 – Razmjena europskih kultura kroz objedinjavanje događaja i događaja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Želja pridružene Europe: Europa sa zajedničkim kulturama i identitetima </w:t>
      </w:r>
    </w:p>
    <w:p>
      <w:pPr>
        <w:pStyle w:val="P68B1DB1Normal33"/>
        <w:widowControl w:val="false"/>
        <w:spacing w:lineRule="auto" w:line="240" w:before="326" w:after="0"/>
        <w:ind w:left="0" w:right="0" w:hanging="0"/>
        <w:jc w:val="left"/>
        <w:rPr>
          <w:rFonts w:ascii="Times New Roman" w:hAnsi="Times New Roman"/>
          <w:b/>
          <w:b/>
          <w:color w:val="000000"/>
          <w:sz w:val="24"/>
        </w:rPr>
      </w:pPr>
      <w:r>
        <w:rPr/>
        <w:t xml:space="preserve">Što ta promjena znači? </w:t>
      </w:r>
    </w:p>
    <w:p>
      <w:pPr>
        <w:pStyle w:val="P68B1DB1Normal44"/>
        <w:widowControl w:val="false"/>
        <w:spacing w:lineRule="auto" w:line="240" w:before="206" w:after="0"/>
        <w:ind w:left="0" w:right="0" w:hanging="0"/>
        <w:jc w:val="left"/>
        <w:rPr>
          <w:rFonts w:ascii="Times New Roman" w:hAnsi="Times New Roman"/>
          <w:i/>
          <w:i/>
          <w:color w:val="000000"/>
          <w:sz w:val="24"/>
        </w:rPr>
      </w:pPr>
      <w:r>
        <w:rPr/>
        <w:t xml:space="preserve">Ključne riječi: Europski festival, Europski javni odmor, Svjetska izložba Europe </w:t>
      </w:r>
    </w:p>
    <w:p>
      <w:pPr>
        <w:pStyle w:val="P68B1DB1Normal19"/>
        <w:widowControl w:val="false"/>
        <w:spacing w:lineRule="auto" w:line="240" w:before="246" w:after="0"/>
        <w:ind w:left="0" w:right="10" w:hanging="0"/>
        <w:jc w:val="left"/>
        <w:rPr/>
      </w:pPr>
      <w:r>
        <w:rPr/>
        <w:t xml:space="preserve">Cilj je </w:t>
      </w:r>
      <w:r>
        <w:rPr>
          <w:b/>
        </w:rPr>
        <w:t>te promjene stvoriti i živjeti europski duh</w:t>
      </w:r>
      <w:r>
        <w:rPr/>
        <w:t xml:space="preserve"> kroz zajednička iskustva, događaje i svečane događaje. </w:t>
      </w:r>
    </w:p>
    <w:p>
      <w:pPr>
        <w:pStyle w:val="P68B1DB1Normal33"/>
        <w:widowControl w:val="false"/>
        <w:spacing w:lineRule="auto" w:line="240" w:before="330" w:after="0"/>
        <w:ind w:left="0" w:right="0" w:hanging="0"/>
        <w:jc w:val="left"/>
        <w:rPr>
          <w:rFonts w:ascii="Times New Roman" w:hAnsi="Times New Roman"/>
          <w:b/>
          <w:b/>
          <w:color w:val="000000"/>
          <w:sz w:val="24"/>
        </w:rPr>
      </w:pPr>
      <w:r>
        <w:rPr/>
        <w:t xml:space="preserve">Koji su ključni koraci i kriteriji uspjeha? </w:t>
      </w:r>
    </w:p>
    <w:p>
      <w:pPr>
        <w:pStyle w:val="P68B1DB1Normal19"/>
        <w:widowControl w:val="false"/>
        <w:spacing w:lineRule="auto" w:line="240" w:before="239" w:after="0"/>
        <w:ind w:left="0" w:right="10" w:hanging="0"/>
        <w:jc w:val="both"/>
        <w:rPr/>
      </w:pPr>
      <w:r>
        <w:rPr/>
        <w:t xml:space="preserve">Događaji koje su zamislili građani namijenjeni su da budu </w:t>
      </w:r>
      <w:r>
        <w:rPr>
          <w:b/>
        </w:rPr>
        <w:t>zabavni, ujedinjujući i popularni</w:t>
      </w:r>
      <w:r>
        <w:rPr/>
        <w:t xml:space="preserve"> kako bi ih podijelio najveći broj. Kako bi se to postiglo, trebalo bi uključiti </w:t>
      </w:r>
      <w:r>
        <w:rPr>
          <w:b/>
        </w:rPr>
        <w:t>svu publiku</w:t>
      </w:r>
      <w:r>
        <w:rPr/>
        <w:t xml:space="preserve"> (uključujući djecu, školsku publiku, mlade i studente programa Erasmus) i održavati se na </w:t>
      </w:r>
      <w:r>
        <w:rPr>
          <w:b/>
        </w:rPr>
        <w:t>različitim mjestima</w:t>
      </w:r>
      <w:r>
        <w:rPr/>
        <w:t xml:space="preserve"> (mirovine, škole, javne uprave, zatvori itd.). </w:t>
      </w:r>
    </w:p>
    <w:p>
      <w:pPr>
        <w:pStyle w:val="P68B1DB1Normal24"/>
        <w:widowControl w:val="false"/>
        <w:spacing w:lineRule="auto" w:line="240" w:before="327" w:after="0"/>
        <w:ind w:left="0" w:right="13" w:hanging="0"/>
        <w:jc w:val="both"/>
        <w:rPr/>
      </w:pPr>
      <w:r>
        <w:rPr/>
        <w:t xml:space="preserve">Konkretno, predviđena su dva događaja kako bi se okupili Europljani: </w:t>
      </w:r>
      <w:r>
        <w:rPr>
          <w:b/>
        </w:rPr>
        <w:t>univerzalna izložba Europe</w:t>
      </w:r>
      <w:r>
        <w:rPr/>
        <w:t xml:space="preserve"> koja bi omogućila predstavljanje svih država članica i </w:t>
      </w:r>
      <w:r>
        <w:rPr>
          <w:b/>
        </w:rPr>
        <w:t>preinačena Dan Europe 9.</w:t>
      </w:r>
      <w:r>
        <w:rPr/>
        <w:t xml:space="preserve">svibnja, koja bi uključivala posebno obrazovni događaj kako </w:t>
      </w:r>
      <w:r>
        <w:rPr>
          <w:i/>
        </w:rPr>
        <w:t>„ne bismo zaboravili mir povezan s Europom i njezinim vrijednostima</w:t>
      </w:r>
      <w:r>
        <w:rPr/>
        <w:t xml:space="preserve">”. Istovremeno, europski predstavnici mogli bi se susresti sa školskom djecom kontinenta u svojim školama kako bi ojačali blizinu i razumijevanje Europe među građanima od rane dobi. </w:t>
      </w:r>
    </w:p>
    <w:p>
      <w:pPr>
        <w:pStyle w:val="P68B1DB1Normal19"/>
        <w:widowControl w:val="false"/>
        <w:spacing w:lineRule="auto" w:line="240" w:before="112" w:after="0"/>
        <w:ind w:left="0" w:right="0" w:hanging="0"/>
        <w:jc w:val="left"/>
        <w:rPr>
          <w:rFonts w:ascii="Times New Roman" w:hAnsi="Times New Roman"/>
          <w:color w:val="000000"/>
          <w:sz w:val="24"/>
        </w:rPr>
      </w:pPr>
      <w:r>
        <w:rPr/>
        <w:t xml:space="preserve"> </w:t>
      </w:r>
    </w:p>
    <w:p>
      <w:pPr>
        <w:pStyle w:val="P68B1DB1Normal42"/>
        <w:spacing w:lineRule="auto" w:line="240"/>
        <w:rPr/>
      </w:pPr>
      <w:r>
        <w:rPr/>
        <w:t xml:space="preserve">Izmjena 8. – Usklađivanje zdravlja i njegova dostupnost svim Europljanima putem zajedničke zdravstvene politike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Želja pridružene Europe: Solidarnost Europa koja štiti </w:t>
      </w:r>
    </w:p>
    <w:p>
      <w:pPr>
        <w:pStyle w:val="P68B1DB1Normal33"/>
        <w:widowControl w:val="false"/>
        <w:spacing w:lineRule="auto" w:line="240" w:before="326" w:after="0"/>
        <w:ind w:left="0" w:right="0" w:hanging="0"/>
        <w:jc w:val="left"/>
        <w:rPr>
          <w:rFonts w:ascii="Times New Roman" w:hAnsi="Times New Roman"/>
          <w:b/>
          <w:b/>
          <w:color w:val="000000"/>
          <w:sz w:val="24"/>
        </w:rPr>
      </w:pPr>
      <w:r>
        <w:rPr/>
        <w:t xml:space="preserve">Što ta promjena znači? </w:t>
      </w:r>
    </w:p>
    <w:p>
      <w:pPr>
        <w:pStyle w:val="P68B1DB1Normal7"/>
        <w:widowControl w:val="false"/>
        <w:spacing w:lineRule="auto" w:line="240" w:before="86" w:after="0"/>
        <w:ind w:left="0" w:right="10" w:hanging="0"/>
        <w:jc w:val="left"/>
        <w:rPr/>
      </w:pPr>
      <w:r>
        <w:rPr>
          <w:i/>
          <w:color w:val="000000"/>
        </w:rPr>
        <w:t>Ključne riječi: univerzalno zdravstveno osiguranje, usklađivanje skrbi, zdravlje kao temeljno pravo</w:t>
      </w:r>
      <w:r>
        <w:rPr>
          <w:b/>
          <w:color w:val="273375"/>
        </w:rPr>
        <w:t xml:space="preserve"> </w:t>
      </w:r>
    </w:p>
    <w:p>
      <w:pPr>
        <w:pStyle w:val="P68B1DB1Normal19"/>
        <w:widowControl w:val="false"/>
        <w:spacing w:lineRule="auto" w:line="240" w:before="248" w:after="0"/>
        <w:ind w:left="0" w:right="10" w:hanging="0"/>
        <w:jc w:val="both"/>
        <w:rPr/>
      </w:pPr>
      <w:r>
        <w:rPr/>
        <w:t xml:space="preserve">Kako bi se svim Europljanima zajamčio pristup zdravstvu i kako bi se odgovorilo </w:t>
      </w:r>
      <w:r>
        <w:rPr>
          <w:i/>
        </w:rPr>
        <w:t>na potrebu za zaštitom i solidarnošću</w:t>
      </w:r>
      <w:r>
        <w:rPr/>
        <w:t xml:space="preserve">, jednoglasno je predložen </w:t>
      </w:r>
      <w:r>
        <w:rPr>
          <w:b/>
        </w:rPr>
        <w:t>nadnacionalni zdravstveni sustav</w:t>
      </w:r>
      <w:r>
        <w:rPr/>
        <w:t xml:space="preserve">. Temeljila bi se na pravednom financiranju među državama članicama i temeljila bi se na najboljim sustavima EU-a. Takva promjena odražava spremnost građana da Europa preuzme aktivniju ulogu u zaštiti svojih stanovnika, posebno u području zdravlja u kojem se dosadašnje mjere smatraju previše plašljivima. </w:t>
      </w:r>
    </w:p>
    <w:p>
      <w:pPr>
        <w:pStyle w:val="P68B1DB1Normal33"/>
        <w:widowControl w:val="false"/>
        <w:spacing w:lineRule="auto" w:line="240" w:before="330" w:after="0"/>
        <w:ind w:left="0" w:right="0" w:hanging="0"/>
        <w:jc w:val="left"/>
        <w:rPr>
          <w:rFonts w:ascii="Times New Roman" w:hAnsi="Times New Roman"/>
          <w:b/>
          <w:b/>
          <w:color w:val="000000"/>
          <w:sz w:val="24"/>
        </w:rPr>
      </w:pPr>
      <w:r>
        <w:rPr/>
        <w:t xml:space="preserve">Koji su ključni koraci i kriteriji uspjeha? </w:t>
      </w:r>
    </w:p>
    <w:p>
      <w:pPr>
        <w:pStyle w:val="P68B1DB1Normal19"/>
        <w:widowControl w:val="false"/>
        <w:spacing w:lineRule="auto" w:line="240" w:before="239" w:after="0"/>
        <w:ind w:left="0" w:right="10" w:hanging="0"/>
        <w:jc w:val="both"/>
        <w:rPr/>
      </w:pPr>
      <w:r>
        <w:rPr/>
        <w:t xml:space="preserve">Kako bi se ta promjena provela, većina je odobrila načelo </w:t>
      </w:r>
      <w:r>
        <w:rPr>
          <w:b/>
        </w:rPr>
        <w:t>univerzalnog europskog socijalnog osiguranja</w:t>
      </w:r>
      <w:r>
        <w:rPr/>
        <w:t xml:space="preserve">. Međutim, o načinima provedbe tog sustava nije bilo moguće odlučiti. Dok se neki zalažu za </w:t>
      </w:r>
      <w:r>
        <w:rPr>
          <w:i/>
        </w:rPr>
        <w:t xml:space="preserve">„centralizaciju podataka koji [europskim] zdravstvenim radnicima omogućuju pristup cjelokupnoj povijesti bolesti”, </w:t>
      </w:r>
      <w:r>
        <w:rPr/>
        <w:t xml:space="preserve">drugi smatraju tu mjeru </w:t>
      </w:r>
      <w:r>
        <w:rPr>
          <w:i/>
        </w:rPr>
        <w:t>„dodatnim oduzimanjem slobode i sustavom kontrole”.</w:t>
      </w:r>
      <w:r>
        <w:rPr/>
        <w:t xml:space="preserve"> </w:t>
      </w:r>
    </w:p>
    <w:p>
      <w:pPr>
        <w:pStyle w:val="P68B1DB1Normal24"/>
        <w:widowControl w:val="false"/>
        <w:spacing w:lineRule="auto" w:line="240" w:before="329" w:after="0"/>
        <w:ind w:left="0" w:right="14" w:hanging="0"/>
        <w:jc w:val="both"/>
        <w:rPr/>
      </w:pPr>
      <w:r>
        <w:rPr>
          <w:b/>
        </w:rPr>
        <w:t xml:space="preserve">Transparentnost </w:t>
      </w:r>
      <w:r>
        <w:rPr/>
        <w:t>i</w:t>
      </w:r>
      <w:r>
        <w:rPr>
          <w:b/>
        </w:rPr>
        <w:t>usklađivanje regulatornih zahtjeva diljem</w:t>
      </w:r>
      <w:r>
        <w:rPr/>
        <w:t xml:space="preserve"> kontinenta, kao i </w:t>
      </w:r>
      <w:r>
        <w:rPr>
          <w:b/>
        </w:rPr>
        <w:t>europski zdravstveni plan, ipak su</w:t>
      </w:r>
      <w:r>
        <w:rPr/>
        <w:t xml:space="preserve"> utvrđeni kao preduvjeti za svaku značajnu preobrazbu. </w:t>
      </w:r>
    </w:p>
    <w:p>
      <w:pPr>
        <w:pStyle w:val="P68B1DB1Normal19"/>
        <w:spacing w:lineRule="auto" w:line="240"/>
        <w:rPr>
          <w:rFonts w:ascii="Times New Roman" w:hAnsi="Times New Roman"/>
          <w:color w:val="000000"/>
          <w:sz w:val="24"/>
        </w:rPr>
      </w:pPr>
      <w:r>
        <w:rPr/>
        <w:t xml:space="preserve"> </w:t>
      </w:r>
    </w:p>
    <w:p>
      <w:pPr>
        <w:pStyle w:val="P68B1DB1Normal42"/>
        <w:widowControl w:val="false"/>
        <w:spacing w:lineRule="auto" w:line="240" w:before="237" w:after="0"/>
        <w:ind w:left="0" w:right="0" w:hanging="0"/>
        <w:jc w:val="left"/>
        <w:rPr/>
      </w:pPr>
      <w:r>
        <w:rPr/>
        <w:t xml:space="preserve">Izmjena 9. – Razvoj i vođenje strateških kanala na europskoj razini kako bi se osigurala naša suverenost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Želja pridružene Europe: Konkurentna i inovativna Europa </w:t>
      </w:r>
    </w:p>
    <w:p>
      <w:pPr>
        <w:pStyle w:val="P68B1DB1Normal33"/>
        <w:widowControl w:val="false"/>
        <w:spacing w:lineRule="auto" w:line="240" w:before="326" w:after="0"/>
        <w:ind w:left="0" w:right="0" w:hanging="0"/>
        <w:jc w:val="left"/>
        <w:rPr>
          <w:rFonts w:ascii="Times New Roman" w:hAnsi="Times New Roman"/>
          <w:b/>
          <w:b/>
          <w:color w:val="000000"/>
          <w:sz w:val="24"/>
        </w:rPr>
      </w:pPr>
      <w:r>
        <w:rPr/>
        <w:t xml:space="preserve">Što ta promjena znači? </w:t>
      </w:r>
    </w:p>
    <w:p>
      <w:pPr>
        <w:pStyle w:val="P68B1DB1Normal7"/>
        <w:widowControl w:val="false"/>
        <w:spacing w:lineRule="auto" w:line="240" w:before="86" w:after="0"/>
        <w:ind w:left="0" w:right="9" w:hanging="0"/>
        <w:jc w:val="left"/>
        <w:rPr/>
      </w:pPr>
      <w:r>
        <w:rPr>
          <w:i/>
          <w:color w:val="000000"/>
        </w:rPr>
        <w:t>Ključne riječi: razvoj europskih predvodnika, kontrola stranih ulaganja, digitalna autonomija i energija</w:t>
      </w:r>
      <w:r>
        <w:rPr>
          <w:b/>
          <w:color w:val="273375"/>
        </w:rPr>
        <w:t xml:space="preserve"> </w:t>
      </w:r>
    </w:p>
    <w:p>
      <w:pPr>
        <w:pStyle w:val="P68B1DB1Normal19"/>
        <w:widowControl w:val="false"/>
        <w:spacing w:lineRule="auto" w:line="240" w:before="248" w:after="0"/>
        <w:ind w:left="0" w:right="9" w:hanging="0"/>
        <w:jc w:val="both"/>
        <w:rPr/>
      </w:pPr>
      <w:r>
        <w:rPr/>
        <w:t xml:space="preserve">Pokusnim strateškim sektorima kao što su zdravstvo, hrana, energetika, digitalna tehnologija, obrana, promet i novi materijali na europskoj razini odgovara se na </w:t>
      </w:r>
      <w:r>
        <w:rPr>
          <w:b/>
        </w:rPr>
        <w:t xml:space="preserve">potrebu za suverenitetom </w:t>
      </w:r>
      <w:r>
        <w:rPr/>
        <w:t>koju su utvrdili građani. Time bi se ograničilo tržišno natjecanje među europskim poduzećima, promicala</w:t>
      </w:r>
      <w:r>
        <w:rPr>
          <w:b/>
        </w:rPr>
        <w:t>pojava europskih prvaka</w:t>
      </w:r>
      <w:r>
        <w:rPr/>
        <w:t xml:space="preserve"> i </w:t>
      </w:r>
      <w:r>
        <w:rPr>
          <w:b/>
        </w:rPr>
        <w:t>reindustrijalizirala Europa</w:t>
      </w:r>
      <w:r>
        <w:rPr/>
        <w:t xml:space="preserve"> s pomoću europskih prednosti. </w:t>
      </w:r>
    </w:p>
    <w:p>
      <w:pPr>
        <w:pStyle w:val="P68B1DB1Normal33"/>
        <w:widowControl w:val="false"/>
        <w:spacing w:lineRule="auto" w:line="240" w:before="325" w:after="0"/>
        <w:ind w:left="0" w:right="0" w:hanging="0"/>
        <w:jc w:val="left"/>
        <w:rPr>
          <w:rFonts w:ascii="Times New Roman" w:hAnsi="Times New Roman"/>
          <w:b/>
          <w:b/>
          <w:color w:val="000000"/>
          <w:sz w:val="24"/>
        </w:rPr>
      </w:pPr>
      <w:r>
        <w:rPr/>
        <w:t xml:space="preserve">Koji su ključni koraci i kriteriji uspjeha? </w:t>
      </w:r>
    </w:p>
    <w:p>
      <w:pPr>
        <w:pStyle w:val="P68B1DB1Normal19"/>
        <w:widowControl w:val="false"/>
        <w:spacing w:lineRule="auto" w:line="240" w:before="237" w:after="0"/>
        <w:ind w:left="0" w:right="9" w:hanging="0"/>
        <w:jc w:val="both"/>
        <w:rPr/>
      </w:pPr>
      <w:r>
        <w:rPr/>
        <w:t xml:space="preserve">Kako bi se postigao taj suverenitet, </w:t>
      </w:r>
      <w:r>
        <w:rPr>
          <w:b/>
        </w:rPr>
        <w:t>europsko tijelo</w:t>
      </w:r>
      <w:r>
        <w:rPr/>
        <w:t xml:space="preserve"> moglo bi biti zaduženo za vođenje tih sektora izdavanjem odobrenja za kupnju europskih poduzeća od strane stranih konkurenata i osiguravanjem da uvezeni proizvodi zadovoljavaju iste standarde kao i proizvodnja EU-a. Srednjoročno bi se</w:t>
      </w:r>
      <w:r>
        <w:rPr>
          <w:b/>
        </w:rPr>
        <w:t xml:space="preserve"> 30 % do 50 %</w:t>
      </w:r>
      <w:r>
        <w:rPr/>
        <w:t xml:space="preserve"> europske potrošnje u tim strateškim sektorima trebalo </w:t>
      </w:r>
      <w:r>
        <w:rPr>
          <w:b/>
        </w:rPr>
        <w:t>proizvoditi na kontinentu</w:t>
      </w:r>
      <w:r>
        <w:rPr/>
        <w:t xml:space="preserve">, a dugoročno do </w:t>
      </w:r>
      <w:r>
        <w:rPr>
          <w:b/>
        </w:rPr>
        <w:t>70 %</w:t>
      </w:r>
      <w:r>
        <w:rPr/>
        <w:t>. Ispunjavanjem tih kriterija osigurala bi se</w:t>
      </w:r>
      <w:r>
        <w:rPr>
          <w:b/>
        </w:rPr>
        <w:t>samodostatnost</w:t>
      </w:r>
      <w:r>
        <w:rPr/>
        <w:t xml:space="preserve"> te</w:t>
      </w:r>
      <w:r>
        <w:rPr>
          <w:b/>
        </w:rPr>
        <w:t xml:space="preserve"> utjecaj</w:t>
      </w:r>
      <w:r>
        <w:rPr/>
        <w:t>, pa čak i</w:t>
      </w:r>
      <w:r>
        <w:rPr>
          <w:b/>
        </w:rPr>
        <w:t xml:space="preserve">izvoz </w:t>
      </w:r>
      <w:r>
        <w:rPr/>
        <w:t xml:space="preserve">europskog industrijskog modela. </w:t>
      </w:r>
    </w:p>
    <w:p>
      <w:pPr>
        <w:pStyle w:val="Normal"/>
        <w:spacing w:lineRule="auto" w:line="240"/>
        <w:rPr/>
      </w:pPr>
      <w:r>
        <w:rPr/>
      </w:r>
    </w:p>
    <w:p>
      <w:pPr>
        <w:pStyle w:val="P68B1DB1Normal42"/>
        <w:spacing w:lineRule="auto" w:line="240"/>
        <w:rPr/>
      </w:pPr>
      <w:r>
        <w:rPr/>
        <w:t xml:space="preserve">Promjena 10 – Poboljšanje zaštite okoliša i ekosustava te stvaranje zaštićenih područja u središtu urbanih, prigradskih i ruralnih područja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Želja pridružene Europe: Europa koja promiče održivi razvoj </w:t>
      </w:r>
    </w:p>
    <w:p>
      <w:pPr>
        <w:pStyle w:val="P68B1DB1Normal33"/>
        <w:widowControl w:val="false"/>
        <w:spacing w:lineRule="auto" w:line="240" w:before="326" w:after="0"/>
        <w:ind w:left="0" w:right="0" w:hanging="0"/>
        <w:jc w:val="left"/>
        <w:rPr>
          <w:rFonts w:ascii="Times New Roman" w:hAnsi="Times New Roman"/>
          <w:b/>
          <w:b/>
          <w:color w:val="000000"/>
          <w:sz w:val="24"/>
        </w:rPr>
      </w:pPr>
      <w:r>
        <w:rPr/>
        <w:t xml:space="preserve">Što ta promjena znači? </w:t>
      </w:r>
    </w:p>
    <w:p>
      <w:pPr>
        <w:pStyle w:val="P68B1DB1Normal7"/>
        <w:widowControl w:val="false"/>
        <w:spacing w:lineRule="auto" w:line="240" w:before="78" w:after="0"/>
        <w:ind w:left="0" w:right="0" w:hanging="0"/>
        <w:jc w:val="left"/>
        <w:rPr/>
      </w:pPr>
      <w:r>
        <w:rPr>
          <w:i/>
          <w:color w:val="000000"/>
        </w:rPr>
        <w:t>Ključne riječi: ekološki prihvatljivija urbanizacija, poštovanje i zaštita tla</w:t>
      </w:r>
      <w:r>
        <w:rPr>
          <w:b/>
          <w:color w:val="273375"/>
        </w:rPr>
        <w:t xml:space="preserve"> </w:t>
      </w:r>
    </w:p>
    <w:p>
      <w:pPr>
        <w:pStyle w:val="P68B1DB1Normal19"/>
        <w:widowControl w:val="false"/>
        <w:spacing w:lineRule="auto" w:line="240" w:before="321" w:after="0"/>
        <w:ind w:left="0" w:right="9" w:hanging="0"/>
        <w:jc w:val="both"/>
        <w:rPr/>
      </w:pPr>
      <w:r>
        <w:rPr/>
        <w:t xml:space="preserve">Cilj je </w:t>
      </w:r>
      <w:r>
        <w:rPr>
          <w:b/>
        </w:rPr>
        <w:t>ograničiti negativan utjecaj urbanizacije na tla</w:t>
      </w:r>
      <w:r>
        <w:rPr/>
        <w:t xml:space="preserve">. Snažnim djelovanjem </w:t>
      </w:r>
      <w:r>
        <w:rPr>
          <w:b/>
        </w:rPr>
        <w:t xml:space="preserve">ograničile bi se katastrofe povezane s </w:t>
      </w:r>
      <w:r>
        <w:rPr/>
        <w:t>uništavanjem tla kao što su odroni tla i</w:t>
      </w:r>
      <w:r>
        <w:rPr>
          <w:b/>
        </w:rPr>
        <w:t>poboljšala kvaliteta života u urbanim područjima</w:t>
      </w:r>
      <w:r>
        <w:rPr/>
        <w:t xml:space="preserve">, posebno sadnjom stabala. </w:t>
      </w:r>
    </w:p>
    <w:p>
      <w:pPr>
        <w:pStyle w:val="P68B1DB1Normal33"/>
        <w:widowControl w:val="false"/>
        <w:spacing w:lineRule="auto" w:line="240" w:before="330" w:after="0"/>
        <w:ind w:left="0" w:right="0" w:hanging="0"/>
        <w:jc w:val="left"/>
        <w:rPr>
          <w:rFonts w:ascii="Times New Roman" w:hAnsi="Times New Roman"/>
          <w:b/>
          <w:b/>
          <w:color w:val="000000"/>
          <w:sz w:val="24"/>
        </w:rPr>
      </w:pPr>
      <w:r>
        <w:rPr/>
        <w:t xml:space="preserve">Koji su ključni koraci i kriteriji uspjeha? </w:t>
      </w:r>
    </w:p>
    <w:p>
      <w:pPr>
        <w:pStyle w:val="P68B1DB1Normal19"/>
        <w:widowControl w:val="false"/>
        <w:spacing w:lineRule="auto" w:line="240" w:before="318" w:after="0"/>
        <w:ind w:left="0" w:right="9" w:hanging="0"/>
        <w:jc w:val="both"/>
        <w:rPr/>
      </w:pPr>
      <w:r>
        <w:rPr/>
        <w:t xml:space="preserve">Predloženo je djelovanje na dvije razine: prvo, kako bi </w:t>
      </w:r>
      <w:r>
        <w:rPr>
          <w:b/>
        </w:rPr>
        <w:t>se preokrenuo trend novih konstrukcija</w:t>
      </w:r>
      <w:r>
        <w:rPr/>
        <w:t xml:space="preserve"> kako bi se smanjila stopa brtvljenja tla i, drugo, </w:t>
      </w:r>
      <w:r>
        <w:rPr>
          <w:b/>
        </w:rPr>
        <w:t>potaknula obnova tla</w:t>
      </w:r>
      <w:r>
        <w:rPr/>
        <w:t xml:space="preserve"> kako bi se „ </w:t>
      </w:r>
      <w:r>
        <w:rPr>
          <w:i/>
        </w:rPr>
        <w:t>povratilo prirodi ono što joj pripada</w:t>
      </w:r>
      <w:r>
        <w:rPr/>
        <w:t xml:space="preserve">”. </w:t>
      </w:r>
    </w:p>
    <w:p>
      <w:pPr>
        <w:pStyle w:val="Normal"/>
        <w:spacing w:lineRule="auto" w:line="240"/>
        <w:rPr/>
      </w:pPr>
      <w:r>
        <w:rPr/>
      </w:r>
    </w:p>
    <w:p>
      <w:pPr>
        <w:pStyle w:val="P68B1DB1Normal42"/>
        <w:spacing w:lineRule="auto" w:line="240"/>
        <w:rPr/>
      </w:pPr>
      <w:r>
        <w:rPr/>
        <w:t xml:space="preserve">Izmjena 11 – Uspostava europskih releja na državnim područjima radi slušanja i savjetovanja građana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Želja pridružene Europe: Bliža i pristupačnija Europa </w:t>
      </w:r>
    </w:p>
    <w:p>
      <w:pPr>
        <w:pStyle w:val="P68B1DB1Normal33"/>
        <w:widowControl w:val="false"/>
        <w:spacing w:lineRule="auto" w:line="240" w:before="326" w:after="0"/>
        <w:ind w:left="0" w:right="0" w:hanging="0"/>
        <w:jc w:val="left"/>
        <w:rPr>
          <w:rFonts w:ascii="Times New Roman" w:hAnsi="Times New Roman"/>
          <w:b/>
          <w:b/>
          <w:color w:val="000000"/>
          <w:sz w:val="24"/>
        </w:rPr>
      </w:pPr>
      <w:r>
        <w:rPr/>
        <w:t xml:space="preserve">Što ta promjena znači? </w:t>
      </w:r>
    </w:p>
    <w:p>
      <w:pPr>
        <w:pStyle w:val="P68B1DB1Normal44"/>
        <w:widowControl w:val="false"/>
        <w:spacing w:lineRule="auto" w:line="240" w:before="326" w:after="0"/>
        <w:ind w:left="0" w:right="0" w:hanging="0"/>
        <w:jc w:val="left"/>
        <w:rPr>
          <w:rFonts w:ascii="Times New Roman" w:hAnsi="Times New Roman"/>
          <w:i/>
          <w:i/>
          <w:color w:val="000000"/>
          <w:sz w:val="24"/>
        </w:rPr>
      </w:pPr>
      <w:r>
        <w:rPr/>
        <w:t xml:space="preserve">Ključne riječi: Kuće Europe, referent Europa lokalne, bolji pristup informacijama </w:t>
      </w:r>
    </w:p>
    <w:p>
      <w:pPr>
        <w:pStyle w:val="P68B1DB1Normal19"/>
        <w:widowControl w:val="false"/>
        <w:spacing w:lineRule="auto" w:line="240" w:before="326" w:after="0"/>
        <w:ind w:left="0" w:right="11" w:hanging="0"/>
        <w:jc w:val="both"/>
        <w:rPr/>
      </w:pPr>
      <w:r>
        <w:rPr/>
        <w:t xml:space="preserve">Cilj je te promjene pružiti konkretne odgovore na </w:t>
      </w:r>
      <w:r>
        <w:rPr>
          <w:b/>
        </w:rPr>
        <w:t>nedostatak utjelovljenja Europske unije</w:t>
      </w:r>
      <w:r>
        <w:rPr/>
        <w:t xml:space="preserve"> u svakodnevnom životu, što su istaknuli mnogi sudionici, te raditi na približavanju Europe i njezinih građana. </w:t>
      </w:r>
    </w:p>
    <w:p>
      <w:pPr>
        <w:pStyle w:val="P68B1DB1Normal33"/>
        <w:widowControl w:val="false"/>
        <w:spacing w:lineRule="auto" w:line="240" w:before="333" w:after="0"/>
        <w:ind w:left="0" w:right="0" w:hanging="0"/>
        <w:jc w:val="left"/>
        <w:rPr>
          <w:rFonts w:ascii="Times New Roman" w:hAnsi="Times New Roman"/>
          <w:b/>
          <w:b/>
          <w:color w:val="000000"/>
          <w:sz w:val="24"/>
        </w:rPr>
      </w:pPr>
      <w:r>
        <w:rPr/>
        <w:t xml:space="preserve">Koji su ključni koraci i kriteriji uspjeha? </w:t>
      </w:r>
    </w:p>
    <w:p>
      <w:pPr>
        <w:pStyle w:val="P68B1DB1Normal24"/>
        <w:widowControl w:val="false"/>
        <w:spacing w:lineRule="auto" w:line="240" w:before="317" w:after="0"/>
        <w:ind w:left="0" w:right="14" w:hanging="0"/>
        <w:jc w:val="both"/>
        <w:rPr/>
      </w:pPr>
      <w:r>
        <w:rPr/>
        <w:t xml:space="preserve">Kako bi se riješila ta udaljenost između EU-a i građana, </w:t>
      </w:r>
      <w:r>
        <w:rPr>
          <w:b/>
        </w:rPr>
        <w:t>u svakoj gradskoj vijećnici mogao bi se imenovati stručni referent</w:t>
      </w:r>
      <w:r>
        <w:rPr/>
        <w:t xml:space="preserve"> s misijom za slušanje i savjetovanje građana. Informacije iz ovog izvješća mogle bi biti društveno-gospodarske, posebno o pristupu europskoj ili informativnoj pomoći, na primjer o ulozi lobista. Pružene informacije bile bi namijenjene široj javnosti i stručnjacima, posebno kako bi se savjetovalo MSP-ove i pomoglo voditeljima projekata da pristupe sredstvima EU-a. Dugoročno gledano, ta bi promjena mogla dovesti do stvaranja </w:t>
      </w:r>
      <w:r>
        <w:rPr>
          <w:b/>
        </w:rPr>
        <w:t>mjesta posvećenih Europi</w:t>
      </w:r>
      <w:r>
        <w:rPr/>
        <w:t xml:space="preserve">, sličnih postojećim kućama u Europi, ali na razini zajednice koja bi omogućila finu teritorijalnu mrežu. </w:t>
      </w:r>
    </w:p>
    <w:p>
      <w:pPr>
        <w:pStyle w:val="P68B1DB1Normal24"/>
        <w:widowControl w:val="false"/>
        <w:spacing w:lineRule="auto" w:line="240" w:before="235" w:after="0"/>
        <w:ind w:left="0" w:right="15" w:hanging="0"/>
        <w:jc w:val="both"/>
        <w:rPr/>
      </w:pPr>
      <w:r>
        <w:rPr/>
        <w:t xml:space="preserve">Uspjeh te promjene bio bi potpun kada bi svaki građanin znao „ </w:t>
      </w:r>
      <w:r>
        <w:rPr>
          <w:i/>
        </w:rPr>
        <w:t>kao očit</w:t>
      </w:r>
      <w:r>
        <w:rPr/>
        <w:t xml:space="preserve">” postojanje te reference i to mjesto resursa posvećenih Europi koje bi pružalo resurse, slušanje, informiranje i savjete. </w:t>
      </w:r>
    </w:p>
    <w:p>
      <w:pPr>
        <w:pStyle w:val="P68B1DB1Normal19"/>
        <w:widowControl w:val="false"/>
        <w:spacing w:lineRule="auto" w:line="240" w:before="153" w:after="0"/>
        <w:ind w:left="0" w:right="0" w:hanging="0"/>
        <w:jc w:val="left"/>
        <w:rPr>
          <w:rFonts w:ascii="Times New Roman" w:hAnsi="Times New Roman"/>
          <w:color w:val="000000"/>
          <w:sz w:val="24"/>
        </w:rPr>
      </w:pPr>
      <w:r>
        <w:rPr/>
        <w:t xml:space="preserve"> </w:t>
      </w:r>
    </w:p>
    <w:p>
      <w:pPr>
        <w:pStyle w:val="P68B1DB1Normal42"/>
        <w:widowControl w:val="false"/>
        <w:spacing w:lineRule="auto" w:line="240" w:before="237" w:after="0"/>
        <w:ind w:left="0" w:right="0" w:hanging="0"/>
        <w:jc w:val="both"/>
        <w:rPr/>
      </w:pPr>
      <w:r>
        <w:rPr/>
        <w:t xml:space="preserve">Izmjena 12. – Ujednačiti način izbora za Europski parlament za 27 država i poboljšati blizinu građana zamjenom trenutačnog glasovanja jednokratnim glasovanjem na regionalnoj razini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Želja pridružene Europe: Europa s učinkovitijim upravljanjem </w:t>
      </w:r>
    </w:p>
    <w:p>
      <w:pPr>
        <w:pStyle w:val="P68B1DB1Normal33"/>
        <w:widowControl w:val="false"/>
        <w:spacing w:lineRule="auto" w:line="240" w:before="328" w:after="0"/>
        <w:ind w:left="0" w:right="0" w:hanging="0"/>
        <w:jc w:val="left"/>
        <w:rPr>
          <w:rFonts w:ascii="Times New Roman" w:hAnsi="Times New Roman"/>
          <w:b/>
          <w:b/>
          <w:color w:val="000000"/>
          <w:sz w:val="24"/>
        </w:rPr>
      </w:pPr>
      <w:r>
        <w:rPr/>
        <w:t xml:space="preserve">Što ta promjena znači? </w:t>
      </w:r>
    </w:p>
    <w:p>
      <w:pPr>
        <w:pStyle w:val="P68B1DB1Normal7"/>
        <w:widowControl w:val="false"/>
        <w:spacing w:lineRule="auto" w:line="240" w:before="76" w:after="0"/>
        <w:ind w:left="0" w:right="0" w:hanging="0"/>
        <w:jc w:val="left"/>
        <w:rPr/>
      </w:pPr>
      <w:r>
        <w:rPr>
          <w:i/>
          <w:color w:val="000000"/>
        </w:rPr>
        <w:t>Ključne riječi: institucionalne promjene, nakon kojih slijedi djelovanje građana tijekom cijelog mandata</w:t>
      </w:r>
      <w:r>
        <w:rPr>
          <w:b/>
          <w:color w:val="273375"/>
        </w:rPr>
        <w:t xml:space="preserve"> </w:t>
      </w:r>
    </w:p>
    <w:p>
      <w:pPr>
        <w:pStyle w:val="P68B1DB1Normal19"/>
        <w:widowControl w:val="false"/>
        <w:spacing w:lineRule="auto" w:line="240" w:before="275" w:after="0"/>
        <w:ind w:left="0" w:right="10" w:hanging="0"/>
        <w:jc w:val="both"/>
        <w:rPr/>
      </w:pPr>
      <w:r>
        <w:rPr/>
        <w:t xml:space="preserve">Ta promjena odražava želju građana da ojačaju </w:t>
      </w:r>
      <w:r>
        <w:rPr>
          <w:b/>
        </w:rPr>
        <w:t>svoju blizinu izabranim</w:t>
      </w:r>
      <w:r>
        <w:rPr/>
        <w:t xml:space="preserve"> dužnosnicima i da prate svoje djelovanje tijekom svog mandata. Njime se odgovara na široko podijeljeno opažanje o nedostatnom prenošenju zabrinutosti građana u konkretne mjere izabranih predstavnika Europskog parlamenta. </w:t>
      </w:r>
    </w:p>
    <w:p>
      <w:pPr>
        <w:pStyle w:val="P68B1DB1Normal33"/>
        <w:widowControl w:val="false"/>
        <w:spacing w:lineRule="auto" w:line="240" w:before="381" w:after="0"/>
        <w:ind w:left="0" w:right="0" w:hanging="0"/>
        <w:jc w:val="left"/>
        <w:rPr>
          <w:rFonts w:ascii="Times New Roman" w:hAnsi="Times New Roman"/>
          <w:b/>
          <w:b/>
          <w:color w:val="000000"/>
          <w:sz w:val="24"/>
        </w:rPr>
      </w:pPr>
      <w:r>
        <w:rPr/>
        <w:t xml:space="preserve">Koji su ključni koraci i kriteriji uspjeha? </w:t>
      </w:r>
    </w:p>
    <w:p>
      <w:pPr>
        <w:pStyle w:val="P68B1DB1Normal19"/>
        <w:widowControl w:val="false"/>
        <w:spacing w:lineRule="auto" w:line="240" w:before="316" w:after="0"/>
        <w:ind w:left="0" w:right="10" w:hanging="0"/>
        <w:jc w:val="both"/>
        <w:rPr/>
      </w:pPr>
      <w:r>
        <w:rPr/>
        <w:t xml:space="preserve">Promjena načina izbora sastojala bi se </w:t>
      </w:r>
      <w:r>
        <w:rPr>
          <w:b/>
        </w:rPr>
        <w:t>od ujedinjenja sustava glasovanja</w:t>
      </w:r>
      <w:r>
        <w:rPr/>
        <w:t xml:space="preserve"> na europskoj razini i prijelaza s nacionalnih na regionalne izborne jedinice, za koje se procjenjuje da će biti moguće do 2035. </w:t>
      </w:r>
    </w:p>
    <w:p>
      <w:pPr>
        <w:pStyle w:val="Normal"/>
        <w:spacing w:lineRule="auto" w:line="240"/>
        <w:rPr/>
      </w:pPr>
      <w:r>
        <w:rPr/>
      </w:r>
    </w:p>
    <w:p>
      <w:pPr>
        <w:pStyle w:val="P68B1DB1Normal42"/>
        <w:spacing w:lineRule="auto" w:line="240"/>
        <w:rPr/>
      </w:pPr>
      <w:r>
        <w:rPr/>
        <w:t xml:space="preserve">Izmjena 13. – Određivanje zajedničke politike za poboljšanje prihvata te društvene i profesionalne integracije migranata (uključujući nezakonite migrante)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Želja pridružene Europe: Europa koja jamči poštovanje temeljnih prava </w:t>
      </w:r>
    </w:p>
    <w:p>
      <w:pPr>
        <w:pStyle w:val="P68B1DB1Normal33"/>
        <w:widowControl w:val="false"/>
        <w:spacing w:lineRule="auto" w:line="240" w:before="328" w:after="0"/>
        <w:ind w:left="0" w:right="0" w:hanging="0"/>
        <w:jc w:val="left"/>
        <w:rPr>
          <w:rFonts w:ascii="Times New Roman" w:hAnsi="Times New Roman"/>
          <w:b/>
          <w:b/>
          <w:color w:val="000000"/>
          <w:sz w:val="24"/>
        </w:rPr>
      </w:pPr>
      <w:r>
        <w:rPr/>
        <w:t xml:space="preserve">Što ta promjena znači? </w:t>
      </w:r>
    </w:p>
    <w:p>
      <w:pPr>
        <w:pStyle w:val="P68B1DB1Normal7"/>
        <w:widowControl w:val="false"/>
        <w:spacing w:lineRule="auto" w:line="240" w:before="76" w:after="0"/>
        <w:ind w:left="0" w:right="0" w:hanging="0"/>
        <w:jc w:val="left"/>
        <w:rPr/>
      </w:pPr>
      <w:r>
        <w:rPr>
          <w:i/>
          <w:color w:val="000000"/>
        </w:rPr>
        <w:t>Ključne riječi: Europski ured za migracije, kojim se osigurava pristojan prihvat u cijeloj Europi</w:t>
      </w:r>
      <w:r>
        <w:rPr>
          <w:b/>
          <w:color w:val="273375"/>
        </w:rPr>
        <w:t xml:space="preserve"> </w:t>
      </w:r>
    </w:p>
    <w:p>
      <w:pPr>
        <w:pStyle w:val="P68B1DB1Normal19"/>
        <w:widowControl w:val="false"/>
        <w:spacing w:lineRule="auto" w:line="240" w:before="248" w:after="0"/>
        <w:ind w:left="0" w:right="10" w:hanging="0"/>
        <w:jc w:val="both"/>
        <w:rPr/>
      </w:pPr>
      <w:r>
        <w:rPr/>
        <w:t xml:space="preserve">Cilj je te promjene poboljšati prihvat migranata unutar Europske unije, što je problem koji su građani jednoglasno prepoznali kao </w:t>
      </w:r>
      <w:r>
        <w:rPr>
          <w:b/>
        </w:rPr>
        <w:t>hitnu situaciju</w:t>
      </w:r>
      <w:r>
        <w:rPr/>
        <w:t xml:space="preserve">. U prekidu s trenutačnom situacijom, čini se da je uspostava </w:t>
      </w:r>
      <w:r>
        <w:rPr>
          <w:b/>
        </w:rPr>
        <w:t>zajedničke, usklađene i solidarne imigracijske politike</w:t>
      </w:r>
      <w:r>
        <w:rPr/>
        <w:t xml:space="preserve"> glavni vektor mira.</w:t>
      </w:r>
      <w:r>
        <w:rPr>
          <w:b/>
        </w:rPr>
        <w:t xml:space="preserve"> </w:t>
      </w:r>
    </w:p>
    <w:p>
      <w:pPr>
        <w:pStyle w:val="P68B1DB1Normal33"/>
        <w:widowControl w:val="false"/>
        <w:spacing w:lineRule="auto" w:line="240" w:before="325" w:after="0"/>
        <w:ind w:left="0" w:right="0" w:hanging="0"/>
        <w:jc w:val="left"/>
        <w:rPr>
          <w:rFonts w:ascii="Times New Roman" w:hAnsi="Times New Roman"/>
          <w:b/>
          <w:b/>
          <w:color w:val="000000"/>
          <w:sz w:val="24"/>
        </w:rPr>
      </w:pPr>
      <w:r>
        <w:rPr/>
        <w:t xml:space="preserve">Koji su ključni koraci i kriteriji uspjeha? </w:t>
      </w:r>
    </w:p>
    <w:p>
      <w:pPr>
        <w:pStyle w:val="P68B1DB1Normal19"/>
        <w:widowControl w:val="false"/>
        <w:spacing w:lineRule="auto" w:line="240" w:before="243" w:after="0"/>
        <w:ind w:left="0" w:right="10" w:hanging="0"/>
        <w:jc w:val="left"/>
        <w:rPr/>
      </w:pPr>
      <w:r>
        <w:rPr/>
        <w:t xml:space="preserve">Uspjeh takve promjene doveo bi do postupne provedbe zajedničke politike prihvata migranata. </w:t>
      </w:r>
    </w:p>
    <w:p>
      <w:pPr>
        <w:pStyle w:val="P68B1DB1Normal19"/>
        <w:widowControl w:val="false"/>
        <w:spacing w:lineRule="auto" w:line="240" w:before="326" w:after="0"/>
        <w:ind w:left="0" w:right="10" w:hanging="0"/>
        <w:jc w:val="both"/>
        <w:rPr/>
      </w:pPr>
      <w:r>
        <w:rPr>
          <w:b/>
        </w:rPr>
        <w:t>Građanska inicijativa</w:t>
      </w:r>
      <w:r>
        <w:rPr/>
        <w:t xml:space="preserve"> trebala bi uputiti predmet Komisiji i srednjoročno omogućiti donošenje </w:t>
      </w:r>
      <w:r>
        <w:rPr>
          <w:b/>
        </w:rPr>
        <w:t>zajedničkog standarda</w:t>
      </w:r>
      <w:r>
        <w:rPr/>
        <w:t xml:space="preserve"> kojim se utvrđuje okvir za prihvat i socijalnu integraciju migranata. Dugoročno bi se taj standard podržao osnivanjem </w:t>
      </w:r>
      <w:r>
        <w:rPr>
          <w:b/>
        </w:rPr>
        <w:t>specijaliziranog europskog ureda za imigraciju</w:t>
      </w:r>
      <w:r>
        <w:rPr/>
        <w:t xml:space="preserve"> i priznavanjem migracijske politike kao nadležnosti Europske unije. </w:t>
      </w:r>
    </w:p>
    <w:p>
      <w:pPr>
        <w:pStyle w:val="Normal"/>
        <w:spacing w:lineRule="auto" w:line="240"/>
        <w:rPr/>
      </w:pPr>
      <w:r>
        <w:rPr/>
      </w:r>
    </w:p>
    <w:p>
      <w:pPr>
        <w:pStyle w:val="P68B1DB1Normal42"/>
        <w:spacing w:lineRule="auto" w:line="240"/>
        <w:rPr/>
      </w:pPr>
      <w:r>
        <w:rPr/>
        <w:t xml:space="preserve">Izmjena 14. – Očuvanje posebnosti (oznake hrane, obrtnička proizvodnja, tradicije) različitih europskih regija kako bi se izbjegao ujednačen način života i osigurala sljedivost i kvaliteta proizvoda </w:t>
      </w:r>
    </w:p>
    <w:p>
      <w:pPr>
        <w:pStyle w:val="P68B1DB1Normal43"/>
        <w:widowControl w:val="false"/>
        <w:spacing w:lineRule="auto" w:line="240" w:before="347" w:after="0"/>
        <w:ind w:left="0" w:right="912" w:hanging="0"/>
        <w:jc w:val="left"/>
        <w:rPr/>
      </w:pPr>
      <w:r>
        <w:rPr/>
        <w:t xml:space="preserve">Želja pridružene Europe: Europa u kojoj prevladavaju interesi svake države </w:t>
      </w:r>
    </w:p>
    <w:p>
      <w:pPr>
        <w:pStyle w:val="P68B1DB1Normal33"/>
        <w:widowControl w:val="false"/>
        <w:spacing w:lineRule="auto" w:line="240" w:before="347" w:after="0"/>
        <w:ind w:left="0" w:right="912" w:hanging="0"/>
        <w:jc w:val="left"/>
        <w:rPr>
          <w:rFonts w:ascii="Times New Roman" w:hAnsi="Times New Roman"/>
          <w:b/>
          <w:b/>
          <w:color w:val="000000"/>
          <w:sz w:val="24"/>
        </w:rPr>
      </w:pPr>
      <w:r>
        <w:rPr/>
        <w:t xml:space="preserve">Što ta promjena znači? </w:t>
      </w:r>
    </w:p>
    <w:p>
      <w:pPr>
        <w:pStyle w:val="P68B1DB1Normal7"/>
        <w:widowControl w:val="false"/>
        <w:spacing w:lineRule="auto" w:line="240" w:before="76" w:after="0"/>
        <w:ind w:left="0" w:right="0" w:hanging="0"/>
        <w:jc w:val="left"/>
        <w:rPr/>
      </w:pPr>
      <w:r>
        <w:rPr>
          <w:i/>
          <w:color w:val="000000"/>
        </w:rPr>
        <w:t>Ključne riječi: Europske oznake kojima se vrednuje raznolikost kultura i tradicija</w:t>
      </w:r>
      <w:r>
        <w:rPr>
          <w:b/>
          <w:color w:val="273375"/>
        </w:rPr>
        <w:t xml:space="preserve"> </w:t>
      </w:r>
    </w:p>
    <w:p>
      <w:pPr>
        <w:pStyle w:val="P68B1DB1Normal19"/>
        <w:widowControl w:val="false"/>
        <w:spacing w:lineRule="auto" w:line="240" w:before="323" w:after="0"/>
        <w:ind w:left="0" w:right="10" w:hanging="0"/>
        <w:jc w:val="both"/>
        <w:rPr/>
      </w:pPr>
      <w:r>
        <w:rPr/>
        <w:t xml:space="preserve">Cilj je te promjene očuvati </w:t>
      </w:r>
      <w:r>
        <w:rPr>
          <w:b/>
        </w:rPr>
        <w:t>raznolikost europskih tradicija i produkcija</w:t>
      </w:r>
      <w:r>
        <w:rPr/>
        <w:t xml:space="preserve"> te</w:t>
      </w:r>
      <w:r>
        <w:rPr>
          <w:b/>
        </w:rPr>
        <w:t xml:space="preserve">izbjeći standardizaciju </w:t>
      </w:r>
      <w:r>
        <w:rPr/>
        <w:t>načina života, koji se često naziva kritikama Europske unije.</w:t>
      </w:r>
      <w:r>
        <w:rPr>
          <w:b/>
        </w:rPr>
        <w:t xml:space="preserve"> </w:t>
      </w:r>
    </w:p>
    <w:p>
      <w:pPr>
        <w:pStyle w:val="P68B1DB1Normal33"/>
        <w:widowControl w:val="false"/>
        <w:spacing w:lineRule="auto" w:line="240" w:before="325" w:after="0"/>
        <w:ind w:left="0" w:right="0" w:hanging="0"/>
        <w:jc w:val="left"/>
        <w:rPr>
          <w:rFonts w:ascii="Times New Roman" w:hAnsi="Times New Roman"/>
          <w:b/>
          <w:b/>
          <w:color w:val="000000"/>
          <w:sz w:val="24"/>
        </w:rPr>
      </w:pPr>
      <w:r>
        <w:rPr/>
        <w:t xml:space="preserve">Koji su ključni koraci i kriteriji uspjeha? </w:t>
      </w:r>
    </w:p>
    <w:p>
      <w:pPr>
        <w:pStyle w:val="P68B1DB1Normal19"/>
        <w:widowControl w:val="false"/>
        <w:spacing w:lineRule="auto" w:line="240" w:before="322" w:after="0"/>
        <w:ind w:left="0" w:right="10" w:hanging="0"/>
        <w:jc w:val="both"/>
        <w:rPr/>
      </w:pPr>
      <w:r>
        <w:rPr/>
        <w:t xml:space="preserve">Glavni je cilj građanima učiniti dostupnijom postojećom bazom podataka s popisom različitih </w:t>
      </w:r>
      <w:r>
        <w:rPr>
          <w:b/>
        </w:rPr>
        <w:t>europskih i nacionalnih oznaka</w:t>
      </w:r>
      <w:r>
        <w:rPr/>
        <w:t xml:space="preserve">. Da biste to učinili, predlaže se stvaranje web </w:t>
      </w:r>
      <w:r>
        <w:rPr>
          <w:i/>
        </w:rPr>
        <w:t>-mjesta „tri klika”</w:t>
      </w:r>
      <w:r>
        <w:rPr/>
        <w:t xml:space="preserve">: jedan klik za pristup web-mjestu, drugi za prikaz karte regija Europske unije i jedan za prikaz opisa oznaka svake regije. </w:t>
      </w:r>
    </w:p>
    <w:p>
      <w:pPr>
        <w:pStyle w:val="Normal"/>
        <w:widowControl w:val="false"/>
        <w:spacing w:lineRule="auto" w:line="240" w:before="327" w:after="0"/>
        <w:ind w:left="0" w:right="14" w:hanging="0"/>
        <w:jc w:val="left"/>
        <w:rPr/>
      </w:pPr>
      <w:r>
        <w:rPr>
          <w:rFonts w:ascii="Times New Roman" w:hAnsi="Times New Roman"/>
          <w:color w:val="000000"/>
        </w:rPr>
        <w:t xml:space="preserve">Uspjeh te promjene sastojao bi se od poboljšane </w:t>
      </w:r>
      <w:r>
        <w:rPr>
          <w:rFonts w:ascii="Times New Roman" w:hAnsi="Times New Roman"/>
          <w:b/>
          <w:color w:val="000000"/>
        </w:rPr>
        <w:t>komunikacije</w:t>
      </w:r>
      <w:r>
        <w:rPr>
          <w:rFonts w:ascii="Times New Roman" w:hAnsi="Times New Roman"/>
          <w:color w:val="000000"/>
        </w:rPr>
        <w:t xml:space="preserve"> o postojećim postignućima, što bi dovelo do boljeg </w:t>
      </w:r>
      <w:r>
        <w:rPr>
          <w:rFonts w:ascii="Times New Roman" w:hAnsi="Times New Roman"/>
          <w:b/>
          <w:color w:val="000000"/>
        </w:rPr>
        <w:t>razumijevanja</w:t>
      </w:r>
      <w:r>
        <w:rPr>
          <w:rFonts w:ascii="Times New Roman" w:hAnsi="Times New Roman"/>
          <w:color w:val="000000"/>
        </w:rPr>
        <w:t xml:space="preserve"> raznolikosti europskih kultura od strane građana.</w:t>
      </w:r>
      <w:r>
        <w:rPr>
          <w:rFonts w:ascii="Times New Roman" w:hAnsi="Times New Roman"/>
          <w:b/>
          <w:color w:val="273375"/>
        </w:rPr>
        <w:t xml:space="preserve"> </w:t>
      </w:r>
      <w:r>
        <w:br w:type="page"/>
      </w:r>
    </w:p>
    <w:p>
      <w:pPr>
        <w:pStyle w:val="Titre2"/>
        <w:numPr>
          <w:ilvl w:val="1"/>
          <w:numId w:val="2"/>
        </w:numPr>
        <w:rPr/>
      </w:pPr>
      <w:bookmarkStart w:id="212" w:name="__RefHeading___Toc297351_1346298689"/>
      <w:bookmarkEnd w:id="212"/>
      <w:r>
        <w:rPr/>
        <w:t>Drugi dio: predstavljanje rezultata savjetovanja „Riječi mladima”</w:t>
      </w:r>
      <w:r>
        <w:rPr>
          <w:rFonts w:ascii="Times New Roman" w:hAnsi="Times New Roman"/>
          <w:color w:val="000070"/>
          <w:sz w:val="30"/>
        </w:rPr>
        <w:t xml:space="preserve"> </w:t>
      </w:r>
    </w:p>
    <w:p>
      <w:pPr>
        <w:pStyle w:val="P68B1DB1Normal46"/>
        <w:widowControl w:val="false"/>
        <w:spacing w:lineRule="auto" w:line="240" w:before="34" w:after="0"/>
        <w:ind w:left="0" w:right="0" w:hanging="0"/>
        <w:jc w:val="center"/>
        <w:rPr>
          <w:rFonts w:ascii="Times New Roman" w:hAnsi="Times New Roman"/>
          <w:b/>
          <w:b/>
          <w:color w:val="F79646"/>
          <w:sz w:val="24"/>
        </w:rPr>
      </w:pPr>
      <w:r>
        <w:rPr/>
        <w:t xml:space="preserve">Datumi savjetovanja </w:t>
      </w:r>
    </w:p>
    <w:p>
      <w:pPr>
        <w:pStyle w:val="P68B1DB1Normal19"/>
        <w:widowControl w:val="false"/>
        <w:spacing w:lineRule="auto" w:line="240" w:before="34" w:after="0"/>
        <w:ind w:left="0" w:right="0" w:hanging="0"/>
        <w:jc w:val="center"/>
        <w:rPr/>
      </w:pPr>
      <w:r>
        <w:rPr/>
        <w:t>od 9. svibnja 2021. do 18. srpnja 2021.</w:t>
      </w:r>
      <w:r>
        <w:rPr>
          <w:b/>
        </w:rPr>
        <w:t xml:space="preserve"> </w:t>
      </w:r>
    </w:p>
    <w:p>
      <w:pPr>
        <w:pStyle w:val="P68B1DB1Normal47"/>
        <w:widowControl w:val="false"/>
        <w:spacing w:lineRule="auto" w:line="240" w:before="102" w:after="0"/>
        <w:ind w:left="0" w:right="0" w:hanging="0"/>
        <w:jc w:val="center"/>
        <w:rPr>
          <w:rFonts w:ascii="Times New Roman" w:hAnsi="Times New Roman"/>
          <w:b/>
          <w:b/>
          <w:color w:val="1F497D"/>
          <w:sz w:val="12"/>
        </w:rPr>
      </w:pPr>
      <w:r>
        <w:rPr/>
        <w:t xml:space="preserve"> </w:t>
      </w:r>
    </w:p>
    <w:p>
      <w:pPr>
        <w:pStyle w:val="P68B1DB1Normal48"/>
        <w:widowControl w:val="false"/>
        <w:spacing w:lineRule="auto" w:line="240" w:before="26" w:after="0"/>
        <w:ind w:left="0" w:right="0" w:hanging="0"/>
        <w:jc w:val="center"/>
        <w:rPr/>
      </w:pPr>
      <w:r>
        <w:rPr>
          <w:b/>
        </w:rPr>
        <w:t>Podaci o sudjelovanju</w:t>
      </w:r>
      <w:r>
        <w:rPr/>
        <w:t xml:space="preserve"> </w:t>
      </w:r>
    </w:p>
    <w:p>
      <w:pPr>
        <w:pStyle w:val="P68B1DB1Normal19"/>
        <w:widowControl w:val="false"/>
        <w:spacing w:lineRule="auto" w:line="240" w:before="26" w:after="0"/>
        <w:ind w:left="0" w:right="0" w:hanging="0"/>
        <w:jc w:val="center"/>
        <w:rPr>
          <w:rFonts w:ascii="Times New Roman" w:hAnsi="Times New Roman"/>
          <w:color w:val="000000"/>
          <w:sz w:val="24"/>
        </w:rPr>
      </w:pPr>
      <w:r>
        <w:rPr/>
        <w:t xml:space="preserve">50 008 sudionika </w:t>
      </w:r>
    </w:p>
    <w:p>
      <w:pPr>
        <w:pStyle w:val="P68B1DB1Normal19"/>
        <w:widowControl w:val="false"/>
        <w:spacing w:lineRule="auto" w:line="240" w:before="92" w:after="0"/>
        <w:ind w:left="0" w:right="0" w:hanging="0"/>
        <w:jc w:val="center"/>
        <w:rPr>
          <w:rFonts w:ascii="Times New Roman" w:hAnsi="Times New Roman"/>
          <w:color w:val="000000"/>
          <w:sz w:val="24"/>
        </w:rPr>
      </w:pPr>
      <w:r>
        <w:rPr/>
        <w:t xml:space="preserve">2 918 prijedloga </w:t>
      </w:r>
    </w:p>
    <w:p>
      <w:pPr>
        <w:pStyle w:val="P68B1DB1Normal19"/>
        <w:widowControl w:val="false"/>
        <w:spacing w:lineRule="auto" w:line="240" w:before="90" w:after="0"/>
        <w:ind w:left="0" w:right="0" w:hanging="0"/>
        <w:jc w:val="center"/>
        <w:rPr>
          <w:rFonts w:ascii="Times New Roman" w:hAnsi="Times New Roman"/>
          <w:color w:val="000000"/>
          <w:sz w:val="24"/>
        </w:rPr>
      </w:pPr>
      <w:r>
        <w:rPr/>
        <w:t xml:space="preserve">338 330 glasova </w:t>
      </w:r>
    </w:p>
    <w:p>
      <w:pPr>
        <w:pStyle w:val="P68B1DB1Normal49"/>
        <w:widowControl w:val="false"/>
        <w:spacing w:lineRule="auto" w:line="240" w:before="106" w:after="0"/>
        <w:ind w:left="4819" w:right="0" w:hanging="0"/>
        <w:jc w:val="left"/>
        <w:rPr>
          <w:rFonts w:ascii="Times New Roman" w:hAnsi="Times New Roman"/>
          <w:color w:val="000000"/>
          <w:sz w:val="12"/>
        </w:rPr>
      </w:pPr>
      <w:r>
        <w:rPr/>
        <w:t xml:space="preserve"> </w:t>
      </w:r>
    </w:p>
    <w:p>
      <w:pPr>
        <w:pStyle w:val="P68B1DB1Normal50"/>
        <w:widowControl w:val="false"/>
        <w:spacing w:lineRule="auto" w:line="240" w:before="30" w:after="0"/>
        <w:ind w:left="0" w:right="28" w:hanging="0"/>
        <w:jc w:val="both"/>
        <w:rPr/>
      </w:pPr>
      <w:r>
        <w:rPr/>
        <w:t xml:space="preserve">Savjetovanje „Walk to Youth” pokrenuto je na inicijativu Državnog tajništva za europske poslove. Savjetovanje se odvija u kontekstu Konferencije o budućnosti Europe, dosad nezabilježene participativne demokracije koju vode europske institucije, čiji je cilj omogućiti svim europskim građanima da izraze svoja stajališta o tome što očekuju od Europske unije. Pouke iz savjetovanja uzet će se u obzir tijekom rada Konferencije o budućnosti Europe i francuskog predsjedanja Vijećem Europske unije. </w:t>
      </w:r>
    </w:p>
    <w:p>
      <w:pPr>
        <w:pStyle w:val="P68B1DB1Normal51"/>
        <w:widowControl w:val="false"/>
        <w:spacing w:lineRule="auto" w:line="240" w:before="210" w:after="0"/>
        <w:ind w:left="0" w:right="0" w:hanging="0"/>
        <w:jc w:val="left"/>
        <w:rPr>
          <w:rFonts w:ascii="Times New Roman" w:hAnsi="Times New Roman"/>
          <w:b/>
          <w:b/>
          <w:color w:val="222222"/>
          <w:sz w:val="24"/>
        </w:rPr>
      </w:pPr>
      <w:r>
        <w:rPr/>
        <w:t xml:space="preserve">4 glavne lekcije </w:t>
      </w:r>
    </w:p>
    <w:p>
      <w:pPr>
        <w:pStyle w:val="P68B1DB1Normal34"/>
        <w:widowControl w:val="false"/>
        <w:spacing w:lineRule="auto" w:line="240" w:before="78" w:after="0"/>
        <w:ind w:left="360" w:right="0" w:hanging="0"/>
        <w:jc w:val="left"/>
        <w:rPr/>
      </w:pPr>
      <w:r>
        <w:rPr>
          <w:rFonts w:ascii="Times New Roman" w:hAnsi="Times New Roman"/>
        </w:rPr>
        <w:t>1.</w:t>
      </w:r>
      <w:r>
        <w:rPr/>
        <w:t xml:space="preserve"> </w:t>
      </w:r>
      <w:r>
        <w:rPr>
          <w:rFonts w:ascii="Times New Roman" w:hAnsi="Times New Roman"/>
        </w:rPr>
        <w:t>Masovna mobilizacija mladih: više od</w:t>
      </w:r>
      <w:r>
        <w:rPr>
          <w:rFonts w:ascii="Times New Roman" w:hAnsi="Times New Roman"/>
          <w:b/>
        </w:rPr>
        <w:t xml:space="preserve"> 50 000 mladih francuskih građana sudjelovalo </w:t>
      </w:r>
      <w:r>
        <w:rPr>
          <w:rFonts w:ascii="Times New Roman" w:hAnsi="Times New Roman"/>
        </w:rPr>
        <w:t xml:space="preserve">je u savjetovanju na svim područjima. </w:t>
      </w:r>
    </w:p>
    <w:p>
      <w:pPr>
        <w:pStyle w:val="P68B1DB1Normal34"/>
        <w:widowControl w:val="false"/>
        <w:spacing w:lineRule="auto" w:line="240" w:before="86" w:after="0"/>
        <w:ind w:left="360" w:right="0" w:hanging="0"/>
        <w:jc w:val="left"/>
        <w:rPr/>
      </w:pPr>
      <w:r>
        <w:rPr>
          <w:rFonts w:ascii="Times New Roman" w:hAnsi="Times New Roman"/>
        </w:rPr>
        <w:t>2.</w:t>
      </w:r>
      <w:r>
        <w:rPr/>
        <w:t xml:space="preserve"> </w:t>
      </w:r>
      <w:r>
        <w:rPr>
          <w:rFonts w:ascii="Times New Roman" w:hAnsi="Times New Roman"/>
        </w:rPr>
        <w:t xml:space="preserve"> Najvažniji konsenzus </w:t>
      </w:r>
      <w:r>
        <w:rPr>
          <w:rFonts w:ascii="Times New Roman" w:hAnsi="Times New Roman"/>
          <w:b/>
        </w:rPr>
        <w:t>odnosi se na europske politike za borbu protiv klimatskih promjena, premještanje  proizvodnje u Europu, revitalizaciju europske demokracije, težinu EU-a u svijetu (gospodarstvo, istraživanje, ljudska prava, diplomacija).</w:t>
      </w:r>
    </w:p>
    <w:p>
      <w:pPr>
        <w:pStyle w:val="Normal"/>
        <w:spacing w:lineRule="auto" w:line="240"/>
        <w:rPr>
          <w:rFonts w:ascii="Times New Roman" w:hAnsi="Times New Roman"/>
          <w:color w:val="000000"/>
          <w:sz w:val="24"/>
        </w:rPr>
      </w:pPr>
      <w:r>
        <w:rPr>
          <w:rFonts w:ascii="Times New Roman" w:hAnsi="Times New Roman"/>
          <w:color w:val="000000"/>
          <w:sz w:val="24"/>
        </w:rPr>
      </w:r>
    </w:p>
    <w:p>
      <w:pPr>
        <w:pStyle w:val="P68B1DB1Normal34"/>
        <w:widowControl w:val="false"/>
        <w:spacing w:lineRule="auto" w:line="240" w:before="88" w:after="0"/>
        <w:ind w:left="360" w:right="0" w:hanging="0"/>
        <w:jc w:val="left"/>
        <w:rPr/>
      </w:pPr>
      <w:r>
        <w:rPr>
          <w:rFonts w:ascii="Times New Roman" w:hAnsi="Times New Roman"/>
        </w:rPr>
        <w:t>3.</w:t>
      </w:r>
      <w:r>
        <w:rPr/>
        <w:t xml:space="preserve"> </w:t>
      </w:r>
      <w:r>
        <w:rPr>
          <w:rFonts w:ascii="Times New Roman" w:hAnsi="Times New Roman"/>
          <w:b/>
        </w:rPr>
        <w:t>Ideja snažnije i ujedinjenije Europe prolazi kroz cijelo savjetovanje i</w:t>
      </w:r>
      <w:r>
        <w:rPr>
          <w:rFonts w:ascii="Times New Roman" w:hAnsi="Times New Roman"/>
        </w:rPr>
        <w:t xml:space="preserve"> postiže konsenzus o nekoliko točaka: </w:t>
      </w:r>
    </w:p>
    <w:p>
      <w:pPr>
        <w:pStyle w:val="P68B1DB1Normal34"/>
        <w:widowControl w:val="false"/>
        <w:spacing w:lineRule="auto" w:line="240" w:before="92" w:after="0"/>
        <w:ind w:left="360" w:right="0" w:hanging="0"/>
        <w:jc w:val="left"/>
        <w:rPr/>
      </w:pPr>
      <w:r>
        <w:rPr>
          <w:rFonts w:ascii="Times New Roman" w:hAnsi="Times New Roman"/>
        </w:rPr>
        <w:t>Gospodarski</w:t>
      </w:r>
      <w:r>
        <w:rPr/>
        <w:t xml:space="preserve"> </w:t>
      </w:r>
      <w:r>
        <w:rPr>
          <w:rFonts w:ascii="Times New Roman" w:hAnsi="Times New Roman"/>
        </w:rPr>
        <w:t xml:space="preserve">snažnija Europa (posebno premještanjem) kako bi se mogla nositi s Kinom ili Sjedinjenim Američkim Državama </w:t>
      </w:r>
    </w:p>
    <w:p>
      <w:pPr>
        <w:pStyle w:val="P68B1DB1Normal34"/>
        <w:widowControl w:val="false"/>
        <w:spacing w:lineRule="auto" w:line="240" w:before="92" w:after="0"/>
        <w:ind w:left="360" w:right="0" w:hanging="0"/>
        <w:jc w:val="left"/>
        <w:rPr/>
      </w:pPr>
      <w:r>
        <w:rPr>
          <w:rFonts w:ascii="Times New Roman" w:hAnsi="Times New Roman"/>
        </w:rPr>
        <w:t>Diplomatska</w:t>
      </w:r>
      <w:r>
        <w:rPr/>
        <w:t xml:space="preserve"> </w:t>
      </w:r>
      <w:r>
        <w:rPr>
          <w:rFonts w:ascii="Times New Roman" w:hAnsi="Times New Roman"/>
        </w:rPr>
        <w:t xml:space="preserve">Europa koja teži više na međunarodnoj sceni </w:t>
      </w:r>
    </w:p>
    <w:p>
      <w:pPr>
        <w:pStyle w:val="P68B1DB1Normal34"/>
        <w:widowControl w:val="false"/>
        <w:spacing w:lineRule="auto" w:line="240" w:before="85" w:after="0"/>
        <w:ind w:left="360" w:right="1483" w:hanging="0"/>
        <w:jc w:val="left"/>
        <w:rPr/>
      </w:pPr>
      <w:r>
        <w:rPr>
          <w:rFonts w:ascii="Times New Roman" w:hAnsi="Times New Roman"/>
        </w:rPr>
        <w:t>Europa</w:t>
      </w:r>
      <w:r>
        <w:rPr/>
        <w:t xml:space="preserve"> </w:t>
      </w:r>
      <w:r>
        <w:rPr>
          <w:rFonts w:ascii="Times New Roman" w:hAnsi="Times New Roman"/>
        </w:rPr>
        <w:t>predvodnik u borbi protiv klimatskih promjena u svijetu</w:t>
      </w:r>
    </w:p>
    <w:p>
      <w:pPr>
        <w:pStyle w:val="P68B1DB1Normal34"/>
        <w:widowControl w:val="false"/>
        <w:spacing w:lineRule="auto" w:line="240" w:before="85" w:after="0"/>
        <w:ind w:left="360" w:right="1483" w:hanging="0"/>
        <w:jc w:val="left"/>
        <w:rPr/>
      </w:pPr>
      <w:r>
        <w:rPr>
          <w:rFonts w:ascii="Times New Roman" w:hAnsi="Times New Roman"/>
        </w:rPr>
        <w:t>—</w:t>
      </w:r>
      <w:r>
        <w:rPr/>
        <w:t xml:space="preserve"> </w:t>
      </w:r>
      <w:r>
        <w:rPr>
          <w:rFonts w:ascii="Times New Roman" w:hAnsi="Times New Roman"/>
        </w:rPr>
        <w:t xml:space="preserve">Europa koju su okupili njezini mladi </w:t>
      </w:r>
    </w:p>
    <w:p>
      <w:pPr>
        <w:pStyle w:val="P68B1DB1Normal34"/>
        <w:widowControl w:val="false"/>
        <w:spacing w:lineRule="auto" w:line="240" w:before="85" w:after="0"/>
        <w:ind w:left="360" w:right="0" w:hanging="0"/>
        <w:jc w:val="left"/>
        <w:rPr/>
      </w:pPr>
      <w:r>
        <w:rPr>
          <w:rFonts w:ascii="Times New Roman" w:hAnsi="Times New Roman"/>
        </w:rPr>
        <w:t>Ujedinjena</w:t>
      </w:r>
      <w:r>
        <w:rPr/>
        <w:t xml:space="preserve"> </w:t>
      </w:r>
      <w:r>
        <w:rPr>
          <w:rFonts w:ascii="Times New Roman" w:hAnsi="Times New Roman"/>
        </w:rPr>
        <w:t xml:space="preserve">Europa u području istraživanja i inovacija </w:t>
      </w:r>
    </w:p>
    <w:p>
      <w:pPr>
        <w:pStyle w:val="P68B1DB1Normal19"/>
        <w:widowControl w:val="false"/>
        <w:spacing w:lineRule="auto" w:line="240" w:before="88" w:after="0"/>
        <w:ind w:left="720" w:right="0" w:hanging="0"/>
        <w:jc w:val="left"/>
        <w:rPr>
          <w:rFonts w:ascii="Times New Roman" w:hAnsi="Times New Roman"/>
          <w:color w:val="000000"/>
          <w:sz w:val="24"/>
        </w:rPr>
      </w:pPr>
      <w:r>
        <w:rPr/>
        <w:t xml:space="preserve"> </w:t>
      </w:r>
    </w:p>
    <w:p>
      <w:pPr>
        <w:pStyle w:val="P68B1DB1Normal34"/>
        <w:widowControl w:val="false"/>
        <w:spacing w:lineRule="auto" w:line="240" w:before="86" w:after="0"/>
        <w:ind w:left="360" w:right="1128" w:hanging="0"/>
        <w:jc w:val="left"/>
        <w:rPr/>
      </w:pPr>
      <w:r>
        <w:rPr>
          <w:rFonts w:ascii="Times New Roman" w:hAnsi="Times New Roman"/>
        </w:rPr>
        <w:t>4.</w:t>
      </w:r>
      <w:r>
        <w:rPr/>
        <w:t xml:space="preserve"> </w:t>
      </w:r>
      <w:r>
        <w:rPr>
          <w:rFonts w:ascii="Times New Roman" w:hAnsi="Times New Roman"/>
          <w:b/>
        </w:rPr>
        <w:t>Mladi su također pozdravili četiri komplementarne ideje</w:t>
      </w:r>
      <w:r>
        <w:rPr/>
        <w:t>uz</w:t>
      </w:r>
      <w:r>
        <w:rPr>
          <w:rFonts w:ascii="Times New Roman" w:hAnsi="Times New Roman"/>
        </w:rPr>
        <w:t xml:space="preserve"> one iz panela građana: </w:t>
      </w:r>
    </w:p>
    <w:p>
      <w:pPr>
        <w:pStyle w:val="P68B1DB1Normal34"/>
        <w:widowControl w:val="false"/>
        <w:spacing w:lineRule="auto" w:line="240" w:before="90" w:after="0"/>
        <w:ind w:left="360" w:right="0" w:hanging="0"/>
        <w:jc w:val="left"/>
        <w:rPr/>
      </w:pPr>
      <w:r>
        <w:rPr>
          <w:rFonts w:ascii="Times New Roman" w:hAnsi="Times New Roman"/>
        </w:rPr>
        <w:t>Okolišno</w:t>
      </w:r>
      <w:r>
        <w:rPr/>
        <w:t xml:space="preserve"> </w:t>
      </w:r>
      <w:r>
        <w:rPr>
          <w:rFonts w:ascii="Times New Roman" w:hAnsi="Times New Roman"/>
        </w:rPr>
        <w:t xml:space="preserve">i društveno odgovorno europsko gospodarstvo </w:t>
      </w:r>
    </w:p>
    <w:p>
      <w:pPr>
        <w:pStyle w:val="P68B1DB1Normal34"/>
        <w:widowControl w:val="false"/>
        <w:spacing w:lineRule="auto" w:line="240" w:before="88" w:after="0"/>
        <w:ind w:left="360" w:right="0" w:hanging="0"/>
        <w:jc w:val="left"/>
        <w:rPr/>
      </w:pPr>
      <w:r>
        <w:rPr>
          <w:rFonts w:ascii="Times New Roman" w:hAnsi="Times New Roman"/>
        </w:rPr>
        <w:t>Europa</w:t>
      </w:r>
      <w:r>
        <w:rPr/>
        <w:t xml:space="preserve"> </w:t>
      </w:r>
      <w:r>
        <w:rPr>
          <w:rFonts w:ascii="Times New Roman" w:hAnsi="Times New Roman"/>
        </w:rPr>
        <w:t xml:space="preserve">zemljopisno povezanija željeznicom </w:t>
      </w:r>
    </w:p>
    <w:p>
      <w:pPr>
        <w:pStyle w:val="P68B1DB1Normal34"/>
        <w:widowControl w:val="false"/>
        <w:spacing w:lineRule="auto" w:line="240" w:before="85" w:after="0"/>
        <w:ind w:left="360" w:right="0" w:hanging="0"/>
        <w:jc w:val="left"/>
        <w:rPr/>
      </w:pPr>
      <w:r>
        <w:rPr>
          <w:rFonts w:ascii="Times New Roman" w:hAnsi="Times New Roman"/>
        </w:rPr>
        <w:t>Fiskalna</w:t>
      </w:r>
      <w:r>
        <w:rPr/>
        <w:t xml:space="preserve"> </w:t>
      </w:r>
      <w:r>
        <w:rPr>
          <w:rFonts w:ascii="Times New Roman" w:hAnsi="Times New Roman"/>
        </w:rPr>
        <w:t xml:space="preserve">pravednija Europa </w:t>
      </w:r>
    </w:p>
    <w:p>
      <w:pPr>
        <w:pStyle w:val="P68B1DB1Normal34"/>
        <w:widowControl w:val="false"/>
        <w:spacing w:lineRule="auto" w:line="240" w:before="88" w:after="0"/>
        <w:ind w:left="360" w:right="0" w:hanging="0"/>
        <w:jc w:val="left"/>
        <w:rPr/>
      </w:pPr>
      <w:r>
        <w:rPr>
          <w:rFonts w:ascii="Times New Roman" w:hAnsi="Times New Roman"/>
        </w:rPr>
        <w:t>Snažno</w:t>
      </w:r>
      <w:r>
        <w:rPr/>
        <w:t xml:space="preserve"> </w:t>
      </w:r>
      <w:r>
        <w:rPr>
          <w:rFonts w:ascii="Times New Roman" w:hAnsi="Times New Roman"/>
        </w:rPr>
        <w:t xml:space="preserve">djelovanje Europske unije za potporu pravima žena </w:t>
      </w:r>
    </w:p>
    <w:p>
      <w:pPr>
        <w:pStyle w:val="Normal"/>
        <w:widowControl w:val="false"/>
        <w:spacing w:lineRule="auto" w:line="240" w:before="85" w:after="0"/>
        <w:ind w:left="0" w:right="0" w:hanging="0"/>
        <w:jc w:val="left"/>
        <w:rPr>
          <w:rFonts w:ascii="Times New Roman" w:hAnsi="Times New Roman"/>
          <w:color w:val="000000"/>
          <w:sz w:val="24"/>
        </w:rPr>
      </w:pPr>
      <w:r>
        <w:rPr>
          <w:rFonts w:ascii="Times New Roman" w:hAnsi="Times New Roman"/>
          <w:color w:val="000000"/>
          <w:sz w:val="24"/>
        </w:rPr>
      </w:r>
      <w:r>
        <w:br w:type="page"/>
      </w:r>
    </w:p>
    <w:p>
      <w:pPr>
        <w:pStyle w:val="P68B1DB1Normal33"/>
        <w:widowControl w:val="false"/>
        <w:spacing w:lineRule="auto" w:line="240" w:before="85" w:after="0"/>
        <w:ind w:left="0" w:right="0" w:hanging="0"/>
        <w:jc w:val="left"/>
        <w:rPr/>
      </w:pPr>
      <w:r>
        <w:rPr/>
        <w:t xml:space="preserve">22 popularne ideje i 13 kontroverznih ideja raspoređenih u devet tema konferencije o budućnosti Europe </w:t>
      </w:r>
    </w:p>
    <w:p>
      <w:pPr>
        <w:pStyle w:val="P68B1DB1Normal19"/>
        <w:widowControl w:val="false"/>
        <w:spacing w:lineRule="auto" w:line="240" w:before="80" w:after="0"/>
        <w:ind w:left="0" w:right="0" w:hanging="0"/>
        <w:jc w:val="left"/>
        <w:rPr>
          <w:rFonts w:ascii="Times New Roman" w:hAnsi="Times New Roman"/>
          <w:color w:val="000000"/>
          <w:sz w:val="24"/>
        </w:rPr>
      </w:pPr>
      <w:r>
        <w:rPr/>
        <w:t xml:space="preserve"> </w:t>
      </w:r>
    </w:p>
    <w:p>
      <w:pPr>
        <w:pStyle w:val="P68B1DB1Normal52"/>
        <w:widowControl w:val="false"/>
        <w:spacing w:lineRule="auto" w:line="240" w:before="96" w:after="0"/>
        <w:ind w:left="0" w:right="0" w:hanging="0"/>
        <w:jc w:val="both"/>
        <w:rPr/>
      </w:pPr>
      <w:r>
        <w:rPr>
          <w:color w:val="38761D"/>
        </w:rPr>
        <w:t>Hvaljene ideje</w:t>
      </w:r>
      <w:r>
        <w:rPr>
          <w:color w:val="000000"/>
        </w:rPr>
        <w:t xml:space="preserve"> temelje se na prijedlozima koje uglavnom podupiru sudionici savjetovanja. Prihvaćeni prijedlozi su prijedlozi koji privlače najviše potpore, a njima se u prosjeku iskorištava </w:t>
      </w:r>
      <w:r>
        <w:rPr>
          <w:b/>
          <w:color w:val="000000"/>
        </w:rPr>
        <w:t>79 % „glasova za”</w:t>
      </w:r>
      <w:r>
        <w:rPr>
          <w:color w:val="000000"/>
        </w:rPr>
        <w:t xml:space="preserve">. </w:t>
      </w:r>
    </w:p>
    <w:p>
      <w:pPr>
        <w:pStyle w:val="P68B1DB1Normal44"/>
        <w:widowControl w:val="false"/>
        <w:spacing w:lineRule="auto" w:line="240" w:before="94" w:after="0"/>
        <w:ind w:left="0" w:right="0" w:hanging="0"/>
        <w:jc w:val="left"/>
        <w:rPr>
          <w:rFonts w:ascii="Times New Roman" w:hAnsi="Times New Roman"/>
          <w:i/>
          <w:i/>
          <w:color w:val="000000"/>
          <w:sz w:val="24"/>
        </w:rPr>
      </w:pPr>
      <w:r>
        <w:rPr/>
        <w:t xml:space="preserve"> </w:t>
      </w:r>
    </w:p>
    <w:p>
      <w:pPr>
        <w:pStyle w:val="P68B1DB1Normal52"/>
        <w:widowControl w:val="false"/>
        <w:spacing w:lineRule="auto" w:line="240" w:before="96" w:after="0"/>
        <w:ind w:left="0" w:right="0" w:hanging="0"/>
        <w:jc w:val="both"/>
        <w:rPr/>
      </w:pPr>
      <w:r>
        <w:rPr>
          <w:color w:val="FF9900"/>
        </w:rPr>
        <w:t>Kontroverzne ideje</w:t>
      </w:r>
      <w:r>
        <w:rPr>
          <w:color w:val="000000"/>
        </w:rPr>
        <w:t xml:space="preserve"> temelje se na prijedlozima o kojima su sudionici savjetovanja najviše raspravljali, s ravnotežom između glasova za i protiv. Kontroverzni prijedlozi najrasprostranjeniji su prijedlozi savjetovanja, u kojima se u prosjeku iskorištava </w:t>
      </w:r>
      <w:r>
        <w:rPr>
          <w:b/>
          <w:color w:val="000000"/>
        </w:rPr>
        <w:t>40 % glasova za</w:t>
      </w:r>
      <w:r>
        <w:rPr>
          <w:color w:val="000000"/>
        </w:rPr>
        <w:t xml:space="preserve">, </w:t>
      </w:r>
      <w:r>
        <w:rPr>
          <w:b/>
          <w:color w:val="000000"/>
        </w:rPr>
        <w:t>38 % glasova protiv</w:t>
      </w:r>
      <w:r>
        <w:rPr>
          <w:color w:val="000000"/>
        </w:rPr>
        <w:t xml:space="preserve">. </w:t>
      </w:r>
    </w:p>
    <w:p>
      <w:pPr>
        <w:pStyle w:val="P68B1DB1Normal44"/>
        <w:widowControl w:val="false"/>
        <w:spacing w:lineRule="auto" w:line="240" w:before="96" w:after="0"/>
        <w:ind w:left="0" w:right="0" w:hanging="0"/>
        <w:jc w:val="left"/>
        <w:rPr>
          <w:rFonts w:ascii="Times New Roman" w:hAnsi="Times New Roman"/>
          <w:i/>
          <w:i/>
          <w:color w:val="000000"/>
          <w:sz w:val="24"/>
        </w:rPr>
      </w:pPr>
      <w:r>
        <w:rPr/>
        <w:t xml:space="preserve"> </w:t>
      </w:r>
    </w:p>
    <w:p>
      <w:pPr>
        <w:pStyle w:val="Normal"/>
        <w:widowControl w:val="false"/>
        <w:spacing w:lineRule="auto" w:line="240" w:before="90" w:after="0"/>
        <w:ind w:left="0" w:right="0" w:hanging="0"/>
        <w:jc w:val="both"/>
        <w:rPr/>
      </w:pPr>
      <w:r>
        <w:rPr>
          <w:rFonts w:ascii="Times New Roman" w:hAnsi="Times New Roman"/>
          <w:color w:val="000000"/>
          <w:sz w:val="24"/>
        </w:rPr>
        <w:t xml:space="preserve">U analizi tih prijedloga utvrđene su 22 hvaljene ideje i 13 kontroverznih ideja. Te 22 hvaljene ideje i 13 kontroverznih ideja podijeljene su u 9 osi koje odgovaraju glavnim temama Konferencije o budućnosti Europe. </w:t>
      </w:r>
      <w:r>
        <w:br w:type="page"/>
      </w:r>
    </w:p>
    <w:p>
      <w:pPr>
        <w:pStyle w:val="Normal"/>
        <w:widowControl w:val="false"/>
        <w:spacing w:lineRule="auto" w:line="240" w:before="85" w:after="0"/>
        <w:ind w:left="0" w:right="0" w:hanging="0"/>
        <w:jc w:val="left"/>
        <w:rPr/>
      </w:pPr>
      <w:r>
        <w:rPr/>
        <w:t>Sinteza priznatih i kontroverznih ideja</w:t>
      </w:r>
      <w:r>
        <w:rPr>
          <w:rFonts w:ascii="Times New Roman" w:hAnsi="Times New Roman"/>
          <w:color w:val="000000"/>
          <w:sz w:val="24"/>
        </w:rPr>
        <w:t xml:space="preserve"> </w:t>
      </w:r>
    </w:p>
    <w:tbl>
      <w:tblPr>
        <w:tblW w:w="9638" w:type="dxa"/>
        <w:jc w:val="left"/>
        <w:tblInd w:w="-5"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top w:w="55" w:type="dxa"/>
          <w:left w:w="50" w:type="dxa"/>
          <w:bottom w:w="55" w:type="dxa"/>
          <w:right w:w="55" w:type="dxa"/>
        </w:tblCellMar>
      </w:tblPr>
      <w:tblGrid>
        <w:gridCol w:w="2409"/>
        <w:gridCol w:w="803"/>
        <w:gridCol w:w="1606"/>
        <w:gridCol w:w="1607"/>
        <w:gridCol w:w="803"/>
        <w:gridCol w:w="2409"/>
      </w:tblGrid>
      <w:tr>
        <w:trPr/>
        <w:tc>
          <w:tcPr>
            <w:tcW w:w="9637" w:type="dxa"/>
            <w:gridSpan w:val="6"/>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3"/>
              <w:spacing w:before="57" w:after="57"/>
              <w:jc w:val="center"/>
              <w:rPr>
                <w:color w:val="FFFFFF"/>
                <w:sz w:val="18"/>
                <w:highlight w:val="darkCyan"/>
              </w:rPr>
            </w:pPr>
            <w:r>
              <w:rPr/>
              <w:t>Klimatske promjene i okoliš</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Uspostava snažnije europske ekološke politike</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Prijelaz na održiviju poljoprivredu</w:t>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t>Snažnije djelovanje na zaštiti biološke raznolikosti</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Razvoj željezničkog prijevoza u EU-u</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Ubrzavanje energetske tranzicije</w:t>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t>Ograničavanje ambalaže i poboljšanje gospodarenja otpadom</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Podizanje svijesti o okolišu</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rFonts w:eastAsia="Wingdings" w:cs="Wingdings" w:ascii="Wingdings" w:hAnsi="Wingdings"/>
              </w:rPr>
              <w:t xml:space="preserve"> </w:t>
            </w:r>
            <w:r>
              <w:rPr/>
              <w:t>Promicanje ekološki odgovornih građevinskih procesa</w:t>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t>Više ulaganja u nuklearnu energiju</w:t>
            </w:r>
          </w:p>
        </w:tc>
      </w:tr>
      <w:tr>
        <w:trPr/>
        <w:tc>
          <w:tcPr>
            <w:tcW w:w="9637" w:type="dxa"/>
            <w:gridSpan w:val="6"/>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5"/>
              <w:spacing w:before="57" w:after="57"/>
              <w:jc w:val="center"/>
              <w:rPr>
                <w:color w:val="FFFFFF"/>
                <w:sz w:val="18"/>
                <w:highlight w:val="darkCyan"/>
              </w:rPr>
            </w:pPr>
            <w:r>
              <w:rPr/>
              <w:t>Europska demokracija</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Bolja komunikacija o ulozi i radu EU-a</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Promjena demokratskog funkcioniranja Europske unije</w:t>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rFonts w:eastAsia="Wingdings" w:cs="Wingdings" w:ascii="Wingdings" w:hAnsi="Wingdings"/>
              </w:rPr>
              <w:t xml:space="preserve"> </w:t>
            </w:r>
            <w:r>
              <w:rPr/>
              <w:t>Borba protiv dezinformacija</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Pretvaranje Europe u federaciju</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Državama članicama ostavlja se veća autonomija</w:t>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t>Izgradnja snažnije europske izvršne vlasti</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Pružiti mladima mjesto u europskim institucijama</w:t>
            </w:r>
          </w:p>
        </w:tc>
        <w:tc>
          <w:tcPr>
            <w:tcW w:w="3213" w:type="dxa"/>
            <w:gridSpan w:val="2"/>
            <w:tcBorders>
              <w:left w:val="single" w:sz="4" w:space="0" w:color="000001"/>
              <w:bottom w:val="single" w:sz="4" w:space="0" w:color="000001"/>
              <w:insideH w:val="single" w:sz="4" w:space="0" w:color="000001"/>
            </w:tcBorders>
            <w:shd w:fill="auto" w:val="clear"/>
          </w:tcPr>
          <w:p>
            <w:pPr>
              <w:pStyle w:val="Contenudetableau"/>
              <w:spacing w:before="57" w:after="57"/>
              <w:jc w:val="center"/>
              <w:rPr>
                <w:sz w:val="18"/>
              </w:rPr>
            </w:pPr>
            <w:r>
              <w:rPr>
                <w:sz w:val="18"/>
              </w:rPr>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Contenudetableau"/>
              <w:spacing w:before="57" w:after="57"/>
              <w:jc w:val="center"/>
              <w:rPr>
                <w:sz w:val="18"/>
              </w:rPr>
            </w:pPr>
            <w:r>
              <w:rPr>
                <w:sz w:val="18"/>
              </w:rPr>
            </w:r>
          </w:p>
        </w:tc>
      </w:tr>
      <w:tr>
        <w:trPr/>
        <w:tc>
          <w:tcPr>
            <w:tcW w:w="9637" w:type="dxa"/>
            <w:gridSpan w:val="6"/>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6"/>
              <w:spacing w:before="57" w:after="57"/>
              <w:jc w:val="center"/>
              <w:rPr>
                <w:color w:val="FFFFFF"/>
                <w:sz w:val="18"/>
                <w:highlight w:val="red"/>
              </w:rPr>
            </w:pPr>
            <w:r>
              <w:rPr/>
              <w:t>Gospodarstvo, socijalna pravda i zapošljavanje</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Premještanje proizvodnje u Europu radi veće autonomije</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Povećanje odgovornosti poslovnih praksi i trgovine</w:t>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t>Borba protiv utaje poreza i optimizacije</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Usklađivanje europskih plaća</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Uspostava univerzalnog dohotka</w:t>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t>Preusmjeravanje Europe prema antikapitalističkom modelu</w:t>
            </w:r>
          </w:p>
        </w:tc>
      </w:tr>
      <w:tr>
        <w:trPr/>
        <w:tc>
          <w:tcPr>
            <w:tcW w:w="4818" w:type="dxa"/>
            <w:gridSpan w:val="3"/>
            <w:tcBorders>
              <w:top w:val="single" w:sz="4" w:space="0" w:color="000001"/>
              <w:left w:val="single" w:sz="4" w:space="0" w:color="000001"/>
              <w:bottom w:val="single" w:sz="4" w:space="0" w:color="000001"/>
              <w:insideH w:val="single" w:sz="4" w:space="0" w:color="000001"/>
            </w:tcBorders>
            <w:shd w:fill="auto" w:val="clear"/>
          </w:tcPr>
          <w:p>
            <w:pPr>
              <w:pStyle w:val="P68B1DB1Contenudetableau57"/>
              <w:spacing w:before="57" w:after="57"/>
              <w:jc w:val="center"/>
              <w:rPr>
                <w:rFonts w:ascii="Arial" w:hAnsi="Arial"/>
                <w:b w:val="false"/>
                <w:b w:val="false"/>
                <w:i w:val="false"/>
                <w:i w:val="false"/>
                <w:strike w:val="false"/>
                <w:dstrike w:val="false"/>
                <w:outline w:val="false"/>
                <w:shadow w:val="false"/>
                <w:color w:val="FFFFFF"/>
                <w:sz w:val="18"/>
                <w:highlight w:val="blue"/>
                <w:u w:val="none"/>
              </w:rPr>
            </w:pPr>
            <w:r>
              <w:rPr/>
              <w:t>Obrazovanje, kultura, mladi i sport</w:t>
            </w:r>
          </w:p>
        </w:tc>
        <w:tc>
          <w:tcPr>
            <w:tcW w:w="4819" w:type="dxa"/>
            <w:gridSpan w:val="3"/>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8"/>
              <w:spacing w:before="57" w:after="57"/>
              <w:jc w:val="center"/>
              <w:rPr>
                <w:rFonts w:ascii="Arial" w:hAnsi="Arial"/>
                <w:b w:val="false"/>
                <w:b w:val="false"/>
                <w:i w:val="false"/>
                <w:i w:val="false"/>
                <w:strike w:val="false"/>
                <w:dstrike w:val="false"/>
                <w:outline w:val="false"/>
                <w:shadow w:val="false"/>
                <w:color w:val="FFFFFF"/>
                <w:sz w:val="18"/>
                <w:highlight w:val="darkMagenta"/>
                <w:u w:val="none"/>
              </w:rPr>
            </w:pPr>
            <w:r>
              <w:rPr/>
              <w:t>Digitalna transformacija</w:t>
            </w:r>
          </w:p>
        </w:tc>
      </w:tr>
      <w:tr>
        <w:trPr/>
        <w:tc>
          <w:tcPr>
            <w:tcW w:w="2409" w:type="dxa"/>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rPr>
              <w:t>Omogućivanje veće razmjene mladih s drugim državama članicama EU-a</w:t>
            </w:r>
          </w:p>
        </w:tc>
        <w:tc>
          <w:tcPr>
            <w:tcW w:w="2409" w:type="dxa"/>
            <w:gridSpan w:val="2"/>
            <w:tcBorders>
              <w:left w:val="single" w:sz="4" w:space="0" w:color="000001"/>
              <w:bottom w:val="single" w:sz="4" w:space="0" w:color="000001"/>
              <w:insideH w:val="single" w:sz="4" w:space="0" w:color="000001"/>
            </w:tcBorders>
            <w:shd w:fill="auto" w:val="clear"/>
          </w:tcPr>
          <w:p>
            <w:pPr>
              <w:pStyle w:val="P68B1DB1Contenudetableau59"/>
              <w:spacing w:before="57" w:after="57"/>
              <w:jc w:val="center"/>
              <w:rPr>
                <w:rFonts w:ascii="Arial" w:hAnsi="Arial"/>
                <w:b w:val="false"/>
                <w:b w:val="false"/>
                <w:i w:val="false"/>
                <w:i w:val="false"/>
                <w:strike w:val="false"/>
                <w:dstrike w:val="false"/>
                <w:outline w:val="false"/>
                <w:shadow w:val="false"/>
                <w:color w:val="000000"/>
                <w:sz w:val="18"/>
                <w:u w:val="none"/>
              </w:rPr>
            </w:pPr>
            <w:r>
              <w:rPr/>
              <w:t>Poticanje učenja neengleskih jezika</w:t>
            </w:r>
          </w:p>
        </w:tc>
        <w:tc>
          <w:tcPr>
            <w:tcW w:w="2410"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rPr>
              <w:t>Ulaganje u znanstvena, digitalna i okolišna istraživanja</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rPr>
              <w:t>Podizanje svijesti o digitalnoj tehnologiji i njezinim opasnostima</w:t>
            </w:r>
          </w:p>
        </w:tc>
      </w:tr>
      <w:tr>
        <w:trPr/>
        <w:tc>
          <w:tcPr>
            <w:tcW w:w="2409" w:type="dxa"/>
            <w:tcBorders>
              <w:left w:val="single" w:sz="4" w:space="0" w:color="000001"/>
              <w:bottom w:val="single" w:sz="4" w:space="0" w:color="000001"/>
              <w:insideH w:val="single" w:sz="4" w:space="0" w:color="000001"/>
            </w:tcBorders>
            <w:shd w:fill="auto" w:val="clear"/>
          </w:tcPr>
          <w:p>
            <w:pPr>
              <w:pStyle w:val="P68B1DB1Contenudetableau59"/>
              <w:spacing w:before="57" w:after="57"/>
              <w:jc w:val="center"/>
              <w:rPr>
                <w:rFonts w:ascii="Arial" w:hAnsi="Arial"/>
                <w:b w:val="false"/>
                <w:b w:val="false"/>
                <w:i w:val="false"/>
                <w:i w:val="false"/>
                <w:strike w:val="false"/>
                <w:dstrike w:val="false"/>
                <w:outline w:val="false"/>
                <w:shadow w:val="false"/>
                <w:color w:val="000000"/>
                <w:sz w:val="18"/>
                <w:u w:val="none"/>
              </w:rPr>
            </w:pPr>
            <w:r>
              <w:rPr/>
              <w:t>Uvođenje obveze boravka u Europi za mlade</w:t>
            </w:r>
          </w:p>
        </w:tc>
        <w:tc>
          <w:tcPr>
            <w:tcW w:w="2409" w:type="dxa"/>
            <w:gridSpan w:val="2"/>
            <w:tcBorders>
              <w:left w:val="single" w:sz="4" w:space="0" w:color="000001"/>
              <w:bottom w:val="single" w:sz="4" w:space="0" w:color="000001"/>
              <w:insideH w:val="single" w:sz="4" w:space="0" w:color="000001"/>
            </w:tcBorders>
            <w:shd w:fill="auto" w:val="clear"/>
          </w:tcPr>
          <w:p>
            <w:pPr>
              <w:pStyle w:val="Contenudetableau"/>
              <w:spacing w:before="57" w:after="57"/>
              <w:jc w:val="center"/>
              <w:rPr>
                <w:rFonts w:ascii="Arial" w:hAnsi="Arial"/>
                <w:b w:val="false"/>
                <w:b w:val="false"/>
                <w:i w:val="false"/>
                <w:i w:val="false"/>
                <w:strike w:val="false"/>
                <w:dstrike w:val="false"/>
                <w:outline w:val="false"/>
                <w:shadow w:val="false"/>
                <w:color w:val="000000"/>
                <w:sz w:val="18"/>
                <w:u w:val="none"/>
              </w:rPr>
            </w:pPr>
            <w:r>
              <w:rPr>
                <w:b w:val="false"/>
                <w:i w:val="false"/>
                <w:strike w:val="false"/>
                <w:dstrike w:val="false"/>
                <w:outline w:val="false"/>
                <w:shadow w:val="false"/>
                <w:color w:val="000000"/>
                <w:sz w:val="18"/>
                <w:u w:val="none"/>
              </w:rPr>
            </w:r>
          </w:p>
        </w:tc>
        <w:tc>
          <w:tcPr>
            <w:tcW w:w="2410" w:type="dxa"/>
            <w:gridSpan w:val="2"/>
            <w:tcBorders>
              <w:left w:val="single" w:sz="4" w:space="0" w:color="000001"/>
              <w:bottom w:val="single" w:sz="4" w:space="0" w:color="000001"/>
              <w:insideH w:val="single" w:sz="4" w:space="0" w:color="000001"/>
            </w:tcBorders>
            <w:shd w:fill="auto" w:val="clear"/>
          </w:tcPr>
          <w:p>
            <w:pPr>
              <w:pStyle w:val="P68B1DB1Contenudetableau59"/>
              <w:spacing w:before="57" w:after="57"/>
              <w:jc w:val="center"/>
              <w:rPr>
                <w:rFonts w:ascii="Arial" w:hAnsi="Arial"/>
                <w:b w:val="false"/>
                <w:b w:val="false"/>
                <w:i w:val="false"/>
                <w:i w:val="false"/>
                <w:strike w:val="false"/>
                <w:dstrike w:val="false"/>
                <w:outline w:val="false"/>
                <w:shadow w:val="false"/>
                <w:color w:val="000000"/>
                <w:sz w:val="18"/>
                <w:u w:val="none"/>
              </w:rPr>
            </w:pPr>
            <w:r>
              <w:rPr/>
              <w:t>Razvoj kriptovaluta u Europi</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Contenudetableau"/>
              <w:spacing w:before="57" w:after="57"/>
              <w:jc w:val="center"/>
              <w:rPr>
                <w:rFonts w:ascii="Arial" w:hAnsi="Arial"/>
                <w:b w:val="false"/>
                <w:b w:val="false"/>
                <w:i w:val="false"/>
                <w:i w:val="false"/>
                <w:strike w:val="false"/>
                <w:dstrike w:val="false"/>
                <w:outline w:val="false"/>
                <w:shadow w:val="false"/>
                <w:color w:val="000000"/>
                <w:sz w:val="18"/>
                <w:u w:val="none"/>
              </w:rPr>
            </w:pPr>
            <w:r>
              <w:rPr>
                <w:b w:val="false"/>
                <w:i w:val="false"/>
                <w:strike w:val="false"/>
                <w:dstrike w:val="false"/>
                <w:outline w:val="false"/>
                <w:shadow w:val="false"/>
                <w:color w:val="000000"/>
                <w:sz w:val="18"/>
                <w:u w:val="none"/>
              </w:rPr>
            </w:r>
          </w:p>
        </w:tc>
      </w:tr>
      <w:tr>
        <w:trPr/>
        <w:tc>
          <w:tcPr>
            <w:tcW w:w="4818" w:type="dxa"/>
            <w:gridSpan w:val="3"/>
            <w:tcBorders>
              <w:left w:val="single" w:sz="4" w:space="0" w:color="000001"/>
              <w:bottom w:val="single" w:sz="4" w:space="0" w:color="000001"/>
              <w:insideH w:val="single" w:sz="4" w:space="0" w:color="000001"/>
            </w:tcBorders>
            <w:shd w:fill="auto" w:val="clear"/>
          </w:tcPr>
          <w:p>
            <w:pPr>
              <w:pStyle w:val="P68B1DB1Contenudetableau60"/>
              <w:spacing w:before="57" w:after="57"/>
              <w:jc w:val="center"/>
              <w:rPr>
                <w:rFonts w:ascii="Arial" w:hAnsi="Arial"/>
                <w:b w:val="false"/>
                <w:b w:val="false"/>
                <w:i w:val="false"/>
                <w:i w:val="false"/>
                <w:strike w:val="false"/>
                <w:dstrike w:val="false"/>
                <w:outline w:val="false"/>
                <w:shadow w:val="false"/>
                <w:color w:val="FFFFFF"/>
                <w:sz w:val="18"/>
                <w:highlight w:val="blue"/>
                <w:u w:val="none"/>
              </w:rPr>
            </w:pPr>
            <w:r>
              <w:rPr/>
              <w:t>Vrijednosti i prava, vladavina prava, sigurnost</w:t>
            </w:r>
          </w:p>
        </w:tc>
        <w:tc>
          <w:tcPr>
            <w:tcW w:w="4819" w:type="dxa"/>
            <w:gridSpan w:val="3"/>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61"/>
              <w:spacing w:before="57" w:after="57"/>
              <w:jc w:val="center"/>
              <w:rPr>
                <w:rFonts w:ascii="Arial" w:hAnsi="Arial"/>
                <w:b w:val="false"/>
                <w:b w:val="false"/>
                <w:i w:val="false"/>
                <w:i w:val="false"/>
                <w:strike w:val="false"/>
                <w:dstrike w:val="false"/>
                <w:outline w:val="false"/>
                <w:shadow w:val="false"/>
                <w:color w:val="FFFFFF"/>
                <w:sz w:val="18"/>
                <w:highlight w:val="darkBlue"/>
                <w:u w:val="none"/>
              </w:rPr>
            </w:pPr>
            <w:r>
              <w:rPr/>
              <w:t>Zdravlje</w:t>
            </w:r>
          </w:p>
        </w:tc>
      </w:tr>
      <w:tr>
        <w:trPr/>
        <w:tc>
          <w:tcPr>
            <w:tcW w:w="2409" w:type="dxa"/>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rPr>
              <w:t>Jačanje djelovanja EU-a za poštovanje ljudskih prava</w:t>
            </w:r>
          </w:p>
        </w:tc>
        <w:tc>
          <w:tcPr>
            <w:tcW w:w="2409"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rPr>
              <w:t>Jačanje prava žena</w:t>
            </w:r>
          </w:p>
        </w:tc>
        <w:tc>
          <w:tcPr>
            <w:tcW w:w="2410"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rPr>
              <w:t>Ulaganje u zdravlje</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rPr>
              <w:t>Poboljšati kvalitetu naših prehrambenih proizvoda</w:t>
            </w:r>
          </w:p>
        </w:tc>
      </w:tr>
      <w:tr>
        <w:trPr/>
        <w:tc>
          <w:tcPr>
            <w:tcW w:w="4818" w:type="dxa"/>
            <w:gridSpan w:val="3"/>
            <w:tcBorders>
              <w:left w:val="single" w:sz="4" w:space="0" w:color="000001"/>
              <w:bottom w:val="single" w:sz="4" w:space="0" w:color="000001"/>
              <w:insideH w:val="single" w:sz="4" w:space="0" w:color="000001"/>
            </w:tcBorders>
            <w:shd w:fill="auto" w:val="clear"/>
          </w:tcPr>
          <w:p>
            <w:pPr>
              <w:pStyle w:val="P68B1DB1Contenudetableau62"/>
              <w:spacing w:before="57" w:after="57"/>
              <w:jc w:val="center"/>
              <w:rPr>
                <w:rFonts w:ascii="Arial" w:hAnsi="Arial"/>
                <w:b w:val="false"/>
                <w:b w:val="false"/>
                <w:i w:val="false"/>
                <w:i w:val="false"/>
                <w:strike w:val="false"/>
                <w:dstrike w:val="false"/>
                <w:outline w:val="false"/>
                <w:shadow w:val="false"/>
                <w:color w:val="FFFFFF"/>
                <w:sz w:val="18"/>
                <w:highlight w:val="cyan"/>
                <w:u w:val="none"/>
              </w:rPr>
            </w:pPr>
            <w:r>
              <w:rPr/>
              <w:t>EU u svijetu</w:t>
            </w:r>
          </w:p>
        </w:tc>
        <w:tc>
          <w:tcPr>
            <w:tcW w:w="4819" w:type="dxa"/>
            <w:gridSpan w:val="3"/>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63"/>
              <w:spacing w:before="57" w:after="57"/>
              <w:jc w:val="center"/>
              <w:rPr>
                <w:rFonts w:ascii="Arial" w:hAnsi="Arial"/>
                <w:b w:val="false"/>
                <w:b w:val="false"/>
                <w:i w:val="false"/>
                <w:i w:val="false"/>
                <w:strike w:val="false"/>
                <w:dstrike w:val="false"/>
                <w:outline w:val="false"/>
                <w:shadow w:val="false"/>
                <w:color w:val="FFFFFF"/>
                <w:sz w:val="18"/>
                <w:highlight w:val="red"/>
                <w:u w:val="none"/>
              </w:rPr>
            </w:pPr>
            <w:r>
              <w:rPr/>
              <w:t xml:space="preserve">Imigracija </w:t>
            </w:r>
          </w:p>
        </w:tc>
      </w:tr>
      <w:tr>
        <w:trPr/>
        <w:tc>
          <w:tcPr>
            <w:tcW w:w="2409" w:type="dxa"/>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rPr>
              <w:t>Omogućiti EU-u da odvagne na međunarodnoj razini</w:t>
            </w:r>
          </w:p>
        </w:tc>
        <w:tc>
          <w:tcPr>
            <w:tcW w:w="2409" w:type="dxa"/>
            <w:gridSpan w:val="2"/>
            <w:tcBorders>
              <w:left w:val="single" w:sz="4" w:space="0" w:color="000001"/>
              <w:bottom w:val="single" w:sz="4" w:space="0" w:color="000001"/>
              <w:insideH w:val="single" w:sz="4" w:space="0" w:color="000001"/>
            </w:tcBorders>
            <w:shd w:fill="auto" w:val="clear"/>
          </w:tcPr>
          <w:p>
            <w:pPr>
              <w:pStyle w:val="P68B1DB1Contenudetableau59"/>
              <w:spacing w:before="57" w:after="57"/>
              <w:jc w:val="center"/>
              <w:rPr>
                <w:rFonts w:ascii="Arial" w:hAnsi="Arial"/>
                <w:b w:val="false"/>
                <w:b w:val="false"/>
                <w:i w:val="false"/>
                <w:i w:val="false"/>
                <w:strike w:val="false"/>
                <w:dstrike w:val="false"/>
                <w:outline w:val="false"/>
                <w:shadow w:val="false"/>
                <w:color w:val="000000"/>
                <w:sz w:val="18"/>
                <w:u w:val="none"/>
              </w:rPr>
            </w:pPr>
            <w:r>
              <w:rPr/>
              <w:t>Stvaranje europskih oružanih snaga</w:t>
            </w:r>
          </w:p>
        </w:tc>
        <w:tc>
          <w:tcPr>
            <w:tcW w:w="2410" w:type="dxa"/>
            <w:gridSpan w:val="2"/>
            <w:tcBorders>
              <w:left w:val="single" w:sz="4" w:space="0" w:color="000001"/>
              <w:bottom w:val="single" w:sz="4" w:space="0" w:color="000001"/>
              <w:insideH w:val="single" w:sz="4" w:space="0" w:color="000001"/>
            </w:tcBorders>
            <w:shd w:fill="auto" w:val="clear"/>
          </w:tcPr>
          <w:p>
            <w:pPr>
              <w:pStyle w:val="P68B1DB1Contenudetableau59"/>
              <w:spacing w:before="57" w:after="57"/>
              <w:jc w:val="center"/>
              <w:rPr>
                <w:rFonts w:ascii="Arial" w:hAnsi="Arial"/>
                <w:b w:val="false"/>
                <w:b w:val="false"/>
                <w:i w:val="false"/>
                <w:i w:val="false"/>
                <w:strike w:val="false"/>
                <w:dstrike w:val="false"/>
                <w:outline w:val="false"/>
                <w:shadow w:val="false"/>
                <w:color w:val="000000"/>
                <w:sz w:val="18"/>
                <w:u w:val="none"/>
              </w:rPr>
            </w:pPr>
            <w:r>
              <w:rPr/>
              <w:t>Smanjenje ili praćenje imigracije u Europi</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Contenudetableau"/>
              <w:spacing w:before="57" w:after="57"/>
              <w:jc w:val="center"/>
              <w:rPr>
                <w:rFonts w:ascii="Arial" w:hAnsi="Arial"/>
                <w:b w:val="false"/>
                <w:b w:val="false"/>
                <w:i w:val="false"/>
                <w:i w:val="false"/>
                <w:strike w:val="false"/>
                <w:dstrike w:val="false"/>
                <w:outline w:val="false"/>
                <w:shadow w:val="false"/>
                <w:color w:val="000000"/>
                <w:sz w:val="18"/>
                <w:u w:val="none"/>
              </w:rPr>
            </w:pPr>
            <w:r>
              <w:rPr>
                <w:b w:val="false"/>
                <w:i w:val="false"/>
                <w:strike w:val="false"/>
                <w:dstrike w:val="false"/>
                <w:outline w:val="false"/>
                <w:shadow w:val="false"/>
                <w:color w:val="000000"/>
                <w:sz w:val="18"/>
                <w:u w:val="none"/>
              </w:rPr>
            </w:r>
          </w:p>
        </w:tc>
      </w:tr>
    </w:tbl>
    <w:p>
      <w:pPr>
        <w:pStyle w:val="Normal"/>
        <w:spacing w:lineRule="auto" w:line="240"/>
        <w:rPr/>
      </w:pPr>
      <w:r>
        <w:rPr/>
      </w:r>
    </w:p>
    <w:p>
      <w:pPr>
        <w:pStyle w:val="P68B1DB1Contenudetableau64"/>
        <w:spacing w:lineRule="auto" w:line="240"/>
        <w:jc w:val="center"/>
        <w:rPr>
          <w:rFonts w:ascii="Arial" w:hAnsi="Arial"/>
          <w:b w:val="false"/>
          <w:b w:val="false"/>
          <w:i w:val="false"/>
          <w:i w:val="false"/>
          <w:strike w:val="false"/>
          <w:dstrike w:val="false"/>
          <w:outline w:val="false"/>
          <w:shadow w:val="false"/>
          <w:color w:val="000000"/>
          <w:sz w:val="18"/>
          <w:u w:val="none"/>
        </w:rPr>
      </w:pPr>
      <w:r>
        <w:rPr>
          <w:rFonts w:eastAsia="SimSun" w:cs="Mangal" w:ascii="Times New Roman" w:hAnsi="Times New Roman"/>
        </w:rPr>
        <w:t>Prevladavajuća ideja (&gt; 10 prihvaćenih prijedloga)</w:t>
      </w:r>
    </w:p>
    <w:p>
      <w:pPr>
        <w:pStyle w:val="P68B1DB1Contenudetableau64"/>
        <w:spacing w:lineRule="auto" w:line="240"/>
        <w:jc w:val="center"/>
        <w:rPr>
          <w:rFonts w:ascii="Arial" w:hAnsi="Arial"/>
          <w:b w:val="false"/>
          <w:b w:val="false"/>
          <w:i w:val="false"/>
          <w:i w:val="false"/>
          <w:strike w:val="false"/>
          <w:dstrike w:val="false"/>
          <w:outline w:val="false"/>
          <w:shadow w:val="false"/>
          <w:color w:val="000000"/>
          <w:sz w:val="18"/>
          <w:u w:val="none"/>
        </w:rPr>
      </w:pPr>
      <w:r>
        <w:rPr>
          <w:rFonts w:eastAsia="SimSun" w:cs="Mangal" w:ascii="Times New Roman" w:hAnsi="Times New Roman"/>
        </w:rPr>
        <w:t>Jedinstvena ideja (i 10 hvaljenih prijedloga)</w:t>
      </w:r>
    </w:p>
    <w:p>
      <w:pPr>
        <w:pStyle w:val="Contenudetableau"/>
        <w:spacing w:lineRule="auto" w:line="240"/>
        <w:jc w:val="center"/>
        <w:rPr/>
      </w:pPr>
      <w:r>
        <w:rPr>
          <w:rFonts w:eastAsia="SimSun" w:cs="Mangal" w:ascii="Times New Roman" w:hAnsi="Times New Roman"/>
          <w:color w:val="F58220"/>
          <w:sz w:val="18"/>
        </w:rPr>
        <w:t>Kontroverzna ideja (&gt; 3 kontroverzna prijedloga)</w:t>
      </w:r>
      <w:r>
        <w:br w:type="page"/>
      </w:r>
    </w:p>
    <w:p>
      <w:pPr>
        <w:pStyle w:val="Titre2"/>
        <w:numPr>
          <w:ilvl w:val="1"/>
          <w:numId w:val="2"/>
        </w:numPr>
        <w:rPr/>
      </w:pPr>
      <w:bookmarkStart w:id="213" w:name="__RefHeading___Toc300458_1346298689"/>
      <w:bookmarkEnd w:id="213"/>
      <w:r>
        <w:rPr/>
        <w:t xml:space="preserve">Zaključak </w:t>
      </w:r>
    </w:p>
    <w:p>
      <w:pPr>
        <w:pStyle w:val="P68B1DB1Normal33"/>
        <w:widowControl w:val="false"/>
        <w:spacing w:lineRule="exact" w:line="399" w:before="293" w:after="0"/>
        <w:ind w:left="0" w:right="0" w:hanging="0"/>
        <w:jc w:val="left"/>
        <w:rPr>
          <w:rFonts w:ascii="Times New Roman" w:hAnsi="Times New Roman"/>
          <w:b/>
          <w:b/>
          <w:color w:val="000000"/>
          <w:sz w:val="24"/>
        </w:rPr>
      </w:pPr>
      <w:r>
        <w:rPr/>
        <w:t xml:space="preserve"> </w:t>
      </w:r>
    </w:p>
    <w:p>
      <w:pPr>
        <w:pStyle w:val="P68B1DB1Normal33"/>
        <w:widowControl w:val="false"/>
        <w:spacing w:lineRule="exact" w:line="399" w:before="81" w:after="0"/>
        <w:ind w:left="0" w:right="0" w:hanging="0"/>
        <w:jc w:val="left"/>
        <w:rPr>
          <w:rFonts w:ascii="Times New Roman" w:hAnsi="Times New Roman"/>
          <w:b/>
          <w:b/>
          <w:color w:val="000000"/>
          <w:sz w:val="24"/>
        </w:rPr>
      </w:pPr>
      <w:r>
        <w:rPr/>
        <w:t xml:space="preserve"> </w:t>
      </w:r>
    </w:p>
    <w:p>
      <w:pPr>
        <w:pStyle w:val="P68B1DB1Normal33"/>
        <w:widowControl w:val="false"/>
        <w:spacing w:lineRule="exact" w:line="399" w:before="83" w:after="0"/>
        <w:ind w:left="0" w:right="0" w:hanging="0"/>
        <w:jc w:val="left"/>
        <w:rPr>
          <w:rFonts w:ascii="Times New Roman" w:hAnsi="Times New Roman"/>
          <w:b/>
          <w:b/>
          <w:color w:val="000000"/>
          <w:sz w:val="24"/>
        </w:rPr>
      </w:pPr>
      <w:r>
        <w:rPr/>
        <w:t xml:space="preserve"> </w:t>
      </w:r>
    </w:p>
    <w:p>
      <w:pPr>
        <w:pStyle w:val="P68B1DB1Normal65"/>
        <w:widowControl w:val="false"/>
        <w:spacing w:lineRule="exact" w:line="416" w:before="88" w:after="0"/>
        <w:ind w:left="0" w:right="0" w:hanging="0"/>
        <w:jc w:val="left"/>
        <w:rPr>
          <w:rFonts w:ascii="Times New Roman" w:hAnsi="Times New Roman"/>
          <w:b/>
          <w:b/>
          <w:i/>
          <w:i/>
          <w:color w:val="273375"/>
          <w:sz w:val="26"/>
        </w:rPr>
      </w:pPr>
      <w:r>
        <w:rPr/>
        <w:t xml:space="preserve">Jednom riječju, za vas, Europa će 2035. morati biti...”: </w:t>
      </w:r>
    </w:p>
    <w:p>
      <w:pPr>
        <w:pStyle w:val="Normal"/>
        <w:widowControl w:val="false"/>
        <w:spacing w:lineRule="exact" w:line="430" w:before="2454" w:after="0"/>
        <w:ind w:left="0" w:right="0" w:hanging="0"/>
        <w:jc w:val="center"/>
        <w:rPr/>
      </w:pPr>
      <w:r>
        <w:drawing>
          <wp:anchor behindDoc="0" distT="0" distB="0" distL="0" distR="0" simplePos="0" locked="0" layoutInCell="1" allowOverlap="1" relativeHeight="40">
            <wp:simplePos x="0" y="0"/>
            <wp:positionH relativeFrom="column">
              <wp:align>center</wp:align>
            </wp:positionH>
            <wp:positionV relativeFrom="paragraph">
              <wp:posOffset>635</wp:posOffset>
            </wp:positionV>
            <wp:extent cx="6120130" cy="1558290"/>
            <wp:effectExtent l="0" t="0" r="0" b="0"/>
            <wp:wrapSquare wrapText="largest"/>
            <wp:docPr id="98" name="Slika 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Slika 41" descr=""/>
                    <pic:cNvPicPr>
                      <a:picLocks noChangeAspect="1" noChangeArrowheads="1"/>
                    </pic:cNvPicPr>
                  </pic:nvPicPr>
                  <pic:blipFill>
                    <a:blip r:embed="rId102"/>
                    <a:stretch>
                      <a:fillRect/>
                    </a:stretch>
                  </pic:blipFill>
                  <pic:spPr bwMode="auto">
                    <a:xfrm>
                      <a:off x="0" y="0"/>
                      <a:ext cx="6120130" cy="1558290"/>
                    </a:xfrm>
                    <a:prstGeom prst="rect">
                      <a:avLst/>
                    </a:prstGeom>
                  </pic:spPr>
                </pic:pic>
              </a:graphicData>
            </a:graphic>
          </wp:anchor>
        </w:drawing>
      </w:r>
      <w:r>
        <w:rPr>
          <w:rFonts w:ascii="Times New Roman" w:hAnsi="Times New Roman"/>
          <w:i/>
          <w:color w:val="632423"/>
          <w:sz w:val="24"/>
        </w:rPr>
        <w:t>O</w:t>
      </w:r>
      <w:r>
        <w:rPr>
          <w:rFonts w:ascii="Times New Roman" w:hAnsi="Times New Roman"/>
          <w:i/>
          <w:color w:val="632423"/>
          <w:sz w:val="24"/>
        </w:rPr>
        <w:t xml:space="preserve">dgovor građana nacionalne konferencije na konačno pitanje: </w:t>
      </w:r>
    </w:p>
    <w:p>
      <w:pPr>
        <w:pStyle w:val="P68B1DB1Normal66"/>
        <w:widowControl w:val="false"/>
        <w:spacing w:lineRule="exact" w:line="430" w:before="95" w:after="0"/>
        <w:ind w:left="0" w:right="0" w:hanging="0"/>
        <w:jc w:val="center"/>
        <w:rPr>
          <w:rFonts w:ascii="Times New Roman" w:hAnsi="Times New Roman"/>
          <w:i/>
          <w:i/>
          <w:color w:val="632423"/>
          <w:sz w:val="24"/>
        </w:rPr>
      </w:pPr>
      <w:r>
        <w:rPr/>
        <w:t xml:space="preserve">Ukratko, za vas, Europa će 2035. morati biti... </w:t>
      </w:r>
    </w:p>
    <w:p>
      <w:pPr>
        <w:pStyle w:val="Normal"/>
        <w:widowControl w:val="false"/>
        <w:spacing w:lineRule="exact" w:line="430" w:before="95" w:after="0"/>
        <w:ind w:left="0" w:right="0" w:hanging="0"/>
        <w:jc w:val="left"/>
        <w:rPr>
          <w:rFonts w:ascii="Times New Roman" w:hAnsi="Times New Roman"/>
          <w:b/>
          <w:b/>
          <w:i/>
          <w:i/>
          <w:color w:val="632423"/>
          <w:sz w:val="24"/>
        </w:rPr>
      </w:pPr>
      <w:r>
        <w:rPr>
          <w:rFonts w:ascii="Times New Roman" w:hAnsi="Times New Roman"/>
          <w:b/>
          <w:i/>
          <w:color w:val="632423"/>
          <w:sz w:val="24"/>
        </w:rPr>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spacing w:lineRule="auto" w:line="240"/>
        <w:rPr/>
      </w:pPr>
      <w:r>
        <w:rPr/>
      </w:r>
      <w:r>
        <w:br w:type="page"/>
      </w:r>
    </w:p>
    <w:p>
      <w:pPr>
        <w:pStyle w:val="Titre1"/>
        <w:numPr>
          <w:ilvl w:val="0"/>
          <w:numId w:val="2"/>
        </w:numPr>
        <w:rPr/>
      </w:pPr>
      <w:bookmarkStart w:id="214" w:name="__RefHeading___Toc297353_1346298689"/>
      <w:bookmarkEnd w:id="214"/>
      <w:r>
        <w:rPr/>
        <w:t>II C Nacionalni paneli: Njemačka</w:t>
      </w:r>
    </w:p>
    <w:p>
      <w:pPr>
        <w:pStyle w:val="P68B1DB1Normal67"/>
        <w:spacing w:lineRule="auto" w:line="240"/>
        <w:rPr>
          <w:rFonts w:ascii="Calibri" w:hAnsi="Calibri"/>
          <w:b/>
          <w:b/>
          <w:color w:val="000000"/>
          <w:sz w:val="36"/>
        </w:rPr>
      </w:pPr>
      <w:r>
        <w:rPr/>
        <w:t xml:space="preserve">Nacionalni panel građana o budućnosti Europe u Berlinu </w:t>
      </w:r>
    </w:p>
    <w:p>
      <w:pPr>
        <w:pStyle w:val="P68B1DB1Normal19"/>
        <w:widowControl w:val="false"/>
        <w:spacing w:lineRule="exact" w:line="388" w:before="206" w:after="0"/>
        <w:ind w:left="3422" w:right="0" w:hanging="0"/>
        <w:jc w:val="left"/>
        <w:rPr>
          <w:rFonts w:ascii="Times New Roman" w:hAnsi="Times New Roman"/>
          <w:color w:val="000000"/>
          <w:sz w:val="24"/>
        </w:rPr>
      </w:pPr>
      <w:r>
        <w:rPr/>
        <w:t xml:space="preserve">— </w:t>
      </w:r>
      <w:r>
        <w:rPr/>
        <w:t xml:space="preserve">Preporuke građana — </w:t>
      </w:r>
    </w:p>
    <w:p>
      <w:pPr>
        <w:pStyle w:val="P68B1DB1Normal52"/>
        <w:widowControl w:val="false"/>
        <w:spacing w:lineRule="exact" w:line="317" w:before="288" w:after="0"/>
        <w:ind w:left="276" w:right="113" w:hanging="0"/>
        <w:jc w:val="both"/>
        <w:rPr/>
      </w:pPr>
      <w:r>
        <w:rPr>
          <w:color w:val="000000"/>
        </w:rPr>
        <w:t xml:space="preserve">Njemačka je 5., 8., 15. i 16. siječnja održala svoj Nacionalni panel građana o budućnosti Europe. Postupak odabira građana slijedio je stratificirani nasumični odabir sudionika u europskim panelima građana i građanki. Na sudjelovanje je pozvano 12.000 njemačkih državljana; od ispitanika je odabrano oko 100, uzimajući u obzir postojeće popisne podatke Savezne Republike Njemačke, kako bi se odrazila raznolikost njemačkog društva i stanovništva u cjelini. Tijekom Nacionalnog panela građana sudionici su raspravljali o pet tema: EU u svijetu; snažnije gospodarstvo; klimatske promjene i okoliš; socijalna pravda; Europske vrijednosti i vladavina prava. Zatim su izradili konkretne preporuke za svaku od tih tema, koje su usvojene na završnom plenarnom zasjedanju 16. siječnja: </w:t>
      </w:r>
      <w:r>
        <w:rPr>
          <w:color w:val="0000FF"/>
        </w:rPr>
        <w:t>www.youtube.com/watch?v=cefqmarZXzY</w:t>
      </w:r>
    </w:p>
    <w:p>
      <w:pPr>
        <w:pStyle w:val="Normal"/>
        <w:spacing w:lineRule="auto" w:line="240"/>
        <w:rPr/>
      </w:pPr>
      <w:r>
        <w:rPr/>
      </w:r>
    </w:p>
    <w:p>
      <w:pPr>
        <w:pStyle w:val="Normal"/>
        <w:spacing w:lineRule="auto" w:line="240"/>
        <w:rPr/>
      </w:pPr>
      <w:r>
        <w:rPr/>
      </w:r>
      <w:r>
        <w:br w:type="page"/>
      </w:r>
    </w:p>
    <w:p>
      <w:pPr>
        <w:pStyle w:val="P68B1DB1Normal44"/>
        <w:spacing w:lineRule="auto" w:line="240"/>
        <w:rPr>
          <w:rFonts w:ascii="Times New Roman" w:hAnsi="Times New Roman"/>
          <w:i/>
          <w:i/>
          <w:color w:val="000000"/>
          <w:sz w:val="24"/>
        </w:rPr>
      </w:pPr>
      <w:r>
        <w:rPr/>
        <w:t xml:space="preserve">Okrugli stol 1: </w:t>
      </w:r>
    </w:p>
    <w:p>
      <w:pPr>
        <w:pStyle w:val="P68B1DB1Normal68"/>
        <w:widowControl w:val="false"/>
        <w:spacing w:lineRule="exact" w:line="400" w:before="196" w:after="0"/>
        <w:ind w:left="0" w:right="0" w:hanging="0"/>
        <w:jc w:val="left"/>
        <w:rPr>
          <w:rFonts w:ascii="Calibri" w:hAnsi="Calibri"/>
          <w:b/>
          <w:b/>
          <w:color w:val="000000"/>
          <w:sz w:val="24"/>
        </w:rPr>
      </w:pPr>
      <w:r>
        <w:rPr/>
        <w:t xml:space="preserve">Povezivanje vanjskotrgovinskih interesa s mjerama klimatske politike </w:t>
      </w:r>
    </w:p>
    <w:p>
      <w:pPr>
        <w:pStyle w:val="P68B1DB1Normal20"/>
        <w:widowControl w:val="false"/>
        <w:spacing w:lineRule="exact" w:line="337" w:before="192" w:after="0"/>
        <w:ind w:left="276" w:right="123" w:hanging="0"/>
        <w:jc w:val="both"/>
        <w:rPr/>
      </w:pPr>
      <w:r>
        <w:rPr/>
        <w:t xml:space="preserve">Preporučujemo da EU (posebno Europska komisija) pokrene paket ulaganja za klimatski prihvatljive tehnologije i inovacije, uključujući programe financiranja. Taj bi se paket mjera trebao financirati uvoznim carinama povezanima s klimom, koje bi bile posebno pogođene i prenesene kao financijska naknada za štetu nanesenu klimatskim promjenama. U tom bi se kontekstu za određene proizvode uspostavio sustav točaka za procjenu održivosti. Jasno stajalište EU-a te snažna i inovativna Europa pridonijeli bi postizanju globalnih klimatskih ciljeva. Time bi se pridonijelo konsolidaciji uloge Europske unije kao globalnog pionira i odgovornog modela koji jamči bogatstvo i može dovesti do održivih promjena na globalnoj razini. Ti su nam ciljevi važni jer EU daje održiv doprinos borbi protiv klimatskih promjena, koje bi dugoročno mogle imati ključnu ulogu u učvršćivanju globalnog mira. </w:t>
      </w:r>
    </w:p>
    <w:p>
      <w:pPr>
        <w:pStyle w:val="Normal"/>
        <w:widowControl w:val="false"/>
        <w:spacing w:lineRule="exact" w:line="385" w:before="135" w:after="0"/>
        <w:ind w:left="0" w:right="0" w:hanging="0"/>
        <w:jc w:val="left"/>
        <w:rPr>
          <w:rFonts w:ascii="Calibri" w:hAnsi="Calibri"/>
          <w:color w:val="000000"/>
          <w:sz w:val="24"/>
        </w:rPr>
      </w:pPr>
      <w:r>
        <w:rPr>
          <w:rFonts w:ascii="Calibri" w:hAnsi="Calibri"/>
          <w:color w:val="000000"/>
          <w:sz w:val="24"/>
        </w:rPr>
      </w:r>
    </w:p>
    <w:p>
      <w:pPr>
        <w:pStyle w:val="P68B1DB1Normal44"/>
        <w:widowControl w:val="false"/>
        <w:spacing w:lineRule="exact" w:line="383"/>
        <w:ind w:left="276" w:right="0" w:hanging="0"/>
        <w:jc w:val="left"/>
        <w:rPr>
          <w:rFonts w:ascii="Times New Roman" w:hAnsi="Times New Roman"/>
          <w:i/>
          <w:i/>
          <w:color w:val="000000"/>
          <w:sz w:val="24"/>
        </w:rPr>
      </w:pPr>
      <w:r>
        <w:rPr/>
        <w:t xml:space="preserve">Okrugli stol 2: </w:t>
      </w:r>
    </w:p>
    <w:p>
      <w:pPr>
        <w:pStyle w:val="P68B1DB1Normal68"/>
        <w:widowControl w:val="false"/>
        <w:spacing w:lineRule="exact" w:line="338" w:before="321" w:after="0"/>
        <w:ind w:left="0" w:right="131" w:hanging="0"/>
        <w:jc w:val="left"/>
        <w:rPr/>
      </w:pPr>
      <w:r>
        <w:rPr/>
        <w:t xml:space="preserve">Stvaranje poticaja za provedbu proizvodnje u EU-u, posebno u pogledu robe </w:t>
      </w:r>
    </w:p>
    <w:p>
      <w:pPr>
        <w:pStyle w:val="P68B1DB1Normal20"/>
        <w:widowControl w:val="false"/>
        <w:spacing w:lineRule="exact" w:line="337" w:before="208" w:after="0"/>
        <w:ind w:left="276" w:right="121" w:hanging="0"/>
        <w:jc w:val="both"/>
        <w:rPr/>
      </w:pPr>
      <w:r>
        <w:rPr/>
        <w:t xml:space="preserve">Kako bi se olakšala proizvodnja robe u EU-u, preporučujemo ubrzanje i standardizaciju postupaka odobravanja, smanjenje birokracije i dodjelu subvencija poduzećima koja se sele u EU i/ili osnivaju proizvodne pogone u EU-u. EU bi trebao masovno promicati obnovljivu energiju kako bi se smanjili troškovi energije. </w:t>
      </w:r>
    </w:p>
    <w:p>
      <w:pPr>
        <w:pStyle w:val="P68B1DB1Normal20"/>
        <w:widowControl w:val="false"/>
        <w:spacing w:lineRule="exact" w:line="336" w:before="216" w:after="0"/>
        <w:ind w:left="276" w:right="121" w:hanging="0"/>
        <w:jc w:val="both"/>
        <w:rPr/>
      </w:pPr>
      <w:r>
        <w:rPr/>
        <w:t xml:space="preserve">Tim mjerama želimo skratiti lance opskrbe i učiniti ih klimatski prihvatljivijima, pomoći u jačanju EU-a i otvaranju radnih mjesta u kojima se poštuju ljudska prava. </w:t>
      </w:r>
    </w:p>
    <w:p>
      <w:pPr>
        <w:pStyle w:val="Normal"/>
        <w:widowControl w:val="false"/>
        <w:spacing w:lineRule="exact" w:line="336" w:before="219" w:after="0"/>
        <w:ind w:left="276" w:right="121" w:hanging="0"/>
        <w:jc w:val="both"/>
        <w:rPr/>
      </w:pPr>
      <w:r>
        <w:rPr>
          <w:rFonts w:ascii="Calibri" w:hAnsi="Calibri"/>
          <w:color w:val="000000"/>
          <w:sz w:val="24"/>
        </w:rPr>
        <w:t xml:space="preserve">Ti su nam ciljevi važni jer bi premještanje proizvodnje u EU učinilo EU neovisnijim na međunarodnoj razini i manje politički ranjivim. </w:t>
      </w:r>
      <w:r>
        <w:br w:type="page"/>
      </w:r>
    </w:p>
    <w:p>
      <w:pPr>
        <w:pStyle w:val="P68B1DB1Normal44"/>
        <w:widowControl w:val="false"/>
        <w:spacing w:lineRule="exact" w:line="383" w:before="247" w:after="0"/>
        <w:ind w:left="276" w:right="0" w:hanging="0"/>
        <w:jc w:val="left"/>
        <w:rPr>
          <w:rFonts w:ascii="Times New Roman" w:hAnsi="Times New Roman"/>
          <w:i/>
          <w:i/>
          <w:color w:val="000000"/>
          <w:sz w:val="24"/>
        </w:rPr>
      </w:pPr>
      <w:r>
        <w:rPr/>
        <w:t xml:space="preserve">Okrugli stol 1: </w:t>
      </w:r>
    </w:p>
    <w:p>
      <w:pPr>
        <w:pStyle w:val="P68B1DB1Normal68"/>
        <w:widowControl w:val="false"/>
        <w:spacing w:lineRule="exact" w:line="400" w:before="196" w:after="0"/>
        <w:ind w:left="0" w:right="0" w:hanging="0"/>
        <w:jc w:val="left"/>
        <w:rPr>
          <w:rFonts w:ascii="Calibri" w:hAnsi="Calibri"/>
          <w:b/>
          <w:b/>
          <w:color w:val="000000"/>
          <w:sz w:val="24"/>
        </w:rPr>
      </w:pPr>
      <w:r>
        <w:rPr/>
        <w:t xml:space="preserve">Digi-Score – bodovni sustav za snažno digitalno gospodarstvo diljem EU-a </w:t>
      </w:r>
    </w:p>
    <w:p>
      <w:pPr>
        <w:pStyle w:val="P68B1DB1Normal20"/>
        <w:widowControl w:val="false"/>
        <w:spacing w:lineRule="exact" w:line="337" w:before="192" w:after="0"/>
        <w:ind w:left="276" w:right="119" w:hanging="0"/>
        <w:jc w:val="both"/>
        <w:rPr/>
      </w:pPr>
      <w:r>
        <w:rPr/>
        <w:t xml:space="preserve">Predlažemo uspostavu javno dostupne digitalne nadzorne ploče pod nazivom Digi-Score kojom bi upravljala Europska komisija (GU CNECT). To bi bio precizan sustav rangiranja kojim bi se naznačila i usporedila trenutačna razina digitalne zrelosti poduzeća iz EU-a. Ovim prijedlogom želimo potaknuti veću digitalizaciju diljem Europe. Poduzeća s niskim digitalnim rezultatima imala bi pravo na ciljanu potporu kako bi im se pomoglo da dostignu. </w:t>
      </w:r>
    </w:p>
    <w:p>
      <w:pPr>
        <w:pStyle w:val="P68B1DB1Normal20"/>
        <w:widowControl w:val="false"/>
        <w:spacing w:lineRule="exact" w:line="338" w:before="219" w:after="0"/>
        <w:ind w:left="276" w:right="121" w:hanging="0"/>
        <w:jc w:val="both"/>
        <w:rPr/>
      </w:pPr>
      <w:r>
        <w:rPr/>
        <w:t xml:space="preserve">Taj nam je cilj važan jer bi pomogao utrti put većoj produktivnosti, učinkovitosti i prodaji, čime bi se ojačala uloga Europe kao temelja za proizvodnju. </w:t>
      </w:r>
    </w:p>
    <w:p>
      <w:pPr>
        <w:pStyle w:val="P68B1DB1Normal20"/>
        <w:widowControl w:val="false"/>
        <w:spacing w:lineRule="exact" w:line="385" w:before="137" w:after="0"/>
        <w:ind w:left="0" w:right="0" w:hanging="0"/>
        <w:jc w:val="left"/>
        <w:rPr>
          <w:rFonts w:ascii="Calibri" w:hAnsi="Calibri"/>
          <w:color w:val="000000"/>
          <w:sz w:val="24"/>
        </w:rPr>
      </w:pPr>
      <w:r>
        <w:rPr/>
        <w:t xml:space="preserve"> </w:t>
      </w:r>
    </w:p>
    <w:p>
      <w:pPr>
        <w:pStyle w:val="P68B1DB1Normal44"/>
        <w:widowControl w:val="false"/>
        <w:spacing w:lineRule="exact" w:line="383" w:before="271" w:after="0"/>
        <w:ind w:left="276" w:right="0" w:hanging="0"/>
        <w:jc w:val="left"/>
        <w:rPr>
          <w:rFonts w:ascii="Times New Roman" w:hAnsi="Times New Roman"/>
          <w:i/>
          <w:i/>
          <w:color w:val="000000"/>
          <w:sz w:val="24"/>
        </w:rPr>
      </w:pPr>
      <w:r>
        <w:rPr/>
        <w:t xml:space="preserve">Okrugli stol 2: </w:t>
      </w:r>
    </w:p>
    <w:p>
      <w:pPr>
        <w:pStyle w:val="P68B1DB1Normal68"/>
        <w:widowControl w:val="false"/>
        <w:spacing w:lineRule="exact" w:line="400" w:before="209" w:after="0"/>
        <w:ind w:left="0" w:right="0" w:hanging="0"/>
        <w:jc w:val="left"/>
        <w:rPr>
          <w:rFonts w:ascii="Calibri" w:hAnsi="Calibri"/>
          <w:b/>
          <w:b/>
          <w:color w:val="000000"/>
          <w:sz w:val="24"/>
        </w:rPr>
      </w:pPr>
      <w:r>
        <w:rPr/>
        <w:t xml:space="preserve">Informativna platforma za razmjenu znanja i iskustava na razini EU-a </w:t>
      </w:r>
    </w:p>
    <w:p>
      <w:pPr>
        <w:pStyle w:val="P68B1DB1Normal20"/>
        <w:widowControl w:val="false"/>
        <w:spacing w:lineRule="exact" w:line="337"/>
        <w:ind w:left="276" w:right="119" w:hanging="0"/>
        <w:jc w:val="both"/>
        <w:rPr/>
      </w:pPr>
      <w:r>
        <w:rPr/>
        <w:t xml:space="preserve">Preporučujemo da EU uspostavi informacijsku platformu za razmjenu znanja i iskustava na razini EU-a. Cilj nam je podijeliti informacije o postojećim transnacionalnim aktivnostima obrazovanja i osposobljavanja u EU-u, predstaviti primjere najbolje prakse i građanima pružiti priliku da predstave nove ideje za prekograničnu razmjenu. Osim toga, mogle bi se pružiti dodatne informacije o dostupnim forumima tehničkih stručnjaka (npr. o energiji, okolišu ili digitalnoj tranziciji). </w:t>
      </w:r>
    </w:p>
    <w:p>
      <w:pPr>
        <w:pStyle w:val="P68B1DB1Normal20"/>
        <w:widowControl w:val="false"/>
        <w:spacing w:lineRule="exact" w:line="337" w:before="216" w:after="0"/>
        <w:ind w:left="276" w:right="121" w:hanging="0"/>
        <w:jc w:val="both"/>
        <w:rPr/>
      </w:pPr>
      <w:r>
        <w:rPr/>
        <w:t xml:space="preserve">Smatramo da je to važno jer je građanima potrebna transparentnost u pogledu dostupnih prekograničnih aktivnosti obrazovanja i osposobljavanja. Trebali bi dobiti bolje smjernice na razini EU-a o postojećim forumima i platformama. </w:t>
      </w:r>
    </w:p>
    <w:p>
      <w:pPr>
        <w:pStyle w:val="Normal"/>
        <w:spacing w:lineRule="auto" w:line="240"/>
        <w:rPr/>
      </w:pPr>
      <w:r>
        <w:rPr/>
      </w:r>
      <w:r>
        <w:br w:type="page"/>
      </w:r>
    </w:p>
    <w:p>
      <w:pPr>
        <w:pStyle w:val="P68B1DB1Normal44"/>
        <w:spacing w:lineRule="auto" w:line="240"/>
        <w:rPr>
          <w:rFonts w:ascii="Times New Roman" w:hAnsi="Times New Roman"/>
          <w:i/>
          <w:i/>
          <w:color w:val="000000"/>
          <w:sz w:val="24"/>
        </w:rPr>
      </w:pPr>
      <w:r>
        <w:rPr/>
        <w:t xml:space="preserve">Okrugli stol 1: </w:t>
      </w:r>
    </w:p>
    <w:p>
      <w:pPr>
        <w:pStyle w:val="P68B1DB1Normal68"/>
        <w:widowControl w:val="false"/>
        <w:spacing w:lineRule="exact" w:line="400" w:before="196" w:after="0"/>
        <w:ind w:left="0" w:right="0" w:hanging="0"/>
        <w:jc w:val="left"/>
        <w:rPr>
          <w:rFonts w:ascii="Calibri" w:hAnsi="Calibri"/>
          <w:b/>
          <w:b/>
          <w:color w:val="000000"/>
          <w:sz w:val="24"/>
        </w:rPr>
      </w:pPr>
      <w:r>
        <w:rPr/>
        <w:t xml:space="preserve">Uredba o životnom vijeku proizvoda </w:t>
      </w:r>
    </w:p>
    <w:p>
      <w:pPr>
        <w:pStyle w:val="P68B1DB1Normal20"/>
        <w:widowControl w:val="false"/>
        <w:spacing w:lineRule="exact" w:line="337" w:before="192" w:after="0"/>
        <w:ind w:left="276" w:right="119" w:hanging="0"/>
        <w:jc w:val="both"/>
        <w:rPr/>
      </w:pPr>
      <w:r>
        <w:rPr/>
        <w:t xml:space="preserve">Preporučujemo da EU donese zakonodavstvo za utvrđivanje produljenog, zajamčenog i specifičnog životnog vijeka za svaki proizvod koji se proizvodi i prodaje u EU-u te da bude transparentan u odnosu na potrošače u tom pogledu. </w:t>
      </w:r>
    </w:p>
    <w:p>
      <w:pPr>
        <w:pStyle w:val="P68B1DB1Normal20"/>
        <w:widowControl w:val="false"/>
        <w:spacing w:lineRule="exact" w:line="336" w:before="219" w:after="0"/>
        <w:ind w:left="276" w:right="126" w:hanging="0"/>
        <w:jc w:val="both"/>
        <w:rPr/>
      </w:pPr>
      <w:r>
        <w:rPr/>
        <w:t xml:space="preserve">Resursi su ograničeni i time bi se uštedio novac i smanjio rasipanje, što bi pogodovalo okolišu, klimi i potrošačima. </w:t>
      </w:r>
    </w:p>
    <w:p>
      <w:pPr>
        <w:pStyle w:val="P68B1DB1Normal20"/>
        <w:widowControl w:val="false"/>
        <w:spacing w:lineRule="exact" w:line="338" w:before="216" w:after="0"/>
        <w:ind w:left="276" w:right="131" w:hanging="0"/>
        <w:jc w:val="left"/>
        <w:rPr/>
      </w:pPr>
      <w:r>
        <w:rPr/>
        <w:t xml:space="preserve">Želimo potaknuti proizvođače da na tržište stave trajnije i popravljive proizvode. </w:t>
      </w:r>
    </w:p>
    <w:p>
      <w:pPr>
        <w:pStyle w:val="P68B1DB1Normal69"/>
        <w:widowControl w:val="false"/>
        <w:spacing w:lineRule="exact" w:line="332" w:before="138" w:after="0"/>
        <w:ind w:left="0" w:right="0" w:hanging="0"/>
        <w:jc w:val="left"/>
        <w:rPr>
          <w:rFonts w:ascii="Calibri" w:hAnsi="Calibri"/>
          <w:b/>
          <w:b/>
          <w:color w:val="000000"/>
          <w:sz w:val="20"/>
        </w:rPr>
      </w:pPr>
      <w:r>
        <w:rPr/>
        <w:t xml:space="preserve"> </w:t>
      </w:r>
    </w:p>
    <w:p>
      <w:pPr>
        <w:pStyle w:val="P68B1DB1Normal44"/>
        <w:widowControl w:val="false"/>
        <w:spacing w:lineRule="exact" w:line="383" w:before="107" w:after="0"/>
        <w:ind w:left="276" w:right="0" w:hanging="0"/>
        <w:jc w:val="left"/>
        <w:rPr>
          <w:rFonts w:ascii="Times New Roman" w:hAnsi="Times New Roman"/>
          <w:i/>
          <w:i/>
          <w:color w:val="000000"/>
          <w:sz w:val="24"/>
        </w:rPr>
      </w:pPr>
      <w:r>
        <w:rPr/>
        <w:t xml:space="preserve">Okrugli stol 2: </w:t>
      </w:r>
    </w:p>
    <w:p>
      <w:pPr>
        <w:pStyle w:val="P68B1DB1Normal68"/>
        <w:widowControl w:val="false"/>
        <w:spacing w:lineRule="exact" w:line="400" w:before="321" w:after="0"/>
        <w:ind w:left="0" w:right="0" w:hanging="0"/>
        <w:jc w:val="left"/>
        <w:rPr>
          <w:rFonts w:ascii="Calibri" w:hAnsi="Calibri"/>
          <w:b/>
          <w:b/>
          <w:color w:val="000000"/>
          <w:sz w:val="24"/>
        </w:rPr>
      </w:pPr>
      <w:r>
        <w:rPr/>
        <w:t xml:space="preserve">Dugoročna kampanja EU-a za održivu potrošnju i način života </w:t>
      </w:r>
    </w:p>
    <w:p>
      <w:pPr>
        <w:pStyle w:val="P68B1DB1Normal20"/>
        <w:widowControl w:val="false"/>
        <w:spacing w:lineRule="exact" w:line="336"/>
        <w:ind w:left="276" w:right="126" w:hanging="0"/>
        <w:jc w:val="left"/>
        <w:rPr/>
      </w:pPr>
      <w:r>
        <w:rPr/>
        <w:t xml:space="preserve">Preporučujemo da europsko tijelo, uključujući podružnice u državama članicama EU-a, raspolaže vlastitim sredstvima i da vodi ovu kampanju. </w:t>
      </w:r>
    </w:p>
    <w:p>
      <w:pPr>
        <w:pStyle w:val="P68B1DB1Normal20"/>
        <w:widowControl w:val="false"/>
        <w:spacing w:lineRule="exact" w:line="336" w:before="219" w:after="0"/>
        <w:ind w:left="276" w:right="128" w:hanging="0"/>
        <w:jc w:val="both"/>
        <w:rPr/>
      </w:pPr>
      <w:r>
        <w:rPr/>
        <w:t xml:space="preserve">Naš je cilj osigurati da se svi građani EU-a prepoznaju u zajedničkom identitetu, da postanu svjesniji potrebe za održivom potrošnjom i načinom života te da prihvate takav način života. </w:t>
      </w:r>
    </w:p>
    <w:p>
      <w:pPr>
        <w:pStyle w:val="P68B1DB1Normal20"/>
        <w:widowControl w:val="false"/>
        <w:spacing w:lineRule="exact" w:line="336" w:before="216" w:after="0"/>
        <w:ind w:left="276" w:right="128" w:hanging="0"/>
        <w:jc w:val="left"/>
        <w:rPr/>
      </w:pPr>
      <w:r>
        <w:rPr/>
        <w:t xml:space="preserve">Ti su nam ciljevi važni jer želimo probuditi intrinzičnu motivaciju za održiv način života. </w:t>
      </w:r>
    </w:p>
    <w:p>
      <w:pPr>
        <w:pStyle w:val="Normal"/>
        <w:spacing w:lineRule="auto" w:line="240"/>
        <w:rPr/>
      </w:pPr>
      <w:r>
        <w:rPr/>
      </w:r>
      <w:r>
        <w:br w:type="page"/>
      </w:r>
    </w:p>
    <w:p>
      <w:pPr>
        <w:pStyle w:val="P68B1DB1Normal44"/>
        <w:widowControl w:val="false"/>
        <w:spacing w:lineRule="exact" w:line="383" w:before="247" w:after="0"/>
        <w:ind w:left="276" w:right="0" w:hanging="0"/>
        <w:jc w:val="left"/>
        <w:rPr>
          <w:rFonts w:ascii="Times New Roman" w:hAnsi="Times New Roman"/>
          <w:i/>
          <w:i/>
          <w:color w:val="000000"/>
          <w:sz w:val="24"/>
        </w:rPr>
      </w:pPr>
      <w:r>
        <w:rPr/>
        <w:t xml:space="preserve">Okrugli stol 1: </w:t>
      </w:r>
    </w:p>
    <w:p>
      <w:pPr>
        <w:pStyle w:val="P68B1DB1Normal68"/>
        <w:widowControl w:val="false"/>
        <w:spacing w:lineRule="exact" w:line="400" w:before="88" w:after="0"/>
        <w:ind w:left="0" w:right="0" w:hanging="0"/>
        <w:jc w:val="left"/>
        <w:rPr>
          <w:rFonts w:ascii="Calibri" w:hAnsi="Calibri"/>
          <w:b/>
          <w:b/>
          <w:color w:val="000000"/>
          <w:sz w:val="24"/>
        </w:rPr>
      </w:pPr>
      <w:r>
        <w:rPr/>
        <w:t xml:space="preserve">Stvaranje više mogućnosti razmjene za studente u Europi </w:t>
      </w:r>
    </w:p>
    <w:p>
      <w:pPr>
        <w:pStyle w:val="P68B1DB1Normal20"/>
        <w:widowControl w:val="false"/>
        <w:spacing w:lineRule="exact" w:line="293" w:before="162" w:after="0"/>
        <w:ind w:left="276" w:right="123" w:hanging="0"/>
        <w:jc w:val="both"/>
        <w:rPr/>
      </w:pPr>
      <w:r>
        <w:rPr/>
        <w:t xml:space="preserve">Preporučujemo da Europska unija, uz program Erasmus, donese i uredbu o programu razmjene učenika i studenata u dobi od 14 do 25 godina, bez obzira na njihovo podrijetlo, spol i razinu obrazovanja. Taj program razmjene trebale bi sustavno uspostavljati i promicati škole na lokalnoj razini. Svaki učenik bi trebao imati priliku sudjelovati u programu razmjene u bilo kojem trenutku školovanja. U tu bi svrhu Europska komisija trebala podnijeti prijedlog Europskom parlamentu i Europskom vijeću. </w:t>
      </w:r>
    </w:p>
    <w:p>
      <w:pPr>
        <w:pStyle w:val="P68B1DB1Normal20"/>
        <w:widowControl w:val="false"/>
        <w:spacing w:lineRule="exact" w:line="293" w:before="168" w:after="0"/>
        <w:ind w:left="276" w:right="123" w:hanging="0"/>
        <w:jc w:val="both"/>
        <w:rPr/>
      </w:pPr>
      <w:r>
        <w:rPr/>
        <w:t xml:space="preserve">Cilj nam je studentima, bez obzira na njihov akademski uspjeh i financijsku potporu roditelja, pružiti priliku da sudjeluju u programima razmjene diljem Europe. Kulturu europskih razmjena trebalo bi poticati od školske dobi. Prije svega, važno je da programi razmjene budu lako dostupni i da ne sadrže birokraciju. Ovim programom razmjene želimo uspostaviti europsku solidarnost i smanjiti jezične prepreke. U tom se kontekstu mora voditi računa o pravičnosti u obrazovanju i sudjelovanju u obrazovanju kako bi se ojačale međukulturne i komunikacijske vještine. </w:t>
      </w:r>
    </w:p>
    <w:p>
      <w:pPr>
        <w:pStyle w:val="P68B1DB1Normal20"/>
        <w:widowControl w:val="false"/>
        <w:spacing w:lineRule="exact" w:line="293" w:before="168" w:after="0"/>
        <w:ind w:left="276" w:right="123" w:hanging="0"/>
        <w:jc w:val="both"/>
        <w:rPr/>
      </w:pPr>
      <w:r>
        <w:rPr/>
        <w:t xml:space="preserve">Ti su nam ciljevi važni jer mogu pomoći u promicanju europske kohezije, jačanju poštovanja i suradnje te prenijeti europske vrijednosti od rane dobi kako bi se raznolikost Europe mogla smatrati prigodom. </w:t>
      </w:r>
    </w:p>
    <w:p>
      <w:pPr>
        <w:pStyle w:val="P68B1DB1Normal20"/>
        <w:widowControl w:val="false"/>
        <w:spacing w:lineRule="exact" w:line="385" w:before="92" w:after="0"/>
        <w:ind w:left="0" w:right="0" w:hanging="0"/>
        <w:jc w:val="left"/>
        <w:rPr>
          <w:rFonts w:ascii="Calibri" w:hAnsi="Calibri"/>
          <w:color w:val="000000"/>
          <w:sz w:val="24"/>
        </w:rPr>
      </w:pPr>
      <w:r>
        <w:rPr/>
        <w:t xml:space="preserve"> </w:t>
      </w:r>
    </w:p>
    <w:p>
      <w:pPr>
        <w:pStyle w:val="P68B1DB1Normal44"/>
        <w:widowControl w:val="false"/>
        <w:spacing w:lineRule="exact" w:line="383" w:before="112" w:after="0"/>
        <w:ind w:left="276" w:right="0" w:hanging="0"/>
        <w:jc w:val="left"/>
        <w:rPr>
          <w:rFonts w:ascii="Times New Roman" w:hAnsi="Times New Roman"/>
          <w:i/>
          <w:i/>
          <w:color w:val="000000"/>
          <w:sz w:val="24"/>
        </w:rPr>
      </w:pPr>
      <w:r>
        <w:rPr/>
        <w:t xml:space="preserve">Okrugli stol 2: </w:t>
      </w:r>
    </w:p>
    <w:p>
      <w:pPr>
        <w:pStyle w:val="P68B1DB1Normal68"/>
        <w:widowControl w:val="false"/>
        <w:spacing w:lineRule="exact" w:line="400" w:before="205" w:after="0"/>
        <w:ind w:left="0" w:right="0" w:hanging="0"/>
        <w:jc w:val="left"/>
        <w:rPr>
          <w:rFonts w:ascii="Calibri" w:hAnsi="Calibri"/>
          <w:b/>
          <w:b/>
          <w:color w:val="000000"/>
          <w:sz w:val="24"/>
        </w:rPr>
      </w:pPr>
      <w:r>
        <w:rPr/>
        <w:t xml:space="preserve">Utvrđivanje osnovne plaće specifične za zapošljavanje </w:t>
      </w:r>
    </w:p>
    <w:p>
      <w:pPr>
        <w:pStyle w:val="P68B1DB1Normal20"/>
        <w:widowControl w:val="false"/>
        <w:spacing w:lineRule="exact" w:line="293"/>
        <w:ind w:left="276" w:right="121" w:hanging="0"/>
        <w:jc w:val="both"/>
        <w:rPr/>
      </w:pPr>
      <w:r>
        <w:rPr/>
        <w:t xml:space="preserve">Preporučujemo da europski povjerenik za zapošljavanje i socijalna prava Europskom parlamentu podnese prijedlog za uspostavu osnovne plaće specifične za zapošljavanje u svim državama članicama. Ta osnovna plaća trebala bi se sastojati od minimalnog dohotka dostatnog za život i posebne dopune zapošljavanju. </w:t>
      </w:r>
    </w:p>
    <w:p>
      <w:pPr>
        <w:pStyle w:val="P68B1DB1Normal20"/>
        <w:widowControl w:val="false"/>
        <w:spacing w:lineRule="exact" w:line="293" w:before="173" w:after="0"/>
        <w:ind w:left="276" w:right="121" w:hanging="0"/>
        <w:jc w:val="both"/>
        <w:rPr/>
      </w:pPr>
      <w:r>
        <w:rPr/>
        <w:t xml:space="preserve">Cilj nam je osigurati usporedivost profesionalnih rezultata i plaća diljem EU-a kako bi se ojačala socijalna pravda. Taj nam je cilj važan jer bi se njime osiguralo da tržište rada poštuje temeljno načelo EU-a: usporedivi životni i radni uvjeti, bez obzira na mjesto boravišta i zanimanja osobe. </w:t>
      </w:r>
    </w:p>
    <w:p>
      <w:pPr>
        <w:pStyle w:val="Normal"/>
        <w:spacing w:lineRule="auto" w:line="240"/>
        <w:rPr/>
      </w:pPr>
      <w:r>
        <w:rPr/>
      </w:r>
      <w:r>
        <w:br w:type="page"/>
      </w:r>
    </w:p>
    <w:p>
      <w:pPr>
        <w:pStyle w:val="P68B1DB1Normal44"/>
        <w:spacing w:lineRule="auto" w:line="240"/>
        <w:rPr>
          <w:rFonts w:ascii="Times New Roman" w:hAnsi="Times New Roman"/>
          <w:i/>
          <w:i/>
          <w:color w:val="000000"/>
          <w:sz w:val="24"/>
        </w:rPr>
      </w:pPr>
      <w:r>
        <w:rPr/>
        <w:t xml:space="preserve">Okrugli stol 1: </w:t>
      </w:r>
    </w:p>
    <w:p>
      <w:pPr>
        <w:pStyle w:val="P68B1DB1Normal68"/>
        <w:widowControl w:val="false"/>
        <w:spacing w:lineRule="exact" w:line="400" w:before="196" w:after="0"/>
        <w:ind w:left="0" w:right="0" w:hanging="0"/>
        <w:jc w:val="left"/>
        <w:rPr>
          <w:rFonts w:ascii="Calibri" w:hAnsi="Calibri"/>
          <w:b/>
          <w:b/>
          <w:color w:val="000000"/>
          <w:sz w:val="24"/>
        </w:rPr>
      </w:pPr>
      <w:r>
        <w:rPr/>
        <w:t xml:space="preserve">Utjelovljivanje europskih vrijednosti i njihovo priopćavanje privlačnim emocijama </w:t>
      </w:r>
    </w:p>
    <w:p>
      <w:pPr>
        <w:pStyle w:val="P68B1DB1Normal20"/>
        <w:widowControl w:val="false"/>
        <w:spacing w:lineRule="exact" w:line="338" w:before="192" w:after="0"/>
        <w:ind w:left="276" w:right="126" w:hanging="0"/>
        <w:jc w:val="both"/>
        <w:rPr/>
      </w:pPr>
      <w:r>
        <w:rPr/>
        <w:t xml:space="preserve">Preporučujemo da europske vrijednosti budu konkretnije i da komuniciraju s više emocija. To bismo mogli postići, primjerice, paketom „integracije” koji obuhvaća medije, interaktivne elemente i veće sudjelovanje građana. </w:t>
      </w:r>
    </w:p>
    <w:p>
      <w:pPr>
        <w:pStyle w:val="P68B1DB1Normal20"/>
        <w:widowControl w:val="false"/>
        <w:spacing w:lineRule="exact" w:line="336" w:before="216" w:after="0"/>
        <w:ind w:left="276" w:right="126" w:hanging="0"/>
        <w:jc w:val="left"/>
        <w:rPr/>
      </w:pPr>
      <w:r>
        <w:rPr/>
        <w:t xml:space="preserve">Naš je cilj da svi koji žive u EU-u poznaju i prihvate zajedničke vrijednosti. </w:t>
      </w:r>
    </w:p>
    <w:p>
      <w:pPr>
        <w:pStyle w:val="P68B1DB1Normal20"/>
        <w:widowControl w:val="false"/>
        <w:spacing w:lineRule="exact" w:line="337" w:before="216" w:after="0"/>
        <w:ind w:left="276" w:right="119" w:hanging="0"/>
        <w:jc w:val="both"/>
        <w:rPr/>
      </w:pPr>
      <w:r>
        <w:rPr/>
        <w:t xml:space="preserve">Taj nam je cilj važan jer čini osnovu našeg suživota unutar naše zajednice vrijednosti. Te vrijednosti su premalo poznate jer nedostaje osobna veza. Moramo uspostaviti tu vezu. </w:t>
      </w:r>
    </w:p>
    <w:p>
      <w:pPr>
        <w:pStyle w:val="P68B1DB1Normal20"/>
        <w:widowControl w:val="false"/>
        <w:spacing w:lineRule="exact" w:line="385" w:before="135" w:after="0"/>
        <w:ind w:left="0" w:right="0" w:hanging="0"/>
        <w:jc w:val="left"/>
        <w:rPr>
          <w:rFonts w:ascii="Calibri" w:hAnsi="Calibri"/>
          <w:color w:val="000000"/>
          <w:sz w:val="24"/>
        </w:rPr>
      </w:pPr>
      <w:r>
        <w:rPr/>
        <w:t xml:space="preserve"> </w:t>
      </w:r>
    </w:p>
    <w:p>
      <w:pPr>
        <w:pStyle w:val="P68B1DB1Normal44"/>
        <w:widowControl w:val="false"/>
        <w:spacing w:lineRule="exact" w:line="383" w:before="114" w:after="0"/>
        <w:ind w:left="276" w:right="0" w:hanging="0"/>
        <w:jc w:val="left"/>
        <w:rPr>
          <w:rFonts w:ascii="Times New Roman" w:hAnsi="Times New Roman"/>
          <w:i/>
          <w:i/>
          <w:color w:val="000000"/>
          <w:sz w:val="24"/>
        </w:rPr>
      </w:pPr>
      <w:r>
        <w:rPr/>
        <w:t xml:space="preserve">Okrugli stol 2: </w:t>
      </w:r>
    </w:p>
    <w:p>
      <w:pPr>
        <w:pStyle w:val="P68B1DB1Normal68"/>
        <w:widowControl w:val="false"/>
        <w:spacing w:lineRule="exact" w:line="400" w:before="211" w:after="0"/>
        <w:ind w:left="0" w:right="0" w:hanging="0"/>
        <w:jc w:val="left"/>
        <w:rPr>
          <w:rFonts w:ascii="Calibri" w:hAnsi="Calibri"/>
          <w:b/>
          <w:b/>
          <w:color w:val="000000"/>
          <w:sz w:val="24"/>
        </w:rPr>
      </w:pPr>
      <w:r>
        <w:rPr/>
        <w:t xml:space="preserve">Život u EU-u </w:t>
      </w:r>
    </w:p>
    <w:p>
      <w:pPr>
        <w:pStyle w:val="P68B1DB1Normal20"/>
        <w:widowControl w:val="false"/>
        <w:spacing w:lineRule="exact" w:line="337" w:before="191" w:after="0"/>
        <w:ind w:left="276" w:right="116" w:hanging="0"/>
        <w:jc w:val="both"/>
        <w:rPr/>
      </w:pPr>
      <w:r>
        <w:rPr/>
        <w:t xml:space="preserve">Preporučujemo da EU uspostavi vlastiti obrazovni i informacijski televizijski program radi podizanja svijesti svih građana EU-a o našim zajedničkim vrijednostima i osiguravanja jednostavnog i neometanog pristupa tim informacijama za sve. Ti su nam ciljevi važni jer želimo bolje razumjeti javno mnijenje u svakoj od zemalja EU-a. Na taj način želimo ojačati zajedničko stajalište i pomoći građanima da promiču veću solidarnost i osposobljavaju ih za vladavinu prava kako bi se očuvala demokracija. </w:t>
      </w:r>
    </w:p>
    <w:p>
      <w:pPr>
        <w:pStyle w:val="P68B1DB1Normal33"/>
        <w:widowControl w:val="false"/>
        <w:spacing w:lineRule="exact" w:line="399" w:before="365" w:after="0"/>
        <w:ind w:left="4819" w:right="0" w:hanging="0"/>
        <w:jc w:val="left"/>
        <w:rPr/>
      </w:pPr>
      <w:r>
        <w:rPr/>
        <w:t xml:space="preserve"> </w:t>
      </w:r>
      <w:r>
        <w:rPr/>
        <w:t>___</w:t>
      </w:r>
    </w:p>
    <w:p>
      <w:pPr>
        <w:pStyle w:val="Normal"/>
        <w:spacing w:lineRule="auto" w:line="240"/>
        <w:rPr/>
      </w:pPr>
      <w:r>
        <w:rPr/>
      </w:r>
      <w:r>
        <w:br w:type="page"/>
      </w:r>
    </w:p>
    <w:p>
      <w:pPr>
        <w:pStyle w:val="Titre1"/>
        <w:numPr>
          <w:ilvl w:val="0"/>
          <w:numId w:val="2"/>
        </w:numPr>
        <w:rPr/>
      </w:pPr>
      <w:bookmarkStart w:id="215" w:name="__RefHeading___Toc297355_1346298689"/>
      <w:bookmarkEnd w:id="215"/>
      <w:r>
        <w:rPr/>
        <w:t>II D Nacionalni paneli: Italija</w:t>
      </w:r>
    </w:p>
    <w:p>
      <w:pPr>
        <w:pStyle w:val="P68B1DB1Normal70"/>
        <w:spacing w:lineRule="auto" w:line="240"/>
        <w:jc w:val="center"/>
        <w:rPr/>
      </w:pPr>
      <w:r>
        <w:rPr/>
        <w:t xml:space="preserve">Panel građana i građanki dat će preporuke za Konferenciju o budućnosti Europe, 11. i 12. ožujka 2022. </w:t>
      </w:r>
    </w:p>
    <w:p>
      <w:pPr>
        <w:pStyle w:val="P68B1DB1Normal71"/>
        <w:widowControl w:val="false"/>
        <w:spacing w:lineRule="exact" w:line="916" w:before="147" w:after="0"/>
        <w:ind w:left="2234" w:right="0" w:hanging="0"/>
        <w:jc w:val="left"/>
        <w:rPr>
          <w:rFonts w:ascii="Arial" w:hAnsi="Arial"/>
          <w:color w:val="BD1271"/>
          <w:sz w:val="56"/>
        </w:rPr>
      </w:pPr>
      <w:r>
        <w:rPr/>
        <w:t xml:space="preserve">Sažeto izvješće </w:t>
      </w:r>
    </w:p>
    <w:p>
      <w:pPr>
        <w:pStyle w:val="Normal"/>
        <w:widowControl w:val="false"/>
        <w:spacing w:lineRule="exact" w:line="719" w:before="216" w:after="0"/>
        <w:ind w:left="4819" w:right="0" w:hanging="0"/>
        <w:jc w:val="left"/>
        <w:rPr/>
      </w:pPr>
      <w:r>
        <w:rPr>
          <w:color w:val="BD1271"/>
          <w:sz w:val="44"/>
        </w:rPr>
        <w:t xml:space="preserve"> </w:t>
      </w:r>
      <w:r>
        <w:rPr>
          <w:color w:val="000000"/>
          <w:sz w:val="32"/>
        </w:rPr>
        <w:t>Rim, 16. ožujka 2022.</w:t>
      </w:r>
    </w:p>
    <w:p>
      <w:pPr>
        <w:pStyle w:val="P68B1DB1Normal72"/>
        <w:widowControl w:val="false"/>
        <w:spacing w:lineRule="exact" w:line="719" w:before="216" w:after="0"/>
        <w:ind w:left="4819" w:right="0" w:hanging="0"/>
        <w:jc w:val="left"/>
        <w:rPr>
          <w:rFonts w:ascii="Arial" w:hAnsi="Arial"/>
          <w:color w:val="BD1271"/>
          <w:sz w:val="44"/>
        </w:rPr>
      </w:pPr>
      <w:r>
        <w:rPr>
          <w:color w:val="BD1271"/>
          <w:sz w:val="44"/>
        </w:rPr>
        <w:drawing>
          <wp:anchor behindDoc="0" distT="0" distB="0" distL="0" distR="0" simplePos="0" locked="0" layoutInCell="1" allowOverlap="1" relativeHeight="41">
            <wp:simplePos x="0" y="0"/>
            <wp:positionH relativeFrom="column">
              <wp:posOffset>50800</wp:posOffset>
            </wp:positionH>
            <wp:positionV relativeFrom="paragraph">
              <wp:posOffset>155575</wp:posOffset>
            </wp:positionV>
            <wp:extent cx="810895" cy="956310"/>
            <wp:effectExtent l="0" t="0" r="0" b="0"/>
            <wp:wrapSquare wrapText="largest"/>
            <wp:docPr id="99" name="Slika 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Slika 42" descr=""/>
                    <pic:cNvPicPr>
                      <a:picLocks noChangeAspect="1" noChangeArrowheads="1"/>
                    </pic:cNvPicPr>
                  </pic:nvPicPr>
                  <pic:blipFill>
                    <a:blip r:embed="rId103"/>
                    <a:stretch>
                      <a:fillRect/>
                    </a:stretch>
                  </pic:blipFill>
                  <pic:spPr bwMode="auto">
                    <a:xfrm>
                      <a:off x="0" y="0"/>
                      <a:ext cx="810895" cy="956310"/>
                    </a:xfrm>
                    <a:prstGeom prst="rect">
                      <a:avLst/>
                    </a:prstGeom>
                  </pic:spPr>
                </pic:pic>
              </a:graphicData>
            </a:graphic>
          </wp:anchor>
        </w:drawing>
      </w:r>
    </w:p>
    <w:p>
      <w:pPr>
        <w:pStyle w:val="Normal"/>
        <w:spacing w:lineRule="auto" w:line="240"/>
        <w:rPr/>
      </w:pPr>
      <w:r>
        <w:rPr/>
      </w:r>
    </w:p>
    <w:p>
      <w:pPr>
        <w:pStyle w:val="Normal"/>
        <w:spacing w:lineRule="auto" w:line="240"/>
        <w:rPr/>
      </w:pPr>
      <w:r>
        <w:rPr/>
      </w:r>
      <w:r>
        <w:br w:type="page"/>
      </w:r>
    </w:p>
    <w:sdt>
      <w:sdtPr>
        <w:docPartObj>
          <w:docPartGallery w:val="Table of Contents"/>
          <w:docPartUnique w:val="true"/>
        </w:docPartObj>
      </w:sdtPr>
      <w:sdtContent>
        <w:p>
          <w:pPr>
            <w:pStyle w:val="TOAHeading"/>
            <w:rPr/>
          </w:pPr>
          <w:r>
            <w:rPr/>
            <w:t>Sadržaj</w:t>
          </w:r>
        </w:p>
        <w:p>
          <w:pPr>
            <w:pStyle w:val="Tabledesmatiresniveau1"/>
            <w:rPr/>
          </w:pPr>
          <w:r>
            <w:fldChar w:fldCharType="begin"/>
          </w:r>
          <w:r>
            <w:rPr>
              <w:rStyle w:val="Sautdindex"/>
            </w:rPr>
            <w:instrText> TOC \f \o "1-4" \h</w:instrText>
          </w:r>
          <w:r>
            <w:rPr>
              <w:rStyle w:val="Sautdindex"/>
            </w:rPr>
            <w:fldChar w:fldCharType="separate"/>
          </w:r>
          <w:hyperlink w:anchor="__RefHeading___Toc297355_1346298689">
            <w:r>
              <w:rPr>
                <w:rStyle w:val="Sautdindex"/>
              </w:rPr>
              <w:t>II D Panels nationaux : Italie</w:t>
              <w:tab/>
              <w:t>227</w:t>
            </w:r>
          </w:hyperlink>
        </w:p>
        <w:p>
          <w:pPr>
            <w:pStyle w:val="Tabledesmatiresniveau2"/>
            <w:tabs>
              <w:tab w:val="right" w:pos="9638" w:leader="dot"/>
            </w:tabs>
            <w:rPr/>
          </w:pPr>
          <w:hyperlink w:anchor="__RefHeading___Toc300308_1346298689">
            <w:r>
              <w:rPr>
                <w:rStyle w:val="Sautdindex"/>
              </w:rPr>
              <w:t>1. Principes directeurs du processus d'organisation du panel</w:t>
              <w:tab/>
              <w:t>229</w:t>
            </w:r>
          </w:hyperlink>
        </w:p>
        <w:p>
          <w:pPr>
            <w:pStyle w:val="Tabledesmatiresniveau2"/>
            <w:tabs>
              <w:tab w:val="right" w:pos="9638" w:leader="dot"/>
            </w:tabs>
            <w:rPr/>
          </w:pPr>
          <w:hyperlink w:anchor="__RefHeading___Toc300310_1346298689">
            <w:r>
              <w:rPr>
                <w:rStyle w:val="Sautdindex"/>
              </w:rPr>
              <w:t>2. Sélection des participants et modalité de participation</w:t>
              <w:tab/>
              <w:t>230</w:t>
            </w:r>
          </w:hyperlink>
        </w:p>
        <w:p>
          <w:pPr>
            <w:pStyle w:val="Tabledesmatiresniveau2"/>
            <w:tabs>
              <w:tab w:val="right" w:pos="9638" w:leader="dot"/>
            </w:tabs>
            <w:rPr/>
          </w:pPr>
          <w:hyperlink w:anchor="__RefHeading___Toc300312_1346298689">
            <w:r>
              <w:rPr>
                <w:rStyle w:val="Sautdindex"/>
              </w:rPr>
              <w:t>3. Organisation du panel</w:t>
              <w:tab/>
              <w:t>233</w:t>
            </w:r>
          </w:hyperlink>
        </w:p>
        <w:p>
          <w:pPr>
            <w:pStyle w:val="Tabledesmatiresniveau2"/>
            <w:tabs>
              <w:tab w:val="right" w:pos="9638" w:leader="dot"/>
            </w:tabs>
            <w:rPr/>
          </w:pPr>
          <w:hyperlink w:anchor="__RefHeading___Toc300314_1346298689">
            <w:r>
              <w:rPr>
                <w:rStyle w:val="Sautdindex"/>
              </w:rPr>
              <w:t>4. Programme de travail</w:t>
              <w:tab/>
              <w:t>233</w:t>
            </w:r>
          </w:hyperlink>
        </w:p>
        <w:p>
          <w:pPr>
            <w:pStyle w:val="Tabledesmatiresniveau2"/>
            <w:tabs>
              <w:tab w:val="right" w:pos="9638" w:leader="dot"/>
            </w:tabs>
            <w:rPr/>
          </w:pPr>
          <w:hyperlink w:anchor="__RefHeading___Toc300316_1346298689">
            <w:r>
              <w:rPr>
                <w:rStyle w:val="Sautdindex"/>
              </w:rPr>
              <w:t>5. Recommandations formulées</w:t>
              <w:tab/>
              <w:t>235</w:t>
            </w:r>
          </w:hyperlink>
        </w:p>
        <w:p>
          <w:pPr>
            <w:pStyle w:val="Tabledesmatiresniveau3"/>
            <w:tabs>
              <w:tab w:val="right" w:pos="9638" w:leader="dot"/>
            </w:tabs>
            <w:rPr/>
          </w:pPr>
          <w:hyperlink w:anchor="__RefHeading___Toc300318_1346298689">
            <w:r>
              <w:rPr>
                <w:rStyle w:val="Sautdindex"/>
              </w:rPr>
              <w:t>Une économie plus forte, justice sociale et emploi</w:t>
              <w:tab/>
              <w:t>235</w:t>
            </w:r>
          </w:hyperlink>
        </w:p>
        <w:p>
          <w:pPr>
            <w:pStyle w:val="Tabledesmatiresniveau4"/>
            <w:tabs>
              <w:tab w:val="right" w:pos="9638" w:leader="dot"/>
            </w:tabs>
            <w:rPr/>
          </w:pPr>
          <w:hyperlink w:anchor="__RefHeading___Toc300428_1346298689">
            <w:r>
              <w:rPr>
                <w:rStyle w:val="Sautdindex"/>
              </w:rPr>
              <w:t>1. Dépasser le modèle de production du siècle passé</w:t>
              <w:tab/>
              <w:t>235</w:t>
            </w:r>
          </w:hyperlink>
        </w:p>
        <w:p>
          <w:pPr>
            <w:pStyle w:val="Tabledesmatiresniveau4"/>
            <w:tabs>
              <w:tab w:val="right" w:pos="9638" w:leader="dot"/>
            </w:tabs>
            <w:rPr/>
          </w:pPr>
          <w:hyperlink w:anchor="__RefHeading___Toc300430_1346298689">
            <w:r>
              <w:rPr>
                <w:rStyle w:val="Sautdindex"/>
              </w:rPr>
              <w:t>2. Règlements génératifs et inclusifs en matière de production</w:t>
              <w:tab/>
              <w:t>235</w:t>
            </w:r>
          </w:hyperlink>
        </w:p>
        <w:p>
          <w:pPr>
            <w:pStyle w:val="Tabledesmatiresniveau4"/>
            <w:tabs>
              <w:tab w:val="right" w:pos="9638" w:leader="dot"/>
            </w:tabs>
            <w:rPr/>
          </w:pPr>
          <w:hyperlink w:anchor="__RefHeading___Toc300432_1346298689">
            <w:r>
              <w:rPr>
                <w:rStyle w:val="Sautdindex"/>
              </w:rPr>
              <w:t>3. Mesurer la croissance à l'aune du bonheur au sein de la population plutôt que de la quantité de produits</w:t>
              <w:tab/>
              <w:t>236</w:t>
            </w:r>
          </w:hyperlink>
        </w:p>
        <w:p>
          <w:pPr>
            <w:pStyle w:val="Tabledesmatiresniveau4"/>
            <w:tabs>
              <w:tab w:val="right" w:pos="9638" w:leader="dot"/>
            </w:tabs>
            <w:rPr/>
          </w:pPr>
          <w:hyperlink w:anchor="__RefHeading___Toc300434_1346298689">
            <w:r>
              <w:rPr>
                <w:rStyle w:val="Sautdindex"/>
              </w:rPr>
              <w:t>4. Une plus grande intégration parmi les États</w:t>
              <w:tab/>
              <w:t>237</w:t>
            </w:r>
          </w:hyperlink>
        </w:p>
        <w:p>
          <w:pPr>
            <w:pStyle w:val="Tabledesmatiresniveau4"/>
            <w:tabs>
              <w:tab w:val="right" w:pos="9638" w:leader="dot"/>
            </w:tabs>
            <w:rPr/>
          </w:pPr>
          <w:hyperlink w:anchor="__RefHeading___Toc300436_1346298689">
            <w:r>
              <w:rPr>
                <w:rStyle w:val="Sautdindex"/>
              </w:rPr>
              <w:t>5. Politiques d'inclusion</w:t>
              <w:tab/>
              <w:t>238</w:t>
            </w:r>
          </w:hyperlink>
        </w:p>
        <w:p>
          <w:pPr>
            <w:pStyle w:val="Tabledesmatiresniveau4"/>
            <w:tabs>
              <w:tab w:val="right" w:pos="9638" w:leader="dot"/>
            </w:tabs>
            <w:rPr/>
          </w:pPr>
          <w:hyperlink w:anchor="__RefHeading___Toc300438_1346298689">
            <w:r>
              <w:rPr>
                <w:rStyle w:val="Sautdindex"/>
              </w:rPr>
              <w:t>6. Emploi</w:t>
              <w:tab/>
              <w:t>239</w:t>
            </w:r>
          </w:hyperlink>
        </w:p>
        <w:p>
          <w:pPr>
            <w:pStyle w:val="Tabledesmatiresniveau3"/>
            <w:tabs>
              <w:tab w:val="right" w:pos="9638" w:leader="dot"/>
            </w:tabs>
            <w:rPr/>
          </w:pPr>
          <w:hyperlink w:anchor="__RefHeading___Toc300320_1346298689">
            <w:r>
              <w:rPr>
                <w:rStyle w:val="Sautdindex"/>
              </w:rPr>
              <w:t xml:space="preserve"> </w:t>
            </w:r>
            <w:r>
              <w:rPr>
                <w:rStyle w:val="Sautdindex"/>
              </w:rPr>
              <w:t>L'Europe dans le monde</w:t>
              <w:tab/>
              <w:t>240</w:t>
            </w:r>
          </w:hyperlink>
        </w:p>
        <w:p>
          <w:pPr>
            <w:pStyle w:val="Tabledesmatiresniveau4"/>
            <w:tabs>
              <w:tab w:val="right" w:pos="9638" w:leader="dot"/>
            </w:tabs>
            <w:rPr/>
          </w:pPr>
          <w:hyperlink w:anchor="__RefHeading___Toc300440_1346298689">
            <w:r>
              <w:rPr>
                <w:rStyle w:val="Sautdindex"/>
              </w:rPr>
              <w:t>1. Renforcer l'identité européenne</w:t>
              <w:tab/>
              <w:t>240</w:t>
            </w:r>
          </w:hyperlink>
        </w:p>
        <w:p>
          <w:pPr>
            <w:pStyle w:val="Tabledesmatiresniveau4"/>
            <w:tabs>
              <w:tab w:val="right" w:pos="9638" w:leader="dot"/>
            </w:tabs>
            <w:rPr/>
          </w:pPr>
          <w:hyperlink w:anchor="__RefHeading___Toc300442_1346298689">
            <w:r>
              <w:rPr>
                <w:rStyle w:val="Sautdindex"/>
              </w:rPr>
              <w:t>2. Renforcer l'économie et les institutions</w:t>
              <w:tab/>
              <w:t>240</w:t>
            </w:r>
          </w:hyperlink>
        </w:p>
        <w:p>
          <w:pPr>
            <w:pStyle w:val="Tabledesmatiresniveau4"/>
            <w:tabs>
              <w:tab w:val="right" w:pos="9638" w:leader="dot"/>
            </w:tabs>
            <w:rPr/>
          </w:pPr>
          <w:hyperlink w:anchor="__RefHeading___Toc300444_1346298689">
            <w:r>
              <w:rPr>
                <w:rStyle w:val="Sautdindex"/>
              </w:rPr>
              <w:t>3. Coopération et partenariats</w:t>
              <w:tab/>
              <w:t>241</w:t>
            </w:r>
          </w:hyperlink>
        </w:p>
        <w:p>
          <w:pPr>
            <w:pStyle w:val="Tabledesmatiresniveau4"/>
            <w:tabs>
              <w:tab w:val="right" w:pos="9638" w:leader="dot"/>
            </w:tabs>
            <w:rPr/>
          </w:pPr>
          <w:hyperlink w:anchor="__RefHeading___Toc300446_1346298689">
            <w:r>
              <w:rPr>
                <w:rStyle w:val="Sautdindex"/>
              </w:rPr>
              <w:t>4. Référence politique et culturelle</w:t>
              <w:tab/>
              <w:t>242</w:t>
            </w:r>
          </w:hyperlink>
        </w:p>
        <w:p>
          <w:pPr>
            <w:pStyle w:val="Tabledesmatiresniveau2"/>
            <w:tabs>
              <w:tab w:val="right" w:pos="9638" w:leader="dot"/>
            </w:tabs>
            <w:rPr/>
          </w:pPr>
          <w:hyperlink w:anchor="__RefHeading___Toc300322_1346298689">
            <w:r>
              <w:rPr>
                <w:rStyle w:val="Sautdindex"/>
              </w:rPr>
              <w:t>6. Évaluation finale par les participants</w:t>
              <w:tab/>
              <w:t>242</w:t>
            </w:r>
          </w:hyperlink>
        </w:p>
      </w:sdtContent>
    </w:sdt>
    <w:p>
      <w:pPr>
        <w:pStyle w:val="Normal"/>
        <w:spacing w:lineRule="auto" w:line="240"/>
        <w:rPr>
          <w:rFonts w:ascii="Calibri" w:hAnsi="Calibri"/>
          <w:color w:val="0000FF"/>
          <w:sz w:val="22"/>
        </w:rPr>
      </w:pPr>
      <w:r>
        <w:rPr>
          <w:rFonts w:ascii="Calibri" w:hAnsi="Calibri"/>
          <w:color w:val="0000FF"/>
          <w:sz w:val="22"/>
        </w:rPr>
      </w:r>
      <w:r>
        <w:rPr>
          <w:sz w:val="22"/>
          <w:rFonts w:ascii="Calibri" w:hAnsi="Calibri"/>
        </w:rPr>
        <w:fldChar w:fldCharType="end"/>
      </w:r>
      <w:r>
        <w:br w:type="page"/>
      </w:r>
    </w:p>
    <w:p>
      <w:pPr>
        <w:pStyle w:val="P68B1DB1Titre273"/>
        <w:numPr>
          <w:ilvl w:val="0"/>
          <w:numId w:val="2"/>
        </w:numPr>
        <w:rPr/>
      </w:pPr>
      <w:bookmarkStart w:id="216" w:name="__RefHeading___Toc300308_1346298689"/>
      <w:bookmarkEnd w:id="216"/>
      <w:r>
        <w:rPr/>
        <w:t xml:space="preserve">1. Vodeća načela za proces organiziranja panela </w:t>
      </w:r>
    </w:p>
    <w:p>
      <w:pPr>
        <w:pStyle w:val="P68B1DB1Normal34"/>
        <w:widowControl w:val="false"/>
        <w:spacing w:lineRule="auto" w:line="240"/>
        <w:ind w:left="0" w:right="0" w:hanging="0"/>
        <w:jc w:val="left"/>
        <w:rPr/>
      </w:pPr>
      <w:r>
        <w:rPr/>
        <w:t xml:space="preserve"> </w:t>
      </w:r>
      <w:r>
        <w:rPr/>
        <w:t xml:space="preserve">Cijeli postupak provedbe panela osmišljen je tako da bude u skladu sa smjernicama sadržanima u smjernicama za nacionalne panele građana i građanki u kontekstu Konferencije o budućnosti Europe. Konkretnije: </w:t>
      </w:r>
    </w:p>
    <w:p>
      <w:pPr>
        <w:pStyle w:val="Normal"/>
        <w:widowControl w:val="false"/>
        <w:spacing w:lineRule="auto" w:line="240" w:before="80" w:after="0"/>
        <w:ind w:left="360" w:right="0" w:hanging="0"/>
        <w:jc w:val="left"/>
        <w:rPr/>
      </w:pPr>
      <w:r>
        <w:rPr>
          <w:rFonts w:ascii="Symbol" w:hAnsi="Symbol"/>
          <w:color w:val="000000"/>
        </w:rPr>
        <w:t>•</w:t>
      </w:r>
      <w:r>
        <w:rPr>
          <w:color w:val="000000"/>
        </w:rPr>
        <w:t xml:space="preserve"> </w:t>
      </w:r>
      <w:r>
        <w:rPr>
          <w:b/>
          <w:color w:val="2E74B5"/>
        </w:rPr>
        <w:t>Svrha:</w:t>
      </w:r>
      <w:r>
        <w:rPr>
          <w:b/>
          <w:color w:val="000000"/>
        </w:rPr>
        <w:t xml:space="preserve"> </w:t>
      </w:r>
    </w:p>
    <w:p>
      <w:pPr>
        <w:pStyle w:val="P68B1DB1Normal34"/>
        <w:widowControl w:val="false"/>
        <w:spacing w:lineRule="auto" w:line="240"/>
        <w:ind w:left="720" w:right="0" w:hanging="0"/>
        <w:jc w:val="left"/>
        <w:rPr/>
      </w:pPr>
      <w:r>
        <w:rPr/>
        <w:t xml:space="preserve">Svi pozvani da sudjeluju u panelu ispunili su upitnik o sudjelovanju koji je sadržavao ciljeve i svrhe projekta, s posebnim osvrtom na Konferenciju o budućnosti Europe, obuhvaćene teme i modalitete sudjelovanja. </w:t>
      </w:r>
    </w:p>
    <w:p>
      <w:pPr>
        <w:pStyle w:val="P68B1DB1Normal74"/>
        <w:widowControl w:val="false"/>
        <w:spacing w:lineRule="auto" w:line="240"/>
        <w:ind w:left="360" w:right="0" w:hanging="0"/>
        <w:jc w:val="left"/>
        <w:rPr/>
      </w:pPr>
      <w:r>
        <w:rPr>
          <w:rFonts w:ascii="Symbol" w:hAnsi="Symbol"/>
        </w:rPr>
        <w:t>•</w:t>
      </w:r>
      <w:r>
        <w:rPr/>
        <w:t xml:space="preserve"> </w:t>
      </w:r>
      <w:r>
        <w:rPr>
          <w:b/>
        </w:rPr>
        <w:t xml:space="preserve">Transparentnost: </w:t>
      </w:r>
    </w:p>
    <w:p>
      <w:pPr>
        <w:pStyle w:val="P68B1DB1Normal34"/>
        <w:widowControl w:val="false"/>
        <w:spacing w:lineRule="auto" w:line="240"/>
        <w:ind w:left="720" w:right="0" w:hanging="0"/>
        <w:jc w:val="left"/>
        <w:rPr/>
      </w:pPr>
      <w:r>
        <w:rPr/>
        <w:t xml:space="preserve">Svi dokumenti koji predstavljaju inicijativu stavljeni su na raspolaganje sudionicima na razne načine, uvijek pozivajući se na službene internetske stranice konferencije. Dokumenti su poslani e-poštom svim sudionicima. </w:t>
      </w:r>
    </w:p>
    <w:p>
      <w:pPr>
        <w:pStyle w:val="P68B1DB1Normal74"/>
        <w:widowControl w:val="false"/>
        <w:spacing w:lineRule="auto" w:line="240"/>
        <w:ind w:left="360" w:right="0" w:hanging="0"/>
        <w:jc w:val="left"/>
        <w:rPr/>
      </w:pPr>
      <w:r>
        <w:rPr>
          <w:rFonts w:ascii="Symbol" w:hAnsi="Symbol"/>
        </w:rPr>
        <w:t>•</w:t>
      </w:r>
      <w:r>
        <w:rPr/>
        <w:t xml:space="preserve"> </w:t>
      </w:r>
      <w:r>
        <w:rPr>
          <w:b/>
        </w:rPr>
        <w:t xml:space="preserve">Uključivost: </w:t>
      </w:r>
    </w:p>
    <w:p>
      <w:pPr>
        <w:pStyle w:val="P68B1DB1Normal75"/>
        <w:widowControl w:val="false"/>
        <w:spacing w:lineRule="auto" w:line="240"/>
        <w:ind w:left="708" w:right="0" w:hanging="0"/>
        <w:jc w:val="left"/>
        <w:rPr/>
      </w:pPr>
      <w:r>
        <w:rPr>
          <w:color w:val="000000"/>
        </w:rPr>
        <w:t xml:space="preserve">Poziv na sudjelovanje poslan je različitim kanalima: na primjer, pošaljite e-poštu članovima zajednice </w:t>
      </w:r>
      <w:r>
        <w:rPr>
          <w:color w:val="ED7D31"/>
        </w:rPr>
        <w:t>SWG</w:t>
      </w:r>
      <w:r>
        <w:rPr>
          <w:color w:val="000000"/>
        </w:rPr>
        <w:t xml:space="preserve"> -a i podijelite poveznicu na obrazac za prijavu putem Twittera i LinkedIn-a. To je rezultiralo s ukupno više od 400 pristupa obrascu za prijavu i 245 prijava. (Nasumični) odabir sudionika proveden je na način kojim se jamči prisutnost različitih osoba spola, dobi, socijalnog podrijetla, mjesta boravišta i profesionalnog statusa. </w:t>
      </w:r>
    </w:p>
    <w:p>
      <w:pPr>
        <w:pStyle w:val="P68B1DB1Normal74"/>
        <w:widowControl w:val="false"/>
        <w:spacing w:lineRule="auto" w:line="240"/>
        <w:ind w:left="360" w:right="0" w:hanging="0"/>
        <w:jc w:val="left"/>
        <w:rPr/>
      </w:pPr>
      <w:r>
        <w:rPr>
          <w:rFonts w:ascii="Symbol" w:hAnsi="Symbol"/>
        </w:rPr>
        <w:t>•</w:t>
      </w:r>
      <w:r>
        <w:rPr/>
        <w:t xml:space="preserve"> </w:t>
      </w:r>
      <w:r>
        <w:rPr>
          <w:b/>
        </w:rPr>
        <w:t xml:space="preserve">Reprezentativnost: </w:t>
      </w:r>
    </w:p>
    <w:p>
      <w:pPr>
        <w:pStyle w:val="P68B1DB1Normal34"/>
        <w:widowControl w:val="false"/>
        <w:spacing w:lineRule="auto" w:line="240"/>
        <w:ind w:left="708" w:right="0" w:hanging="0"/>
        <w:jc w:val="left"/>
        <w:rPr/>
      </w:pPr>
      <w:r>
        <w:rPr/>
        <w:t xml:space="preserve">Iako veličina uzorka nije reprezentativna u statističkom smislu, uzorak je osmišljen kako bi se postigla maksimalna heterogenost među sudionicima kako bi se reproducirao mikrokozmos ciljne publike. </w:t>
      </w:r>
    </w:p>
    <w:p>
      <w:pPr>
        <w:pStyle w:val="P68B1DB1Normal74"/>
        <w:widowControl w:val="false"/>
        <w:spacing w:lineRule="auto" w:line="240"/>
        <w:ind w:left="360" w:right="0" w:hanging="0"/>
        <w:jc w:val="left"/>
        <w:rPr/>
      </w:pPr>
      <w:r>
        <w:rPr>
          <w:rFonts w:ascii="Symbol" w:hAnsi="Symbol"/>
        </w:rPr>
        <w:t>•</w:t>
      </w:r>
      <w:r>
        <w:rPr/>
        <w:t xml:space="preserve"> </w:t>
      </w:r>
      <w:r>
        <w:rPr>
          <w:b/>
        </w:rPr>
        <w:t xml:space="preserve">Informacije: </w:t>
      </w:r>
    </w:p>
    <w:p>
      <w:pPr>
        <w:pStyle w:val="Normal"/>
        <w:widowControl w:val="false"/>
        <w:spacing w:lineRule="auto" w:line="240"/>
        <w:ind w:left="720" w:right="0" w:hanging="0"/>
        <w:jc w:val="left"/>
        <w:rPr/>
      </w:pPr>
      <w:r>
        <w:rPr>
          <w:color w:val="000000"/>
        </w:rPr>
        <w:t xml:space="preserve">Svi sudionici dobili su širok raspon informacija o konferenciji i temama o kojima se raspravljalo tijekom panela. Ciljevi i modaliteti projekta vraćeni su sudionicima u uvodnom dijelu, u skladu s načelima neutralnosti i potpunosti. Svi sudionici dobili su priliku zatražiti više informacija i pojedinosti o događaju putem izravnih telefonskih brojeva voditelja projekta unutar </w:t>
      </w:r>
      <w:r>
        <w:rPr>
          <w:color w:val="ED7D31"/>
        </w:rPr>
        <w:t>SWG</w:t>
      </w:r>
      <w:r>
        <w:rPr>
          <w:color w:val="000000"/>
        </w:rPr>
        <w:t xml:space="preserve"> -a. </w:t>
      </w:r>
    </w:p>
    <w:p>
      <w:pPr>
        <w:pStyle w:val="P68B1DB1Normal74"/>
        <w:widowControl w:val="false"/>
        <w:spacing w:lineRule="auto" w:line="240"/>
        <w:ind w:left="360" w:right="0" w:hanging="0"/>
        <w:jc w:val="left"/>
        <w:rPr/>
      </w:pPr>
      <w:r>
        <w:rPr>
          <w:rFonts w:ascii="Symbol" w:hAnsi="Symbol"/>
        </w:rPr>
        <w:t>•</w:t>
      </w:r>
      <w:r>
        <w:rPr/>
        <w:t xml:space="preserve"> </w:t>
      </w:r>
      <w:r>
        <w:rPr>
          <w:b/>
        </w:rPr>
        <w:t xml:space="preserve">Skupine za vijećanje: </w:t>
      </w:r>
    </w:p>
    <w:p>
      <w:pPr>
        <w:pStyle w:val="P68B1DB1Normal76"/>
        <w:widowControl w:val="false"/>
        <w:spacing w:lineRule="auto" w:line="240"/>
        <w:ind w:left="720" w:right="0" w:hanging="0"/>
        <w:jc w:val="left"/>
        <w:rPr/>
      </w:pPr>
      <w:r>
        <w:rPr/>
        <w:t xml:space="preserve">Glavni cilj cijelog procesa bio je formulirati konkretne preporuke koje će se uputiti Europskoj uniji. Način na koji je rad organiziran i vodio skupine rezultirao je procesom usmjerenim na prikupljanje indikacija sudionika, njihovo liječenje i sintezu, kao i njihovu provjeru i validaciju od strane samih skupina tijekom sljedeće radne sjednice. </w:t>
      </w:r>
    </w:p>
    <w:p>
      <w:pPr>
        <w:pStyle w:val="P68B1DB1Normal74"/>
        <w:widowControl w:val="false"/>
        <w:spacing w:lineRule="auto" w:line="240"/>
        <w:ind w:left="360" w:right="0" w:hanging="0"/>
        <w:jc w:val="left"/>
        <w:rPr/>
      </w:pPr>
      <w:r>
        <w:rPr>
          <w:rFonts w:ascii="Symbol" w:hAnsi="Symbol"/>
        </w:rPr>
        <w:t>•</w:t>
      </w:r>
      <w:r>
        <w:rPr/>
        <w:t xml:space="preserve"> </w:t>
      </w:r>
      <w:r>
        <w:rPr>
          <w:b/>
        </w:rPr>
        <w:t xml:space="preserve">Kalendar: </w:t>
      </w:r>
    </w:p>
    <w:p>
      <w:pPr>
        <w:pStyle w:val="P68B1DB1Normal76"/>
        <w:widowControl w:val="false"/>
        <w:spacing w:lineRule="auto" w:line="240"/>
        <w:ind w:left="720" w:right="0" w:hanging="0"/>
        <w:jc w:val="left"/>
        <w:rPr/>
      </w:pPr>
      <w:r>
        <w:rPr/>
        <w:t xml:space="preserve">Tijekom radnih sjednica stvorena je opuštena atmosfera koja sudionicima daje sve vrijeme potrebno za produbljivanje tema o kojima su bili pozvani da raspravljaju, izraze svoja stajališta i slušaju one drugih. Iz istog je razloga odlučeno podijeliti dvije glavne skupine u dvije podskupine. Osim toga, rad je raspoređen na dva dana kako bi se omogućilo da se formulirane ideje temelje. </w:t>
      </w:r>
    </w:p>
    <w:p>
      <w:pPr>
        <w:pStyle w:val="Normal"/>
        <w:widowControl w:val="false"/>
        <w:spacing w:lineRule="auto" w:line="240"/>
        <w:ind w:left="360" w:right="0" w:hanging="0"/>
        <w:jc w:val="left"/>
        <w:rPr/>
      </w:pPr>
      <w:r>
        <w:rPr>
          <w:rFonts w:ascii="Symbol" w:hAnsi="Symbol"/>
          <w:color w:val="000000"/>
        </w:rPr>
        <w:t>•</w:t>
      </w:r>
      <w:r>
        <w:rPr>
          <w:color w:val="000000"/>
        </w:rPr>
        <w:t xml:space="preserve"> </w:t>
      </w:r>
      <w:r>
        <w:rPr>
          <w:b/>
          <w:color w:val="2E74B5"/>
        </w:rPr>
        <w:t>Praćenje:</w:t>
      </w:r>
      <w:r>
        <w:rPr>
          <w:color w:val="000000"/>
        </w:rPr>
        <w:t xml:space="preserve"> </w:t>
      </w:r>
    </w:p>
    <w:p>
      <w:pPr>
        <w:pStyle w:val="P68B1DB1Normal76"/>
        <w:widowControl w:val="false"/>
        <w:spacing w:lineRule="auto" w:line="240"/>
        <w:ind w:left="720" w:right="0" w:hanging="0"/>
        <w:jc w:val="left"/>
        <w:rPr/>
      </w:pPr>
      <w:r>
        <w:rPr/>
        <w:t xml:space="preserve">Posljednjeg su dana sve skupine provele provjeru i potvrđivanje prvih nacrta preporuka iznesenih tijekom prve faze rada. Nakon što je izvješće o rezultatima dostavljeno Europskom resornom odjelu predsjedništva Vijeća ministara i njegovo odobrenje, konačna verzija preporuka proslijeđena je svim sudionicima panela. U svakom slučaju, sudionici su pozvani da nastave pratiti aktivnosti konferencije na internetskoj stranici i putem ažuriranja koja će se objaviti. </w:t>
      </w:r>
    </w:p>
    <w:p>
      <w:pPr>
        <w:pStyle w:val="P68B1DB1Normal74"/>
        <w:widowControl w:val="false"/>
        <w:spacing w:lineRule="auto" w:line="240"/>
        <w:ind w:left="360" w:right="0" w:hanging="0"/>
        <w:jc w:val="left"/>
        <w:rPr/>
      </w:pPr>
      <w:r>
        <w:rPr>
          <w:rFonts w:ascii="Symbol" w:hAnsi="Symbol"/>
        </w:rPr>
        <w:t>•</w:t>
      </w:r>
      <w:r>
        <w:rPr/>
        <w:t xml:space="preserve"> </w:t>
      </w:r>
      <w:r>
        <w:rPr>
          <w:b/>
        </w:rPr>
        <w:t xml:space="preserve">Integritet: </w:t>
      </w:r>
    </w:p>
    <w:p>
      <w:pPr>
        <w:pStyle w:val="Normal"/>
        <w:widowControl w:val="false"/>
        <w:spacing w:lineRule="auto" w:line="240"/>
        <w:ind w:left="720" w:right="0" w:hanging="0"/>
        <w:jc w:val="left"/>
        <w:rPr/>
      </w:pPr>
      <w:r>
        <w:rPr>
          <w:color w:val="000000"/>
        </w:rPr>
        <w:t xml:space="preserve">Cijeli radni proces provodila je neovisna </w:t>
      </w:r>
      <w:r>
        <w:rPr>
          <w:color w:val="ED7D31"/>
        </w:rPr>
        <w:t>radna skupina</w:t>
      </w:r>
      <w:r>
        <w:rPr>
          <w:color w:val="000000"/>
        </w:rPr>
        <w:t xml:space="preserve">, ovisno o primljenoj misiji. Europski resorni odjel predsjedništva Vijeća ministara kontinuirano je obaviješten o različitim fazama inicijative i rezultatima. </w:t>
      </w:r>
    </w:p>
    <w:p>
      <w:pPr>
        <w:pStyle w:val="P68B1DB1Normal74"/>
        <w:widowControl w:val="false"/>
        <w:spacing w:lineRule="auto" w:line="240"/>
        <w:ind w:left="361" w:right="0" w:hanging="0"/>
        <w:jc w:val="left"/>
        <w:rPr/>
      </w:pPr>
      <w:r>
        <w:rPr>
          <w:rFonts w:ascii="Symbol" w:hAnsi="Symbol"/>
        </w:rPr>
        <w:t>•</w:t>
      </w:r>
      <w:r>
        <w:rPr/>
        <w:t xml:space="preserve"> </w:t>
      </w:r>
      <w:r>
        <w:rPr>
          <w:b/>
        </w:rPr>
        <w:t xml:space="preserve">Zaštita privatnosti: </w:t>
      </w:r>
    </w:p>
    <w:p>
      <w:pPr>
        <w:pStyle w:val="P68B1DB1Normal76"/>
        <w:widowControl w:val="false"/>
        <w:spacing w:lineRule="auto" w:line="240"/>
        <w:ind w:left="721" w:right="0" w:hanging="0"/>
        <w:jc w:val="left"/>
        <w:rPr/>
      </w:pPr>
      <w:r>
        <w:rPr/>
        <w:t xml:space="preserve">Privatnost sudionika u potpunosti je zajamčena. Da bi mogli sudjelovati u povjerenstvu, svi su kandidati morali potpisati obrazac informiranog pristanka propisan zakonom. </w:t>
      </w:r>
    </w:p>
    <w:p>
      <w:pPr>
        <w:pStyle w:val="P68B1DB1Normal74"/>
        <w:widowControl w:val="false"/>
        <w:spacing w:lineRule="auto" w:line="240"/>
        <w:ind w:left="361" w:right="0" w:hanging="0"/>
        <w:jc w:val="left"/>
        <w:rPr/>
      </w:pPr>
      <w:r>
        <w:rPr>
          <w:rFonts w:ascii="Symbol" w:hAnsi="Symbol"/>
        </w:rPr>
        <w:t>•</w:t>
      </w:r>
      <w:r>
        <w:rPr/>
        <w:t xml:space="preserve"> </w:t>
      </w:r>
      <w:r>
        <w:rPr>
          <w:b/>
        </w:rPr>
        <w:t xml:space="preserve">Ocjena: </w:t>
      </w:r>
    </w:p>
    <w:p>
      <w:pPr>
        <w:pStyle w:val="P68B1DB1Normal76"/>
        <w:widowControl w:val="false"/>
        <w:spacing w:lineRule="auto" w:line="240"/>
        <w:ind w:left="721" w:right="0" w:hanging="0"/>
        <w:jc w:val="left"/>
        <w:rPr>
          <w:rFonts w:ascii="Arial" w:hAnsi="Arial"/>
          <w:color w:val="000000"/>
          <w:sz w:val="22"/>
        </w:rPr>
      </w:pPr>
      <w:r>
        <w:rPr/>
        <w:t xml:space="preserve">Na kraju postupka svim sudionicima poslan je upitnik kako bi se procijenilo njihovo iskustvo. Rezultati su sažeti u ovom izvješću. </w:t>
      </w:r>
    </w:p>
    <w:p>
      <w:pPr>
        <w:pStyle w:val="P68B1DB1Titre277"/>
        <w:numPr>
          <w:ilvl w:val="0"/>
          <w:numId w:val="2"/>
        </w:numPr>
        <w:rPr>
          <w:color w:val="BD1271"/>
        </w:rPr>
      </w:pPr>
      <w:bookmarkStart w:id="217" w:name="__RefHeading___Toc300310_1346298689"/>
      <w:bookmarkEnd w:id="217"/>
      <w:r>
        <w:rPr/>
        <w:t xml:space="preserve">2. Odabir sudionika i način sudjelovanja </w:t>
      </w:r>
    </w:p>
    <w:p>
      <w:pPr>
        <w:pStyle w:val="P68B1DB1Normal74"/>
        <w:widowControl w:val="false"/>
        <w:spacing w:lineRule="auto" w:line="240" w:before="208" w:after="0"/>
        <w:ind w:left="0" w:right="0" w:hanging="0"/>
        <w:jc w:val="left"/>
        <w:rPr>
          <w:rFonts w:ascii="Arial" w:hAnsi="Arial"/>
          <w:color w:val="2E74B5"/>
          <w:sz w:val="22"/>
        </w:rPr>
      </w:pPr>
      <w:r>
        <w:rPr/>
        <w:t xml:space="preserve">Odabir </w:t>
      </w:r>
    </w:p>
    <w:p>
      <w:pPr>
        <w:pStyle w:val="P68B1DB1Normal76"/>
        <w:widowControl w:val="false"/>
        <w:spacing w:lineRule="auto" w:line="240" w:before="90" w:after="0"/>
        <w:ind w:left="0" w:right="6" w:hanging="0"/>
        <w:jc w:val="left"/>
        <w:rPr/>
      </w:pPr>
      <w:r>
        <w:rPr/>
        <w:t xml:space="preserve">Cilj faze komunikacije prije događanja bio je odabrati najmanje 50 talijanskih građana zainteresiranih za sudjelovanje u inicijativi. </w:t>
      </w:r>
    </w:p>
    <w:p>
      <w:pPr>
        <w:pStyle w:val="Normal"/>
        <w:widowControl w:val="false"/>
        <w:spacing w:lineRule="auto" w:line="240" w:before="90" w:after="0"/>
        <w:ind w:left="0" w:right="4" w:hanging="0"/>
        <w:jc w:val="both"/>
        <w:rPr/>
      </w:pPr>
      <w:r>
        <w:rPr>
          <w:color w:val="000000"/>
        </w:rPr>
        <w:t xml:space="preserve">U tu je svrhu izrađen kratki obrazac za samoprijavu u obliku upitnika koji će se ispuniti putem interneta na platformi </w:t>
      </w:r>
      <w:r>
        <w:rPr>
          <w:color w:val="ED7D31"/>
        </w:rPr>
        <w:t>SWG</w:t>
      </w:r>
      <w:r>
        <w:rPr>
          <w:color w:val="000000"/>
        </w:rPr>
        <w:t xml:space="preserve">, putem kojeg su se svi zainteresirani za sudjelovanje u inicijativi mogli prijaviti, navodeći podatke koje je potrebno unijeti u skupine iz kojih su sudionici nasumično odabrani. Potrebni uvjeti za sudjelovanje bili su: imati internetsku vezu, uređaj opremljen mikrofonom i video kamerom, kao i potpisati konferencijsku povelju. </w:t>
      </w:r>
    </w:p>
    <w:p>
      <w:pPr>
        <w:pStyle w:val="Normal"/>
        <w:widowControl w:val="false"/>
        <w:spacing w:lineRule="auto" w:line="240" w:before="90" w:after="0"/>
        <w:ind w:left="0" w:right="3" w:hanging="0"/>
        <w:jc w:val="left"/>
        <w:rPr/>
      </w:pPr>
      <w:r>
        <w:drawing>
          <wp:anchor behindDoc="0" distT="0" distB="0" distL="0" distR="0" simplePos="0" locked="0" layoutInCell="1" allowOverlap="1" relativeHeight="64">
            <wp:simplePos x="0" y="0"/>
            <wp:positionH relativeFrom="column">
              <wp:posOffset>58420</wp:posOffset>
            </wp:positionH>
            <wp:positionV relativeFrom="paragraph">
              <wp:posOffset>1365885</wp:posOffset>
            </wp:positionV>
            <wp:extent cx="187960" cy="187960"/>
            <wp:effectExtent l="0" t="0" r="0" b="0"/>
            <wp:wrapSquare wrapText="largest"/>
            <wp:docPr id="100" name="Slika 4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Slika 44" descr=""/>
                    <pic:cNvPicPr>
                      <a:picLocks noChangeAspect="1" noChangeArrowheads="1"/>
                    </pic:cNvPicPr>
                  </pic:nvPicPr>
                  <pic:blipFill>
                    <a:blip r:embed="rId104"/>
                    <a:stretch>
                      <a:fillRect/>
                    </a:stretch>
                  </pic:blipFill>
                  <pic:spPr bwMode="auto">
                    <a:xfrm>
                      <a:off x="0" y="0"/>
                      <a:ext cx="187960" cy="187960"/>
                    </a:xfrm>
                    <a:prstGeom prst="rect">
                      <a:avLst/>
                    </a:prstGeom>
                  </pic:spPr>
                </pic:pic>
              </a:graphicData>
            </a:graphic>
          </wp:anchor>
        </w:drawing>
        <w:drawing>
          <wp:anchor behindDoc="0" distT="0" distB="0" distL="0" distR="0" simplePos="0" locked="0" layoutInCell="1" allowOverlap="1" relativeHeight="78">
            <wp:simplePos x="0" y="0"/>
            <wp:positionH relativeFrom="column">
              <wp:posOffset>49530</wp:posOffset>
            </wp:positionH>
            <wp:positionV relativeFrom="paragraph">
              <wp:posOffset>958850</wp:posOffset>
            </wp:positionV>
            <wp:extent cx="287020" cy="287020"/>
            <wp:effectExtent l="0" t="0" r="0" b="0"/>
            <wp:wrapSquare wrapText="largest"/>
            <wp:docPr id="101" name="Slika 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Slika 43" descr=""/>
                    <pic:cNvPicPr>
                      <a:picLocks noChangeAspect="1" noChangeArrowheads="1"/>
                    </pic:cNvPicPr>
                  </pic:nvPicPr>
                  <pic:blipFill>
                    <a:blip r:embed="rId105"/>
                    <a:stretch>
                      <a:fillRect/>
                    </a:stretch>
                  </pic:blipFill>
                  <pic:spPr bwMode="auto">
                    <a:xfrm>
                      <a:off x="0" y="0"/>
                      <a:ext cx="287020" cy="287020"/>
                    </a:xfrm>
                    <a:prstGeom prst="rect">
                      <a:avLst/>
                    </a:prstGeom>
                  </pic:spPr>
                </pic:pic>
              </a:graphicData>
            </a:graphic>
          </wp:anchor>
        </w:drawing>
      </w:r>
      <w:r>
        <w:rPr>
          <w:color w:val="000000"/>
        </w:rPr>
        <w:t>O</w:t>
      </w:r>
      <w:r>
        <w:rPr>
          <w:color w:val="000000"/>
        </w:rPr>
        <w:t>brazac za prijavu distribuiran je na društvenim mrežama iz računa</w:t>
      </w:r>
      <w:r>
        <w:rPr>
          <w:color w:val="ED7D31"/>
        </w:rPr>
        <w:t>SWG</w:t>
      </w:r>
      <w:r>
        <w:rPr>
          <w:color w:val="000000"/>
        </w:rPr>
        <w:t xml:space="preserve">-a. U tu svrhu objavljeno je šest postova na Twitteru i jedan na LinkedInu, sa sljedećim rezultatima: </w:t>
      </w:r>
    </w:p>
    <w:tbl>
      <w:tblPr>
        <w:tblW w:w="9638"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2409"/>
        <w:gridCol w:w="2409"/>
        <w:gridCol w:w="2410"/>
        <w:gridCol w:w="2409"/>
      </w:tblGrid>
      <w:tr>
        <w:trPr/>
        <w:tc>
          <w:tcPr>
            <w:tcW w:w="2409"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jc w:val="center"/>
              <w:rPr/>
            </w:pPr>
            <w:r>
              <w:rPr/>
              <w:t>Društvena mreža</w:t>
            </w:r>
          </w:p>
        </w:tc>
        <w:tc>
          <w:tcPr>
            <w:tcW w:w="2409"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jc w:val="center"/>
              <w:rPr/>
            </w:pPr>
            <w:r>
              <w:rPr/>
              <w:t>Datumi</w:t>
            </w:r>
          </w:p>
        </w:tc>
        <w:tc>
          <w:tcPr>
            <w:tcW w:w="2410"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jc w:val="center"/>
              <w:rPr/>
            </w:pPr>
            <w:r>
              <w:rPr/>
              <w:t>Broj pregleda</w:t>
            </w:r>
          </w:p>
        </w:tc>
        <w:tc>
          <w:tcPr>
            <w:tcW w:w="2409"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jc w:val="center"/>
              <w:rPr/>
            </w:pPr>
            <w:r>
              <w:rPr/>
              <w:t>Pristup obrascu za prijavu</w:t>
            </w:r>
          </w:p>
        </w:tc>
      </w:tr>
      <w:tr>
        <w:trPr/>
        <w:tc>
          <w:tcPr>
            <w:tcW w:w="2409"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Twitter</w:t>
            </w:r>
          </w:p>
        </w:tc>
        <w:tc>
          <w:tcPr>
            <w:tcW w:w="2409"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6 radnih mjesta između 8. i 10. ožujka</w:t>
            </w:r>
          </w:p>
        </w:tc>
        <w:tc>
          <w:tcPr>
            <w:tcW w:w="2410"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889</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jc w:val="center"/>
              <w:rPr/>
            </w:pPr>
            <w:r>
              <w:rPr/>
              <w:t>31</w:t>
            </w:r>
          </w:p>
        </w:tc>
      </w:tr>
      <w:tr>
        <w:trPr/>
        <w:tc>
          <w:tcPr>
            <w:tcW w:w="2409"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LinkedIn</w:t>
            </w:r>
          </w:p>
        </w:tc>
        <w:tc>
          <w:tcPr>
            <w:tcW w:w="2409"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1 post na 8. ožujka</w:t>
            </w:r>
          </w:p>
        </w:tc>
        <w:tc>
          <w:tcPr>
            <w:tcW w:w="2410"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410</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jc w:val="center"/>
              <w:rPr/>
            </w:pPr>
            <w:r>
              <w:rPr/>
              <w:t>25</w:t>
            </w:r>
          </w:p>
        </w:tc>
      </w:tr>
    </w:tbl>
    <w:p>
      <w:pPr>
        <w:pStyle w:val="Normal"/>
        <w:rPr/>
      </w:pPr>
      <w:r>
        <w:rPr/>
      </w:r>
    </w:p>
    <w:p>
      <w:pPr>
        <w:pStyle w:val="Normal"/>
        <w:widowControl w:val="false"/>
        <w:spacing w:lineRule="exact" w:line="252" w:before="208" w:after="0"/>
        <w:ind w:left="0" w:right="3" w:hanging="0"/>
        <w:jc w:val="both"/>
        <w:rPr/>
      </w:pPr>
      <w:r>
        <w:rPr>
          <w:color w:val="000000"/>
        </w:rPr>
        <w:t xml:space="preserve">Istodobno su članovi zajednice </w:t>
      </w:r>
      <w:r>
        <w:rPr>
          <w:color w:val="ED7D31"/>
        </w:rPr>
        <w:t>SWG</w:t>
      </w:r>
      <w:r>
        <w:rPr>
          <w:color w:val="000000"/>
        </w:rPr>
        <w:t xml:space="preserve"> -a pozvani da se prijave, u skladu sa strategijom pozivanja čiji je cilj osigurati maksimalnu reprezentativnost talijanskog stanovništva, ne samo u pogledu društvenih obilježja, već i u smislu ideja, kulturnih usmjerenja i vrijednosti. </w:t>
      </w:r>
    </w:p>
    <w:p>
      <w:pPr>
        <w:pStyle w:val="P68B1DB1Normal76"/>
        <w:widowControl w:val="false"/>
        <w:spacing w:lineRule="exact" w:line="253" w:before="71" w:after="0"/>
        <w:ind w:left="1" w:right="0" w:hanging="0"/>
        <w:jc w:val="both"/>
        <w:rPr/>
      </w:pPr>
      <w:r>
        <w:rPr/>
        <w:t xml:space="preserve">Prijave se mogu podnijeti između 8. ožujka u 8:00 i 10. ožujka 2022. u 16:00 sati. Ukupno je proces generirao 420 pristupa obrascu za prijavu i primljeno je 225 potpunih prijava. </w:t>
      </w:r>
    </w:p>
    <w:p>
      <w:pPr>
        <w:pStyle w:val="P68B1DB1Normal76"/>
        <w:widowControl w:val="false"/>
        <w:spacing w:lineRule="exact" w:line="253" w:before="67" w:after="0"/>
        <w:ind w:left="1" w:right="2" w:hanging="0"/>
        <w:jc w:val="both"/>
        <w:rPr/>
      </w:pPr>
      <w:r>
        <w:rPr/>
        <w:t xml:space="preserve">Ukupno </w:t>
      </w:r>
      <w:r>
        <w:rPr>
          <w:b/>
        </w:rPr>
        <w:t>140</w:t>
      </w:r>
      <w:r>
        <w:rPr/>
        <w:t xml:space="preserve"> osoba bilo je prihvatljivo, od čega je 70 osoba odabrano na temelju kriterija kako bi se osigurala uravnotežena prisutnost u pogledu spola, geografske rasprostranjenosti, dobi i obrazovanja. </w:t>
      </w:r>
    </w:p>
    <w:p>
      <w:pPr>
        <w:pStyle w:val="P68B1DB1Normal76"/>
        <w:widowControl w:val="false"/>
        <w:spacing w:lineRule="exact" w:line="253" w:before="73" w:after="0"/>
        <w:ind w:left="1" w:right="1" w:hanging="0"/>
        <w:jc w:val="both"/>
        <w:rPr/>
      </w:pPr>
      <w:r>
        <w:rPr/>
        <w:t xml:space="preserve">U kontekstu postupka odabira posebna pozornost posvećena je načelu pravedne vjerojatnosti pri odabiru sudionika, uz postupke koji se temelje na nasumičnom kriteriju. </w:t>
      </w:r>
    </w:p>
    <w:p>
      <w:pPr>
        <w:pStyle w:val="P68B1DB1Normal76"/>
        <w:widowControl w:val="false"/>
        <w:spacing w:lineRule="exact" w:line="253" w:before="71" w:after="0"/>
        <w:ind w:left="1" w:right="0" w:hanging="0"/>
        <w:jc w:val="both"/>
        <w:rPr/>
      </w:pPr>
      <w:r>
        <w:rPr/>
        <w:t xml:space="preserve">Nasumična priroda odabira bila je središnji element projekta kako bi se osigurala pravednost postupka pristupa. Međutim, u duhu inicijative činilo se važnim uspostaviti strategiju usmjerenu ne samo na uključivanje što većeg broja ljudi, već i na osiguravanje maksimalne heterogenosti odabranih osoba kako bi se promicala maksimalna uključivost. </w:t>
      </w:r>
    </w:p>
    <w:p>
      <w:pPr>
        <w:pStyle w:val="P68B1DB1Normal34"/>
        <w:widowControl w:val="false"/>
        <w:spacing w:lineRule="exact" w:line="393" w:before="70" w:after="0"/>
        <w:ind w:left="0" w:right="0" w:hanging="0"/>
        <w:jc w:val="left"/>
        <w:rPr>
          <w:rFonts w:ascii="Arial" w:hAnsi="Arial"/>
          <w:color w:val="000000"/>
          <w:sz w:val="24"/>
        </w:rPr>
      </w:pPr>
      <w:r>
        <w:rPr/>
        <w:t xml:space="preserve"> </w:t>
      </w:r>
    </w:p>
    <w:p>
      <w:pPr>
        <w:pStyle w:val="P68B1DB1Normal76"/>
        <w:widowControl w:val="false"/>
        <w:spacing w:lineRule="exact" w:line="362" w:before="69" w:after="0"/>
        <w:ind w:left="0" w:right="0" w:hanging="0"/>
        <w:jc w:val="left"/>
        <w:rPr>
          <w:rFonts w:ascii="Arial" w:hAnsi="Arial"/>
          <w:color w:val="000000"/>
          <w:sz w:val="22"/>
        </w:rPr>
      </w:pPr>
      <w:r>
        <w:rPr/>
        <w:t>Ukratko, raspodjela prihvatljivih osoba bila je sljedeća:</w:t>
      </w:r>
    </w:p>
    <w:p>
      <w:pPr>
        <w:pStyle w:val="P68B1DB1Normal76"/>
        <w:widowControl w:val="false"/>
        <w:spacing w:lineRule="exact" w:line="252" w:before="5945" w:after="0"/>
        <w:ind w:left="0" w:right="3" w:hanging="0"/>
        <w:jc w:val="both"/>
        <w:rPr>
          <w:rFonts w:ascii="Arial" w:hAnsi="Arial"/>
          <w:color w:val="000000"/>
          <w:sz w:val="22"/>
        </w:rPr>
      </w:pPr>
      <w:r>
        <w:rPr>
          <w:color w:val="000000"/>
          <w:sz w:val="22"/>
        </w:rPr>
        <mc:AlternateContent>
          <mc:Choice Requires="wpg">
            <w:drawing>
              <wp:anchor behindDoc="0" distT="0" distB="0" distL="0" distR="0" simplePos="0" locked="0" layoutInCell="1" allowOverlap="1" relativeHeight="54">
                <wp:simplePos x="0" y="0"/>
                <wp:positionH relativeFrom="column">
                  <wp:posOffset>0</wp:posOffset>
                </wp:positionH>
                <wp:positionV relativeFrom="paragraph">
                  <wp:posOffset>132715</wp:posOffset>
                </wp:positionV>
                <wp:extent cx="6059805" cy="3775710"/>
                <wp:effectExtent l="0" t="0" r="0" b="0"/>
                <wp:wrapTopAndBottom/>
                <wp:docPr id="102" name="Obrazac 4"/>
                <a:graphic xmlns:a="http://schemas.openxmlformats.org/drawingml/2006/main">
                  <a:graphicData uri="http://schemas.microsoft.com/office/word/2010/wordprocessingGroup">
                    <wpg:wgp>
                      <wpg:cNvGrpSpPr/>
                      <wpg:grpSpPr>
                        <a:xfrm>
                          <a:off x="0" y="0"/>
                          <a:ext cx="6059160" cy="3774960"/>
                        </a:xfrm>
                      </wpg:grpSpPr>
                      <pic:pic xmlns:pic="http://schemas.openxmlformats.org/drawingml/2006/picture">
                        <pic:nvPicPr>
                          <pic:cNvPr id="6" name="" descr=""/>
                          <pic:cNvPicPr/>
                        </pic:nvPicPr>
                        <pic:blipFill>
                          <a:blip r:embed="rId106"/>
                          <a:stretch/>
                        </pic:blipFill>
                        <pic:spPr>
                          <a:xfrm>
                            <a:off x="0" y="487080"/>
                            <a:ext cx="6049800" cy="3287880"/>
                          </a:xfrm>
                          <a:prstGeom prst="rect">
                            <a:avLst/>
                          </a:prstGeom>
                          <a:ln>
                            <a:noFill/>
                          </a:ln>
                        </pic:spPr>
                      </pic:pic>
                      <wps:wsp>
                        <wps:cNvSpPr/>
                        <wps:spPr>
                          <a:xfrm>
                            <a:off x="1450440" y="0"/>
                            <a:ext cx="3891960" cy="6159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Raspodjela prihvatljivih kandidata</w:t>
                              </w:r>
                            </w:p>
                          </w:txbxContent>
                        </wps:txbx>
                        <wps:bodyPr lIns="90000" rIns="90000" tIns="45000" bIns="45000">
                          <a:noAutofit/>
                        </wps:bodyPr>
                      </wps:wsp>
                      <wps:wsp>
                        <wps:cNvSpPr/>
                        <wps:spPr>
                          <a:xfrm>
                            <a:off x="489600" y="1149480"/>
                            <a:ext cx="10782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spol</w:t>
                              </w:r>
                            </w:p>
                          </w:txbxContent>
                        </wps:txbx>
                        <wps:bodyPr lIns="90000" rIns="90000" tIns="45000" bIns="45000">
                          <a:noAutofit/>
                        </wps:bodyPr>
                      </wps:wsp>
                      <wps:wsp>
                        <wps:cNvSpPr/>
                        <wps:spPr>
                          <a:xfrm>
                            <a:off x="329400" y="2034720"/>
                            <a:ext cx="10782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dobna skupina</w:t>
                              </w:r>
                            </w:p>
                          </w:txbxContent>
                        </wps:txbx>
                        <wps:bodyPr lIns="90000" rIns="90000" tIns="45000" bIns="45000">
                          <a:noAutofit/>
                        </wps:bodyPr>
                      </wps:wsp>
                      <wps:wsp>
                        <wps:cNvSpPr/>
                        <wps:spPr>
                          <a:xfrm>
                            <a:off x="1020960" y="2357280"/>
                            <a:ext cx="84204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18 – 34 godina</w:t>
                              </w:r>
                            </w:p>
                          </w:txbxContent>
                        </wps:txbx>
                        <wps:bodyPr lIns="90000" rIns="90000" tIns="45000" bIns="45000">
                          <a:noAutofit/>
                        </wps:bodyPr>
                      </wps:wsp>
                      <wps:wsp>
                        <wps:cNvSpPr/>
                        <wps:spPr>
                          <a:xfrm>
                            <a:off x="987480" y="2739960"/>
                            <a:ext cx="842040" cy="4413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35 – 64 godine</w:t>
                              </w:r>
                            </w:p>
                          </w:txbxContent>
                        </wps:txbx>
                        <wps:bodyPr lIns="90000" rIns="90000" tIns="45000" bIns="45000">
                          <a:noAutofit/>
                        </wps:bodyPr>
                      </wps:wsp>
                      <wps:wsp>
                        <wps:cNvSpPr/>
                        <wps:spPr>
                          <a:xfrm>
                            <a:off x="995760" y="3064680"/>
                            <a:ext cx="84204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65 – 75 godina</w:t>
                              </w:r>
                            </w:p>
                          </w:txbxContent>
                        </wps:txbx>
                        <wps:bodyPr lIns="90000" rIns="90000" tIns="45000" bIns="45000">
                          <a:noAutofit/>
                        </wps:bodyPr>
                      </wps:wsp>
                      <wps:wsp>
                        <wps:cNvSpPr/>
                        <wps:spPr>
                          <a:xfrm>
                            <a:off x="2108160" y="1157760"/>
                            <a:ext cx="16668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Razina obrazovanja</w:t>
                              </w:r>
                            </w:p>
                          </w:txbxContent>
                        </wps:txbx>
                        <wps:bodyPr lIns="90000" rIns="90000" tIns="45000" bIns="45000">
                          <a:noAutofit/>
                        </wps:bodyPr>
                      </wps:wsp>
                      <wps:wsp>
                        <wps:cNvSpPr/>
                        <wps:spPr>
                          <a:xfrm>
                            <a:off x="2748240" y="1480680"/>
                            <a:ext cx="84204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Nisko</w:t>
                              </w:r>
                            </w:p>
                          </w:txbxContent>
                        </wps:txbx>
                        <wps:bodyPr lIns="90000" rIns="90000" tIns="45000" bIns="45000">
                          <a:noAutofit/>
                        </wps:bodyPr>
                      </wps:wsp>
                      <wps:wsp>
                        <wps:cNvSpPr/>
                        <wps:spPr>
                          <a:xfrm>
                            <a:off x="5090760" y="1335960"/>
                            <a:ext cx="84132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Sjeveroistok</w:t>
                              </w:r>
                            </w:p>
                          </w:txbxContent>
                        </wps:txbx>
                        <wps:bodyPr lIns="90000" rIns="90000" tIns="45000" bIns="45000">
                          <a:noAutofit/>
                        </wps:bodyPr>
                      </wps:wsp>
                      <wps:wsp>
                        <wps:cNvSpPr/>
                        <wps:spPr>
                          <a:xfrm>
                            <a:off x="2024280" y="1735920"/>
                            <a:ext cx="177624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Fakultet, strukovno obrazovanje</w:t>
                              </w:r>
                            </w:p>
                          </w:txbxContent>
                        </wps:txbx>
                        <wps:bodyPr lIns="90000" rIns="90000" tIns="45000" bIns="45000">
                          <a:noAutofit/>
                        </wps:bodyPr>
                      </wps:wsp>
                      <wps:wsp>
                        <wps:cNvSpPr/>
                        <wps:spPr>
                          <a:xfrm>
                            <a:off x="2799000" y="2161440"/>
                            <a:ext cx="84204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Prosjek</w:t>
                              </w:r>
                            </w:p>
                          </w:txbxContent>
                        </wps:txbx>
                        <wps:bodyPr lIns="90000" rIns="90000" tIns="45000" bIns="45000">
                          <a:noAutofit/>
                        </wps:bodyPr>
                      </wps:wsp>
                      <wps:wsp>
                        <wps:cNvSpPr/>
                        <wps:spPr>
                          <a:xfrm>
                            <a:off x="2167200" y="2451240"/>
                            <a:ext cx="14814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Srednja škola</w:t>
                              </w:r>
                            </w:p>
                          </w:txbxContent>
                        </wps:txbx>
                        <wps:bodyPr lIns="90000" rIns="90000" tIns="45000" bIns="45000">
                          <a:noAutofit/>
                        </wps:bodyPr>
                      </wps:wsp>
                      <wps:wsp>
                        <wps:cNvSpPr/>
                        <wps:spPr>
                          <a:xfrm>
                            <a:off x="2816280" y="2945160"/>
                            <a:ext cx="8406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Podignuti</w:t>
                              </w:r>
                            </w:p>
                          </w:txbxContent>
                        </wps:txbx>
                        <wps:bodyPr lIns="90000" rIns="90000" tIns="45000" bIns="45000">
                          <a:noAutofit/>
                        </wps:bodyPr>
                      </wps:wsp>
                      <wps:wsp>
                        <wps:cNvSpPr/>
                        <wps:spPr>
                          <a:xfrm>
                            <a:off x="1990080" y="3174840"/>
                            <a:ext cx="1928520" cy="3848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Prvostupnik, magisterij ili više</w:t>
                              </w:r>
                            </w:p>
                          </w:txbxContent>
                        </wps:txbx>
                        <wps:bodyPr lIns="90000" rIns="90000" tIns="45000" bIns="45000">
                          <a:noAutofit/>
                        </wps:bodyPr>
                      </wps:wsp>
                      <wps:wsp>
                        <wps:cNvSpPr/>
                        <wps:spPr>
                          <a:xfrm>
                            <a:off x="4045680" y="1557720"/>
                            <a:ext cx="84276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Sjeverozapad</w:t>
                              </w:r>
                            </w:p>
                          </w:txbxContent>
                        </wps:txbx>
                        <wps:bodyPr lIns="90000" rIns="90000" tIns="45000" bIns="45000">
                          <a:noAutofit/>
                        </wps:bodyPr>
                      </wps:wsp>
                      <wps:wsp>
                        <wps:cNvSpPr/>
                        <wps:spPr>
                          <a:xfrm>
                            <a:off x="4130640" y="1157760"/>
                            <a:ext cx="167508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Područje prebivališta</w:t>
                              </w:r>
                            </w:p>
                          </w:txbxContent>
                        </wps:txbx>
                        <wps:bodyPr lIns="90000" rIns="90000" tIns="45000" bIns="45000">
                          <a:noAutofit/>
                        </wps:bodyPr>
                      </wps:wsp>
                      <wps:wsp>
                        <wps:cNvSpPr/>
                        <wps:spPr>
                          <a:xfrm>
                            <a:off x="5217840" y="1897920"/>
                            <a:ext cx="84132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centar</w:t>
                              </w:r>
                            </w:p>
                          </w:txbxContent>
                        </wps:txbx>
                        <wps:bodyPr lIns="90000" rIns="90000" tIns="45000" bIns="45000">
                          <a:noAutofit/>
                        </wps:bodyPr>
                      </wps:wsp>
                      <wps:wsp>
                        <wps:cNvSpPr/>
                        <wps:spPr>
                          <a:xfrm>
                            <a:off x="4038120" y="2842920"/>
                            <a:ext cx="102672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Južni i otoci</w:t>
                              </w:r>
                            </w:p>
                          </w:txbxContent>
                        </wps:txbx>
                        <wps:bodyPr lIns="90000" rIns="90000" tIns="45000" bIns="45000">
                          <a:noAutofit/>
                        </wps:bodyPr>
                      </wps:wsp>
                    </wpg:wgp>
                  </a:graphicData>
                </a:graphic>
              </wp:anchor>
            </w:drawing>
          </mc:Choice>
          <mc:Fallback>
            <w:pict>
              <v:group id="shape_0" alt="Obrazac 4" style="position:absolute;margin-left:0pt;margin-top:10.45pt;width:477.1pt;height:297.25pt" coordorigin="0,209" coordsize="9542,5945">
                <v:shape id="shape_0" stroked="f" style="position:absolute;left:0;top:976;width:9526;height:5177" type="shapetype_75">
                  <v:imagedata r:id="rId106" o:detectmouseclick="t"/>
                  <w10:wrap type="none"/>
                  <v:stroke color="#3465a4" joinstyle="round" endcap="flat"/>
                </v:shape>
                <v:rect id="shape_0" stroked="f" style="position:absolute;left:2284;top:209;width:6128;height:969">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Raspodjela prihvatljivih kandidata</w:t>
                        </w:r>
                      </w:p>
                    </w:txbxContent>
                  </v:textbox>
                  <w10:wrap type="square"/>
                  <v:fill o:detectmouseclick="t" on="false"/>
                  <v:stroke color="#3465a4" joinstyle="round" endcap="flat"/>
                </v:rect>
                <v:rect id="shape_0" stroked="f" style="position:absolute;left:771;top:2019;width:1697;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spol</w:t>
                        </w:r>
                      </w:p>
                    </w:txbxContent>
                  </v:textbox>
                  <w10:wrap type="square"/>
                  <v:fill o:detectmouseclick="t" on="false"/>
                  <v:stroke color="#3465a4" joinstyle="round" endcap="flat"/>
                </v:rect>
                <v:rect id="shape_0" stroked="f" style="position:absolute;left:519;top:3413;width:1697;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dobna skupina</w:t>
                        </w:r>
                      </w:p>
                    </w:txbxContent>
                  </v:textbox>
                  <w10:wrap type="square"/>
                  <v:fill o:detectmouseclick="t" on="false"/>
                  <v:stroke color="#3465a4" joinstyle="round" endcap="flat"/>
                </v:rect>
                <v:rect id="shape_0" stroked="f" style="position:absolute;left:1608;top:3921;width:1325;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18 – 34 godina</w:t>
                        </w:r>
                      </w:p>
                    </w:txbxContent>
                  </v:textbox>
                  <w10:wrap type="square"/>
                  <v:fill o:detectmouseclick="t" on="false"/>
                  <v:stroke color="#3465a4" joinstyle="round" endcap="flat"/>
                </v:rect>
                <v:rect id="shape_0" stroked="f" style="position:absolute;left:1555;top:4524;width:1325;height:69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35 – 64 godine</w:t>
                        </w:r>
                      </w:p>
                    </w:txbxContent>
                  </v:textbox>
                  <w10:wrap type="square"/>
                  <v:fill o:detectmouseclick="t" on="false"/>
                  <v:stroke color="#3465a4" joinstyle="round" endcap="flat"/>
                </v:rect>
                <v:rect id="shape_0" stroked="f" style="position:absolute;left:1568;top:5035;width:1325;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65 – 75 godina</w:t>
                        </w:r>
                      </w:p>
                    </w:txbxContent>
                  </v:textbox>
                  <w10:wrap type="square"/>
                  <v:fill o:detectmouseclick="t" on="false"/>
                  <v:stroke color="#3465a4" joinstyle="round" endcap="flat"/>
                </v:rect>
                <v:rect id="shape_0" stroked="f" style="position:absolute;left:3320;top:2032;width:2624;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Razina obrazovanja</w:t>
                        </w:r>
                      </w:p>
                    </w:txbxContent>
                  </v:textbox>
                  <w10:wrap type="square"/>
                  <v:fill o:detectmouseclick="t" on="false"/>
                  <v:stroke color="#3465a4" joinstyle="round" endcap="flat"/>
                </v:rect>
                <v:rect id="shape_0" stroked="f" style="position:absolute;left:4328;top:2541;width:1325;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Nisko</w:t>
                        </w:r>
                      </w:p>
                    </w:txbxContent>
                  </v:textbox>
                  <w10:wrap type="square"/>
                  <v:fill o:detectmouseclick="t" on="false"/>
                  <v:stroke color="#3465a4" joinstyle="round" endcap="flat"/>
                </v:rect>
                <v:rect id="shape_0" stroked="f" style="position:absolute;left:8017;top:2313;width:1324;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Sjeveroistok</w:t>
                        </w:r>
                      </w:p>
                    </w:txbxContent>
                  </v:textbox>
                  <w10:wrap type="square"/>
                  <v:fill o:detectmouseclick="t" on="false"/>
                  <v:stroke color="#3465a4" joinstyle="round" endcap="flat"/>
                </v:rect>
                <v:rect id="shape_0" stroked="f" style="position:absolute;left:3188;top:2943;width:2796;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Fakultet, strukovno obrazovanje</w:t>
                        </w:r>
                      </w:p>
                    </w:txbxContent>
                  </v:textbox>
                  <w10:wrap type="square"/>
                  <v:fill o:detectmouseclick="t" on="false"/>
                  <v:stroke color="#3465a4" joinstyle="round" endcap="flat"/>
                </v:rect>
                <v:rect id="shape_0" stroked="f" style="position:absolute;left:4408;top:3613;width:1325;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Prosjek</w:t>
                        </w:r>
                      </w:p>
                    </w:txbxContent>
                  </v:textbox>
                  <w10:wrap type="square"/>
                  <v:fill o:detectmouseclick="t" on="false"/>
                  <v:stroke color="#3465a4" joinstyle="round" endcap="flat"/>
                </v:rect>
                <v:rect id="shape_0" stroked="f" style="position:absolute;left:3413;top:4069;width:2332;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Srednja škola</w:t>
                        </w:r>
                      </w:p>
                    </w:txbxContent>
                  </v:textbox>
                  <w10:wrap type="square"/>
                  <v:fill o:detectmouseclick="t" on="false"/>
                  <v:stroke color="#3465a4" joinstyle="round" endcap="flat"/>
                </v:rect>
                <v:rect id="shape_0" stroked="f" style="position:absolute;left:4435;top:4847;width:1323;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Podignuti</w:t>
                        </w:r>
                      </w:p>
                    </w:txbxContent>
                  </v:textbox>
                  <w10:wrap type="square"/>
                  <v:fill o:detectmouseclick="t" on="false"/>
                  <v:stroke color="#3465a4" joinstyle="round" endcap="flat"/>
                </v:rect>
                <v:rect id="shape_0" stroked="f" style="position:absolute;left:3134;top:5209;width:3036;height:60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Prvostupnik, magisterij ili više</w:t>
                        </w:r>
                      </w:p>
                    </w:txbxContent>
                  </v:textbox>
                  <w10:wrap type="square"/>
                  <v:fill o:detectmouseclick="t" on="false"/>
                  <v:stroke color="#3465a4" joinstyle="round" endcap="flat"/>
                </v:rect>
                <v:rect id="shape_0" stroked="f" style="position:absolute;left:6371;top:2662;width:1326;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Sjeverozapad</w:t>
                        </w:r>
                      </w:p>
                    </w:txbxContent>
                  </v:textbox>
                  <w10:wrap type="square"/>
                  <v:fill o:detectmouseclick="t" on="false"/>
                  <v:stroke color="#3465a4" joinstyle="round" endcap="flat"/>
                </v:rect>
                <v:rect id="shape_0" stroked="f" style="position:absolute;left:6505;top:2032;width:2637;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Područje prebivališta</w:t>
                        </w:r>
                      </w:p>
                    </w:txbxContent>
                  </v:textbox>
                  <w10:wrap type="square"/>
                  <v:fill o:detectmouseclick="t" on="false"/>
                  <v:stroke color="#3465a4" joinstyle="round" endcap="flat"/>
                </v:rect>
                <v:rect id="shape_0" stroked="f" style="position:absolute;left:8217;top:3198;width:1324;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centar</w:t>
                        </w:r>
                      </w:p>
                    </w:txbxContent>
                  </v:textbox>
                  <w10:wrap type="square"/>
                  <v:fill o:detectmouseclick="t" on="false"/>
                  <v:stroke color="#3465a4" joinstyle="round" endcap="flat"/>
                </v:rect>
                <v:rect id="shape_0" stroked="f" style="position:absolute;left:6359;top:4686;width:1616;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Južni i otoci</w:t>
                        </w:r>
                      </w:p>
                    </w:txbxContent>
                  </v:textbox>
                  <w10:wrap type="square"/>
                  <v:fill o:detectmouseclick="t" on="false"/>
                  <v:stroke color="#3465a4" joinstyle="round" endcap="flat"/>
                </v:rect>
              </v:group>
            </w:pict>
          </mc:Fallback>
        </mc:AlternateContent>
      </w:r>
    </w:p>
    <w:p>
      <w:pPr>
        <w:pStyle w:val="Normal"/>
        <w:widowControl w:val="false"/>
        <w:spacing w:lineRule="auto" w:line="240"/>
        <w:ind w:left="0" w:right="0" w:hanging="0"/>
        <w:jc w:val="left"/>
        <w:rPr/>
      </w:pPr>
      <w:r>
        <w:rPr>
          <w:color w:val="000000"/>
        </w:rPr>
        <w:t xml:space="preserve">Nakon odabira 70 kandidata, istog su jutra primili telefonski poziv kako bi potvrdili svoje sudjelovanje. Kontaktni centar </w:t>
      </w:r>
      <w:r>
        <w:rPr>
          <w:color w:val="ED7D31"/>
        </w:rPr>
        <w:t>SWG</w:t>
      </w:r>
      <w:r>
        <w:rPr/>
        <w:t>-a uputio je te</w:t>
      </w:r>
      <w:r>
        <w:rPr>
          <w:color w:val="000000"/>
        </w:rPr>
        <w:t xml:space="preserve"> pozive metodom CATI (Računalno potpomognuto telefonsko istraživanje). Na kraju ove faze ukupno 59 osoba potvrdilo je svoje sudjelovanje i registrirano je. </w:t>
      </w:r>
      <w:r>
        <w:rPr>
          <w:b/>
          <w:color w:val="BD1271"/>
        </w:rPr>
        <w:t>Od toga je 55 aktivno sudjelovalo u panelu.</w:t>
      </w:r>
      <w:r>
        <w:rPr/>
        <w:t xml:space="preserve"> </w:t>
      </w:r>
      <w:r>
        <w:br w:type="page"/>
      </w:r>
    </w:p>
    <w:p>
      <w:pPr>
        <w:pStyle w:val="Normal"/>
        <w:widowControl w:val="false"/>
        <w:spacing w:lineRule="auto" w:line="240"/>
        <w:ind w:left="0" w:right="0" w:hanging="0"/>
        <w:jc w:val="left"/>
        <w:rPr>
          <w:rFonts w:ascii="Arial" w:hAnsi="Arial"/>
          <w:b/>
          <w:b/>
          <w:color w:val="BD1271"/>
          <w:sz w:val="22"/>
        </w:rPr>
      </w:pPr>
      <w:r>
        <w:rPr>
          <w:b/>
          <w:color w:val="BD1271"/>
          <w:sz w:val="22"/>
        </w:rPr>
      </w:r>
    </w:p>
    <w:p>
      <w:pPr>
        <w:pStyle w:val="P68B1DB1Normal76"/>
        <w:widowControl w:val="false"/>
        <w:spacing w:lineRule="auto" w:line="240" w:before="64" w:after="0"/>
        <w:ind w:left="0" w:right="0" w:hanging="0"/>
        <w:jc w:val="left"/>
        <w:rPr>
          <w:rFonts w:ascii="Arial" w:hAnsi="Arial"/>
          <w:color w:val="000000"/>
          <w:sz w:val="22"/>
        </w:rPr>
      </w:pPr>
      <w:r>
        <w:rPr/>
        <w:t xml:space="preserve">Socijalna i dobna raspodjela članova panela bila je sljedeća: </w:t>
      </w:r>
    </w:p>
    <w:p>
      <w:pPr>
        <w:pStyle w:val="P68B1DB1Normal76"/>
        <w:widowControl w:val="false"/>
        <w:spacing w:lineRule="auto" w:line="240" w:before="5705" w:after="0"/>
        <w:ind w:left="0" w:right="0" w:hanging="0"/>
        <w:jc w:val="left"/>
        <w:rPr>
          <w:rFonts w:ascii="Arial" w:hAnsi="Arial"/>
          <w:color w:val="000000"/>
          <w:sz w:val="22"/>
        </w:rPr>
      </w:pPr>
      <w:r>
        <w:rPr>
          <w:color w:val="000000"/>
          <w:sz w:val="22"/>
        </w:rPr>
        <mc:AlternateContent>
          <mc:Choice Requires="wpg">
            <w:drawing>
              <wp:anchor behindDoc="0" distT="0" distB="0" distL="0" distR="0" simplePos="0" locked="0" layoutInCell="1" allowOverlap="1" relativeHeight="57">
                <wp:simplePos x="0" y="0"/>
                <wp:positionH relativeFrom="column">
                  <wp:posOffset>635</wp:posOffset>
                </wp:positionH>
                <wp:positionV relativeFrom="paragraph">
                  <wp:posOffset>41275</wp:posOffset>
                </wp:positionV>
                <wp:extent cx="6157595" cy="3623310"/>
                <wp:effectExtent l="0" t="0" r="0" b="0"/>
                <wp:wrapTopAndBottom/>
                <wp:docPr id="103" name="Obrazac 5"/>
                <a:graphic xmlns:a="http://schemas.openxmlformats.org/drawingml/2006/main">
                  <a:graphicData uri="http://schemas.microsoft.com/office/word/2010/wordprocessingGroup">
                    <wpg:wgp>
                      <wpg:cNvGrpSpPr/>
                      <wpg:grpSpPr>
                        <a:xfrm>
                          <a:off x="0" y="0"/>
                          <a:ext cx="6157080" cy="3622680"/>
                        </a:xfrm>
                      </wpg:grpSpPr>
                      <pic:pic xmlns:pic="http://schemas.openxmlformats.org/drawingml/2006/picture">
                        <pic:nvPicPr>
                          <pic:cNvPr id="7" name="" descr=""/>
                          <pic:cNvPicPr/>
                        </pic:nvPicPr>
                        <pic:blipFill>
                          <a:blip r:embed="rId107"/>
                          <a:stretch/>
                        </pic:blipFill>
                        <pic:spPr>
                          <a:xfrm>
                            <a:off x="0" y="458640"/>
                            <a:ext cx="6061680" cy="3164040"/>
                          </a:xfrm>
                          <a:prstGeom prst="rect">
                            <a:avLst/>
                          </a:prstGeom>
                          <a:ln>
                            <a:noFill/>
                          </a:ln>
                        </pic:spPr>
                      </pic:pic>
                      <wps:wsp>
                        <wps:cNvSpPr/>
                        <wps:spPr>
                          <a:xfrm>
                            <a:off x="1477800" y="0"/>
                            <a:ext cx="3937680" cy="42048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Distribucija aktivnih sudionika</w:t>
                              </w:r>
                            </w:p>
                          </w:txbxContent>
                        </wps:txbx>
                        <wps:bodyPr lIns="90000" rIns="90000" tIns="45000" bIns="45000">
                          <a:noAutofit/>
                        </wps:bodyPr>
                      </wps:wsp>
                      <wps:wsp>
                        <wps:cNvSpPr/>
                        <wps:spPr>
                          <a:xfrm>
                            <a:off x="523080" y="1010880"/>
                            <a:ext cx="10908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spol</w:t>
                              </w:r>
                            </w:p>
                          </w:txbxContent>
                        </wps:txbx>
                        <wps:bodyPr lIns="90000" rIns="90000" tIns="45000" bIns="45000">
                          <a:noAutofit/>
                        </wps:bodyPr>
                      </wps:wsp>
                      <wps:wsp>
                        <wps:cNvSpPr/>
                        <wps:spPr>
                          <a:xfrm>
                            <a:off x="361440" y="1887840"/>
                            <a:ext cx="109044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dobna skupina</w:t>
                              </w:r>
                            </w:p>
                          </w:txbxContent>
                        </wps:txbx>
                        <wps:bodyPr lIns="90000" rIns="90000" tIns="45000" bIns="45000">
                          <a:noAutofit/>
                        </wps:bodyPr>
                      </wps:wsp>
                      <wps:wsp>
                        <wps:cNvSpPr/>
                        <wps:spPr>
                          <a:xfrm>
                            <a:off x="1059840" y="2207160"/>
                            <a:ext cx="85212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18 – 34 godina</w:t>
                              </w:r>
                            </w:p>
                          </w:txbxContent>
                        </wps:txbx>
                        <wps:bodyPr lIns="90000" rIns="90000" tIns="45000" bIns="45000">
                          <a:noAutofit/>
                        </wps:bodyPr>
                      </wps:wsp>
                      <wps:wsp>
                        <wps:cNvSpPr/>
                        <wps:spPr>
                          <a:xfrm>
                            <a:off x="1026720" y="2586240"/>
                            <a:ext cx="851400" cy="4413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35 – 64 godine</w:t>
                              </w:r>
                            </w:p>
                          </w:txbxContent>
                        </wps:txbx>
                        <wps:bodyPr lIns="90000" rIns="90000" tIns="45000" bIns="45000">
                          <a:noAutofit/>
                        </wps:bodyPr>
                      </wps:wsp>
                      <wps:wsp>
                        <wps:cNvSpPr/>
                        <wps:spPr>
                          <a:xfrm>
                            <a:off x="1035000" y="2907000"/>
                            <a:ext cx="85140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65 – 75 godina</w:t>
                              </w:r>
                            </w:p>
                          </w:txbxContent>
                        </wps:txbx>
                        <wps:bodyPr lIns="90000" rIns="90000" tIns="45000" bIns="45000">
                          <a:noAutofit/>
                        </wps:bodyPr>
                      </wps:wsp>
                      <wps:wsp>
                        <wps:cNvSpPr/>
                        <wps:spPr>
                          <a:xfrm>
                            <a:off x="2160360" y="1019160"/>
                            <a:ext cx="168588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Razina obrazovanja</w:t>
                              </w:r>
                            </w:p>
                          </w:txbxContent>
                        </wps:txbx>
                        <wps:bodyPr lIns="90000" rIns="90000" tIns="45000" bIns="45000">
                          <a:noAutofit/>
                        </wps:bodyPr>
                      </wps:wsp>
                      <wps:wsp>
                        <wps:cNvSpPr/>
                        <wps:spPr>
                          <a:xfrm>
                            <a:off x="2808000" y="1339920"/>
                            <a:ext cx="85104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Nisko</w:t>
                              </w:r>
                            </w:p>
                          </w:txbxContent>
                        </wps:txbx>
                        <wps:bodyPr lIns="90000" rIns="90000" tIns="45000" bIns="45000">
                          <a:noAutofit/>
                        </wps:bodyPr>
                      </wps:wsp>
                      <wps:wsp>
                        <wps:cNvSpPr/>
                        <wps:spPr>
                          <a:xfrm>
                            <a:off x="5177880" y="1196280"/>
                            <a:ext cx="85104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Sjeveroistok</w:t>
                              </w:r>
                            </w:p>
                          </w:txbxContent>
                        </wps:txbx>
                        <wps:bodyPr lIns="90000" rIns="90000" tIns="45000" bIns="45000">
                          <a:noAutofit/>
                        </wps:bodyPr>
                      </wps:wsp>
                      <wps:wsp>
                        <wps:cNvSpPr/>
                        <wps:spPr>
                          <a:xfrm>
                            <a:off x="2075040" y="1592640"/>
                            <a:ext cx="179712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Fakultet, strukovno obrazovanje</w:t>
                              </w:r>
                            </w:p>
                          </w:txbxContent>
                        </wps:txbx>
                        <wps:bodyPr lIns="90000" rIns="90000" tIns="45000" bIns="45000">
                          <a:noAutofit/>
                        </wps:bodyPr>
                      </wps:wsp>
                      <wps:wsp>
                        <wps:cNvSpPr/>
                        <wps:spPr>
                          <a:xfrm>
                            <a:off x="2859480" y="2013480"/>
                            <a:ext cx="8514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Prosjek</w:t>
                              </w:r>
                            </w:p>
                          </w:txbxContent>
                        </wps:txbx>
                        <wps:bodyPr lIns="90000" rIns="90000" tIns="45000" bIns="45000">
                          <a:noAutofit/>
                        </wps:bodyPr>
                      </wps:wsp>
                      <wps:wsp>
                        <wps:cNvSpPr/>
                        <wps:spPr>
                          <a:xfrm>
                            <a:off x="2220120" y="2300040"/>
                            <a:ext cx="149868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Srednja škola</w:t>
                              </w:r>
                            </w:p>
                          </w:txbxContent>
                        </wps:txbx>
                        <wps:bodyPr lIns="90000" rIns="90000" tIns="45000" bIns="45000">
                          <a:noAutofit/>
                        </wps:bodyPr>
                      </wps:wsp>
                      <wps:wsp>
                        <wps:cNvSpPr/>
                        <wps:spPr>
                          <a:xfrm>
                            <a:off x="2876400" y="2789640"/>
                            <a:ext cx="85104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Podignuti</w:t>
                              </w:r>
                            </w:p>
                          </w:txbxContent>
                        </wps:txbx>
                        <wps:bodyPr lIns="90000" rIns="90000" tIns="45000" bIns="45000">
                          <a:noAutofit/>
                        </wps:bodyPr>
                      </wps:wsp>
                      <wps:wsp>
                        <wps:cNvSpPr/>
                        <wps:spPr>
                          <a:xfrm>
                            <a:off x="2040840" y="3016800"/>
                            <a:ext cx="1950840" cy="38088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Prvostupnik, magisterij ili više</w:t>
                              </w:r>
                            </w:p>
                          </w:txbxContent>
                        </wps:txbx>
                        <wps:bodyPr lIns="90000" rIns="90000" tIns="45000" bIns="45000">
                          <a:noAutofit/>
                        </wps:bodyPr>
                      </wps:wsp>
                      <wps:wsp>
                        <wps:cNvSpPr/>
                        <wps:spPr>
                          <a:xfrm>
                            <a:off x="4120560" y="1415520"/>
                            <a:ext cx="85212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Sjeverozapad</w:t>
                              </w:r>
                            </w:p>
                          </w:txbxContent>
                        </wps:txbx>
                        <wps:bodyPr lIns="90000" rIns="90000" tIns="45000" bIns="45000">
                          <a:noAutofit/>
                        </wps:bodyPr>
                      </wps:wsp>
                      <wps:wsp>
                        <wps:cNvSpPr/>
                        <wps:spPr>
                          <a:xfrm>
                            <a:off x="4205520" y="1019160"/>
                            <a:ext cx="16956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Područje prebivališta</w:t>
                              </w:r>
                            </w:p>
                          </w:txbxContent>
                        </wps:txbx>
                        <wps:bodyPr lIns="90000" rIns="90000" tIns="45000" bIns="45000">
                          <a:noAutofit/>
                        </wps:bodyPr>
                      </wps:wsp>
                      <wps:wsp>
                        <wps:cNvSpPr/>
                        <wps:spPr>
                          <a:xfrm>
                            <a:off x="5305320" y="1752480"/>
                            <a:ext cx="8514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centar</w:t>
                              </w:r>
                            </w:p>
                          </w:txbxContent>
                        </wps:txbx>
                        <wps:bodyPr lIns="90000" rIns="90000" tIns="45000" bIns="45000">
                          <a:noAutofit/>
                        </wps:bodyPr>
                      </wps:wsp>
                      <wps:wsp>
                        <wps:cNvSpPr/>
                        <wps:spPr>
                          <a:xfrm>
                            <a:off x="4112280" y="2687400"/>
                            <a:ext cx="1038960" cy="2660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Južni i otoci</w:t>
                              </w:r>
                            </w:p>
                          </w:txbxContent>
                        </wps:txbx>
                        <wps:bodyPr lIns="90000" rIns="90000" tIns="45000" bIns="45000">
                          <a:noAutofit/>
                        </wps:bodyPr>
                      </wps:wsp>
                    </wpg:wgp>
                  </a:graphicData>
                </a:graphic>
              </wp:anchor>
            </w:drawing>
          </mc:Choice>
          <mc:Fallback>
            <w:pict>
              <v:group id="shape_0" alt="Obrazac 5" style="position:absolute;margin-left:0.05pt;margin-top:3.25pt;width:484.8pt;height:285.3pt" coordorigin="1,65" coordsize="9696,5706">
                <v:shape id="shape_0" stroked="f" style="position:absolute;left:1;top:787;width:9545;height:4982" type="shapetype_75">
                  <v:imagedata r:id="rId107" o:detectmouseclick="t"/>
                  <w10:wrap type="none"/>
                  <v:stroke color="#3465a4" joinstyle="round" endcap="flat"/>
                </v:shape>
                <v:rect id="shape_0" stroked="f" style="position:absolute;left:2328;top:65;width:6200;height:661">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Distribucija aktivnih sudionika</w:t>
                        </w:r>
                      </w:p>
                    </w:txbxContent>
                  </v:textbox>
                  <w10:wrap type="square"/>
                  <v:fill o:detectmouseclick="t" on="false"/>
                  <v:stroke color="#3465a4" joinstyle="round" endcap="flat"/>
                </v:rect>
                <v:rect id="shape_0" stroked="f" style="position:absolute;left:825;top:1657;width:1717;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spol</w:t>
                        </w:r>
                      </w:p>
                    </w:txbxContent>
                  </v:textbox>
                  <w10:wrap type="square"/>
                  <v:fill o:detectmouseclick="t" on="false"/>
                  <v:stroke color="#3465a4" joinstyle="round" endcap="flat"/>
                </v:rect>
                <v:rect id="shape_0" stroked="f" style="position:absolute;left:570;top:3038;width:1716;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dobna skupina</w:t>
                        </w:r>
                      </w:p>
                    </w:txbxContent>
                  </v:textbox>
                  <w10:wrap type="square"/>
                  <v:fill o:detectmouseclick="t" on="false"/>
                  <v:stroke color="#3465a4" joinstyle="round" endcap="flat"/>
                </v:rect>
                <v:rect id="shape_0" stroked="f" style="position:absolute;left:1670;top:3541;width:1341;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18 – 34 godina</w:t>
                        </w:r>
                      </w:p>
                    </w:txbxContent>
                  </v:textbox>
                  <w10:wrap type="square"/>
                  <v:fill o:detectmouseclick="t" on="false"/>
                  <v:stroke color="#3465a4" joinstyle="round" endcap="flat"/>
                </v:rect>
                <v:rect id="shape_0" stroked="f" style="position:absolute;left:1618;top:4138;width:1340;height:69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35 – 64 godine</w:t>
                        </w:r>
                      </w:p>
                    </w:txbxContent>
                  </v:textbox>
                  <w10:wrap type="square"/>
                  <v:fill o:detectmouseclick="t" on="false"/>
                  <v:stroke color="#3465a4" joinstyle="round" endcap="flat"/>
                </v:rect>
                <v:rect id="shape_0" stroked="f" style="position:absolute;left:1631;top:4643;width:1340;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65 – 75 godina</w:t>
                        </w:r>
                      </w:p>
                    </w:txbxContent>
                  </v:textbox>
                  <w10:wrap type="square"/>
                  <v:fill o:detectmouseclick="t" on="false"/>
                  <v:stroke color="#3465a4" joinstyle="round" endcap="flat"/>
                </v:rect>
                <v:rect id="shape_0" stroked="f" style="position:absolute;left:3403;top:1670;width:2654;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Razina obrazovanja</w:t>
                        </w:r>
                      </w:p>
                    </w:txbxContent>
                  </v:textbox>
                  <w10:wrap type="square"/>
                  <v:fill o:detectmouseclick="t" on="false"/>
                  <v:stroke color="#3465a4" joinstyle="round" endcap="flat"/>
                </v:rect>
                <v:rect id="shape_0" stroked="f" style="position:absolute;left:4423;top:2175;width:1339;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Nisko</w:t>
                        </w:r>
                      </w:p>
                    </w:txbxContent>
                  </v:textbox>
                  <w10:wrap type="square"/>
                  <v:fill o:detectmouseclick="t" on="false"/>
                  <v:stroke color="#3465a4" joinstyle="round" endcap="flat"/>
                </v:rect>
                <v:rect id="shape_0" stroked="f" style="position:absolute;left:8155;top:1949;width:1339;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Sjeveroistok</w:t>
                        </w:r>
                      </w:p>
                    </w:txbxContent>
                  </v:textbox>
                  <w10:wrap type="square"/>
                  <v:fill o:detectmouseclick="t" on="false"/>
                  <v:stroke color="#3465a4" joinstyle="round" endcap="flat"/>
                </v:rect>
                <v:rect id="shape_0" stroked="f" style="position:absolute;left:3269;top:2573;width:2829;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Fakultet, strukovno obrazovanje</w:t>
                        </w:r>
                      </w:p>
                    </w:txbxContent>
                  </v:textbox>
                  <w10:wrap type="square"/>
                  <v:fill o:detectmouseclick="t" on="false"/>
                  <v:stroke color="#3465a4" joinstyle="round" endcap="flat"/>
                </v:rect>
                <v:rect id="shape_0" stroked="f" style="position:absolute;left:4504;top:3236;width:1340;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Prosjek</w:t>
                        </w:r>
                      </w:p>
                    </w:txbxContent>
                  </v:textbox>
                  <w10:wrap type="square"/>
                  <v:fill o:detectmouseclick="t" on="false"/>
                  <v:stroke color="#3465a4" joinstyle="round" endcap="flat"/>
                </v:rect>
                <v:rect id="shape_0" stroked="f" style="position:absolute;left:3497;top:3687;width:2359;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Srednja škola</w:t>
                        </w:r>
                      </w:p>
                    </w:txbxContent>
                  </v:textbox>
                  <w10:wrap type="square"/>
                  <v:fill o:detectmouseclick="t" on="false"/>
                  <v:stroke color="#3465a4" joinstyle="round" endcap="flat"/>
                </v:rect>
                <v:rect id="shape_0" stroked="f" style="position:absolute;left:4531;top:4458;width:1339;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Podignuti</w:t>
                        </w:r>
                      </w:p>
                    </w:txbxContent>
                  </v:textbox>
                  <w10:wrap type="square"/>
                  <v:fill o:detectmouseclick="t" on="false"/>
                  <v:stroke color="#3465a4" joinstyle="round" endcap="flat"/>
                </v:rect>
                <v:rect id="shape_0" stroked="f" style="position:absolute;left:3215;top:4816;width:3071;height:599">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Prvostupnik, magisterij ili više</w:t>
                        </w:r>
                      </w:p>
                    </w:txbxContent>
                  </v:textbox>
                  <w10:wrap type="square"/>
                  <v:fill o:detectmouseclick="t" on="false"/>
                  <v:stroke color="#3465a4" joinstyle="round" endcap="flat"/>
                </v:rect>
                <v:rect id="shape_0" stroked="f" style="position:absolute;left:6490;top:2294;width:1341;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Sjeverozapad</w:t>
                        </w:r>
                      </w:p>
                    </w:txbxContent>
                  </v:textbox>
                  <w10:wrap type="square"/>
                  <v:fill o:detectmouseclick="t" on="false"/>
                  <v:stroke color="#3465a4" joinstyle="round" endcap="flat"/>
                </v:rect>
                <v:rect id="shape_0" stroked="f" style="position:absolute;left:6624;top:1670;width:2669;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Područje prebivališta</w:t>
                        </w:r>
                      </w:p>
                    </w:txbxContent>
                  </v:textbox>
                  <w10:wrap type="square"/>
                  <v:fill o:detectmouseclick="t" on="false"/>
                  <v:stroke color="#3465a4" joinstyle="round" endcap="flat"/>
                </v:rect>
                <v:rect id="shape_0" stroked="f" style="position:absolute;left:8356;top:2825;width:1340;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centar</w:t>
                        </w:r>
                      </w:p>
                    </w:txbxContent>
                  </v:textbox>
                  <w10:wrap type="square"/>
                  <v:fill o:detectmouseclick="t" on="false"/>
                  <v:stroke color="#3465a4" joinstyle="round" endcap="flat"/>
                </v:rect>
                <v:rect id="shape_0" stroked="f" style="position:absolute;left:6477;top:4297;width:1635;height:418">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Južni i otoci</w:t>
                        </w:r>
                      </w:p>
                    </w:txbxContent>
                  </v:textbox>
                  <w10:wrap type="square"/>
                  <v:fill o:detectmouseclick="t" on="false"/>
                  <v:stroke color="#3465a4" joinstyle="round" endcap="flat"/>
                </v:rect>
              </v:group>
            </w:pict>
          </mc:Fallback>
        </mc:AlternateContent>
      </w:r>
    </w:p>
    <w:p>
      <w:pPr>
        <w:pStyle w:val="P68B1DB1Normal24"/>
        <w:widowControl w:val="false"/>
        <w:spacing w:lineRule="exact" w:line="362" w:before="198" w:after="0"/>
        <w:ind w:left="0" w:right="0" w:hanging="0"/>
        <w:jc w:val="left"/>
        <w:rPr>
          <w:rFonts w:ascii="Times New Roman" w:hAnsi="Times New Roman"/>
          <w:color w:val="000000"/>
          <w:sz w:val="22"/>
        </w:rPr>
      </w:pPr>
      <w:r>
        <w:rPr/>
        <w:t xml:space="preserve">Ovdje su rezultati koraka u postupku odabira: </w:t>
      </w:r>
    </w:p>
    <w:p>
      <w:pPr>
        <w:pStyle w:val="Normal"/>
        <w:widowControl w:val="false"/>
        <w:spacing w:lineRule="exact" w:line="393"/>
        <w:ind w:left="0" w:right="0" w:hanging="0"/>
        <w:jc w:val="left"/>
        <w:rPr>
          <w:rFonts w:ascii="Times New Roman" w:hAnsi="Times New Roman"/>
          <w:color w:val="000000"/>
          <w:sz w:val="24"/>
        </w:rPr>
      </w:pPr>
      <w:r>
        <w:rPr>
          <w:rFonts w:ascii="Times New Roman" w:hAnsi="Times New Roman"/>
          <w:color w:val="000000"/>
          <w:sz w:val="24"/>
        </w:rPr>
        <mc:AlternateContent>
          <mc:Choice Requires="wpg">
            <w:drawing>
              <wp:anchor behindDoc="0" distT="0" distB="0" distL="0" distR="0" simplePos="0" locked="0" layoutInCell="1" allowOverlap="1" relativeHeight="58">
                <wp:simplePos x="0" y="0"/>
                <wp:positionH relativeFrom="column">
                  <wp:posOffset>10160</wp:posOffset>
                </wp:positionH>
                <wp:positionV relativeFrom="paragraph">
                  <wp:posOffset>144780</wp:posOffset>
                </wp:positionV>
                <wp:extent cx="6047740" cy="3640455"/>
                <wp:effectExtent l="0" t="0" r="0" b="0"/>
                <wp:wrapNone/>
                <wp:docPr id="104" name="Obrazac 6"/>
                <a:graphic xmlns:a="http://schemas.openxmlformats.org/drawingml/2006/main">
                  <a:graphicData uri="http://schemas.microsoft.com/office/word/2010/wordprocessingGroup">
                    <wpg:wgp>
                      <wpg:cNvGrpSpPr/>
                      <wpg:grpSpPr>
                        <a:xfrm>
                          <a:off x="0" y="0"/>
                          <a:ext cx="6047280" cy="3639960"/>
                        </a:xfrm>
                      </wpg:grpSpPr>
                      <pic:pic xmlns:pic="http://schemas.openxmlformats.org/drawingml/2006/picture">
                        <pic:nvPicPr>
                          <pic:cNvPr id="8" name="" descr=""/>
                          <pic:cNvPicPr/>
                        </pic:nvPicPr>
                        <pic:blipFill>
                          <a:blip r:embed="rId108"/>
                          <a:stretch/>
                        </pic:blipFill>
                        <pic:spPr>
                          <a:xfrm>
                            <a:off x="1520280" y="457920"/>
                            <a:ext cx="2903400" cy="3182040"/>
                          </a:xfrm>
                          <a:prstGeom prst="rect">
                            <a:avLst/>
                          </a:prstGeom>
                          <a:ln>
                            <a:noFill/>
                          </a:ln>
                        </pic:spPr>
                      </pic:pic>
                      <wps:wsp>
                        <wps:cNvSpPr/>
                        <wps:spPr>
                          <a:xfrm>
                            <a:off x="693360" y="0"/>
                            <a:ext cx="4645800" cy="4057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Postupak prijave</w:t>
                              </w:r>
                            </w:p>
                          </w:txbxContent>
                        </wps:txbx>
                        <wps:bodyPr lIns="90000" rIns="90000" tIns="45000" bIns="45000">
                          <a:noAutofit/>
                        </wps:bodyPr>
                      </wps:wsp>
                      <wps:wsp>
                        <wps:cNvSpPr/>
                        <wps:spPr>
                          <a:xfrm>
                            <a:off x="0" y="675720"/>
                            <a:ext cx="1599480" cy="4413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Pristup obrascu za prijavu</w:t>
                              </w:r>
                            </w:p>
                          </w:txbxContent>
                        </wps:txbx>
                        <wps:bodyPr lIns="90000" rIns="90000" tIns="45000" bIns="45000">
                          <a:noAutofit/>
                        </wps:bodyPr>
                      </wps:wsp>
                      <wps:wsp>
                        <wps:cNvSpPr/>
                        <wps:spPr>
                          <a:xfrm>
                            <a:off x="0" y="1099080"/>
                            <a:ext cx="159948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Cjelovite aplikacije</w:t>
                              </w:r>
                            </w:p>
                          </w:txbxContent>
                        </wps:txbx>
                        <wps:bodyPr lIns="90000" rIns="90000" tIns="45000" bIns="45000">
                          <a:noAutofit/>
                        </wps:bodyPr>
                      </wps:wsp>
                      <wps:wsp>
                        <wps:cNvSpPr/>
                        <wps:spPr>
                          <a:xfrm>
                            <a:off x="0" y="1497240"/>
                            <a:ext cx="159948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Prihvatljivi kandidati</w:t>
                              </w:r>
                            </w:p>
                          </w:txbxContent>
                        </wps:txbx>
                        <wps:bodyPr lIns="90000" rIns="90000" tIns="45000" bIns="45000">
                          <a:noAutofit/>
                        </wps:bodyPr>
                      </wps:wsp>
                      <wps:wsp>
                        <wps:cNvSpPr/>
                        <wps:spPr>
                          <a:xfrm>
                            <a:off x="0" y="1920240"/>
                            <a:ext cx="1599480" cy="308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Primljen u panel</w:t>
                              </w:r>
                            </w:p>
                          </w:txbxContent>
                        </wps:txbx>
                        <wps:bodyPr lIns="90000" rIns="90000" tIns="45000" bIns="45000">
                          <a:noAutofit/>
                        </wps:bodyPr>
                      </wps:wsp>
                      <wps:wsp>
                        <wps:cNvSpPr/>
                        <wps:spPr>
                          <a:xfrm>
                            <a:off x="0" y="2343240"/>
                            <a:ext cx="1599480" cy="308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Aktivni sudionici</w:t>
                              </w:r>
                            </w:p>
                          </w:txbxContent>
                        </wps:txbx>
                        <wps:bodyPr lIns="90000" rIns="90000" tIns="45000" bIns="45000">
                          <a:noAutofit/>
                        </wps:bodyPr>
                      </wps:wsp>
                      <wps:wsp>
                        <wps:cNvSpPr/>
                        <wps:spPr>
                          <a:xfrm>
                            <a:off x="4430520" y="594360"/>
                            <a:ext cx="1599480" cy="308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8. – 10. ožujka 2022.</w:t>
                              </w:r>
                            </w:p>
                          </w:txbxContent>
                        </wps:txbx>
                        <wps:bodyPr lIns="90000" rIns="90000" tIns="45000" bIns="45000">
                          <a:noAutofit/>
                        </wps:bodyPr>
                      </wps:wsp>
                      <wps:wsp>
                        <wps:cNvSpPr/>
                        <wps:spPr>
                          <a:xfrm>
                            <a:off x="4447440" y="1099800"/>
                            <a:ext cx="1599480" cy="30780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10. ožujka 2022.</w:t>
                              </w:r>
                            </w:p>
                          </w:txbxContent>
                        </wps:txbx>
                        <wps:bodyPr lIns="90000" rIns="90000" tIns="45000" bIns="45000">
                          <a:noAutofit/>
                        </wps:bodyPr>
                      </wps:wsp>
                      <wps:wsp>
                        <wps:cNvSpPr/>
                        <wps:spPr>
                          <a:xfrm>
                            <a:off x="4430520" y="595080"/>
                            <a:ext cx="1599480" cy="30780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8. – 10. ožujka 2022.</w:t>
                              </w:r>
                            </w:p>
                          </w:txbxContent>
                        </wps:txbx>
                        <wps:bodyPr lIns="90000" rIns="90000" tIns="45000" bIns="45000">
                          <a:noAutofit/>
                        </wps:bodyPr>
                      </wps:wsp>
                      <wps:wsp>
                        <wps:cNvSpPr/>
                        <wps:spPr>
                          <a:xfrm>
                            <a:off x="4439160" y="1514520"/>
                            <a:ext cx="1598760" cy="308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10. ožujka 2022.</w:t>
                              </w:r>
                            </w:p>
                          </w:txbxContent>
                        </wps:txbx>
                        <wps:bodyPr lIns="90000" rIns="90000" tIns="45000" bIns="45000">
                          <a:noAutofit/>
                        </wps:bodyPr>
                      </wps:wsp>
                      <wps:wsp>
                        <wps:cNvSpPr/>
                        <wps:spPr>
                          <a:xfrm>
                            <a:off x="4430520" y="1913400"/>
                            <a:ext cx="1599480" cy="30780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11. ožujka 2022.</w:t>
                              </w:r>
                            </w:p>
                          </w:txbxContent>
                        </wps:txbx>
                        <wps:bodyPr lIns="90000" rIns="90000" tIns="45000" bIns="45000">
                          <a:noAutofit/>
                        </wps:bodyPr>
                      </wps:wsp>
                      <wps:wsp>
                        <wps:cNvSpPr/>
                        <wps:spPr>
                          <a:xfrm>
                            <a:off x="4404240" y="2279160"/>
                            <a:ext cx="1599480" cy="308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 11 – 12. ožujka 2022.</w:t>
                              </w:r>
                            </w:p>
                          </w:txbxContent>
                        </wps:txbx>
                        <wps:bodyPr lIns="90000" rIns="90000" tIns="45000" bIns="45000">
                          <a:noAutofit/>
                        </wps:bodyPr>
                      </wps:wsp>
                    </wpg:wgp>
                  </a:graphicData>
                </a:graphic>
              </wp:anchor>
            </w:drawing>
          </mc:Choice>
          <mc:Fallback>
            <w:pict>
              <v:group id="shape_0" alt="Obrazac 6" style="position:absolute;margin-left:0.8pt;margin-top:11.4pt;width:476.1pt;height:286.6pt" coordorigin="16,228" coordsize="9522,5732">
                <v:shape id="shape_0" stroked="f" style="position:absolute;left:2410;top:949;width:4571;height:5010" type="shapetype_75">
                  <v:imagedata r:id="rId108" o:detectmouseclick="t"/>
                  <w10:wrap type="none"/>
                  <v:stroke color="#3465a4" joinstyle="round" endcap="flat"/>
                </v:shape>
                <v:rect id="shape_0" stroked="f" style="position:absolute;left:1108;top:228;width:7315;height:638">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Postupak prijave</w:t>
                        </w:r>
                      </w:p>
                    </w:txbxContent>
                  </v:textbox>
                  <w10:wrap type="square"/>
                  <v:fill o:detectmouseclick="t" on="false"/>
                  <v:stroke color="#3465a4" joinstyle="round" endcap="flat"/>
                </v:rect>
                <v:rect id="shape_0" stroked="f" style="position:absolute;left:16;top:1292;width:2518;height:69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Pristup obrascu za prijavu</w:t>
                        </w:r>
                      </w:p>
                    </w:txbxContent>
                  </v:textbox>
                  <w10:wrap type="square"/>
                  <v:fill o:detectmouseclick="t" on="false"/>
                  <v:stroke color="#3465a4" joinstyle="round" endcap="flat"/>
                </v:rect>
                <v:rect id="shape_0" stroked="f" style="position:absolute;left:16;top:1959;width:2518;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Cjelovite aplikacije</w:t>
                        </w:r>
                      </w:p>
                    </w:txbxContent>
                  </v:textbox>
                  <w10:wrap type="square"/>
                  <v:fill o:detectmouseclick="t" on="false"/>
                  <v:stroke color="#3465a4" joinstyle="round" endcap="flat"/>
                </v:rect>
                <v:rect id="shape_0" stroked="f" style="position:absolute;left:16;top:2586;width:2518;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Prihvatljivi kandidati</w:t>
                        </w:r>
                      </w:p>
                    </w:txbxContent>
                  </v:textbox>
                  <w10:wrap type="square"/>
                  <v:fill o:detectmouseclick="t" on="false"/>
                  <v:stroke color="#3465a4" joinstyle="round" endcap="flat"/>
                </v:rect>
                <v:rect id="shape_0" stroked="f" style="position:absolute;left:16;top:3252;width:2518;height:48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Primljen u panel</w:t>
                        </w:r>
                      </w:p>
                    </w:txbxContent>
                  </v:textbox>
                  <w10:wrap type="square"/>
                  <v:fill o:detectmouseclick="t" on="false"/>
                  <v:stroke color="#3465a4" joinstyle="round" endcap="flat"/>
                </v:rect>
                <v:rect id="shape_0" stroked="f" style="position:absolute;left:16;top:3918;width:2518;height:48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Aktivni sudionici</w:t>
                        </w:r>
                      </w:p>
                    </w:txbxContent>
                  </v:textbox>
                  <w10:wrap type="square"/>
                  <v:fill o:detectmouseclick="t" on="false"/>
                  <v:stroke color="#3465a4" joinstyle="round" endcap="flat"/>
                </v:rect>
                <v:rect id="shape_0" stroked="f" style="position:absolute;left:6993;top:1164;width:2518;height:48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8. – 10. ožujka 2022.</w:t>
                        </w:r>
                      </w:p>
                    </w:txbxContent>
                  </v:textbox>
                  <w10:wrap type="square"/>
                  <v:fill o:detectmouseclick="t" on="false"/>
                  <v:stroke color="#3465a4" joinstyle="round" endcap="flat"/>
                </v:rect>
                <v:rect id="shape_0" stroked="f" style="position:absolute;left:7020;top:1960;width:2518;height:48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10. ožujka 2022.</w:t>
                        </w:r>
                      </w:p>
                    </w:txbxContent>
                  </v:textbox>
                  <w10:wrap type="square"/>
                  <v:fill o:detectmouseclick="t" on="false"/>
                  <v:stroke color="#3465a4" joinstyle="round" endcap="flat"/>
                </v:rect>
                <v:rect id="shape_0" stroked="f" style="position:absolute;left:6993;top:1165;width:2518;height:48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8. – 10. ožujka 2022.</w:t>
                        </w:r>
                      </w:p>
                    </w:txbxContent>
                  </v:textbox>
                  <w10:wrap type="square"/>
                  <v:fill o:detectmouseclick="t" on="false"/>
                  <v:stroke color="#3465a4" joinstyle="round" endcap="flat"/>
                </v:rect>
                <v:rect id="shape_0" stroked="f" style="position:absolute;left:7007;top:2613;width:2517;height:48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10. ožujka 2022.</w:t>
                        </w:r>
                      </w:p>
                    </w:txbxContent>
                  </v:textbox>
                  <w10:wrap type="square"/>
                  <v:fill o:detectmouseclick="t" on="false"/>
                  <v:stroke color="#3465a4" joinstyle="round" endcap="flat"/>
                </v:rect>
                <v:rect id="shape_0" stroked="f" style="position:absolute;left:6993;top:3241;width:2518;height:48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11. ožujka 2022.</w:t>
                        </w:r>
                      </w:p>
                    </w:txbxContent>
                  </v:textbox>
                  <w10:wrap type="square"/>
                  <v:fill o:detectmouseclick="t" on="false"/>
                  <v:stroke color="#3465a4" joinstyle="round" endcap="flat"/>
                </v:rect>
                <v:rect id="shape_0" stroked="f" style="position:absolute;left:6952;top:3817;width:2518;height:48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 11 – 12. ožujka 2022.</w:t>
                        </w:r>
                      </w:p>
                    </w:txbxContent>
                  </v:textbox>
                  <w10:wrap type="square"/>
                  <v:fill o:detectmouseclick="t" on="false"/>
                  <v:stroke color="#3465a4" joinstyle="round" endcap="flat"/>
                </v:rect>
              </v:group>
            </w:pict>
          </mc:Fallback>
        </mc:AlternateContent>
      </w:r>
      <w:r>
        <w:br w:type="page"/>
      </w:r>
    </w:p>
    <w:p>
      <w:pPr>
        <w:pStyle w:val="P68B1DB1Normal74"/>
        <w:widowControl w:val="false"/>
        <w:spacing w:lineRule="exact" w:line="393"/>
        <w:ind w:left="0" w:right="0" w:hanging="0"/>
        <w:jc w:val="left"/>
        <w:rPr>
          <w:rFonts w:ascii="Arial" w:hAnsi="Arial"/>
          <w:color w:val="2E74B5"/>
          <w:sz w:val="22"/>
        </w:rPr>
      </w:pPr>
      <w:r>
        <w:rPr/>
        <w:t xml:space="preserve">Komunikacijska oprema </w:t>
      </w:r>
    </w:p>
    <w:p>
      <w:pPr>
        <w:pStyle w:val="P68B1DB1Normal76"/>
        <w:widowControl w:val="false"/>
        <w:spacing w:lineRule="exact" w:line="379" w:before="200" w:after="0"/>
        <w:ind w:left="0" w:right="2" w:hanging="0"/>
        <w:jc w:val="left"/>
        <w:rPr/>
      </w:pPr>
      <w:r>
        <w:rPr/>
        <w:t xml:space="preserve">Kako bi se osigurala visoka razina motivacije i sudjelovanja od samog početka, svim sudionicima stavljeni su na raspolaganje sljedeći dokumenti: </w:t>
      </w:r>
    </w:p>
    <w:p>
      <w:pPr>
        <w:pStyle w:val="P68B1DB1Normal76"/>
        <w:widowControl w:val="false"/>
        <w:spacing w:lineRule="exact" w:line="252" w:before="192" w:after="0"/>
        <w:ind w:left="720" w:right="0" w:hanging="0"/>
        <w:jc w:val="left"/>
        <w:rPr/>
      </w:pPr>
      <w:r>
        <w:rPr/>
        <w:t xml:space="preserve">• </w:t>
      </w:r>
      <w:r>
        <w:rPr>
          <w:b/>
        </w:rPr>
        <w:t xml:space="preserve">prezentacijske listove konferencije o budućnosti Europe i nacionalnih panela; </w:t>
      </w:r>
    </w:p>
    <w:p>
      <w:pPr>
        <w:pStyle w:val="P68B1DB1Normal76"/>
        <w:widowControl w:val="false"/>
        <w:spacing w:lineRule="exact" w:line="379"/>
        <w:ind w:left="720" w:right="0" w:hanging="0"/>
        <w:jc w:val="left"/>
        <w:rPr/>
      </w:pPr>
      <w:r>
        <w:rPr/>
        <w:t xml:space="preserve">• </w:t>
      </w:r>
      <w:r>
        <w:rPr>
          <w:b/>
        </w:rPr>
        <w:t xml:space="preserve">Povelja Konferencije o budućnosti Europe; </w:t>
      </w:r>
    </w:p>
    <w:p>
      <w:pPr>
        <w:pStyle w:val="P68B1DB1Normal76"/>
        <w:widowControl w:val="false"/>
        <w:spacing w:lineRule="exact" w:line="379"/>
        <w:ind w:left="720" w:right="0" w:hanging="0"/>
        <w:jc w:val="left"/>
        <w:rPr/>
      </w:pPr>
      <w:r>
        <w:rPr/>
        <w:t xml:space="preserve">• </w:t>
      </w:r>
      <w:r>
        <w:rPr/>
        <w:t xml:space="preserve">teme </w:t>
      </w:r>
      <w:r>
        <w:rPr>
          <w:b/>
        </w:rPr>
        <w:t xml:space="preserve">o kojima će se raspravljati tijekom panela; </w:t>
      </w:r>
    </w:p>
    <w:p>
      <w:pPr>
        <w:pStyle w:val="P68B1DB1Normal76"/>
        <w:widowControl w:val="false"/>
        <w:spacing w:lineRule="exact" w:line="379"/>
        <w:ind w:left="721" w:right="0" w:hanging="0"/>
        <w:jc w:val="left"/>
        <w:rPr/>
      </w:pPr>
      <w:r>
        <w:rPr/>
        <w:t xml:space="preserve">• </w:t>
      </w:r>
      <w:r>
        <w:rPr>
          <w:b/>
        </w:rPr>
        <w:t xml:space="preserve">tehničke i organizacijske informacije potrebne za sudjelovanje. </w:t>
      </w:r>
    </w:p>
    <w:p>
      <w:pPr>
        <w:pStyle w:val="P68B1DB1Titre277"/>
        <w:numPr>
          <w:ilvl w:val="0"/>
          <w:numId w:val="2"/>
        </w:numPr>
        <w:rPr>
          <w:color w:val="BD1271"/>
        </w:rPr>
      </w:pPr>
      <w:bookmarkStart w:id="218" w:name="__RefHeading___Toc300312_1346298689"/>
      <w:bookmarkEnd w:id="218"/>
      <w:r>
        <w:rPr/>
        <w:t xml:space="preserve">3. Organizacija panela </w:t>
      </w:r>
    </w:p>
    <w:p>
      <w:pPr>
        <w:pStyle w:val="P68B1DB1Normal76"/>
        <w:widowControl w:val="false"/>
        <w:spacing w:lineRule="exact" w:line="272" w:before="231" w:after="0"/>
        <w:ind w:left="0" w:right="0" w:hanging="0"/>
        <w:jc w:val="both"/>
        <w:rPr/>
      </w:pPr>
      <w:r>
        <w:rPr/>
        <w:t xml:space="preserve">Kako bi se omogućilo maksimalno sudjelovanje, uključujući osobe s profesionalnim obvezama, povjerenstvo je organizirano tijekom dva uzastopna poludana, uključujući jedno vikendom, prema sljedećem rasporedu: </w:t>
      </w:r>
    </w:p>
    <w:p>
      <w:pPr>
        <w:pStyle w:val="P68B1DB1Normal76"/>
        <w:widowControl w:val="false"/>
        <w:spacing w:lineRule="exact" w:line="288" w:before="101" w:after="0"/>
        <w:ind w:left="359" w:right="0" w:hanging="0"/>
        <w:jc w:val="left"/>
        <w:rPr/>
      </w:pPr>
      <w:r>
        <w:rPr>
          <w:rFonts w:ascii="Symbol" w:hAnsi="Symbol"/>
        </w:rPr>
        <w:t>•</w:t>
      </w:r>
      <w:r>
        <w:rPr/>
        <w:t xml:space="preserve"> </w:t>
      </w:r>
      <w:r>
        <w:rPr>
          <w:b/>
        </w:rPr>
        <w:t xml:space="preserve">Petak, 11. ožujka od 16 do 20 sati </w:t>
      </w:r>
    </w:p>
    <w:p>
      <w:pPr>
        <w:pStyle w:val="P68B1DB1Normal76"/>
        <w:widowControl w:val="false"/>
        <w:spacing w:lineRule="exact" w:line="288" w:before="101" w:after="0"/>
        <w:ind w:left="359" w:right="0" w:hanging="0"/>
        <w:jc w:val="left"/>
        <w:rPr/>
      </w:pPr>
      <w:r>
        <w:rPr>
          <w:rFonts w:ascii="Symbol" w:hAnsi="Symbol"/>
        </w:rPr>
        <w:t>•</w:t>
      </w:r>
      <w:r>
        <w:rPr/>
        <w:t xml:space="preserve"> </w:t>
      </w:r>
      <w:r>
        <w:rPr>
          <w:b/>
        </w:rPr>
        <w:t xml:space="preserve">Subota 12. ožujka od 10 do 12 sati </w:t>
      </w:r>
    </w:p>
    <w:p>
      <w:pPr>
        <w:pStyle w:val="Normal"/>
        <w:widowControl w:val="false"/>
        <w:spacing w:lineRule="exact" w:line="286" w:before="83" w:after="0"/>
        <w:ind w:left="0" w:right="1" w:hanging="0"/>
        <w:jc w:val="both"/>
        <w:rPr/>
      </w:pPr>
      <w:r>
        <w:rPr>
          <w:color w:val="000000"/>
        </w:rPr>
        <w:t xml:space="preserve">Cilj je tog izbora, s jedne strane, olakšati sudjelovanje radnika u inicijativi i, s druge strane, podijeliti vrijeme sudjelovanja kako bi se potaknula veća pozornost i sudjelovanje, kao i daljnje promišljanje o predstavljenim temama i prijedlozima. Sudionici panela povezali su se na dvije radne sjednice putem platforme GoToMeeting i bili su podijeljeni u četiri skupine (po dvije za svako tematsko područje), na čelu s moderatorom </w:t>
      </w:r>
      <w:r>
        <w:rPr>
          <w:color w:val="ED7D31"/>
        </w:rPr>
        <w:t>SWG</w:t>
      </w:r>
      <w:r>
        <w:rPr>
          <w:color w:val="000000"/>
        </w:rPr>
        <w:t xml:space="preserve"> -a i asistentima osobe odgovorne za pisanje postupka. Moderatori su olakšali skupine kroz dva različita načina za raspravu (po jedan za svako tematsko područje) s ciljem uključivanja što je više moguće svih odabranih osoba i osiguravanja pristupa koji se temelji na maksimalnoj uključenosti i neutralnosti. </w:t>
      </w:r>
    </w:p>
    <w:p>
      <w:pPr>
        <w:pStyle w:val="Titre2"/>
        <w:numPr>
          <w:ilvl w:val="1"/>
          <w:numId w:val="2"/>
        </w:numPr>
        <w:rPr/>
      </w:pPr>
      <w:bookmarkStart w:id="219" w:name="__RefHeading___Toc300314_1346298689"/>
      <w:bookmarkEnd w:id="219"/>
      <w:r>
        <w:rPr>
          <w:color w:val="BD1271"/>
        </w:rPr>
        <w:t>4. Program rada</w:t>
      </w:r>
      <w:r>
        <w:rPr/>
        <w:t xml:space="preserve"> </w:t>
      </w:r>
    </w:p>
    <w:p>
      <w:pPr>
        <w:pStyle w:val="P68B1DB1Normal80"/>
        <w:widowControl w:val="false"/>
        <w:spacing w:lineRule="exact" w:line="393" w:before="85" w:after="0"/>
        <w:ind w:left="0" w:right="0" w:hanging="0"/>
        <w:jc w:val="left"/>
        <w:rPr>
          <w:rFonts w:ascii="Arial" w:hAnsi="Arial"/>
          <w:color w:val="116E9A"/>
          <w:sz w:val="24"/>
        </w:rPr>
      </w:pPr>
      <w:r>
        <w:rPr/>
        <w:t xml:space="preserve">Prva sjednica (petak, 11. ožujka 2022.) </w:t>
      </w:r>
    </w:p>
    <w:p>
      <w:pPr>
        <w:pStyle w:val="P68B1DB1Normal76"/>
        <w:widowControl w:val="false"/>
        <w:spacing w:lineRule="exact" w:line="362" w:before="208" w:after="0"/>
        <w:ind w:left="360" w:right="0" w:hanging="0"/>
        <w:jc w:val="left"/>
        <w:rPr/>
      </w:pPr>
      <w:r>
        <w:rPr/>
        <w:t xml:space="preserve">• </w:t>
      </w:r>
      <w:r>
        <w:rPr/>
        <w:t xml:space="preserve">00 – Otvaranje virtualne sobe i mogućnost da se sudionici povežu s platformom kako bi provjerili pravilno funkcioniranje svojih audio i video sustava. </w:t>
      </w:r>
    </w:p>
    <w:p>
      <w:pPr>
        <w:pStyle w:val="P68B1DB1Normal76"/>
        <w:widowControl w:val="false"/>
        <w:spacing w:lineRule="exact" w:line="362"/>
        <w:ind w:left="360" w:right="0" w:hanging="0"/>
        <w:jc w:val="left"/>
        <w:rPr/>
      </w:pPr>
      <w:r>
        <w:rPr/>
        <w:t xml:space="preserve">• </w:t>
      </w:r>
      <w:r>
        <w:rPr/>
        <w:t xml:space="preserve">16:00 – Uvod moderatora: objašnjenje razloga na kojima se temelji inicijativa i opis strukture rada. </w:t>
      </w:r>
    </w:p>
    <w:p>
      <w:pPr>
        <w:pStyle w:val="P68B1DB1Normal76"/>
        <w:widowControl w:val="false"/>
        <w:spacing w:lineRule="exact" w:line="362"/>
        <w:ind w:left="360" w:right="0" w:hanging="0"/>
        <w:jc w:val="left"/>
        <w:rPr>
          <w:rFonts w:ascii="Arial" w:hAnsi="Arial"/>
          <w:color w:val="000000"/>
          <w:sz w:val="22"/>
        </w:rPr>
      </w:pPr>
      <w:r>
        <w:rPr/>
        <w:t xml:space="preserve">• </w:t>
      </w:r>
      <w:r>
        <w:rPr/>
        <w:t xml:space="preserve">15:00 – Raspodjela sudionika u skupinama na temelju preferencija navedenih tijekom faze prijave. </w:t>
      </w:r>
    </w:p>
    <w:p>
      <w:pPr>
        <w:pStyle w:val="P68B1DB1Normal76"/>
        <w:widowControl w:val="false"/>
        <w:spacing w:lineRule="exact" w:line="362"/>
        <w:ind w:left="360" w:right="0" w:hanging="0"/>
        <w:jc w:val="left"/>
        <w:rPr>
          <w:rFonts w:ascii="Arial" w:hAnsi="Arial"/>
          <w:color w:val="000000"/>
          <w:sz w:val="22"/>
        </w:rPr>
      </w:pPr>
      <w:r>
        <w:rPr/>
        <w:t xml:space="preserve">16:20 – Početak rasprave. </w:t>
      </w:r>
    </w:p>
    <w:p>
      <w:pPr>
        <w:pStyle w:val="P68B1DB1Normal76"/>
        <w:widowControl w:val="false"/>
        <w:spacing w:lineRule="exact" w:line="362"/>
        <w:ind w:left="360" w:right="0" w:hanging="0"/>
        <w:jc w:val="left"/>
        <w:rPr>
          <w:rFonts w:ascii="Arial" w:hAnsi="Arial"/>
          <w:color w:val="000000"/>
          <w:sz w:val="22"/>
        </w:rPr>
      </w:pPr>
      <w:r>
        <w:rPr/>
        <w:t xml:space="preserve">• </w:t>
      </w:r>
      <w:r>
        <w:rPr/>
        <w:t xml:space="preserve">20:00 – Završetak sjednice. </w:t>
      </w:r>
    </w:p>
    <w:p>
      <w:pPr>
        <w:pStyle w:val="P68B1DB1Normal80"/>
        <w:widowControl w:val="false"/>
        <w:spacing w:lineRule="exact" w:line="393" w:before="248" w:after="0"/>
        <w:ind w:left="0" w:right="0" w:hanging="0"/>
        <w:jc w:val="left"/>
        <w:rPr>
          <w:rFonts w:ascii="Arial" w:hAnsi="Arial"/>
          <w:color w:val="116E9A"/>
          <w:sz w:val="24"/>
        </w:rPr>
      </w:pPr>
      <w:r>
        <w:rPr/>
        <w:t xml:space="preserve">Druga sjednica (subota, 12. ožujka 2022.) </w:t>
      </w:r>
    </w:p>
    <w:p>
      <w:pPr>
        <w:pStyle w:val="P68B1DB1Normal76"/>
        <w:widowControl w:val="false"/>
        <w:spacing w:lineRule="exact" w:line="362" w:before="208" w:after="0"/>
        <w:ind w:left="360" w:right="0" w:hanging="0"/>
        <w:jc w:val="left"/>
        <w:rPr>
          <w:rFonts w:ascii="Arial" w:hAnsi="Arial"/>
          <w:color w:val="000000"/>
          <w:sz w:val="22"/>
        </w:rPr>
      </w:pPr>
      <w:r>
        <w:rPr/>
        <w:t xml:space="preserve">• </w:t>
      </w:r>
      <w:r>
        <w:rPr/>
        <w:t xml:space="preserve">10 – Nastavak rada čitanjem rezultata rada prvog dana. </w:t>
      </w:r>
    </w:p>
    <w:p>
      <w:pPr>
        <w:pStyle w:val="P68B1DB1Normal76"/>
        <w:widowControl w:val="false"/>
        <w:spacing w:lineRule="exact" w:line="254"/>
        <w:ind w:left="360" w:right="140" w:hanging="0"/>
        <w:jc w:val="left"/>
        <w:rPr/>
      </w:pPr>
      <w:r>
        <w:rPr/>
        <w:t xml:space="preserve">• </w:t>
      </w:r>
      <w:r>
        <w:rPr/>
        <w:t xml:space="preserve">10:15 – Nastavak rasprave, detaljne rasprave i komentari sudionika. </w:t>
      </w:r>
    </w:p>
    <w:p>
      <w:pPr>
        <w:pStyle w:val="Normal"/>
        <w:widowControl w:val="false"/>
        <w:spacing w:lineRule="exact" w:line="362"/>
        <w:ind w:left="360" w:right="0" w:hanging="0"/>
        <w:jc w:val="left"/>
        <w:rPr/>
      </w:pPr>
      <w:r>
        <w:rPr>
          <w:color w:val="000000"/>
        </w:rPr>
        <w:t xml:space="preserve">• </w:t>
      </w:r>
      <w:r>
        <w:rPr>
          <w:color w:val="000000"/>
        </w:rPr>
        <w:t>12.00 – Zaključak rada</w:t>
      </w:r>
      <w:r>
        <w:rPr>
          <w:color w:val="FF0000"/>
        </w:rPr>
        <w:t>.</w:t>
      </w:r>
      <w:r>
        <w:rPr>
          <w:color w:val="000000"/>
        </w:rPr>
        <w:t xml:space="preserve"> </w:t>
      </w:r>
    </w:p>
    <w:p>
      <w:pPr>
        <w:pStyle w:val="P68B1DB1Normal34"/>
        <w:widowControl w:val="false"/>
        <w:spacing w:lineRule="exact" w:line="393"/>
        <w:ind w:left="360" w:right="0" w:hanging="0"/>
        <w:jc w:val="left"/>
        <w:rPr>
          <w:rFonts w:ascii="Arial" w:hAnsi="Arial"/>
          <w:color w:val="000000"/>
          <w:sz w:val="24"/>
        </w:rPr>
      </w:pPr>
      <w:r>
        <w:rPr/>
        <w:t xml:space="preserve"> </w:t>
      </w:r>
    </w:p>
    <w:p>
      <w:pPr>
        <w:pStyle w:val="Normal"/>
        <w:spacing w:lineRule="auto" w:line="240" w:before="5420" w:after="57"/>
        <w:rPr/>
      </w:pPr>
      <w:r>
        <w:rPr/>
        <w:drawing>
          <wp:anchor behindDoc="0" distT="0" distB="0" distL="0" distR="0" simplePos="0" locked="0" layoutInCell="1" allowOverlap="1" relativeHeight="61">
            <wp:simplePos x="0" y="0"/>
            <wp:positionH relativeFrom="column">
              <wp:align>center</wp:align>
            </wp:positionH>
            <wp:positionV relativeFrom="paragraph">
              <wp:posOffset>635</wp:posOffset>
            </wp:positionV>
            <wp:extent cx="6120130" cy="3441700"/>
            <wp:effectExtent l="0" t="0" r="0" b="0"/>
            <wp:wrapTopAndBottom/>
            <wp:docPr id="105" name="Slika 4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Slika 45" descr=""/>
                    <pic:cNvPicPr>
                      <a:picLocks noChangeAspect="1" noChangeArrowheads="1"/>
                    </pic:cNvPicPr>
                  </pic:nvPicPr>
                  <pic:blipFill>
                    <a:blip r:embed="rId109"/>
                    <a:stretch>
                      <a:fillRect/>
                    </a:stretch>
                  </pic:blipFill>
                  <pic:spPr bwMode="auto">
                    <a:xfrm>
                      <a:off x="0" y="0"/>
                      <a:ext cx="6120130" cy="3441700"/>
                    </a:xfrm>
                    <a:prstGeom prst="rect">
                      <a:avLst/>
                    </a:prstGeom>
                  </pic:spPr>
                </pic:pic>
              </a:graphicData>
            </a:graphic>
          </wp:anchor>
        </w:drawing>
      </w:r>
    </w:p>
    <w:p>
      <w:pPr>
        <w:pStyle w:val="Normal"/>
        <w:spacing w:lineRule="auto" w:line="240"/>
        <w:rPr/>
      </w:pPr>
      <w:r>
        <w:rPr/>
      </w:r>
      <w:r>
        <w:br w:type="page"/>
      </w:r>
    </w:p>
    <w:p>
      <w:pPr>
        <w:pStyle w:val="P68B1DB1Titre277"/>
        <w:numPr>
          <w:ilvl w:val="0"/>
          <w:numId w:val="2"/>
        </w:numPr>
        <w:rPr>
          <w:color w:val="BD1271"/>
        </w:rPr>
      </w:pPr>
      <w:bookmarkStart w:id="220" w:name="__RefHeading___Toc300316_1346298689"/>
      <w:bookmarkEnd w:id="220"/>
      <w:r>
        <w:rPr/>
        <w:t xml:space="preserve">5. Dane preporuke </w:t>
      </w:r>
    </w:p>
    <w:p>
      <w:pPr>
        <w:pStyle w:val="Titre3"/>
        <w:numPr>
          <w:ilvl w:val="2"/>
          <w:numId w:val="2"/>
        </w:numPr>
        <w:rPr/>
      </w:pPr>
      <w:bookmarkStart w:id="221" w:name="__RefHeading___Toc300318_1346298689"/>
      <w:bookmarkEnd w:id="221"/>
      <w:r>
        <w:rPr>
          <w:color w:val="FFFFFF"/>
          <w:shd w:fill="0066B3" w:val="clear"/>
        </w:rPr>
        <w:t>Snažnije gospodarstvo, socijalna pravda i zapošljavanje</w:t>
      </w:r>
      <w:r>
        <w:rPr/>
        <w:t xml:space="preserve"> </w:t>
      </w:r>
    </w:p>
    <w:p>
      <w:pPr>
        <w:pStyle w:val="P68B1DB1Normal19"/>
        <w:widowControl w:val="false"/>
        <w:spacing w:lineRule="auto" w:line="240" w:before="106" w:after="0"/>
        <w:ind w:left="0" w:right="0" w:hanging="0"/>
        <w:jc w:val="left"/>
        <w:rPr>
          <w:rFonts w:ascii="Times New Roman" w:hAnsi="Times New Roman"/>
          <w:color w:val="000000"/>
          <w:sz w:val="24"/>
        </w:rPr>
      </w:pPr>
      <w:r>
        <w:rPr/>
        <w:t xml:space="preserve"> </w:t>
      </w:r>
    </w:p>
    <w:p>
      <w:pPr>
        <w:pStyle w:val="P68B1DB1Titre481"/>
        <w:numPr>
          <w:ilvl w:val="0"/>
          <w:numId w:val="2"/>
        </w:numPr>
        <w:rPr>
          <w:color w:val="0066B3"/>
        </w:rPr>
      </w:pPr>
      <w:bookmarkStart w:id="222" w:name="__RefHeading___Toc300428_1346298689"/>
      <w:bookmarkEnd w:id="222"/>
      <w:r>
        <w:rPr/>
        <w:t xml:space="preserve">1. Prevladavanje proizvodnog modela prošlog stoljeća </w:t>
      </w:r>
    </w:p>
    <w:p>
      <w:pPr>
        <w:pStyle w:val="P68B1DB1Normal76"/>
        <w:widowControl w:val="false"/>
        <w:spacing w:lineRule="auto" w:line="240" w:before="80" w:after="0"/>
        <w:ind w:left="0" w:right="1" w:hanging="0"/>
        <w:jc w:val="both"/>
        <w:rPr/>
      </w:pPr>
      <w:r>
        <w:rPr/>
        <w:t xml:space="preserve">Sudionici panela smatrali su da su najnoviji globalni događaji (pandemija bolesti COVID-19 i sukob između Rusije i Ukrajine) očito pokazali ograničenja trenutačnog europskog modela proizvodnje i istaknuli potrebu za ponovnim razmatranjem pristupa koji mnogi opisuju kao „pripadnost prošlom stoljeću”.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2" w:hanging="0"/>
        <w:jc w:val="both"/>
        <w:rPr/>
      </w:pPr>
      <w:r>
        <w:rPr/>
        <w:t xml:space="preserve">Dokazi o ovisnosti Europe o uvozu energije i hrane iz zemalja izvan Europske unije, kao i otkrića (tijekom pandemije) da sami ne možemo proizvesti količinu medicinskih proizvoda i cjepiva potrebnih za borbu protiv širenja virusa, stvorili su dojam da naš gospodarski sustav pati od strukturne slabosti zbog nedostatka samodostatnosti.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3" w:hanging="0"/>
        <w:jc w:val="both"/>
        <w:rPr/>
      </w:pPr>
      <w:r>
        <w:rPr/>
        <w:t xml:space="preserve">Istodobno, sudionici jasno vjeruju da snažnije gospodarstvo, sposobno za stvaranje radnih mjesta u kontekstu socijalne pravde, mora moći steći važna tehnološka sredstva. Kako bi se to postiglo, ključno je podržati obrazovni sustav sa sve većom pozornošću na predmete povezane sa STEM-om.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0" w:hanging="0"/>
        <w:jc w:val="both"/>
        <w:rPr/>
      </w:pPr>
      <w:r>
        <w:rPr/>
        <w:t>Čini se da</w:t>
      </w:r>
      <w:r>
        <w:rPr>
          <w:b/>
        </w:rPr>
        <w:t>su tehnološke inovacije, održiva energija, ali i turizam i kultura</w:t>
      </w:r>
      <w:r>
        <w:rPr/>
        <w:t xml:space="preserve"> tri temeljne osi za razvoj europskog gospodarstva budućnosti, s posebnim naglaskom na održavanje osnovne proizvodnje kako bi se izbjegao rizik prekomjerne ovisnosti o trećim zemljama o opskrbi osnovnim proizvodima i sirovinama. </w:t>
      </w:r>
    </w:p>
    <w:p>
      <w:pPr>
        <w:pStyle w:val="P68B1DB1Normal82"/>
        <w:widowControl w:val="false"/>
        <w:spacing w:lineRule="auto" w:line="240"/>
        <w:ind w:left="4819" w:right="0" w:hanging="0"/>
        <w:jc w:val="left"/>
        <w:rPr>
          <w:rFonts w:ascii="Arial" w:hAnsi="Arial"/>
          <w:color w:val="2E74B5"/>
          <w:sz w:val="24"/>
        </w:rPr>
      </w:pPr>
      <w:r>
        <w:rPr/>
        <w:t xml:space="preserve"> </w:t>
      </w:r>
    </w:p>
    <w:p>
      <w:pPr>
        <w:pStyle w:val="P68B1DB1Normal83"/>
        <w:widowControl w:val="false"/>
        <w:spacing w:lineRule="auto" w:line="240" w:before="84" w:after="0"/>
        <w:ind w:left="3000" w:right="0" w:hanging="0"/>
        <w:jc w:val="left"/>
        <w:rPr>
          <w:rFonts w:ascii="Arial" w:hAnsi="Arial"/>
          <w:b/>
          <w:b/>
          <w:color w:val="2E74B5"/>
          <w:sz w:val="24"/>
        </w:rPr>
      </w:pPr>
      <w:r>
        <w:rPr/>
        <w:t xml:space="preserve">PREPORUKE UKRATKO </w:t>
      </w:r>
    </w:p>
    <w:p>
      <w:pPr>
        <w:pStyle w:val="P68B1DB1Normal84"/>
        <w:widowControl w:val="false"/>
        <w:spacing w:lineRule="auto" w:line="240" w:before="69" w:after="0"/>
        <w:ind w:left="283" w:right="0" w:hanging="0"/>
        <w:jc w:val="left"/>
        <w:rPr/>
      </w:pPr>
      <w:r>
        <w:rPr>
          <w:color w:val="BD1271"/>
        </w:rPr>
        <w:t xml:space="preserve">1. </w:t>
      </w:r>
      <w:r>
        <w:rPr>
          <w:color w:val="000000"/>
        </w:rPr>
        <w:t>Poduzeti učinkovite mjere u području klimatskih promjena i alternativne energije.</w:t>
      </w:r>
    </w:p>
    <w:p>
      <w:pPr>
        <w:pStyle w:val="P68B1DB1Normal84"/>
        <w:widowControl w:val="false"/>
        <w:spacing w:lineRule="auto" w:line="240"/>
        <w:ind w:left="283" w:right="0" w:hanging="0"/>
        <w:jc w:val="left"/>
        <w:rPr/>
      </w:pPr>
      <w:r>
        <w:rPr>
          <w:color w:val="BD1271"/>
        </w:rPr>
        <w:t xml:space="preserve">2. </w:t>
      </w:r>
      <w:r>
        <w:rPr>
          <w:color w:val="000000"/>
        </w:rPr>
        <w:t>Ulagati u turizam i kulturnu ekonomiju te vrednovati brojna mala odredišta u Europi.</w:t>
      </w:r>
    </w:p>
    <w:p>
      <w:pPr>
        <w:pStyle w:val="P68B1DB1Normal84"/>
        <w:widowControl w:val="false"/>
        <w:spacing w:lineRule="auto" w:line="240"/>
        <w:ind w:left="283" w:right="0" w:hanging="0"/>
        <w:jc w:val="left"/>
        <w:rPr/>
      </w:pPr>
      <w:r>
        <w:rPr>
          <w:color w:val="BD1271"/>
        </w:rPr>
        <w:t xml:space="preserve">3. </w:t>
      </w:r>
      <w:r>
        <w:rPr>
          <w:color w:val="000000"/>
        </w:rPr>
        <w:t>Usredotočenost na tehnologiju i inovacije kao pokretače rasta.</w:t>
      </w:r>
    </w:p>
    <w:p>
      <w:pPr>
        <w:pStyle w:val="P68B1DB1Normal84"/>
        <w:widowControl w:val="false"/>
        <w:spacing w:lineRule="auto" w:line="240"/>
        <w:ind w:left="283" w:right="0" w:hanging="0"/>
        <w:jc w:val="left"/>
        <w:rPr/>
      </w:pPr>
      <w:r>
        <w:rPr>
          <w:color w:val="BD1271"/>
        </w:rPr>
        <w:t xml:space="preserve">4. </w:t>
      </w:r>
      <w:r>
        <w:rPr>
          <w:color w:val="000000"/>
        </w:rPr>
        <w:t>Smanjiti ovisnost o drugim zemljama o sirovinama, izvorima energije i poljoprivredi.</w:t>
      </w:r>
    </w:p>
    <w:p>
      <w:pPr>
        <w:pStyle w:val="P68B1DB1Normal84"/>
        <w:widowControl w:val="false"/>
        <w:spacing w:lineRule="auto" w:line="240"/>
        <w:ind w:left="283" w:right="0" w:hanging="0"/>
        <w:jc w:val="left"/>
        <w:rPr/>
      </w:pPr>
      <w:r>
        <w:rPr>
          <w:color w:val="BD1271"/>
        </w:rPr>
        <w:t xml:space="preserve">5. </w:t>
      </w:r>
      <w:r>
        <w:rPr>
          <w:color w:val="000000"/>
        </w:rPr>
        <w:t>Poticati mlade da studiraju znanstvene predmete.</w:t>
      </w:r>
    </w:p>
    <w:p>
      <w:pPr>
        <w:pStyle w:val="P68B1DB1Normal85"/>
        <w:widowControl w:val="false"/>
        <w:spacing w:lineRule="exact" w:line="460"/>
        <w:ind w:left="0" w:right="0" w:hanging="0"/>
        <w:jc w:val="left"/>
        <w:rPr>
          <w:rFonts w:ascii="Arial" w:hAnsi="Arial"/>
          <w:color w:val="FFFFFF"/>
          <w:sz w:val="28"/>
        </w:rPr>
      </w:pPr>
      <w:r>
        <w:rPr/>
        <w:t xml:space="preserve"> </w:t>
      </w:r>
    </w:p>
    <w:p>
      <w:pPr>
        <w:pStyle w:val="P68B1DB1Titre481"/>
        <w:numPr>
          <w:ilvl w:val="0"/>
          <w:numId w:val="2"/>
        </w:numPr>
        <w:rPr>
          <w:color w:val="0066B3"/>
        </w:rPr>
      </w:pPr>
      <w:bookmarkStart w:id="223" w:name="__RefHeading___Toc300430_1346298689"/>
      <w:bookmarkEnd w:id="223"/>
      <w:r>
        <w:rPr/>
        <w:t xml:space="preserve">2. Generativni i uključivi propisi o proizvodnji </w:t>
      </w:r>
    </w:p>
    <w:p>
      <w:pPr>
        <w:pStyle w:val="P68B1DB1Normal76"/>
        <w:widowControl w:val="false"/>
        <w:spacing w:lineRule="auto" w:line="240" w:before="91" w:after="0"/>
        <w:ind w:left="0" w:right="2" w:hanging="0"/>
        <w:jc w:val="both"/>
        <w:rPr/>
      </w:pPr>
      <w:r>
        <w:rPr/>
        <w:t xml:space="preserve">Kako bi se prevladala ekonomska logika prošlog stoljeća, također je potrebno preispitati pravila i postupke kojima se uređuju poslovne djelatnosti. Postoje četiri preporuke u tom smislu, od kojih sve odgovaraju na zajedničku logiku: s jedne strane, pojednostavnjenje pravila i, s druge strane, održavanje visoke razine budnosti protiv prijestupa (posebno u pogledu krivotvorenja i nepoštenog tržišnog natjecanja). </w:t>
      </w:r>
    </w:p>
    <w:p>
      <w:pPr>
        <w:pStyle w:val="P68B1DB1Normal76"/>
        <w:widowControl w:val="false"/>
        <w:spacing w:lineRule="auto" w:line="240" w:before="15" w:after="0"/>
        <w:ind w:left="0" w:right="2" w:hanging="0"/>
        <w:jc w:val="both"/>
        <w:rPr/>
      </w:pPr>
      <w:r>
        <w:rPr/>
        <w:t xml:space="preserve">Veliku pozornost posvećuje se potrebi za gospodarskim pravilima koja su prvenstveno generaativna, čime se u najvećoj mogućoj mjeri smanjuju izbori koji zahtijevaju standardizaciju proizvodnih procesa (ugrožavanje specifičnih lokalnih produkcija s dubokim kulturnim korijenima), ali i uništavanje poljoprivrednih dobara zbog potrebe za održavanjem unaprijed definiranih količina proizvodnje. </w:t>
      </w:r>
    </w:p>
    <w:p>
      <w:pPr>
        <w:pStyle w:val="P68B1DB1Normal83"/>
        <w:widowControl w:val="false"/>
        <w:spacing w:lineRule="auto" w:line="240" w:before="6" w:after="0"/>
        <w:ind w:left="4819" w:right="0" w:hanging="0"/>
        <w:jc w:val="left"/>
        <w:rPr>
          <w:rFonts w:ascii="Arial" w:hAnsi="Arial"/>
          <w:b/>
          <w:b/>
          <w:color w:val="2E74B5"/>
          <w:sz w:val="24"/>
        </w:rPr>
      </w:pPr>
      <w:r>
        <w:rPr/>
        <w:t xml:space="preserve"> </w:t>
      </w:r>
    </w:p>
    <w:p>
      <w:pPr>
        <w:pStyle w:val="P68B1DB1Normal83"/>
        <w:widowControl w:val="false"/>
        <w:spacing w:lineRule="auto" w:line="240" w:before="72" w:after="0"/>
        <w:ind w:left="3000" w:right="0" w:hanging="0"/>
        <w:jc w:val="left"/>
        <w:rPr>
          <w:rFonts w:ascii="Arial" w:hAnsi="Arial"/>
          <w:b/>
          <w:b/>
          <w:color w:val="2E74B5"/>
          <w:sz w:val="24"/>
        </w:rPr>
      </w:pPr>
      <w:r>
        <w:rPr/>
        <w:t xml:space="preserve">PREPORUKE UKRATKO </w:t>
      </w:r>
    </w:p>
    <w:p>
      <w:pPr>
        <w:pStyle w:val="P68B1DB1Normal84"/>
        <w:widowControl w:val="false"/>
        <w:spacing w:lineRule="auto" w:line="240" w:before="72" w:after="0"/>
        <w:ind w:left="142" w:right="0" w:hanging="0"/>
        <w:jc w:val="left"/>
        <w:rPr/>
      </w:pPr>
      <w:r>
        <w:rPr>
          <w:color w:val="BD1271"/>
        </w:rPr>
        <w:t xml:space="preserve">1. </w:t>
      </w:r>
      <w:r>
        <w:rPr>
          <w:color w:val="000000"/>
        </w:rPr>
        <w:t>Smanjiti birokraciju (odobrenja, certifikati).</w:t>
      </w:r>
    </w:p>
    <w:p>
      <w:pPr>
        <w:pStyle w:val="P68B1DB1Normal84"/>
        <w:widowControl w:val="false"/>
        <w:spacing w:lineRule="auto" w:line="240"/>
        <w:ind w:left="142" w:right="0" w:hanging="0"/>
        <w:jc w:val="left"/>
        <w:rPr/>
      </w:pPr>
      <w:r>
        <w:rPr>
          <w:color w:val="BD1271"/>
        </w:rPr>
        <w:t xml:space="preserve">2. </w:t>
      </w:r>
      <w:r>
        <w:rPr>
          <w:color w:val="000000"/>
        </w:rPr>
        <w:t>Smanjiti standardizaciju proizvoda i prepoznati lokalne i regionalne posebnosti u pogledu kulture i proizvodnje (poštovanje proizvodnih tradicija).</w:t>
      </w:r>
    </w:p>
    <w:p>
      <w:pPr>
        <w:pStyle w:val="P68B1DB1Normal84"/>
        <w:widowControl w:val="false"/>
        <w:spacing w:lineRule="auto" w:line="240"/>
        <w:ind w:left="142" w:right="417" w:hanging="0"/>
        <w:jc w:val="left"/>
        <w:rPr/>
      </w:pPr>
      <w:r>
        <w:rPr>
          <w:color w:val="BD1271"/>
        </w:rPr>
        <w:t xml:space="preserve">3. </w:t>
      </w:r>
      <w:r>
        <w:rPr>
          <w:color w:val="000000"/>
        </w:rPr>
        <w:t>Premašuju logiku kvota u poljoprivrednoj proizvodnji i posljedično uništavanje viška proizvodnje.</w:t>
      </w:r>
    </w:p>
    <w:p>
      <w:pPr>
        <w:pStyle w:val="P68B1DB1Normal84"/>
        <w:widowControl w:val="false"/>
        <w:spacing w:lineRule="auto" w:line="240"/>
        <w:ind w:left="142" w:right="0" w:hanging="0"/>
        <w:jc w:val="left"/>
        <w:rPr/>
      </w:pPr>
      <w:r>
        <w:rPr>
          <w:color w:val="BD1271"/>
        </w:rPr>
        <w:t xml:space="preserve">4. </w:t>
      </w:r>
      <w:r>
        <w:rPr>
          <w:color w:val="000000"/>
        </w:rPr>
        <w:t>Borba protiv krivotvorenja i nepoštenog tržišnog natjecanja.</w:t>
      </w:r>
    </w:p>
    <w:p>
      <w:pPr>
        <w:pStyle w:val="P68B1DB1Normal86"/>
        <w:widowControl w:val="false"/>
        <w:spacing w:lineRule="auto" w:line="240"/>
        <w:ind w:left="0" w:right="0" w:hanging="0"/>
        <w:jc w:val="left"/>
        <w:rPr>
          <w:rFonts w:ascii="Arial" w:hAnsi="Arial"/>
          <w:color w:val="2E74B5"/>
          <w:sz w:val="28"/>
        </w:rPr>
      </w:pPr>
      <w:r>
        <w:rPr/>
        <w:t xml:space="preserve"> </w:t>
      </w:r>
    </w:p>
    <w:p>
      <w:pPr>
        <w:pStyle w:val="P68B1DB1Titre487"/>
        <w:numPr>
          <w:ilvl w:val="0"/>
          <w:numId w:val="2"/>
        </w:numPr>
        <w:rPr>
          <w:sz w:val="24"/>
        </w:rPr>
      </w:pPr>
      <w:bookmarkStart w:id="224" w:name="__RefHeading___Toc300432_1346298689"/>
      <w:bookmarkEnd w:id="224"/>
      <w:r>
        <w:rPr/>
        <w:t xml:space="preserve">3. Mjerenje rasta protiv sreće u populaciji, a ne količina proizvoda </w:t>
      </w:r>
    </w:p>
    <w:p>
      <w:pPr>
        <w:pStyle w:val="P68B1DB1Normal76"/>
        <w:widowControl w:val="false"/>
        <w:spacing w:lineRule="auto" w:line="240" w:before="88" w:after="0"/>
        <w:ind w:left="0" w:right="0" w:hanging="0"/>
        <w:jc w:val="both"/>
        <w:rPr/>
      </w:pPr>
      <w:r>
        <w:rPr/>
        <w:t xml:space="preserve">Izlazak iz proizvodnog modela prošlog stoljeća ne znači samo promjenu proizvodnih metoda, već i razvoj nove kulture u kojoj su pokazatelji rasta usmjereni ne samo na količinu proizvedenih dobara, već i na sposobnost da se građanima zajamči cilj sreće. U tom novom gospodarstvu roba ne može biti središnja točka razmatranja u smislu učinka i ulaganja, ali se to mjesto mora vratiti ljudima. To uključuje prelazak sa sustava pokazatelja koji se temelje na količini proizvedene robe (BDP) na sustav koji može mjeriti dobrobit ljudi (BIB – bruto domaća sreća). </w:t>
      </w:r>
    </w:p>
    <w:p>
      <w:pPr>
        <w:pStyle w:val="P68B1DB1Normal83"/>
        <w:widowControl w:val="false"/>
        <w:spacing w:lineRule="auto" w:line="240" w:before="8" w:after="0"/>
        <w:ind w:left="4819" w:right="0" w:hanging="0"/>
        <w:jc w:val="left"/>
        <w:rPr>
          <w:rFonts w:ascii="Arial" w:hAnsi="Arial"/>
          <w:b/>
          <w:b/>
          <w:color w:val="2E74B5"/>
          <w:sz w:val="24"/>
        </w:rPr>
      </w:pPr>
      <w:r>
        <w:rPr/>
        <w:t xml:space="preserve"> </w:t>
      </w:r>
    </w:p>
    <w:p>
      <w:pPr>
        <w:pStyle w:val="P68B1DB1Normal83"/>
        <w:widowControl w:val="false"/>
        <w:spacing w:lineRule="auto" w:line="240" w:before="69" w:after="0"/>
        <w:ind w:left="3079" w:right="0" w:hanging="0"/>
        <w:jc w:val="left"/>
        <w:rPr>
          <w:rFonts w:ascii="Arial" w:hAnsi="Arial"/>
          <w:b/>
          <w:b/>
          <w:color w:val="2E74B5"/>
          <w:sz w:val="24"/>
        </w:rPr>
      </w:pPr>
      <w:r>
        <w:rPr/>
        <w:t xml:space="preserve">PREPORUKE UKRATKO </w:t>
      </w:r>
    </w:p>
    <w:p>
      <w:pPr>
        <w:pStyle w:val="P68B1DB1Normal84"/>
        <w:widowControl w:val="false"/>
        <w:spacing w:lineRule="auto" w:line="240" w:before="69" w:after="0"/>
        <w:ind w:left="142" w:right="0" w:hanging="0"/>
        <w:jc w:val="left"/>
        <w:rPr/>
      </w:pPr>
      <w:r>
        <w:rPr>
          <w:color w:val="BD1271"/>
        </w:rPr>
        <w:t xml:space="preserve">1. </w:t>
      </w:r>
      <w:r>
        <w:rPr>
          <w:color w:val="000000"/>
        </w:rPr>
        <w:t>Razviti gospodarstvo koje je više usmjereno na proizvodnju sreće (bruto domaća sreća) nego na dobra (bruto domaći proizvod).</w:t>
      </w:r>
    </w:p>
    <w:p>
      <w:pPr>
        <w:pStyle w:val="Normal"/>
        <w:widowControl w:val="false"/>
        <w:spacing w:lineRule="exact" w:line="460"/>
        <w:ind w:left="0" w:right="0" w:hanging="0"/>
        <w:jc w:val="left"/>
        <w:rPr>
          <w:rFonts w:ascii="Arial" w:hAnsi="Arial"/>
          <w:color w:val="000000"/>
          <w:sz w:val="28"/>
        </w:rPr>
      </w:pPr>
      <w:r>
        <w:rPr>
          <w:color w:val="000000"/>
          <w:sz w:val="28"/>
        </w:rPr>
      </w:r>
      <w:r>
        <w:br w:type="page"/>
      </w:r>
    </w:p>
    <w:p>
      <w:pPr>
        <w:pStyle w:val="P68B1DB1Titre481"/>
        <w:numPr>
          <w:ilvl w:val="0"/>
          <w:numId w:val="2"/>
        </w:numPr>
        <w:rPr>
          <w:color w:val="0066B3"/>
        </w:rPr>
      </w:pPr>
      <w:bookmarkStart w:id="225" w:name="__RefHeading___Toc300434_1346298689"/>
      <w:bookmarkEnd w:id="225"/>
      <w:r>
        <w:rPr/>
        <w:t xml:space="preserve">4. Veća integracija među državama </w:t>
      </w:r>
    </w:p>
    <w:p>
      <w:pPr>
        <w:pStyle w:val="P68B1DB1Normal76"/>
        <w:widowControl w:val="false"/>
        <w:spacing w:lineRule="auto" w:line="240" w:before="49" w:after="0"/>
        <w:ind w:left="0" w:right="0" w:hanging="0"/>
        <w:jc w:val="both"/>
        <w:rPr/>
      </w:pPr>
      <w:r>
        <w:rPr/>
        <w:t xml:space="preserve">Svima, čak i onima koji su manje zadovoljni trenutačnom organizacijom i rezultatima koje je dosad postigla Europska unija, jasno je da monetarna unija nije dovoljna i da se Europa mora moći razvijati sve većom snagom kao koherentna politička jedinica koja može pregovarati s jednim glasom izvana i djelovati s većom unutarnjom solidarnošću. Snažnija unija ključan je aspekt jačanja političke, trgovinske i produktivne snage Europske unije: homogenost temeljnih zakona, kao i integrirani i koherentni sustav oporezivanja poduzeća i građana, u kojem su plaće i usluge građanima usklađene. Samo ćemo na taj način imati Europu koja može smanjiti socijalne razlike i promicati kvalitetu života. </w:t>
      </w:r>
    </w:p>
    <w:p>
      <w:pPr>
        <w:pStyle w:val="P68B1DB1Normal76"/>
        <w:widowControl w:val="false"/>
        <w:spacing w:lineRule="auto" w:line="240" w:before="1" w:after="0"/>
        <w:ind w:left="0" w:right="2" w:hanging="0"/>
        <w:jc w:val="both"/>
        <w:rPr/>
      </w:pPr>
      <w:r>
        <w:rPr/>
        <w:t xml:space="preserve">To znači ne vraćati se na postignuća posljednjih godina i očuvati koncept socijalne države, koju su sudionici panela identificirali kao najnaprednije na svijetu i najviše zabrinuti za osiguravanje jednakih mogućnosti i socijalne pravde za svoje građane. </w:t>
      </w:r>
    </w:p>
    <w:p>
      <w:pPr>
        <w:pStyle w:val="P68B1DB1Normal83"/>
        <w:widowControl w:val="false"/>
        <w:spacing w:lineRule="auto" w:line="240" w:before="72" w:after="0"/>
        <w:ind w:left="3000" w:right="0" w:hanging="0"/>
        <w:jc w:val="left"/>
        <w:rPr>
          <w:rFonts w:ascii="Arial" w:hAnsi="Arial"/>
          <w:b/>
          <w:b/>
          <w:color w:val="2E74B5"/>
          <w:sz w:val="24"/>
        </w:rPr>
      </w:pPr>
      <w:r>
        <w:rPr/>
        <w:t xml:space="preserve">PREPORUKE UKRATKO </w:t>
      </w:r>
    </w:p>
    <w:p>
      <w:pPr>
        <w:pStyle w:val="P68B1DB1Normal84"/>
        <w:widowControl w:val="false"/>
        <w:spacing w:lineRule="auto" w:line="240" w:before="69" w:after="0"/>
        <w:ind w:left="283" w:right="0" w:hanging="0"/>
        <w:jc w:val="left"/>
        <w:rPr/>
      </w:pPr>
      <w:r>
        <w:rPr>
          <w:color w:val="BD1271"/>
        </w:rPr>
        <w:t xml:space="preserve">1. </w:t>
      </w:r>
      <w:r>
        <w:rPr>
          <w:color w:val="000000"/>
        </w:rPr>
        <w:t>Ne dovoditi u pitanje socijalna prava (javno zdravstvo, javno obrazovanje, politike rada).</w:t>
      </w:r>
    </w:p>
    <w:p>
      <w:pPr>
        <w:pStyle w:val="P68B1DB1Normal84"/>
        <w:widowControl w:val="false"/>
        <w:spacing w:lineRule="auto" w:line="240"/>
        <w:ind w:left="283" w:right="0" w:hanging="0"/>
        <w:jc w:val="left"/>
        <w:rPr/>
      </w:pPr>
      <w:r>
        <w:rPr>
          <w:color w:val="BD1271"/>
        </w:rPr>
        <w:t xml:space="preserve">2. </w:t>
      </w:r>
      <w:r>
        <w:rPr>
          <w:color w:val="000000"/>
        </w:rPr>
        <w:t>Konsolidirati ono što je učinjeno u pogledu jedinstvene valute i međupovezanosti platnih sustava i telekomunikacija.</w:t>
      </w:r>
    </w:p>
    <w:p>
      <w:pPr>
        <w:pStyle w:val="P68B1DB1Normal88"/>
        <w:widowControl w:val="false"/>
        <w:spacing w:lineRule="auto" w:line="240"/>
        <w:ind w:left="0" w:right="0" w:hanging="0"/>
        <w:jc w:val="left"/>
        <w:rPr>
          <w:rFonts w:ascii="Arial" w:hAnsi="Arial"/>
          <w:color w:val="000000"/>
          <w:sz w:val="18"/>
        </w:rPr>
      </w:pPr>
      <w:r>
        <w:rPr/>
        <w:t xml:space="preserve"> </w:t>
      </w:r>
    </w:p>
    <w:p>
      <w:pPr>
        <w:pStyle w:val="P68B1DB1Normal76"/>
        <w:widowControl w:val="false"/>
        <w:spacing w:lineRule="auto" w:line="240" w:before="57" w:after="0"/>
        <w:ind w:left="0" w:right="0" w:hanging="0"/>
        <w:jc w:val="both"/>
        <w:rPr/>
      </w:pPr>
      <w:r>
        <w:rPr/>
        <w:t xml:space="preserve">Međutim, danas se čini da sve što je učinjeno u prošlosti više nije dovoljno, a Europa budućnosti mora napraviti odlučujući korak naprijed u pogledu integracije među državama članicama, u skladu s unutarnjom vizijom koja se više ne temelji na tržišnom natjecanju, već na suradnji, osiguravajući da svaki europski građanin može imati iste sustave jamstava i mogućnosti u svim državama članicama Unije. </w:t>
      </w:r>
    </w:p>
    <w:p>
      <w:pPr>
        <w:pStyle w:val="P68B1DB1Normal34"/>
        <w:widowControl w:val="false"/>
        <w:spacing w:lineRule="auto" w:line="240" w:before="3" w:after="0"/>
        <w:ind w:left="0" w:right="0" w:hanging="0"/>
        <w:jc w:val="left"/>
        <w:rPr>
          <w:rFonts w:ascii="Arial" w:hAnsi="Arial"/>
          <w:color w:val="000000"/>
          <w:sz w:val="24"/>
        </w:rPr>
      </w:pPr>
      <w:r>
        <w:rPr/>
        <w:t xml:space="preserve"> </w:t>
      </w:r>
    </w:p>
    <w:p>
      <w:pPr>
        <w:pStyle w:val="P68B1DB1Normal83"/>
        <w:widowControl w:val="false"/>
        <w:spacing w:lineRule="auto" w:line="240" w:before="81" w:after="0"/>
        <w:ind w:left="3000" w:right="0" w:hanging="0"/>
        <w:jc w:val="left"/>
        <w:rPr>
          <w:rFonts w:ascii="Arial" w:hAnsi="Arial"/>
          <w:b/>
          <w:b/>
          <w:color w:val="2E74B5"/>
          <w:sz w:val="24"/>
        </w:rPr>
      </w:pPr>
      <w:r>
        <w:rPr/>
        <w:t xml:space="preserve">PREPORUKE UKRATKO </w:t>
      </w:r>
    </w:p>
    <w:p>
      <w:pPr>
        <w:pStyle w:val="P68B1DB1Normal84"/>
        <w:widowControl w:val="false"/>
        <w:spacing w:lineRule="auto" w:line="240" w:before="72" w:after="0"/>
        <w:ind w:left="283" w:right="0" w:hanging="0"/>
        <w:jc w:val="left"/>
        <w:rPr/>
      </w:pPr>
      <w:r>
        <w:rPr>
          <w:color w:val="BD1271"/>
        </w:rPr>
        <w:t xml:space="preserve">1. </w:t>
      </w:r>
      <w:r>
        <w:rPr>
          <w:color w:val="000000"/>
        </w:rPr>
        <w:t>Nadići sebičnost država i sklonost traženju individualnih koristi nauštrb drugih.</w:t>
      </w:r>
    </w:p>
    <w:p>
      <w:pPr>
        <w:pStyle w:val="P68B1DB1Normal84"/>
        <w:widowControl w:val="false"/>
        <w:spacing w:lineRule="auto" w:line="240"/>
        <w:ind w:left="283" w:right="0" w:hanging="0"/>
        <w:jc w:val="left"/>
        <w:rPr/>
      </w:pPr>
      <w:r>
        <w:rPr>
          <w:color w:val="BD1271"/>
        </w:rPr>
        <w:t xml:space="preserve">2. </w:t>
      </w:r>
      <w:r>
        <w:rPr>
          <w:color w:val="000000"/>
        </w:rPr>
        <w:t>Uspostaviti sustav s istim zakonima, poreznim sustavima, pravima i dužnostima u svim zemljama.</w:t>
      </w:r>
    </w:p>
    <w:p>
      <w:pPr>
        <w:pStyle w:val="P68B1DB1Normal84"/>
        <w:widowControl w:val="false"/>
        <w:spacing w:lineRule="auto" w:line="240"/>
        <w:ind w:left="283" w:right="0" w:hanging="0"/>
        <w:jc w:val="left"/>
        <w:rPr/>
      </w:pPr>
      <w:r>
        <w:rPr>
          <w:color w:val="BD1271"/>
        </w:rPr>
        <w:t xml:space="preserve">3. </w:t>
      </w:r>
      <w:r>
        <w:rPr>
          <w:color w:val="000000"/>
        </w:rPr>
        <w:t>Usklađeni porezni režimi među različitim državama, posebno u pogledu poduzeća (nema slobodnih zona ili niskog oporezivanja).</w:t>
      </w:r>
    </w:p>
    <w:p>
      <w:pPr>
        <w:pStyle w:val="P68B1DB1Normal84"/>
        <w:widowControl w:val="false"/>
        <w:spacing w:lineRule="auto" w:line="240"/>
        <w:ind w:left="283" w:right="416" w:hanging="0"/>
        <w:jc w:val="left"/>
        <w:rPr/>
      </w:pPr>
      <w:r>
        <w:rPr>
          <w:color w:val="BD1271"/>
        </w:rPr>
        <w:t xml:space="preserve">4. </w:t>
      </w:r>
      <w:r>
        <w:rPr>
          <w:color w:val="000000"/>
        </w:rPr>
        <w:t>Dosljedne cijene proizvoda i jamstvo jednake kupovne moći među različitim državama.</w:t>
      </w:r>
    </w:p>
    <w:p>
      <w:pPr>
        <w:pStyle w:val="P68B1DB1Normal84"/>
        <w:widowControl w:val="false"/>
        <w:spacing w:lineRule="auto" w:line="240"/>
        <w:ind w:left="283" w:right="416" w:hanging="0"/>
        <w:jc w:val="left"/>
        <w:rPr/>
      </w:pPr>
      <w:r>
        <w:rPr>
          <w:color w:val="BD1271"/>
        </w:rPr>
        <w:t xml:space="preserve">5. </w:t>
      </w:r>
      <w:r>
        <w:rPr>
          <w:color w:val="000000"/>
        </w:rPr>
        <w:t>Smanjiti razlike u plaćama između različitih država i geografskih regija unutar iste zemlje.</w:t>
      </w:r>
    </w:p>
    <w:p>
      <w:pPr>
        <w:pStyle w:val="P68B1DB1Normal84"/>
        <w:widowControl w:val="false"/>
        <w:spacing w:lineRule="auto" w:line="240"/>
        <w:ind w:left="283" w:right="416" w:hanging="0"/>
        <w:jc w:val="left"/>
        <w:rPr/>
      </w:pPr>
      <w:r>
        <w:rPr>
          <w:color w:val="BD1271"/>
        </w:rPr>
        <w:t xml:space="preserve">6. </w:t>
      </w:r>
      <w:r>
        <w:rPr>
          <w:color w:val="000000"/>
        </w:rPr>
        <w:t>Učiniti javni dug nekoliko država članica zajedničkom odgovornošću.</w:t>
      </w:r>
    </w:p>
    <w:p>
      <w:pPr>
        <w:pStyle w:val="Normal"/>
        <w:widowControl w:val="false"/>
        <w:spacing w:lineRule="auto" w:line="240"/>
        <w:ind w:left="0" w:right="0" w:hanging="0"/>
        <w:jc w:val="left"/>
        <w:rPr>
          <w:rFonts w:ascii="Times New Roman" w:hAnsi="Times New Roman"/>
          <w:color w:val="000000"/>
          <w:sz w:val="24"/>
        </w:rPr>
      </w:pPr>
      <w:r>
        <w:rPr>
          <w:rFonts w:ascii="Times New Roman" w:hAnsi="Times New Roman"/>
          <w:color w:val="000000"/>
          <w:sz w:val="24"/>
        </w:rPr>
      </w:r>
      <w:r>
        <w:br w:type="page"/>
      </w:r>
    </w:p>
    <w:p>
      <w:pPr>
        <w:pStyle w:val="P68B1DB1Titre481"/>
        <w:numPr>
          <w:ilvl w:val="0"/>
          <w:numId w:val="2"/>
        </w:numPr>
        <w:rPr>
          <w:color w:val="0066B3"/>
        </w:rPr>
      </w:pPr>
      <w:bookmarkStart w:id="226" w:name="__RefHeading___Toc300436_1346298689"/>
      <w:bookmarkEnd w:id="226"/>
      <w:r>
        <w:rPr/>
        <w:t xml:space="preserve">5. Politike uključivanja </w:t>
      </w:r>
    </w:p>
    <w:p>
      <w:pPr>
        <w:pStyle w:val="P68B1DB1Normal76"/>
        <w:widowControl w:val="false"/>
        <w:spacing w:lineRule="auto" w:line="240" w:before="88" w:after="0"/>
        <w:ind w:left="0" w:right="0" w:hanging="0"/>
        <w:jc w:val="both"/>
        <w:rPr/>
      </w:pPr>
      <w:r>
        <w:rPr/>
        <w:t xml:space="preserve">Pravedna Europa koja svojim građanima može ponuditi sreću uključiva je Europa koja uvijek posvećuje veliku pozornost borbi protiv nejednakosti. U preporukama se utvrđuju daljnji koraci za postizanje dugoročnih ciljeva (kao što je rodna ravnopravnost) i utvrđuju novi zahtjevi povezani s kulturnim transformacijama suvremenih društava (digitalna nejednakost i pravo na život u zdravom okruženju). </w:t>
      </w:r>
    </w:p>
    <w:p>
      <w:pPr>
        <w:pStyle w:val="P68B1DB1Normal89"/>
        <w:widowControl w:val="false"/>
        <w:spacing w:lineRule="auto" w:line="240" w:before="74" w:after="0"/>
        <w:ind w:left="4819" w:right="0" w:hanging="0"/>
        <w:jc w:val="left"/>
        <w:rPr>
          <w:rFonts w:ascii="Arial" w:hAnsi="Arial"/>
          <w:b/>
          <w:b/>
          <w:color w:val="BD1271"/>
          <w:sz w:val="24"/>
        </w:rPr>
      </w:pPr>
      <w:r>
        <w:rPr/>
        <w:t xml:space="preserve"> </w:t>
      </w:r>
    </w:p>
    <w:p>
      <w:pPr>
        <w:pStyle w:val="P68B1DB1Normal83"/>
        <w:widowControl w:val="false"/>
        <w:spacing w:lineRule="auto" w:line="240" w:before="72" w:after="0"/>
        <w:ind w:left="3000" w:right="0" w:hanging="0"/>
        <w:jc w:val="left"/>
        <w:rPr>
          <w:rFonts w:ascii="Arial" w:hAnsi="Arial"/>
          <w:b/>
          <w:b/>
          <w:color w:val="2E74B5"/>
          <w:sz w:val="24"/>
        </w:rPr>
      </w:pPr>
      <w:r>
        <w:rPr/>
        <w:t xml:space="preserve">PREPORUKE UKRATKO </w:t>
      </w:r>
    </w:p>
    <w:p>
      <w:pPr>
        <w:pStyle w:val="P68B1DB1Normal84"/>
        <w:widowControl w:val="false"/>
        <w:spacing w:lineRule="auto" w:line="240" w:before="69" w:after="0"/>
        <w:ind w:left="283" w:right="0" w:hanging="0"/>
        <w:jc w:val="left"/>
        <w:rPr/>
      </w:pPr>
      <w:r>
        <w:rPr>
          <w:color w:val="BD1271"/>
        </w:rPr>
        <w:t xml:space="preserve">1. </w:t>
      </w:r>
      <w:r>
        <w:rPr>
          <w:color w:val="000000"/>
        </w:rPr>
        <w:t>Postizanje potpune rodne ravnopravnosti, među ostalim jačanjem roditeljskog dopusta za očeve i ustanova za skrb o djeci.</w:t>
      </w:r>
    </w:p>
    <w:p>
      <w:pPr>
        <w:pStyle w:val="P68B1DB1Normal84"/>
        <w:widowControl w:val="false"/>
        <w:spacing w:lineRule="auto" w:line="240"/>
        <w:ind w:left="283" w:right="0" w:hanging="0"/>
        <w:jc w:val="left"/>
        <w:rPr/>
      </w:pPr>
      <w:r>
        <w:rPr>
          <w:color w:val="BD1271"/>
        </w:rPr>
        <w:t xml:space="preserve">2. </w:t>
      </w:r>
      <w:r>
        <w:rPr>
          <w:color w:val="000000"/>
        </w:rPr>
        <w:t>Borba protiv digitalnih nejednakosti.</w:t>
      </w:r>
    </w:p>
    <w:p>
      <w:pPr>
        <w:pStyle w:val="P68B1DB1Normal84"/>
        <w:widowControl w:val="false"/>
        <w:spacing w:lineRule="auto" w:line="240"/>
        <w:ind w:left="283" w:right="0" w:hanging="0"/>
        <w:jc w:val="left"/>
        <w:rPr/>
      </w:pPr>
      <w:r>
        <w:rPr>
          <w:color w:val="BD1271"/>
        </w:rPr>
        <w:t xml:space="preserve">3. </w:t>
      </w:r>
      <w:r>
        <w:rPr>
          <w:color w:val="000000"/>
        </w:rPr>
        <w:t>Osigurati da svi europski građani mogu živjeti u zdravom i održivom okruženju.</w:t>
      </w:r>
    </w:p>
    <w:p>
      <w:pPr>
        <w:pStyle w:val="P68B1DB1Normal84"/>
        <w:widowControl w:val="false"/>
        <w:spacing w:lineRule="auto" w:line="240"/>
        <w:ind w:left="283" w:right="0" w:hanging="0"/>
        <w:jc w:val="left"/>
        <w:rPr/>
      </w:pPr>
      <w:r>
        <w:rPr>
          <w:color w:val="BD1271"/>
        </w:rPr>
        <w:t xml:space="preserve">4. </w:t>
      </w:r>
      <w:r>
        <w:rPr>
          <w:color w:val="000000"/>
        </w:rPr>
        <w:t>Osigurati prilike za društvenu mobilnost i stoga imati svaku priliku za osobni razvoj i samoodređenje</w:t>
      </w:r>
      <w:r>
        <w:rPr>
          <w:color w:val="FF0000"/>
        </w:rPr>
        <w:t>.</w:t>
      </w:r>
      <w:r>
        <w:rPr>
          <w:color w:val="000000"/>
        </w:rPr>
        <w:t xml:space="preserve"> </w:t>
      </w:r>
    </w:p>
    <w:p>
      <w:pPr>
        <w:pStyle w:val="P68B1DB1Normal84"/>
        <w:widowControl w:val="false"/>
        <w:spacing w:lineRule="auto" w:line="240"/>
        <w:ind w:left="283" w:right="0" w:hanging="0"/>
        <w:jc w:val="left"/>
        <w:rPr/>
      </w:pPr>
      <w:r>
        <w:rPr>
          <w:color w:val="BD1271"/>
        </w:rPr>
        <w:t xml:space="preserve">5. </w:t>
      </w:r>
      <w:r>
        <w:rPr>
          <w:color w:val="000000"/>
        </w:rPr>
        <w:t>Promicati obnovu generacija na svim razinama</w:t>
      </w:r>
      <w:r>
        <w:rPr>
          <w:color w:val="FF0000"/>
        </w:rPr>
        <w:t>.</w:t>
      </w:r>
      <w:r>
        <w:rPr>
          <w:color w:val="000000"/>
        </w:rPr>
        <w:t xml:space="preserve"> </w:t>
      </w:r>
    </w:p>
    <w:p>
      <w:pPr>
        <w:pStyle w:val="P68B1DB1Normal84"/>
        <w:widowControl w:val="false"/>
        <w:spacing w:lineRule="auto" w:line="240"/>
        <w:ind w:left="283" w:right="0" w:hanging="0"/>
        <w:jc w:val="left"/>
        <w:rPr/>
      </w:pPr>
      <w:r>
        <w:rPr>
          <w:color w:val="BD1271"/>
        </w:rPr>
        <w:t xml:space="preserve">6. </w:t>
      </w:r>
      <w:r>
        <w:rPr>
          <w:color w:val="000000"/>
        </w:rPr>
        <w:t>Upravljanje prihvatom izbjeglica i migranata na uravnotežen način među različitim državama.</w:t>
      </w:r>
    </w:p>
    <w:p>
      <w:pPr>
        <w:pStyle w:val="P68B1DB1Normal76"/>
        <w:widowControl w:val="false"/>
        <w:spacing w:lineRule="auto" w:line="240" w:before="106" w:after="0"/>
        <w:ind w:left="0" w:right="0" w:hanging="0"/>
        <w:jc w:val="both"/>
        <w:rPr/>
      </w:pPr>
      <w:r>
        <w:rPr/>
        <w:t xml:space="preserve">Još jednom se čini da je uloga škola i obrazovnih politika ključna, ne samo kako bi se mladima pružile vještine koje su im potrebne za ulazak na tržište rada, nego i kako bi se izgradila europska kultura. Nakon izgradnje Europe institucija ključno je izgraditi Europu naroda. U tom pogledu naglasak se stavlja na središnju ulogu zajedničkog jezika kako bi se omogućio dijalog među građanima različitih zemalja i jednak pristup uslugama. Dok se Esperantov san srušio, izlazak Velike Britanije iz Europske unije izazvao je sumnje u mogućnost usvajanja engleskog kao zajedničkog jezika, ključnog jezika međunarodnih odnosa i unutar znanstvenog i gospodarskog sustava. </w:t>
      </w:r>
    </w:p>
    <w:p>
      <w:pPr>
        <w:pStyle w:val="P68B1DB1Normal90"/>
        <w:widowControl w:val="false"/>
        <w:spacing w:lineRule="auto" w:line="240" w:before="86" w:after="0"/>
        <w:ind w:left="0" w:right="0" w:hanging="0"/>
        <w:jc w:val="left"/>
        <w:rPr>
          <w:rFonts w:ascii="Arial" w:hAnsi="Arial"/>
          <w:color w:val="000000"/>
          <w:sz w:val="16"/>
        </w:rPr>
      </w:pPr>
      <w:r>
        <w:rPr/>
        <w:t xml:space="preserve"> </w:t>
      </w:r>
    </w:p>
    <w:p>
      <w:pPr>
        <w:pStyle w:val="P68B1DB1Normal83"/>
        <w:widowControl w:val="false"/>
        <w:spacing w:lineRule="auto" w:line="240" w:before="45" w:after="0"/>
        <w:ind w:left="3142" w:right="0" w:hanging="0"/>
        <w:jc w:val="left"/>
        <w:rPr>
          <w:rFonts w:ascii="Arial" w:hAnsi="Arial"/>
          <w:b/>
          <w:b/>
          <w:color w:val="2E74B5"/>
          <w:sz w:val="24"/>
        </w:rPr>
      </w:pPr>
      <w:r>
        <w:rPr/>
        <w:t xml:space="preserve">PREPORUKE UKRATKO </w:t>
      </w:r>
    </w:p>
    <w:p>
      <w:pPr>
        <w:pStyle w:val="P68B1DB1Normal84"/>
        <w:widowControl w:val="false"/>
        <w:spacing w:lineRule="auto" w:line="240" w:before="72" w:after="0"/>
        <w:ind w:left="283" w:right="0" w:hanging="0"/>
        <w:jc w:val="left"/>
        <w:rPr/>
      </w:pPr>
      <w:r>
        <w:rPr>
          <w:color w:val="BD1271"/>
        </w:rPr>
        <w:t xml:space="preserve">1. </w:t>
      </w:r>
      <w:r>
        <w:rPr>
          <w:color w:val="000000"/>
        </w:rPr>
        <w:t>Promicati usvajanje zajedničkog jezika.</w:t>
      </w:r>
    </w:p>
    <w:p>
      <w:pPr>
        <w:pStyle w:val="P68B1DB1Normal84"/>
        <w:widowControl w:val="false"/>
        <w:spacing w:lineRule="auto" w:line="240"/>
        <w:ind w:left="283" w:right="0" w:hanging="0"/>
        <w:jc w:val="left"/>
        <w:rPr/>
      </w:pPr>
      <w:r>
        <w:rPr>
          <w:color w:val="BD1271"/>
        </w:rPr>
        <w:t xml:space="preserve">2. </w:t>
      </w:r>
      <w:r>
        <w:rPr>
          <w:color w:val="000000"/>
        </w:rPr>
        <w:t>Ulagati u škole i poučavanje europske povijesti, a ne u svaku naciju, kao i u podučavanje političke ekonomije i građanskog obrazovanja.</w:t>
      </w:r>
    </w:p>
    <w:p>
      <w:pPr>
        <w:pStyle w:val="P68B1DB1Normal84"/>
        <w:widowControl w:val="false"/>
        <w:spacing w:lineRule="auto" w:line="240"/>
        <w:ind w:left="283" w:right="417" w:hanging="0"/>
        <w:jc w:val="left"/>
        <w:rPr/>
      </w:pPr>
      <w:r>
        <w:rPr>
          <w:color w:val="BD1271"/>
        </w:rPr>
        <w:t xml:space="preserve">3. </w:t>
      </w:r>
      <w:r>
        <w:rPr>
          <w:color w:val="000000"/>
        </w:rPr>
        <w:t>Pristup kulturi, obrazovanju i razmjenama između studenata i građana različitih država članica.</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Normal"/>
        <w:widowControl w:val="false"/>
        <w:spacing w:lineRule="auto" w:line="240"/>
        <w:ind w:left="0" w:right="0" w:hanging="0"/>
        <w:jc w:val="left"/>
        <w:rPr>
          <w:rFonts w:ascii="Times New Roman" w:hAnsi="Times New Roman"/>
          <w:color w:val="000000"/>
          <w:sz w:val="24"/>
        </w:rPr>
      </w:pPr>
      <w:r>
        <w:rPr>
          <w:rFonts w:ascii="Times New Roman" w:hAnsi="Times New Roman"/>
          <w:color w:val="000000"/>
          <w:sz w:val="24"/>
        </w:rPr>
      </w:r>
      <w:r>
        <w:br w:type="page"/>
      </w:r>
    </w:p>
    <w:p>
      <w:pPr>
        <w:pStyle w:val="P68B1DB1Normal76"/>
        <w:widowControl w:val="false"/>
        <w:spacing w:lineRule="auto" w:line="240" w:before="109" w:after="0"/>
        <w:ind w:left="0" w:right="0" w:hanging="0"/>
        <w:jc w:val="both"/>
        <w:rPr/>
      </w:pPr>
      <w:r>
        <w:rPr/>
        <w:t xml:space="preserve">Politike uključivanja imaju ključnu ulogu u osiguravanju da građani imaju pristup mogućnostima. U tom su pogledu sudionici panela naglasili da Italija često ne može iskoristiti sredstva EU-a koja su stavljena na raspolaganje u tu svrhu. Uključenost i pristupačnost znače da europske institucije moraju biti bliže svojim građanima i da ti koncepti idu ruku pod ruku s više informacija i svijesti o pravima koja uživaju europski građani kao takvi. U tom se pogledu pojavila važnost izravnog odnosa između institucija Unije i građana, pri čemu države članice nisu nužno morale posredovati. </w:t>
      </w:r>
    </w:p>
    <w:p>
      <w:pPr>
        <w:pStyle w:val="P68B1DB1Normal34"/>
        <w:widowControl w:val="false"/>
        <w:spacing w:lineRule="auto" w:line="240" w:before="78" w:after="0"/>
        <w:ind w:left="0" w:right="0" w:hanging="0"/>
        <w:jc w:val="left"/>
        <w:rPr>
          <w:rFonts w:ascii="Arial" w:hAnsi="Arial"/>
          <w:color w:val="000000"/>
          <w:sz w:val="24"/>
        </w:rPr>
      </w:pPr>
      <w:r>
        <w:rPr/>
        <w:t xml:space="preserve"> </w:t>
      </w:r>
    </w:p>
    <w:p>
      <w:pPr>
        <w:pStyle w:val="P68B1DB1Normal74"/>
        <w:widowControl w:val="false"/>
        <w:spacing w:lineRule="auto" w:line="240" w:before="43" w:after="0"/>
        <w:ind w:left="3000" w:right="0" w:hanging="0"/>
        <w:jc w:val="left"/>
        <w:rPr/>
      </w:pPr>
      <w:r>
        <w:rPr>
          <w:b/>
          <w:sz w:val="24"/>
        </w:rPr>
        <w:t>PREPORUKE UKRATKO</w:t>
      </w:r>
      <w:r>
        <w:rPr>
          <w:sz w:val="28"/>
        </w:rPr>
        <w:t xml:space="preserve"> </w:t>
      </w:r>
    </w:p>
    <w:p>
      <w:pPr>
        <w:pStyle w:val="P68B1DB1Normal84"/>
        <w:widowControl w:val="false"/>
        <w:spacing w:lineRule="auto" w:line="240" w:before="71" w:after="0"/>
        <w:ind w:left="283" w:right="0" w:hanging="0"/>
        <w:jc w:val="left"/>
        <w:rPr/>
      </w:pPr>
      <w:r>
        <w:rPr>
          <w:color w:val="BD1271"/>
        </w:rPr>
        <w:t xml:space="preserve">1. </w:t>
      </w:r>
      <w:r>
        <w:rPr>
          <w:color w:val="000000"/>
        </w:rPr>
        <w:t>Promicati upotrebu fondova EU-a za smanjenje nejednakosti</w:t>
      </w:r>
      <w:r>
        <w:rPr>
          <w:color w:val="FF0000"/>
        </w:rPr>
        <w:t>.</w:t>
      </w:r>
      <w:r>
        <w:rPr>
          <w:color w:val="000000"/>
        </w:rPr>
        <w:t xml:space="preserve"> </w:t>
      </w:r>
    </w:p>
    <w:p>
      <w:pPr>
        <w:pStyle w:val="P68B1DB1Normal84"/>
        <w:widowControl w:val="false"/>
        <w:spacing w:lineRule="auto" w:line="240"/>
        <w:ind w:left="283" w:right="416" w:hanging="0"/>
        <w:jc w:val="left"/>
        <w:rPr/>
      </w:pPr>
      <w:r>
        <w:rPr>
          <w:color w:val="BD1271"/>
        </w:rPr>
        <w:t xml:space="preserve">2. </w:t>
      </w:r>
      <w:r>
        <w:rPr>
          <w:color w:val="000000"/>
        </w:rPr>
        <w:t>Dostupnost i blizina europskih institucija građanima.</w:t>
      </w:r>
    </w:p>
    <w:p>
      <w:pPr>
        <w:pStyle w:val="P68B1DB1Normal84"/>
        <w:widowControl w:val="false"/>
        <w:spacing w:lineRule="auto" w:line="240"/>
        <w:ind w:left="283" w:right="416" w:hanging="0"/>
        <w:jc w:val="left"/>
        <w:rPr/>
      </w:pPr>
      <w:r>
        <w:rPr>
          <w:color w:val="BD1271"/>
        </w:rPr>
        <w:t xml:space="preserve">3. </w:t>
      </w:r>
      <w:r>
        <w:rPr>
          <w:color w:val="000000"/>
        </w:rPr>
        <w:t>Jasno informiranje građana o njihovim pravima i mogućnostima te promicanje izravnog pristupa građana tim pravima.</w:t>
      </w:r>
    </w:p>
    <w:p>
      <w:pPr>
        <w:pStyle w:val="P68B1DB1Normal91"/>
        <w:widowControl w:val="false"/>
        <w:spacing w:lineRule="auto" w:line="240"/>
        <w:ind w:left="0" w:right="0" w:hanging="0"/>
        <w:jc w:val="left"/>
        <w:rPr>
          <w:rFonts w:ascii="Arial" w:hAnsi="Arial"/>
          <w:color w:val="000000"/>
          <w:sz w:val="28"/>
        </w:rPr>
      </w:pPr>
      <w:r>
        <w:rPr/>
        <w:t xml:space="preserve"> </w:t>
      </w:r>
    </w:p>
    <w:p>
      <w:pPr>
        <w:pStyle w:val="P68B1DB1Titre481"/>
        <w:numPr>
          <w:ilvl w:val="0"/>
          <w:numId w:val="2"/>
        </w:numPr>
        <w:rPr>
          <w:color w:val="0066B3"/>
        </w:rPr>
      </w:pPr>
      <w:bookmarkStart w:id="227" w:name="__RefHeading___Toc300438_1346298689"/>
      <w:bookmarkEnd w:id="227"/>
      <w:r>
        <w:rPr/>
        <w:t xml:space="preserve">6. Zaposlenost </w:t>
      </w:r>
    </w:p>
    <w:p>
      <w:pPr>
        <w:pStyle w:val="Normal"/>
        <w:widowControl w:val="false"/>
        <w:spacing w:lineRule="auto" w:line="240" w:before="97" w:after="0"/>
        <w:ind w:left="0" w:right="1" w:hanging="0"/>
        <w:jc w:val="both"/>
        <w:rPr/>
      </w:pPr>
      <w:r>
        <w:rPr>
          <w:color w:val="000000"/>
        </w:rPr>
        <w:t xml:space="preserve">Pitanje zapošljavanja stalno se pojavljuje kao međusektorski element i izravan učinak sposobnosti Europske unije da odgovori na njezine preporuke. Tijekom rasprave </w:t>
      </w:r>
      <w:r>
        <w:rPr>
          <w:color w:val="FF0000"/>
        </w:rPr>
        <w:t>među</w:t>
      </w:r>
      <w:r>
        <w:rPr>
          <w:color w:val="000000"/>
        </w:rPr>
        <w:t xml:space="preserve"> sudionicima bilo je jasno da je pitanje zapošljavanja u središtu života građana, ali da ide ruku pod ruku s jačanjem pitanja gospodarske i socijalne pravde. Europska unija u kojoj su aktivne politike rada i dalje središnje i sve usklađenije očekuje se. </w:t>
      </w:r>
    </w:p>
    <w:p>
      <w:pPr>
        <w:pStyle w:val="P68B1DB1Normal34"/>
        <w:widowControl w:val="false"/>
        <w:spacing w:lineRule="auto" w:line="240" w:before="77" w:after="0"/>
        <w:ind w:left="0" w:right="0" w:hanging="0"/>
        <w:jc w:val="left"/>
        <w:rPr>
          <w:rFonts w:ascii="Arial" w:hAnsi="Arial"/>
          <w:color w:val="000000"/>
          <w:sz w:val="24"/>
        </w:rPr>
      </w:pPr>
      <w:r>
        <w:rPr/>
        <w:t xml:space="preserve"> </w:t>
      </w:r>
    </w:p>
    <w:p>
      <w:pPr>
        <w:pStyle w:val="P68B1DB1Normal74"/>
        <w:widowControl w:val="false"/>
        <w:spacing w:lineRule="auto" w:line="240" w:before="43" w:after="0"/>
        <w:ind w:left="3000" w:right="0" w:hanging="0"/>
        <w:jc w:val="left"/>
        <w:rPr/>
      </w:pPr>
      <w:r>
        <w:rPr>
          <w:b/>
          <w:sz w:val="24"/>
        </w:rPr>
        <w:t>PREPORUKE UKRATKO</w:t>
      </w:r>
      <w:r>
        <w:rPr>
          <w:sz w:val="28"/>
        </w:rPr>
        <w:t xml:space="preserve"> </w:t>
      </w:r>
    </w:p>
    <w:p>
      <w:pPr>
        <w:pStyle w:val="P68B1DB1Normal84"/>
        <w:widowControl w:val="false"/>
        <w:spacing w:lineRule="auto" w:line="240" w:before="71" w:after="0"/>
        <w:ind w:left="283" w:right="0" w:hanging="0"/>
        <w:jc w:val="left"/>
        <w:rPr/>
      </w:pPr>
      <w:r>
        <w:rPr>
          <w:color w:val="BD1271"/>
        </w:rPr>
        <w:t xml:space="preserve">1. </w:t>
      </w:r>
      <w:r>
        <w:rPr>
          <w:color w:val="000000"/>
        </w:rPr>
        <w:t>Promicati trgovinu među radnicima u Europi putem Europskog centra za zapošljavanje.</w:t>
      </w:r>
    </w:p>
    <w:p>
      <w:pPr>
        <w:pStyle w:val="P68B1DB1Normal84"/>
        <w:widowControl w:val="false"/>
        <w:spacing w:lineRule="auto" w:line="240"/>
        <w:ind w:left="283" w:right="0" w:hanging="0"/>
        <w:jc w:val="left"/>
        <w:rPr/>
      </w:pPr>
      <w:r>
        <w:rPr>
          <w:color w:val="BD1271"/>
        </w:rPr>
        <w:t xml:space="preserve">2. </w:t>
      </w:r>
      <w:r>
        <w:rPr>
          <w:color w:val="000000"/>
        </w:rPr>
        <w:t>Integrirati politike zapošljavanja na razini EU-a.</w:t>
      </w:r>
    </w:p>
    <w:p>
      <w:pPr>
        <w:pStyle w:val="P68B1DB1Normal84"/>
        <w:widowControl w:val="false"/>
        <w:spacing w:lineRule="auto" w:line="240"/>
        <w:ind w:left="283" w:right="0" w:hanging="0"/>
        <w:jc w:val="left"/>
        <w:rPr/>
      </w:pPr>
      <w:r>
        <w:rPr>
          <w:color w:val="BD1271"/>
        </w:rPr>
        <w:t xml:space="preserve">3. </w:t>
      </w:r>
      <w:r>
        <w:rPr>
          <w:color w:val="000000"/>
        </w:rPr>
        <w:t>Osigurati poticaje za poduzeća koja nude radna mjesta.</w:t>
      </w:r>
    </w:p>
    <w:p>
      <w:pPr>
        <w:pStyle w:val="Normal"/>
        <w:widowControl w:val="false"/>
        <w:spacing w:lineRule="auto" w:line="240"/>
        <w:ind w:left="994" w:right="0" w:hanging="0"/>
        <w:jc w:val="left"/>
        <w:rPr>
          <w:rFonts w:ascii="Arial" w:hAnsi="Arial"/>
          <w:color w:val="000000"/>
          <w:sz w:val="28"/>
        </w:rPr>
      </w:pPr>
      <w:r>
        <w:rPr>
          <w:color w:val="000000"/>
          <w:sz w:val="28"/>
        </w:rPr>
      </w:r>
      <w:r>
        <w:br w:type="page"/>
      </w:r>
    </w:p>
    <w:p>
      <w:pPr>
        <w:pStyle w:val="P68B1DB1Titre392"/>
        <w:numPr>
          <w:ilvl w:val="0"/>
          <w:numId w:val="2"/>
        </w:numPr>
        <w:rPr>
          <w:color w:val="FFFFFF"/>
          <w:highlight w:val="darkCyan"/>
        </w:rPr>
      </w:pPr>
      <w:bookmarkStart w:id="228" w:name="__RefHeading___Toc300320_1346298689"/>
      <w:bookmarkEnd w:id="228"/>
      <w:r>
        <w:rPr/>
        <w:t xml:space="preserve"> </w:t>
      </w:r>
      <w:r>
        <w:rPr/>
        <w:t xml:space="preserve">Europa u svijetu </w:t>
      </w:r>
    </w:p>
    <w:p>
      <w:pPr>
        <w:pStyle w:val="P68B1DB1Normal76"/>
        <w:widowControl w:val="false"/>
        <w:spacing w:lineRule="exact" w:line="380" w:before="143" w:after="0"/>
        <w:ind w:left="74" w:right="0" w:hanging="0"/>
        <w:jc w:val="both"/>
        <w:rPr/>
      </w:pPr>
      <w:r>
        <w:rPr/>
        <w:t xml:space="preserve">Nedavni međunarodni događaji, a posebno rat između Rusije i Ukrajine, uvelike su utjecali na percepciju uloge koju će Europa morati imati na međunarodnoj razini. Prikupljene preporuke uglavnom su bile usmjerene na jačanje EU-a (kako u pogledu identiteta tako i u pogledu gospodarske moći) i pozicioniranje EU-a kao referentnog modela i modela oporavka u njegovim odnosima s drugim zemljama. </w:t>
      </w:r>
    </w:p>
    <w:p>
      <w:pPr>
        <w:pStyle w:val="P68B1DB1Normal34"/>
        <w:widowControl w:val="false"/>
        <w:spacing w:lineRule="exact" w:line="393" w:before="1424" w:after="0"/>
        <w:ind w:left="74" w:right="0" w:hanging="0"/>
        <w:jc w:val="left"/>
        <w:rPr>
          <w:rFonts w:ascii="Arial" w:hAnsi="Arial"/>
          <w:color w:val="000000"/>
          <w:sz w:val="24"/>
        </w:rPr>
      </w:pPr>
      <w:r>
        <w:rPr>
          <w:color w:val="000000"/>
          <w:sz w:val="24"/>
        </w:rPr>
        <mc:AlternateContent>
          <mc:Choice Requires="wpg">
            <w:drawing>
              <wp:anchor behindDoc="0" distT="0" distB="0" distL="0" distR="0" simplePos="0" locked="0" layoutInCell="1" allowOverlap="1" relativeHeight="59">
                <wp:simplePos x="0" y="0"/>
                <wp:positionH relativeFrom="column">
                  <wp:posOffset>-166370</wp:posOffset>
                </wp:positionH>
                <wp:positionV relativeFrom="paragraph">
                  <wp:posOffset>67945</wp:posOffset>
                </wp:positionV>
                <wp:extent cx="6453505" cy="904875"/>
                <wp:effectExtent l="0" t="0" r="0" b="0"/>
                <wp:wrapTopAndBottom/>
                <wp:docPr id="106" name="Obrazac 7"/>
                <a:graphic xmlns:a="http://schemas.openxmlformats.org/drawingml/2006/main">
                  <a:graphicData uri="http://schemas.microsoft.com/office/word/2010/wordprocessingGroup">
                    <wpg:wgp>
                      <wpg:cNvGrpSpPr/>
                      <wpg:grpSpPr>
                        <a:xfrm>
                          <a:off x="0" y="0"/>
                          <a:ext cx="6453000" cy="904320"/>
                        </a:xfrm>
                      </wpg:grpSpPr>
                      <pic:pic xmlns:pic="http://schemas.openxmlformats.org/drawingml/2006/picture">
                        <pic:nvPicPr>
                          <pic:cNvPr id="9" name="" descr=""/>
                          <pic:cNvPicPr/>
                        </pic:nvPicPr>
                        <pic:blipFill>
                          <a:blip r:embed="rId110"/>
                          <a:stretch/>
                        </pic:blipFill>
                        <pic:spPr>
                          <a:xfrm rot="10800000">
                            <a:off x="444600" y="207000"/>
                            <a:ext cx="5524560" cy="348480"/>
                          </a:xfrm>
                          <a:prstGeom prst="rect">
                            <a:avLst/>
                          </a:prstGeom>
                          <a:ln>
                            <a:noFill/>
                          </a:ln>
                        </pic:spPr>
                      </pic:pic>
                      <wps:wsp>
                        <wps:cNvSpPr/>
                        <wps:spPr>
                          <a:xfrm>
                            <a:off x="0" y="118080"/>
                            <a:ext cx="1533600" cy="47052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Jačanje europskog identiteta</w:t>
                              </w:r>
                            </w:p>
                          </w:txbxContent>
                        </wps:txbx>
                        <wps:bodyPr lIns="90000" rIns="90000" tIns="45000" bIns="45000">
                          <a:noAutofit/>
                        </wps:bodyPr>
                      </wps:wsp>
                      <wps:wsp>
                        <wps:cNvSpPr/>
                        <wps:spPr>
                          <a:xfrm>
                            <a:off x="1477800" y="84600"/>
                            <a:ext cx="1636560" cy="47052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Jačanje gospodarstva i institucija</w:t>
                              </w:r>
                            </w:p>
                          </w:txbxContent>
                        </wps:txbx>
                        <wps:bodyPr lIns="90000" rIns="90000" tIns="45000" bIns="45000">
                          <a:noAutofit/>
                        </wps:bodyPr>
                      </wps:wsp>
                      <wps:wsp>
                        <wps:cNvSpPr/>
                        <wps:spPr>
                          <a:xfrm>
                            <a:off x="3385080" y="0"/>
                            <a:ext cx="1589400" cy="47052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Suradnja i partnerstva</w:t>
                              </w:r>
                            </w:p>
                          </w:txbxContent>
                        </wps:txbx>
                        <wps:bodyPr lIns="90000" rIns="90000" tIns="45000" bIns="45000">
                          <a:noAutofit/>
                        </wps:bodyPr>
                      </wps:wsp>
                      <wps:wsp>
                        <wps:cNvSpPr/>
                        <wps:spPr>
                          <a:xfrm>
                            <a:off x="4845600" y="8280"/>
                            <a:ext cx="1607040" cy="59184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Politička i kulturna referentna točka</w:t>
                              </w:r>
                            </w:p>
                          </w:txbxContent>
                        </wps:txbx>
                        <wps:bodyPr lIns="90000" rIns="90000" tIns="45000" bIns="45000">
                          <a:noAutofit/>
                        </wps:bodyPr>
                      </wps:wsp>
                    </wpg:wgp>
                  </a:graphicData>
                </a:graphic>
              </wp:anchor>
            </w:drawing>
          </mc:Choice>
          <mc:Fallback>
            <w:pict>
              <v:group id="shape_0" alt="Obrazac 7" style="position:absolute;margin-left:-13.1pt;margin-top:5.35pt;width:508.1pt;height:71.15pt" coordorigin="-262,107" coordsize="10162,1423">
                <v:shape id="shape_0" stroked="f" style="position:absolute;left:438;top:982;width:8699;height:548;rotation:180" type="shapetype_75">
                  <v:imagedata r:id="rId111" o:detectmouseclick="t"/>
                  <w10:wrap type="none"/>
                  <v:stroke color="#3465a4" joinstyle="round" endcap="flat"/>
                </v:shape>
                <v:rect id="shape_0" stroked="f" style="position:absolute;left:-262;top:293;width:2414;height:740">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Jačanje europskog identiteta</w:t>
                        </w:r>
                      </w:p>
                    </w:txbxContent>
                  </v:textbox>
                  <w10:wrap type="square"/>
                  <v:fill o:detectmouseclick="t" on="false"/>
                  <v:stroke color="#3465a4" joinstyle="round" endcap="flat"/>
                </v:rect>
                <v:rect id="shape_0" stroked="f" style="position:absolute;left:2065;top:240;width:2576;height:740">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Jačanje gospodarstva i institucija</w:t>
                        </w:r>
                      </w:p>
                    </w:txbxContent>
                  </v:textbox>
                  <w10:wrap type="square"/>
                  <v:fill o:detectmouseclick="t" on="false"/>
                  <v:stroke color="#3465a4" joinstyle="round" endcap="flat"/>
                </v:rect>
                <v:rect id="shape_0" stroked="f" style="position:absolute;left:5069;top:107;width:2502;height:740">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Suradnja i partnerstva</w:t>
                        </w:r>
                      </w:p>
                    </w:txbxContent>
                  </v:textbox>
                  <w10:wrap type="square"/>
                  <v:fill o:detectmouseclick="t" on="false"/>
                  <v:stroke color="#3465a4" joinstyle="round" endcap="flat"/>
                </v:rect>
                <v:rect id="shape_0" stroked="f" style="position:absolute;left:7369;top:120;width:2530;height:931">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Politička i kulturna referentna točka</w:t>
                        </w:r>
                      </w:p>
                    </w:txbxContent>
                  </v:textbox>
                  <w10:wrap type="square"/>
                  <v:fill o:detectmouseclick="t" on="false"/>
                  <v:stroke color="#3465a4" joinstyle="round" endcap="flat"/>
                </v:rect>
              </v:group>
            </w:pict>
          </mc:Fallback>
        </mc:AlternateContent>
      </w:r>
    </w:p>
    <w:p>
      <w:pPr>
        <w:pStyle w:val="P68B1DB1Titre481"/>
        <w:numPr>
          <w:ilvl w:val="0"/>
          <w:numId w:val="2"/>
        </w:numPr>
        <w:rPr>
          <w:color w:val="0066B3"/>
        </w:rPr>
      </w:pPr>
      <w:bookmarkStart w:id="229" w:name="__RefHeading___Toc300440_1346298689"/>
      <w:bookmarkEnd w:id="229"/>
      <w:r>
        <w:rPr/>
        <w:t>1. Jačanje europskog identiteta</w:t>
      </w:r>
    </w:p>
    <w:p>
      <w:pPr>
        <w:pStyle w:val="P68B1DB1Normal76"/>
        <w:widowControl w:val="false"/>
        <w:spacing w:lineRule="auto" w:line="240" w:before="106" w:after="0"/>
        <w:ind w:left="74" w:right="0" w:hanging="0"/>
        <w:jc w:val="both"/>
        <w:rPr/>
      </w:pPr>
      <w:r>
        <w:rPr/>
        <w:t xml:space="preserve">Kako bi bila priznata izvan svojih granica, Europska unija mora najprije pokazati koheziju unutar Unije, ne samo u gospodarskom i financijskom smislu, nego i u pogledu identiteta i vrijednosti. Identitet koji se ne stvara odobravanjem, već vrednovanjem lokalnih posebnosti u okviru zajedničkih bitnih vrijednosti. </w:t>
      </w:r>
    </w:p>
    <w:p>
      <w:pPr>
        <w:pStyle w:val="P68B1DB1Normal76"/>
        <w:widowControl w:val="false"/>
        <w:spacing w:lineRule="auto" w:line="240" w:before="78" w:after="0"/>
        <w:ind w:left="74" w:right="1" w:hanging="0"/>
        <w:jc w:val="both"/>
        <w:rPr/>
      </w:pPr>
      <w:r>
        <w:rPr/>
        <w:t xml:space="preserve">Razmatranje mogućeg proširenja područja primjene Unije također je provedeno imajući to na umu: prema mišljenju nekih sudionika panela, ona se ne bi trebala odvijati na nediferenciran način, već bi se trebala usredotočiti na uzajamno priznavanje kulture i vrijednosti, a ne na gospodarske standarde. </w:t>
      </w:r>
    </w:p>
    <w:p>
      <w:pPr>
        <w:pStyle w:val="P68B1DB1Normal83"/>
        <w:widowControl w:val="false"/>
        <w:spacing w:lineRule="auto" w:line="240" w:before="74" w:after="0"/>
        <w:ind w:left="4894" w:right="0" w:hanging="0"/>
        <w:jc w:val="left"/>
        <w:rPr>
          <w:rFonts w:ascii="Arial" w:hAnsi="Arial"/>
          <w:b/>
          <w:b/>
          <w:color w:val="2E74B5"/>
          <w:sz w:val="24"/>
        </w:rPr>
      </w:pPr>
      <w:r>
        <w:rPr/>
        <w:t xml:space="preserve"> </w:t>
      </w:r>
    </w:p>
    <w:p>
      <w:pPr>
        <w:pStyle w:val="P68B1DB1Normal74"/>
        <w:widowControl w:val="false"/>
        <w:spacing w:lineRule="auto" w:line="240" w:before="33" w:after="0"/>
        <w:ind w:left="3074" w:right="0" w:hanging="0"/>
        <w:jc w:val="left"/>
        <w:rPr/>
      </w:pPr>
      <w:r>
        <w:rPr>
          <w:b/>
          <w:sz w:val="24"/>
        </w:rPr>
        <w:t>PREPORUKE UKRATKO</w:t>
      </w:r>
      <w:r>
        <w:rPr>
          <w:sz w:val="28"/>
        </w:rPr>
        <w:t xml:space="preserve"> </w:t>
      </w:r>
    </w:p>
    <w:p>
      <w:pPr>
        <w:pStyle w:val="P68B1DB1Normal84"/>
        <w:widowControl w:val="false"/>
        <w:spacing w:lineRule="auto" w:line="240" w:before="147" w:after="0"/>
        <w:ind w:left="358" w:right="0" w:hanging="0"/>
        <w:jc w:val="left"/>
        <w:rPr/>
      </w:pPr>
      <w:r>
        <w:rPr>
          <w:color w:val="BD1271"/>
        </w:rPr>
        <w:t xml:space="preserve">1. </w:t>
      </w:r>
      <w:r>
        <w:rPr>
          <w:color w:val="000000"/>
        </w:rPr>
        <w:t>Jačanje europskih kulturnih vrijednosti i obilježja, kao i regionalnih posebnosti.</w:t>
      </w:r>
    </w:p>
    <w:p>
      <w:pPr>
        <w:pStyle w:val="P68B1DB1Normal84"/>
        <w:widowControl w:val="false"/>
        <w:spacing w:lineRule="auto" w:line="240"/>
        <w:ind w:left="358" w:right="0" w:hanging="0"/>
        <w:jc w:val="left"/>
        <w:rPr/>
      </w:pPr>
      <w:r>
        <w:rPr>
          <w:color w:val="BD1271"/>
        </w:rPr>
        <w:t xml:space="preserve">2. </w:t>
      </w:r>
      <w:r>
        <w:rPr>
          <w:color w:val="000000"/>
        </w:rPr>
        <w:t>Stvaranje instituta za europsku kulturu radi promicanja kulture poštovanja i uzajamnog obogaćivanja među građanima različitih država.</w:t>
      </w:r>
    </w:p>
    <w:p>
      <w:pPr>
        <w:pStyle w:val="P68B1DB1Normal84"/>
        <w:widowControl w:val="false"/>
        <w:spacing w:lineRule="auto" w:line="240"/>
        <w:ind w:left="418" w:right="418" w:hanging="0"/>
        <w:jc w:val="both"/>
        <w:rPr/>
      </w:pPr>
      <w:r>
        <w:rPr>
          <w:color w:val="BD1271"/>
        </w:rPr>
        <w:t xml:space="preserve">3. </w:t>
      </w:r>
      <w:r>
        <w:rPr>
          <w:color w:val="000000"/>
        </w:rPr>
        <w:t>Redefiniranje načela pripadnosti novim zemljama kandidatkinjama, uz jačanje čimbenika kao što su kulturni identitet i vrijednosti.</w:t>
      </w:r>
    </w:p>
    <w:p>
      <w:pPr>
        <w:pStyle w:val="P68B1DB1Normal34"/>
        <w:widowControl w:val="false"/>
        <w:spacing w:lineRule="auto" w:line="240"/>
        <w:ind w:left="74" w:right="0" w:hanging="0"/>
        <w:jc w:val="left"/>
        <w:rPr>
          <w:rFonts w:ascii="Arial" w:hAnsi="Arial"/>
          <w:color w:val="000000"/>
          <w:sz w:val="24"/>
        </w:rPr>
      </w:pPr>
      <w:r>
        <w:rPr/>
        <w:t xml:space="preserve"> </w:t>
      </w:r>
    </w:p>
    <w:p>
      <w:pPr>
        <w:pStyle w:val="P68B1DB1Titre481"/>
        <w:numPr>
          <w:ilvl w:val="0"/>
          <w:numId w:val="2"/>
        </w:numPr>
        <w:rPr>
          <w:color w:val="0066B3"/>
        </w:rPr>
      </w:pPr>
      <w:bookmarkStart w:id="230" w:name="__RefHeading___Toc300442_1346298689"/>
      <w:bookmarkEnd w:id="230"/>
      <w:r>
        <w:rPr/>
        <w:t xml:space="preserve">2. Jačanje gospodarstva i institucija </w:t>
      </w:r>
    </w:p>
    <w:p>
      <w:pPr>
        <w:pStyle w:val="P68B1DB1Normal76"/>
        <w:widowControl w:val="false"/>
        <w:spacing w:lineRule="auto" w:line="240" w:before="109" w:after="0"/>
        <w:ind w:left="0" w:right="0" w:hanging="0"/>
        <w:jc w:val="both"/>
        <w:rPr/>
      </w:pPr>
      <w:r>
        <w:rPr/>
        <w:t xml:space="preserve">Očekuje se da će sutrašnja Europa imati vodeću ulogu na međunarodnoj razini, koja se može preuzeti samo uz snažnu i neovisnu Uniju iz drugih zemalja. Opće je poznato da su zemlje EU-a siromašne sirovinama, ali se čini ključnim da EU može osigurati veću neovisnost u pogledu opskrbe energijom, poljoprivrede i tehnoloških proizvoda. </w:t>
      </w:r>
    </w:p>
    <w:p>
      <w:pPr>
        <w:pStyle w:val="P68B1DB1Normal76"/>
        <w:widowControl w:val="false"/>
        <w:spacing w:lineRule="auto" w:line="240" w:before="78" w:after="0"/>
        <w:ind w:left="0" w:right="1" w:hanging="0"/>
        <w:jc w:val="both"/>
        <w:rPr/>
      </w:pPr>
      <w:r>
        <w:rPr/>
        <w:t xml:space="preserve">Za to su potrebna posebna ulaganja kako bi se nadoknadio napredak u područjima kao što su tehnologija (u kojima Europska unija trenutačno ne igra vodeću ulogu), ali i u prehrambenom i energetskom sektoru. </w:t>
      </w:r>
    </w:p>
    <w:p>
      <w:pPr>
        <w:pStyle w:val="P68B1DB1Normal76"/>
        <w:widowControl w:val="false"/>
        <w:spacing w:lineRule="auto" w:line="240" w:before="78" w:after="0"/>
        <w:ind w:left="0" w:right="2" w:hanging="0"/>
        <w:jc w:val="both"/>
        <w:rPr/>
      </w:pPr>
      <w:r>
        <w:rPr/>
        <w:t xml:space="preserve">Rat između Rusije i Ukrajine također je stavio u središte rasprave važnost integrirane europske obrambene politike, s posebnim identitetom i većom autonomijom od NATO-a, bez dovođenja u pitanje njezina članstva. </w:t>
      </w:r>
    </w:p>
    <w:p>
      <w:pPr>
        <w:pStyle w:val="P68B1DB1Normal76"/>
        <w:widowControl w:val="false"/>
        <w:spacing w:lineRule="auto" w:line="240" w:before="78" w:after="0"/>
        <w:ind w:left="0" w:right="1" w:hanging="0"/>
        <w:jc w:val="left"/>
        <w:rPr/>
      </w:pPr>
      <w:r>
        <w:rPr/>
        <w:t xml:space="preserve">Naposljetku, to podrazumijeva jasne odluke za budućnost popraćene znatnim ulaganjem u znanost i istraživanje kako bi se povećale vještine mladih Europljana. </w:t>
      </w:r>
    </w:p>
    <w:p>
      <w:pPr>
        <w:pStyle w:val="P68B1DB1Normal34"/>
        <w:widowControl w:val="false"/>
        <w:spacing w:lineRule="auto" w:line="240" w:before="78" w:after="0"/>
        <w:ind w:left="0" w:right="0" w:hanging="0"/>
        <w:jc w:val="left"/>
        <w:rPr>
          <w:rFonts w:ascii="Arial" w:hAnsi="Arial"/>
          <w:color w:val="000000"/>
          <w:sz w:val="24"/>
        </w:rPr>
      </w:pPr>
      <w:r>
        <w:rPr/>
        <w:t xml:space="preserve"> </w:t>
      </w:r>
    </w:p>
    <w:p>
      <w:pPr>
        <w:pStyle w:val="P68B1DB1Normal74"/>
        <w:widowControl w:val="false"/>
        <w:spacing w:lineRule="auto" w:line="240" w:before="43" w:after="0"/>
        <w:ind w:left="3000" w:right="0" w:hanging="0"/>
        <w:jc w:val="left"/>
        <w:rPr/>
      </w:pPr>
      <w:r>
        <w:rPr>
          <w:b/>
          <w:sz w:val="24"/>
        </w:rPr>
        <w:t>PREPORUKE UKRATKO</w:t>
      </w:r>
      <w:r>
        <w:rPr>
          <w:sz w:val="28"/>
        </w:rPr>
        <w:t xml:space="preserve"> </w:t>
      </w:r>
    </w:p>
    <w:p>
      <w:pPr>
        <w:pStyle w:val="P68B1DB1Normal84"/>
        <w:widowControl w:val="false"/>
        <w:spacing w:lineRule="auto" w:line="240" w:before="70" w:after="0"/>
        <w:ind w:left="283" w:right="0" w:hanging="0"/>
        <w:jc w:val="left"/>
        <w:rPr/>
      </w:pPr>
      <w:r>
        <w:rPr>
          <w:color w:val="BD1271"/>
        </w:rPr>
        <w:t xml:space="preserve">1. </w:t>
      </w:r>
      <w:r>
        <w:rPr>
          <w:color w:val="000000"/>
        </w:rPr>
        <w:t xml:space="preserve">Jačanje internih proizvodnih kapaciteta: prehrambeni lanac (osobito pšenica) i tehnologija (mikroprocesori). </w:t>
      </w:r>
    </w:p>
    <w:p>
      <w:pPr>
        <w:pStyle w:val="P68B1DB1Normal84"/>
        <w:widowControl w:val="false"/>
        <w:spacing w:lineRule="auto" w:line="240"/>
        <w:ind w:left="283" w:right="0" w:hanging="0"/>
        <w:jc w:val="left"/>
        <w:rPr/>
      </w:pPr>
      <w:r>
        <w:rPr>
          <w:color w:val="BD1271"/>
        </w:rPr>
        <w:t xml:space="preserve">2. </w:t>
      </w:r>
      <w:r>
        <w:rPr>
          <w:color w:val="000000"/>
        </w:rPr>
        <w:t>Promicati tipične regionalne i europske produkcije.</w:t>
      </w:r>
    </w:p>
    <w:p>
      <w:pPr>
        <w:pStyle w:val="P68B1DB1Normal84"/>
        <w:widowControl w:val="false"/>
        <w:spacing w:lineRule="auto" w:line="240"/>
        <w:ind w:left="283" w:right="0" w:hanging="0"/>
        <w:jc w:val="left"/>
        <w:rPr/>
      </w:pPr>
      <w:r>
        <w:rPr>
          <w:color w:val="BD1271"/>
        </w:rPr>
        <w:t xml:space="preserve">3. </w:t>
      </w:r>
      <w:r>
        <w:rPr>
          <w:color w:val="000000"/>
        </w:rPr>
        <w:t>Jačanje europskih industrijskih klastera (npr. čelika).</w:t>
      </w:r>
    </w:p>
    <w:p>
      <w:pPr>
        <w:pStyle w:val="P68B1DB1Normal84"/>
        <w:widowControl w:val="false"/>
        <w:spacing w:lineRule="auto" w:line="240"/>
        <w:ind w:left="283" w:right="0" w:hanging="0"/>
        <w:jc w:val="left"/>
        <w:rPr/>
      </w:pPr>
      <w:r>
        <w:rPr>
          <w:color w:val="BD1271"/>
        </w:rPr>
        <w:t xml:space="preserve">4. </w:t>
      </w:r>
      <w:r>
        <w:rPr>
          <w:color w:val="000000"/>
        </w:rPr>
        <w:t>Ojačati lokalnu proizvodnju energije iz ekološke perspektive (plin, solarna energija, vjetar).</w:t>
      </w:r>
    </w:p>
    <w:p>
      <w:pPr>
        <w:pStyle w:val="P68B1DB1Normal84"/>
        <w:widowControl w:val="false"/>
        <w:spacing w:lineRule="auto" w:line="240"/>
        <w:ind w:left="283" w:right="0" w:hanging="0"/>
        <w:jc w:val="left"/>
        <w:rPr/>
      </w:pPr>
      <w:r>
        <w:rPr>
          <w:color w:val="BD1271"/>
        </w:rPr>
        <w:t xml:space="preserve">5. </w:t>
      </w:r>
      <w:r>
        <w:rPr>
          <w:color w:val="000000"/>
        </w:rPr>
        <w:t>Razvoj zrakoplovnih tehnologija.</w:t>
      </w:r>
    </w:p>
    <w:p>
      <w:pPr>
        <w:pStyle w:val="P68B1DB1Normal84"/>
        <w:widowControl w:val="false"/>
        <w:spacing w:lineRule="auto" w:line="240"/>
        <w:ind w:left="283" w:right="417" w:hanging="0"/>
        <w:jc w:val="left"/>
        <w:rPr/>
      </w:pPr>
      <w:r>
        <w:rPr>
          <w:color w:val="BD1271"/>
        </w:rPr>
        <w:t xml:space="preserve">6. </w:t>
      </w:r>
      <w:r>
        <w:rPr>
          <w:color w:val="000000"/>
        </w:rPr>
        <w:t>Osnivanje europskih znanstvenih laboratorija (Europske banke virusa).</w:t>
      </w:r>
    </w:p>
    <w:p>
      <w:pPr>
        <w:pStyle w:val="P68B1DB1Normal84"/>
        <w:widowControl w:val="false"/>
        <w:spacing w:lineRule="auto" w:line="240"/>
        <w:ind w:left="283" w:right="417" w:hanging="0"/>
        <w:jc w:val="left"/>
        <w:rPr/>
      </w:pPr>
      <w:r>
        <w:rPr>
          <w:color w:val="BD1271"/>
        </w:rPr>
        <w:t xml:space="preserve">7. </w:t>
      </w:r>
      <w:r>
        <w:rPr>
          <w:color w:val="000000"/>
        </w:rPr>
        <w:t>Stvoriti zajedničku europsku vojsku koja djeluje u okviru NATO-a, ali i pomaže u nadilaženju.</w:t>
      </w:r>
    </w:p>
    <w:p>
      <w:pPr>
        <w:pStyle w:val="P68B1DB1Normal84"/>
        <w:widowControl w:val="false"/>
        <w:spacing w:lineRule="auto" w:line="240"/>
        <w:ind w:left="283" w:right="417" w:hanging="0"/>
        <w:jc w:val="left"/>
        <w:rPr/>
      </w:pPr>
      <w:r>
        <w:rPr>
          <w:color w:val="BD1271"/>
        </w:rPr>
        <w:t xml:space="preserve">8. </w:t>
      </w:r>
      <w:r>
        <w:rPr>
          <w:color w:val="000000"/>
        </w:rPr>
        <w:t>Ulaganje u osposobljavanje predavača (europske razmjene nastavnika, Erasmus za nastavnike).</w:t>
      </w:r>
    </w:p>
    <w:p>
      <w:pPr>
        <w:pStyle w:val="P68B1DB1Normal84"/>
        <w:widowControl w:val="false"/>
        <w:spacing w:lineRule="auto" w:line="240"/>
        <w:ind w:left="283" w:right="416" w:hanging="0"/>
        <w:jc w:val="left"/>
        <w:rPr/>
      </w:pPr>
      <w:r>
        <w:rPr>
          <w:color w:val="BD1271"/>
        </w:rPr>
        <w:t xml:space="preserve">9. </w:t>
      </w:r>
      <w:r>
        <w:rPr>
          <w:color w:val="000000"/>
        </w:rPr>
        <w:t>Povećati mobilnost europskih istraživača razvojem novih europskih znanstvenih institucija</w:t>
      </w:r>
      <w:r>
        <w:rPr>
          <w:color w:val="FF0000"/>
        </w:rPr>
        <w:t>.</w:t>
      </w:r>
      <w:r>
        <w:rPr>
          <w:color w:val="000000"/>
        </w:rPr>
        <w:t xml:space="preserve"> </w:t>
      </w:r>
    </w:p>
    <w:p>
      <w:pPr>
        <w:pStyle w:val="P68B1DB1Normal84"/>
        <w:widowControl w:val="false"/>
        <w:spacing w:lineRule="auto" w:line="240"/>
        <w:ind w:left="283" w:right="0" w:hanging="0"/>
        <w:jc w:val="left"/>
        <w:rPr/>
      </w:pPr>
      <w:r>
        <w:rPr>
          <w:color w:val="BD1271"/>
        </w:rPr>
        <w:t xml:space="preserve">10. </w:t>
      </w:r>
      <w:r>
        <w:rPr>
          <w:color w:val="000000"/>
        </w:rPr>
        <w:t>Poticati nastanak inovativnih novoosnovanih poduzeća.</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P68B1DB1Titre481"/>
        <w:numPr>
          <w:ilvl w:val="0"/>
          <w:numId w:val="2"/>
        </w:numPr>
        <w:rPr>
          <w:color w:val="0066B3"/>
        </w:rPr>
      </w:pPr>
      <w:bookmarkStart w:id="231" w:name="__RefHeading___Toc300444_1346298689"/>
      <w:bookmarkEnd w:id="231"/>
      <w:r>
        <w:rPr/>
        <w:t xml:space="preserve">3. Suradnja i partnerstva </w:t>
      </w:r>
    </w:p>
    <w:p>
      <w:pPr>
        <w:pStyle w:val="P68B1DB1Normal76"/>
        <w:widowControl w:val="false"/>
        <w:spacing w:lineRule="auto" w:line="240" w:before="109" w:after="0"/>
        <w:ind w:left="0" w:right="2" w:hanging="0"/>
        <w:jc w:val="both"/>
        <w:rPr/>
      </w:pPr>
      <w:r>
        <w:rPr/>
        <w:t xml:space="preserve">Vizija Europe sutrašnjice nije utvrda koja brani svoje bogatstvo, nego protagonist na međunarodnoj sceni sposoban za dijalog sa svim zemljama svijeta. Dijalog koji započinje od trgovinske moći i koji bi trebao težiti gospodarskom vodstvu, a koji se može učvrstiti uspostavom velikih međunarodnih partnerstava i projekata. </w:t>
      </w:r>
    </w:p>
    <w:p>
      <w:pPr>
        <w:pStyle w:val="P68B1DB1Normal76"/>
        <w:widowControl w:val="false"/>
        <w:spacing w:lineRule="auto" w:line="240" w:before="78" w:after="0"/>
        <w:ind w:left="0" w:right="0" w:hanging="0"/>
        <w:jc w:val="both"/>
        <w:rPr/>
      </w:pPr>
      <w:r>
        <w:rPr/>
        <w:t xml:space="preserve">Sve to s ciljem suradnje i posvećivanja pozornosti najnestabilnijim regijama svijeta, s ad hoc projektima usmjerenima na isticanje najsiromašnijih zemalja, kao i kulturne i gospodarske razmjene s istočnim zemljama. </w:t>
      </w:r>
    </w:p>
    <w:p>
      <w:pPr>
        <w:pStyle w:val="P68B1DB1Normal76"/>
        <w:widowControl w:val="false"/>
        <w:spacing w:lineRule="auto" w:line="240" w:before="78" w:after="0"/>
        <w:ind w:left="0" w:right="3" w:hanging="0"/>
        <w:jc w:val="both"/>
        <w:rPr/>
      </w:pPr>
      <w:r>
        <w:rPr/>
        <w:t xml:space="preserve">Posebna se pozornost posvećuje i temi migracija, uz bolju koordinaciju među zemljama i primjenu zajedničkih postupaka za upravljanje zahtjevima i pojedincima. </w:t>
      </w:r>
    </w:p>
    <w:p>
      <w:pPr>
        <w:pStyle w:val="P68B1DB1Normal34"/>
        <w:widowControl w:val="false"/>
        <w:spacing w:lineRule="auto" w:line="240" w:before="78" w:after="0"/>
        <w:ind w:left="0" w:right="0" w:hanging="0"/>
        <w:jc w:val="left"/>
        <w:rPr>
          <w:rFonts w:ascii="Arial" w:hAnsi="Arial"/>
          <w:color w:val="000000"/>
          <w:sz w:val="24"/>
        </w:rPr>
      </w:pPr>
      <w:r>
        <w:rPr/>
        <w:t xml:space="preserve"> </w:t>
      </w:r>
    </w:p>
    <w:p>
      <w:pPr>
        <w:pStyle w:val="P68B1DB1Normal74"/>
        <w:widowControl w:val="false"/>
        <w:spacing w:lineRule="auto" w:line="240" w:before="43" w:after="0"/>
        <w:ind w:left="3000" w:right="0" w:hanging="0"/>
        <w:jc w:val="left"/>
        <w:rPr/>
      </w:pPr>
      <w:r>
        <w:rPr>
          <w:b/>
          <w:sz w:val="24"/>
        </w:rPr>
        <w:t>PREPORUKE UKRATKO</w:t>
      </w:r>
      <w:r>
        <w:rPr>
          <w:sz w:val="28"/>
        </w:rPr>
        <w:t xml:space="preserve"> </w:t>
      </w:r>
    </w:p>
    <w:p>
      <w:pPr>
        <w:pStyle w:val="P68B1DB1Normal84"/>
        <w:widowControl w:val="false"/>
        <w:spacing w:lineRule="auto" w:line="240" w:before="71" w:after="0"/>
        <w:ind w:left="283" w:right="0" w:hanging="0"/>
        <w:jc w:val="left"/>
        <w:rPr/>
      </w:pPr>
      <w:r>
        <w:rPr>
          <w:color w:val="BD1271"/>
        </w:rPr>
        <w:t xml:space="preserve">1. </w:t>
      </w:r>
      <w:r>
        <w:rPr>
          <w:color w:val="000000"/>
        </w:rPr>
        <w:t>Povećanje izvoza.</w:t>
      </w:r>
    </w:p>
    <w:p>
      <w:pPr>
        <w:pStyle w:val="P68B1DB1Normal84"/>
        <w:widowControl w:val="false"/>
        <w:spacing w:lineRule="auto" w:line="240"/>
        <w:ind w:left="283" w:right="0" w:hanging="0"/>
        <w:jc w:val="left"/>
        <w:rPr/>
      </w:pPr>
      <w:r>
        <w:rPr>
          <w:color w:val="BD1271"/>
        </w:rPr>
        <w:t xml:space="preserve">2. </w:t>
      </w:r>
      <w:r>
        <w:rPr>
          <w:color w:val="000000"/>
        </w:rPr>
        <w:t>Promicati transnacionalne europske turističke rute.</w:t>
      </w:r>
    </w:p>
    <w:p>
      <w:pPr>
        <w:pStyle w:val="P68B1DB1Normal84"/>
        <w:widowControl w:val="false"/>
        <w:spacing w:lineRule="auto" w:line="240"/>
        <w:ind w:left="283" w:right="0" w:hanging="0"/>
        <w:jc w:val="left"/>
        <w:rPr/>
      </w:pPr>
      <w:r>
        <w:rPr>
          <w:color w:val="BD1271"/>
        </w:rPr>
        <w:t xml:space="preserve">3. </w:t>
      </w:r>
      <w:r>
        <w:rPr>
          <w:color w:val="000000"/>
        </w:rPr>
        <w:t>Razviti trgovinski sustav pregovora na europskoj razini (ne pojedinačno kao države ili poduzeća, već kao Unija) kako bi imali veću pregovaračku moć, ali s ograničenjima povezanima s poštovanjem ljudskih prava.</w:t>
      </w:r>
    </w:p>
    <w:p>
      <w:pPr>
        <w:pStyle w:val="P68B1DB1Normal84"/>
        <w:widowControl w:val="false"/>
        <w:spacing w:lineRule="auto" w:line="240"/>
        <w:ind w:left="283" w:right="417" w:hanging="0"/>
        <w:jc w:val="left"/>
        <w:rPr/>
      </w:pPr>
      <w:r>
        <w:rPr>
          <w:color w:val="BD1271"/>
        </w:rPr>
        <w:t xml:space="preserve">4. </w:t>
      </w:r>
      <w:r>
        <w:rPr>
          <w:color w:val="000000"/>
        </w:rPr>
        <w:t>Vodeći veliki međunarodni projekti kao što je Međunarodna svemirska postaja.</w:t>
      </w:r>
    </w:p>
    <w:p>
      <w:pPr>
        <w:pStyle w:val="P68B1DB1Normal84"/>
        <w:widowControl w:val="false"/>
        <w:spacing w:lineRule="auto" w:line="240"/>
        <w:ind w:left="283" w:right="417" w:hanging="0"/>
        <w:jc w:val="left"/>
        <w:rPr/>
      </w:pPr>
      <w:r>
        <w:rPr>
          <w:color w:val="BD1271"/>
        </w:rPr>
        <w:t xml:space="preserve">5. </w:t>
      </w:r>
      <w:r>
        <w:rPr>
          <w:color w:val="000000"/>
        </w:rPr>
        <w:t>Financiranje projekata u Africi za izgradnju škola i bolnica, bez zauzimanja stava kolonijalnog stila, već s naglaskom na poštovanju europskih vrijednosti i prava.</w:t>
      </w:r>
    </w:p>
    <w:p>
      <w:pPr>
        <w:pStyle w:val="P68B1DB1Normal84"/>
        <w:widowControl w:val="false"/>
        <w:spacing w:lineRule="auto" w:line="240"/>
        <w:ind w:left="283" w:right="417" w:hanging="0"/>
        <w:jc w:val="left"/>
        <w:rPr/>
      </w:pPr>
      <w:r>
        <w:rPr>
          <w:color w:val="BD1271"/>
        </w:rPr>
        <w:t xml:space="preserve">6. </w:t>
      </w:r>
      <w:r>
        <w:rPr>
          <w:color w:val="000000"/>
        </w:rPr>
        <w:t>Ulagati u osposobljavanje na licu mjesta (posebno za žene) u najsiromašnijim zemljama.</w:t>
      </w:r>
    </w:p>
    <w:p>
      <w:pPr>
        <w:pStyle w:val="P68B1DB1Normal84"/>
        <w:widowControl w:val="false"/>
        <w:spacing w:lineRule="auto" w:line="240"/>
        <w:ind w:left="283" w:right="0" w:hanging="0"/>
        <w:jc w:val="left"/>
        <w:rPr/>
      </w:pPr>
      <w:r>
        <w:rPr>
          <w:color w:val="BD1271"/>
        </w:rPr>
        <w:t xml:space="preserve">7. </w:t>
      </w:r>
      <w:r>
        <w:rPr>
          <w:color w:val="000000"/>
        </w:rPr>
        <w:t>Promicanje razmjene tehničara i trenera.</w:t>
      </w:r>
    </w:p>
    <w:p>
      <w:pPr>
        <w:pStyle w:val="P68B1DB1Normal84"/>
        <w:widowControl w:val="false"/>
        <w:spacing w:lineRule="auto" w:line="240"/>
        <w:ind w:left="283" w:right="0" w:hanging="0"/>
        <w:jc w:val="left"/>
        <w:rPr/>
      </w:pPr>
      <w:r>
        <w:rPr>
          <w:color w:val="BD1271"/>
        </w:rPr>
        <w:t xml:space="preserve">8. </w:t>
      </w:r>
      <w:r>
        <w:rPr>
          <w:color w:val="000000"/>
        </w:rPr>
        <w:t>Uspostaviti sustav zajedničkih pravila za pristup migranata, s različitim procesima između humanitarnih i gospodarskih migracija te s pravednom raspodjelom među različitim državama, ali sa zajedničkim pravilima (popis i kontrola ponašanja i zapošljavanja).</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P68B1DB1Titre481"/>
        <w:numPr>
          <w:ilvl w:val="0"/>
          <w:numId w:val="2"/>
        </w:numPr>
        <w:rPr>
          <w:color w:val="0066B3"/>
        </w:rPr>
      </w:pPr>
      <w:bookmarkStart w:id="232" w:name="__RefHeading___Toc300446_1346298689"/>
      <w:bookmarkEnd w:id="232"/>
      <w:r>
        <w:rPr/>
        <w:t xml:space="preserve">4. Politička i kulturna referenca </w:t>
      </w:r>
    </w:p>
    <w:p>
      <w:pPr>
        <w:pStyle w:val="P68B1DB1Normal76"/>
        <w:widowControl w:val="false"/>
        <w:spacing w:lineRule="auto" w:line="240" w:before="106" w:after="0"/>
        <w:ind w:left="0" w:right="145" w:hanging="0"/>
        <w:jc w:val="both"/>
        <w:rPr/>
      </w:pPr>
      <w:r>
        <w:rPr/>
        <w:t xml:space="preserve">U gore opisanom scenariju od Europe se očekuje da pruži jasnu političku i kulturnu referencu na globalnoj razini sa stajališta prava i etike, pružajući primjer donošenjem odluka kako bi se osiguralo zdravo okruženje, poštovanje ljudskih prava i dijalog između Istoka i Zapada. </w:t>
      </w:r>
    </w:p>
    <w:p>
      <w:pPr>
        <w:pStyle w:val="P68B1DB1Normal83"/>
        <w:widowControl w:val="false"/>
        <w:spacing w:lineRule="auto" w:line="240" w:before="73" w:after="0"/>
        <w:ind w:left="4819" w:right="0" w:hanging="0"/>
        <w:jc w:val="left"/>
        <w:rPr>
          <w:rFonts w:ascii="Arial" w:hAnsi="Arial"/>
          <w:b/>
          <w:b/>
          <w:color w:val="2E74B5"/>
          <w:sz w:val="24"/>
        </w:rPr>
      </w:pPr>
      <w:r>
        <w:rPr/>
        <w:t xml:space="preserve"> </w:t>
      </w:r>
    </w:p>
    <w:p>
      <w:pPr>
        <w:pStyle w:val="P68B1DB1Normal75"/>
        <w:widowControl w:val="false"/>
        <w:spacing w:lineRule="auto" w:line="240" w:before="72" w:after="0"/>
        <w:ind w:left="3000" w:right="0" w:hanging="0"/>
        <w:jc w:val="left"/>
        <w:rPr/>
      </w:pPr>
      <w:r>
        <w:rPr>
          <w:b/>
          <w:color w:val="2E74B5"/>
        </w:rPr>
        <w:t>PREPORUKE UKRATKO</w:t>
      </w:r>
      <w:r>
        <w:rPr>
          <w:color w:val="000000"/>
        </w:rPr>
        <w:t xml:space="preserve"> </w:t>
      </w:r>
    </w:p>
    <w:p>
      <w:pPr>
        <w:pStyle w:val="P68B1DB1Normal84"/>
        <w:widowControl w:val="false"/>
        <w:spacing w:lineRule="auto" w:line="240" w:before="69" w:after="0"/>
        <w:ind w:left="283" w:right="0" w:hanging="0"/>
        <w:jc w:val="left"/>
        <w:rPr/>
      </w:pPr>
      <w:r>
        <w:rPr>
          <w:color w:val="BD1271"/>
        </w:rPr>
        <w:t xml:space="preserve">1. </w:t>
      </w:r>
      <w:r>
        <w:rPr>
          <w:color w:val="000000"/>
        </w:rPr>
        <w:t>Predvoditi kao zeleni kontinent, postići nultu stopu emisija prije drugih i povećati proizvodnju čiste energije (vjetar i solarna energija).</w:t>
      </w:r>
    </w:p>
    <w:p>
      <w:pPr>
        <w:pStyle w:val="P68B1DB1Normal84"/>
        <w:widowControl w:val="false"/>
        <w:spacing w:lineRule="auto" w:line="240"/>
        <w:ind w:left="283" w:right="0" w:hanging="0"/>
        <w:jc w:val="left"/>
        <w:rPr/>
      </w:pPr>
      <w:r>
        <w:rPr>
          <w:color w:val="BD1271"/>
        </w:rPr>
        <w:t xml:space="preserve">2. </w:t>
      </w:r>
      <w:r>
        <w:rPr>
          <w:color w:val="000000"/>
        </w:rPr>
        <w:t>Izvoz tehnologija za proizvodnju robe s nultim učinkom.</w:t>
      </w:r>
    </w:p>
    <w:p>
      <w:pPr>
        <w:pStyle w:val="P68B1DB1Normal84"/>
        <w:widowControl w:val="false"/>
        <w:spacing w:lineRule="auto" w:line="240"/>
        <w:ind w:left="283" w:right="0" w:hanging="0"/>
        <w:jc w:val="left"/>
        <w:rPr/>
      </w:pPr>
      <w:r>
        <w:rPr>
          <w:color w:val="BD1271"/>
        </w:rPr>
        <w:t xml:space="preserve">3. </w:t>
      </w:r>
      <w:r>
        <w:rPr>
          <w:color w:val="000000"/>
        </w:rPr>
        <w:t>Služe kao spoj (javno mjesto, agora) između Istoka i Zapada, promičući kulturne razmjene i zajedničke kulturne inicijative (kao što su Svjetski dani umjetnosti, koji će se organizirati naizmjence u raznim europskim prijestolnicama, s umjetničkim programom uključujući zapadne i istočne umjetnike).</w:t>
      </w:r>
    </w:p>
    <w:p>
      <w:pPr>
        <w:pStyle w:val="P68B1DB1Normal84"/>
        <w:widowControl w:val="false"/>
        <w:spacing w:lineRule="auto" w:line="240"/>
        <w:ind w:left="283" w:right="560" w:hanging="0"/>
        <w:jc w:val="left"/>
        <w:rPr/>
      </w:pPr>
      <w:r>
        <w:rPr>
          <w:color w:val="BD1271"/>
        </w:rPr>
        <w:t xml:space="preserve">4. </w:t>
      </w:r>
      <w:r>
        <w:rPr>
          <w:color w:val="000000"/>
        </w:rPr>
        <w:t>Stvoriti europski etički model za upravljanje migracijskim procesima koji se mogu dijeliti na međunarodnoj razini.</w:t>
      </w:r>
    </w:p>
    <w:p>
      <w:pPr>
        <w:pStyle w:val="P68B1DB1Normal32"/>
        <w:widowControl w:val="false"/>
        <w:spacing w:lineRule="auto" w:line="240"/>
        <w:ind w:left="283" w:right="0" w:hanging="0"/>
        <w:jc w:val="left"/>
        <w:rPr>
          <w:rFonts w:ascii="Arial" w:hAnsi="Arial"/>
          <w:b/>
          <w:b/>
          <w:color w:val="000000"/>
          <w:sz w:val="24"/>
        </w:rPr>
      </w:pPr>
      <w:r>
        <w:rPr/>
        <w:t xml:space="preserve"> </w:t>
      </w:r>
    </w:p>
    <w:p>
      <w:pPr>
        <w:pStyle w:val="Titre2"/>
        <w:numPr>
          <w:ilvl w:val="1"/>
          <w:numId w:val="2"/>
        </w:numPr>
        <w:rPr/>
      </w:pPr>
      <w:bookmarkStart w:id="233" w:name="__RefHeading___Toc300322_1346298689"/>
      <w:bookmarkEnd w:id="233"/>
      <w:r>
        <w:rPr/>
        <w:t xml:space="preserve">6. Završna evaluacija sudionika </w:t>
      </w:r>
    </w:p>
    <w:p>
      <w:pPr>
        <w:pStyle w:val="P68B1DB1Normal76"/>
        <w:widowControl w:val="false"/>
        <w:spacing w:lineRule="auto" w:line="240" w:before="106" w:after="0"/>
        <w:ind w:left="0" w:right="0" w:hanging="0"/>
        <w:jc w:val="both"/>
        <w:rPr/>
      </w:pPr>
      <w:r>
        <w:rPr/>
        <w:t xml:space="preserve">Na kraju dva radna dana od svih sudionika zatraženo je da ispune kratki upitnik kako bi ocijenili svoje iskustvo. Upitnik za evaluaciju poslan je dva dana nakon završetka panela kako bi se svim sudionicima dalo vremena da se odmaknu od iskustva i kako bi mogli objektivno odgovoriti. </w:t>
      </w:r>
    </w:p>
    <w:p>
      <w:pPr>
        <w:pStyle w:val="Normal"/>
        <w:widowControl w:val="false"/>
        <w:spacing w:lineRule="auto" w:line="240" w:before="78" w:after="0"/>
        <w:ind w:left="0" w:right="2" w:hanging="0"/>
        <w:jc w:val="left"/>
        <w:rPr/>
      </w:pPr>
      <w:r>
        <w:rPr>
          <w:color w:val="000000"/>
        </w:rPr>
        <w:t xml:space="preserve">Prikupljeni rezultati pokazuju posebno visoku razinu zadovoljstva, kako u smislu interesa tako i u smislu jednostavnosti sudjelovanja i osjećaja slušanja i uključenosti. </w:t>
      </w:r>
      <w:r>
        <w:br w:type="page"/>
      </w:r>
    </w:p>
    <w:p>
      <w:pPr>
        <w:pStyle w:val="Normal"/>
        <w:widowControl w:val="false"/>
        <w:spacing w:lineRule="auto" w:line="240" w:before="4764" w:after="0"/>
        <w:ind w:left="0" w:right="2" w:hanging="0"/>
        <w:jc w:val="left"/>
        <w:rPr>
          <w:rFonts w:ascii="Arial" w:hAnsi="Arial"/>
          <w:color w:val="000000"/>
          <w:sz w:val="24"/>
        </w:rPr>
      </w:pPr>
      <w:r>
        <w:rPr>
          <w:color w:val="000000"/>
          <w:sz w:val="24"/>
        </w:rPr>
        <mc:AlternateContent>
          <mc:Choice Requires="wpg">
            <w:drawing>
              <wp:anchor behindDoc="0" distT="0" distB="0" distL="0" distR="0" simplePos="0" locked="0" layoutInCell="1" allowOverlap="1" relativeHeight="60">
                <wp:simplePos x="0" y="0"/>
                <wp:positionH relativeFrom="column">
                  <wp:posOffset>635</wp:posOffset>
                </wp:positionH>
                <wp:positionV relativeFrom="paragraph">
                  <wp:posOffset>50165</wp:posOffset>
                </wp:positionV>
                <wp:extent cx="5996305" cy="3025775"/>
                <wp:effectExtent l="0" t="0" r="0" b="0"/>
                <wp:wrapTopAndBottom/>
                <wp:docPr id="107" name="8 Obrazac 8"/>
                <a:graphic xmlns:a="http://schemas.openxmlformats.org/drawingml/2006/main">
                  <a:graphicData uri="http://schemas.microsoft.com/office/word/2010/wordprocessingGroup">
                    <wpg:wgp>
                      <wpg:cNvGrpSpPr/>
                      <wpg:grpSpPr>
                        <a:xfrm>
                          <a:off x="0" y="0"/>
                          <a:ext cx="5995800" cy="3025080"/>
                        </a:xfrm>
                      </wpg:grpSpPr>
                      <pic:pic xmlns:pic="http://schemas.openxmlformats.org/drawingml/2006/picture">
                        <pic:nvPicPr>
                          <pic:cNvPr id="10" name="" descr=""/>
                          <pic:cNvPicPr/>
                        </pic:nvPicPr>
                        <pic:blipFill>
                          <a:blip r:embed="rId112"/>
                          <a:stretch/>
                        </pic:blipFill>
                        <pic:spPr>
                          <a:xfrm>
                            <a:off x="2533680" y="487080"/>
                            <a:ext cx="3379320" cy="2538000"/>
                          </a:xfrm>
                          <a:prstGeom prst="rect">
                            <a:avLst/>
                          </a:prstGeom>
                          <a:ln>
                            <a:noFill/>
                          </a:ln>
                        </pic:spPr>
                      </pic:pic>
                      <wps:wsp>
                        <wps:cNvSpPr/>
                        <wps:spPr>
                          <a:xfrm>
                            <a:off x="210240" y="0"/>
                            <a:ext cx="578556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 xml:space="preserve">Zadovoljstvo sudjelovanjem u panelu </w:t>
                              </w:r>
                            </w:p>
                          </w:txbxContent>
                        </wps:txbx>
                        <wps:bodyPr lIns="90000" rIns="90000" tIns="45000" bIns="45000">
                          <a:noAutofit/>
                        </wps:bodyPr>
                      </wps:wsp>
                      <wps:wsp>
                        <wps:cNvSpPr/>
                        <wps:spPr>
                          <a:xfrm>
                            <a:off x="60480" y="640800"/>
                            <a:ext cx="2477880" cy="3751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Ukupno zadovoljstvo iskustvom</w:t>
                              </w:r>
                            </w:p>
                          </w:txbxContent>
                        </wps:txbx>
                        <wps:bodyPr lIns="90000" rIns="90000" tIns="45000" bIns="45000">
                          <a:noAutofit/>
                        </wps:bodyPr>
                      </wps:wsp>
                      <wps:wsp>
                        <wps:cNvSpPr/>
                        <wps:spPr>
                          <a:xfrm>
                            <a:off x="69120" y="1184400"/>
                            <a:ext cx="2478240" cy="382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Kvaliteta doprinosa sudionika</w:t>
                              </w:r>
                            </w:p>
                          </w:txbxContent>
                        </wps:txbx>
                        <wps:bodyPr lIns="90000" rIns="90000" tIns="45000" bIns="45000">
                          <a:noAutofit/>
                        </wps:bodyPr>
                      </wps:wsp>
                      <wps:wsp>
                        <wps:cNvSpPr/>
                        <wps:spPr>
                          <a:xfrm>
                            <a:off x="60840" y="1469520"/>
                            <a:ext cx="2478240" cy="382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Usklađenost danih preporuka i rasprave</w:t>
                              </w:r>
                            </w:p>
                          </w:txbxContent>
                        </wps:txbx>
                        <wps:bodyPr lIns="90000" rIns="90000" tIns="45000" bIns="45000">
                          <a:noAutofit/>
                        </wps:bodyPr>
                      </wps:wsp>
                      <wps:wsp>
                        <wps:cNvSpPr/>
                        <wps:spPr>
                          <a:xfrm>
                            <a:off x="61560" y="1861200"/>
                            <a:ext cx="2478240" cy="236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Jednostavnost korištenja platforme</w:t>
                              </w:r>
                            </w:p>
                          </w:txbxContent>
                        </wps:txbx>
                        <wps:bodyPr lIns="90000" rIns="90000" tIns="45000" bIns="45000">
                          <a:noAutofit/>
                        </wps:bodyPr>
                      </wps:wsp>
                      <wps:wsp>
                        <wps:cNvSpPr/>
                        <wps:spPr>
                          <a:xfrm>
                            <a:off x="0" y="2128680"/>
                            <a:ext cx="2478240" cy="23688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Poštovanje raznolikosti mišljenja</w:t>
                              </w:r>
                            </w:p>
                          </w:txbxContent>
                        </wps:txbx>
                        <wps:bodyPr lIns="90000" rIns="90000" tIns="45000" bIns="45000">
                          <a:noAutofit/>
                        </wps:bodyPr>
                      </wps:wsp>
                      <wps:wsp>
                        <wps:cNvSpPr/>
                        <wps:spPr>
                          <a:xfrm>
                            <a:off x="44280" y="2343240"/>
                            <a:ext cx="2477880" cy="52848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Sposobnost moderatora da daju glas sudionicima i slušaju njihove intervencije</w:t>
                              </w:r>
                            </w:p>
                          </w:txbxContent>
                        </wps:txbx>
                        <wps:bodyPr lIns="90000" rIns="90000" tIns="45000" bIns="45000">
                          <a:noAutofit/>
                        </wps:bodyPr>
                      </wps:wsp>
                      <wps:wsp>
                        <wps:cNvSpPr/>
                        <wps:spPr>
                          <a:xfrm>
                            <a:off x="27360" y="2788200"/>
                            <a:ext cx="2477880" cy="236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Interes za teme o kojima je riječ</w:t>
                              </w:r>
                            </w:p>
                          </w:txbxContent>
                        </wps:txbx>
                        <wps:bodyPr lIns="90000" rIns="90000" tIns="45000" bIns="45000">
                          <a:noAutofit/>
                        </wps:bodyPr>
                      </wps:wsp>
                    </wpg:wgp>
                  </a:graphicData>
                </a:graphic>
              </wp:anchor>
            </w:drawing>
          </mc:Choice>
          <mc:Fallback>
            <w:pict>
              <v:group id="shape_0" alt="8 Obrazac 8" style="position:absolute;margin-left:0.05pt;margin-top:3.95pt;width:472.1pt;height:238.2pt" coordorigin="1,79" coordsize="9442,4764">
                <v:shape id="shape_0" stroked="f" style="position:absolute;left:3991;top:846;width:5321;height:3996" type="shapetype_75">
                  <v:imagedata r:id="rId112" o:detectmouseclick="t"/>
                  <w10:wrap type="none"/>
                  <v:stroke color="#3465a4" joinstyle="round" endcap="flat"/>
                </v:shape>
                <v:rect id="shape_0" stroked="f" style="position:absolute;left:332;top:79;width:9110;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 xml:space="preserve">Zadovoljstvo sudjelovanjem u panelu </w:t>
                        </w:r>
                      </w:p>
                    </w:txbxContent>
                  </v:textbox>
                  <w10:wrap type="square"/>
                  <v:fill o:detectmouseclick="t" on="false"/>
                  <v:stroke color="#3465a4" joinstyle="round" endcap="flat"/>
                </v:rect>
                <v:rect id="shape_0" stroked="f" style="position:absolute;left:96;top:1088;width:3901;height:590">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Ukupno zadovoljstvo iskustvom</w:t>
                        </w:r>
                      </w:p>
                    </w:txbxContent>
                  </v:textbox>
                  <w10:wrap type="square"/>
                  <v:fill o:detectmouseclick="t" on="false"/>
                  <v:stroke color="#3465a4" joinstyle="round" endcap="flat"/>
                </v:rect>
                <v:rect id="shape_0" stroked="f" style="position:absolute;left:110;top:1944;width:3902;height:601">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Kvaliteta doprinosa sudionika</w:t>
                        </w:r>
                      </w:p>
                    </w:txbxContent>
                  </v:textbox>
                  <w10:wrap type="square"/>
                  <v:fill o:detectmouseclick="t" on="false"/>
                  <v:stroke color="#3465a4" joinstyle="round" endcap="flat"/>
                </v:rect>
                <v:rect id="shape_0" stroked="f" style="position:absolute;left:97;top:2393;width:3902;height:601">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Usklađenost danih preporuka i rasprave</w:t>
                        </w:r>
                      </w:p>
                    </w:txbxContent>
                  </v:textbox>
                  <w10:wrap type="square"/>
                  <v:fill o:detectmouseclick="t" on="false"/>
                  <v:stroke color="#3465a4" joinstyle="round" endcap="flat"/>
                </v:rect>
                <v:rect id="shape_0" stroked="f" style="position:absolute;left:98;top:3010;width:3902;height:371">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Jednostavnost korištenja platforme</w:t>
                        </w:r>
                      </w:p>
                    </w:txbxContent>
                  </v:textbox>
                  <w10:wrap type="square"/>
                  <v:fill o:detectmouseclick="t" on="false"/>
                  <v:stroke color="#3465a4" joinstyle="round" endcap="flat"/>
                </v:rect>
                <v:rect id="shape_0" stroked="f" style="position:absolute;left:1;top:3431;width:3902;height:372">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Poštovanje raznolikosti mišljenja</w:t>
                        </w:r>
                      </w:p>
                    </w:txbxContent>
                  </v:textbox>
                  <w10:wrap type="square"/>
                  <v:fill o:detectmouseclick="t" on="false"/>
                  <v:stroke color="#3465a4" joinstyle="round" endcap="flat"/>
                </v:rect>
                <v:rect id="shape_0" stroked="f" style="position:absolute;left:71;top:3769;width:3901;height:831">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Sposobnost moderatora da daju glas sudionicima i slušaju njihove intervencije</w:t>
                        </w:r>
                      </w:p>
                    </w:txbxContent>
                  </v:textbox>
                  <w10:wrap type="square"/>
                  <v:fill o:detectmouseclick="t" on="false"/>
                  <v:stroke color="#3465a4" joinstyle="round" endcap="flat"/>
                </v:rect>
                <v:rect id="shape_0" stroked="f" style="position:absolute;left:44;top:4470;width:3901;height:371">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Interes za teme o kojima je riječ</w:t>
                        </w:r>
                      </w:p>
                    </w:txbxContent>
                  </v:textbox>
                  <w10:wrap type="square"/>
                  <v:fill o:detectmouseclick="t" on="false"/>
                  <v:stroke color="#3465a4" joinstyle="round" endcap="flat"/>
                </v:rect>
              </v:group>
            </w:pict>
          </mc:Fallback>
        </mc:AlternateContent>
      </w:r>
    </w:p>
    <w:p>
      <w:pPr>
        <w:pStyle w:val="P68B1DB1Normal76"/>
        <w:widowControl w:val="false"/>
        <w:spacing w:lineRule="auto" w:line="240" w:before="48" w:after="0"/>
        <w:ind w:left="0" w:right="1" w:hanging="0"/>
        <w:jc w:val="both"/>
        <w:rPr/>
      </w:pPr>
      <w:r>
        <w:rPr/>
        <w:t xml:space="preserve">Iako su u početku imali različita iskustva, vještine i motivacije, sudionici su se osjećali snažno uključenima: 98 % ispitanika koji su sudjelovali u evaluacijskom upitniku smatralo je da su aktivno sudjelovali i pozitivno pridonijeli raspravi.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0" w:hanging="0"/>
        <w:jc w:val="both"/>
        <w:rPr/>
      </w:pPr>
      <w:r>
        <w:rPr/>
        <w:t xml:space="preserve">Općenito, korisnost tog iskustva, koje se prije svega doživljava kao prilika za aktivno sudjelovanje i koje je dalo osjećaj veće blizine europskim institucijama, vrlo se snažno osjetilo. Zbog toga su gotovo svi ispitanici zatražili da se ta vrsta inicijative ponovi tijekom vremena. </w:t>
      </w:r>
    </w:p>
    <w:p>
      <w:pPr>
        <w:pStyle w:val="Normal"/>
        <w:widowControl w:val="false"/>
        <w:spacing w:lineRule="exact" w:line="202" w:before="4966" w:after="0"/>
        <w:ind w:left="0" w:right="0" w:hanging="0"/>
        <w:jc w:val="both"/>
        <w:rPr/>
      </w:pPr>
      <w:r>
        <mc:AlternateContent>
          <mc:Choice Requires="wpg">
            <w:drawing>
              <wp:anchor behindDoc="0" distT="0" distB="0" distL="0" distR="0" simplePos="0" locked="0" layoutInCell="1" allowOverlap="1" relativeHeight="62">
                <wp:simplePos x="0" y="0"/>
                <wp:positionH relativeFrom="column">
                  <wp:posOffset>0</wp:posOffset>
                </wp:positionH>
                <wp:positionV relativeFrom="paragraph">
                  <wp:posOffset>71120</wp:posOffset>
                </wp:positionV>
                <wp:extent cx="6047740" cy="3154045"/>
                <wp:effectExtent l="0" t="0" r="0" b="0"/>
                <wp:wrapTopAndBottom/>
                <wp:docPr id="108" name="Obrazac 9"/>
                <a:graphic xmlns:a="http://schemas.openxmlformats.org/drawingml/2006/main">
                  <a:graphicData uri="http://schemas.microsoft.com/office/word/2010/wordprocessingGroup">
                    <wpg:wgp>
                      <wpg:cNvGrpSpPr/>
                      <wpg:grpSpPr>
                        <a:xfrm>
                          <a:off x="0" y="0"/>
                          <a:ext cx="6047280" cy="3153240"/>
                        </a:xfrm>
                      </wpg:grpSpPr>
                      <pic:pic xmlns:pic="http://schemas.openxmlformats.org/drawingml/2006/picture">
                        <pic:nvPicPr>
                          <pic:cNvPr id="11" name="" descr=""/>
                          <pic:cNvPicPr/>
                        </pic:nvPicPr>
                        <pic:blipFill>
                          <a:blip r:embed="rId113"/>
                          <a:stretch/>
                        </pic:blipFill>
                        <pic:spPr>
                          <a:xfrm>
                            <a:off x="272880" y="357480"/>
                            <a:ext cx="5774040" cy="2601000"/>
                          </a:xfrm>
                          <a:prstGeom prst="rect">
                            <a:avLst/>
                          </a:prstGeom>
                          <a:ln>
                            <a:noFill/>
                          </a:ln>
                        </pic:spPr>
                      </pic:pic>
                      <wps:wsp>
                        <wps:cNvSpPr/>
                        <wps:spPr>
                          <a:xfrm>
                            <a:off x="404640" y="0"/>
                            <a:ext cx="5614560" cy="80064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OCJENA INTERESA „TALIJANSKOG PANELA ZA KONFERENCIJU O BUDUĆNOSTI EUROPE”</w:t>
                              </w:r>
                            </w:p>
                          </w:txbxContent>
                        </wps:txbx>
                        <wps:bodyPr lIns="90000" rIns="90000" tIns="45000" bIns="45000">
                          <a:noAutofit/>
                        </wps:bodyPr>
                      </wps:wsp>
                      <wps:wsp>
                        <wps:cNvSpPr/>
                        <wps:spPr>
                          <a:xfrm>
                            <a:off x="47160" y="497160"/>
                            <a:ext cx="2207880" cy="275040"/>
                          </a:xfrm>
                          <a:prstGeom prst="rect">
                            <a:avLst/>
                          </a:prstGeom>
                          <a:noFill/>
                          <a:ln>
                            <a:noFill/>
                          </a:ln>
                        </wps:spPr>
                        <wps:style>
                          <a:lnRef idx="0"/>
                          <a:fillRef idx="0"/>
                          <a:effectRef idx="0"/>
                          <a:fontRef idx="minor"/>
                        </wps:style>
                        <wps:txb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Trebao bi se češće događati</w:t>
                              </w:r>
                            </w:p>
                          </w:txbxContent>
                        </wps:txbx>
                        <wps:bodyPr lIns="90000" rIns="90000" tIns="45000" bIns="45000">
                          <a:noAutofit/>
                        </wps:bodyPr>
                      </wps:wsp>
                      <wps:wsp>
                        <wps:cNvSpPr/>
                        <wps:spPr>
                          <a:xfrm>
                            <a:off x="47160" y="986760"/>
                            <a:ext cx="2207880" cy="484560"/>
                          </a:xfrm>
                          <a:prstGeom prst="rect">
                            <a:avLst/>
                          </a:prstGeom>
                          <a:noFill/>
                          <a:ln>
                            <a:noFill/>
                          </a:ln>
                        </wps:spPr>
                        <wps:style>
                          <a:lnRef idx="0"/>
                          <a:fillRef idx="0"/>
                          <a:effectRef idx="0"/>
                          <a:fontRef idx="minor"/>
                        </wps:style>
                        <wps:txb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Korisno je da se glas građana čuje u europskim institucijama</w:t>
                              </w:r>
                            </w:p>
                          </w:txbxContent>
                        </wps:txbx>
                        <wps:bodyPr lIns="90000" rIns="90000" tIns="45000" bIns="45000">
                          <a:noAutofit/>
                        </wps:bodyPr>
                      </wps:wsp>
                      <wps:wsp>
                        <wps:cNvSpPr/>
                        <wps:spPr>
                          <a:xfrm>
                            <a:off x="47160" y="1492920"/>
                            <a:ext cx="2207880" cy="353160"/>
                          </a:xfrm>
                          <a:prstGeom prst="rect">
                            <a:avLst/>
                          </a:prstGeom>
                          <a:noFill/>
                          <a:ln>
                            <a:noFill/>
                          </a:ln>
                        </wps:spPr>
                        <wps:style>
                          <a:lnRef idx="0"/>
                          <a:fillRef idx="0"/>
                          <a:effectRef idx="0"/>
                          <a:fontRef idx="minor"/>
                        </wps:style>
                        <wps:txb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Može dati pozitivan doprinos poboljšanju budućnosti Europe</w:t>
                              </w:r>
                            </w:p>
                          </w:txbxContent>
                        </wps:txbx>
                        <wps:bodyPr lIns="90000" rIns="90000" tIns="45000" bIns="45000">
                          <a:noAutofit/>
                        </wps:bodyPr>
                      </wps:wsp>
                      <wps:wsp>
                        <wps:cNvSpPr/>
                        <wps:spPr>
                          <a:xfrm>
                            <a:off x="0" y="1972800"/>
                            <a:ext cx="2208600" cy="353160"/>
                          </a:xfrm>
                          <a:prstGeom prst="rect">
                            <a:avLst/>
                          </a:prstGeom>
                          <a:noFill/>
                          <a:ln>
                            <a:noFill/>
                          </a:ln>
                        </wps:spPr>
                        <wps:style>
                          <a:lnRef idx="0"/>
                          <a:fillRef idx="0"/>
                          <a:effectRef idx="0"/>
                          <a:fontRef idx="minor"/>
                        </wps:style>
                        <wps:txb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Približavanje europskih institucija građanima</w:t>
                              </w:r>
                            </w:p>
                          </w:txbxContent>
                        </wps:txbx>
                        <wps:bodyPr lIns="90000" rIns="90000" tIns="45000" bIns="45000">
                          <a:noAutofit/>
                        </wps:bodyPr>
                      </wps:wsp>
                      <wps:wsp>
                        <wps:cNvSpPr/>
                        <wps:spPr>
                          <a:xfrm>
                            <a:off x="0" y="2409120"/>
                            <a:ext cx="2208600" cy="736560"/>
                          </a:xfrm>
                          <a:prstGeom prst="rect">
                            <a:avLst/>
                          </a:prstGeom>
                          <a:noFill/>
                          <a:ln>
                            <a:noFill/>
                          </a:ln>
                        </wps:spPr>
                        <wps:style>
                          <a:lnRef idx="0"/>
                          <a:fillRef idx="0"/>
                          <a:effectRef idx="0"/>
                          <a:fontRef idx="minor"/>
                        </wps:style>
                        <wps:txb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Gubljenje vremena</w:t>
                              </w:r>
                            </w:p>
                          </w:txbxContent>
                        </wps:txbx>
                        <wps:bodyPr lIns="90000" rIns="90000" tIns="45000" bIns="45000">
                          <a:noAutofit/>
                        </wps:bodyPr>
                      </wps:wsp>
                      <wps:wsp>
                        <wps:cNvSpPr/>
                        <wps:spPr>
                          <a:xfrm>
                            <a:off x="527760" y="2738160"/>
                            <a:ext cx="85968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Slažem se</w:t>
                              </w:r>
                            </w:p>
                          </w:txbxContent>
                        </wps:txbx>
                        <wps:bodyPr lIns="90000" rIns="90000" tIns="45000" bIns="45000">
                          <a:noAutofit/>
                        </wps:bodyPr>
                      </wps:wsp>
                      <wps:wsp>
                        <wps:cNvSpPr/>
                        <wps:spPr>
                          <a:xfrm>
                            <a:off x="1548000" y="2711520"/>
                            <a:ext cx="77868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Radije bih se složio.</w:t>
                              </w:r>
                            </w:p>
                          </w:txbxContent>
                        </wps:txbx>
                        <wps:bodyPr lIns="90000" rIns="90000" tIns="45000" bIns="45000">
                          <a:noAutofit/>
                        </wps:bodyPr>
                      </wps:wsp>
                      <wps:wsp>
                        <wps:cNvSpPr/>
                        <wps:spPr>
                          <a:xfrm>
                            <a:off x="2504520" y="2755800"/>
                            <a:ext cx="128844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Bez sporazuma i dogovora</w:t>
                              </w:r>
                            </w:p>
                          </w:txbxContent>
                        </wps:txbx>
                        <wps:bodyPr lIns="90000" rIns="90000" tIns="45000" bIns="45000">
                          <a:noAutofit/>
                        </wps:bodyPr>
                      </wps:wsp>
                      <wps:wsp>
                        <wps:cNvSpPr/>
                        <wps:spPr>
                          <a:xfrm>
                            <a:off x="3935160" y="2729880"/>
                            <a:ext cx="85968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Ne slažem se.</w:t>
                              </w:r>
                            </w:p>
                          </w:txbxContent>
                        </wps:txbx>
                        <wps:bodyPr lIns="90000" rIns="90000" tIns="45000" bIns="45000">
                          <a:noAutofit/>
                        </wps:bodyPr>
                      </wps:wsp>
                      <wps:wsp>
                        <wps:cNvSpPr/>
                        <wps:spPr>
                          <a:xfrm>
                            <a:off x="5044320" y="2800440"/>
                            <a:ext cx="85968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Uopće se ne slažem.</w:t>
                              </w:r>
                            </w:p>
                          </w:txbxContent>
                        </wps:txbx>
                        <wps:bodyPr lIns="90000" rIns="90000" tIns="45000" bIns="45000">
                          <a:noAutofit/>
                        </wps:bodyPr>
                      </wps:wsp>
                    </wpg:wgp>
                  </a:graphicData>
                </a:graphic>
              </wp:anchor>
            </w:drawing>
          </mc:Choice>
          <mc:Fallback>
            <w:pict>
              <v:group id="shape_0" alt="Obrazac 9" style="position:absolute;margin-left:0pt;margin-top:5.6pt;width:476.15pt;height:248.3pt" coordorigin="0,112" coordsize="9523,4966">
                <v:shape id="shape_0" stroked="f" style="position:absolute;left:430;top:675;width:9092;height:4095" type="shapetype_75">
                  <v:imagedata r:id="rId113" o:detectmouseclick="t"/>
                  <w10:wrap type="none"/>
                  <v:stroke color="#3465a4" joinstyle="round" endcap="flat"/>
                </v:shape>
                <v:rect id="shape_0" stroked="f" style="position:absolute;left:637;top:112;width:8841;height:1260">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OCJENA INTERESA „TALIJANSKOG PANELA ZA KONFERENCIJU O BUDUĆNOSTI EUROPE”</w:t>
                        </w:r>
                      </w:p>
                    </w:txbxContent>
                  </v:textbox>
                  <w10:wrap type="square"/>
                  <v:fill o:detectmouseclick="t" on="false"/>
                  <v:stroke color="#3465a4" joinstyle="round" endcap="flat"/>
                </v:rect>
                <v:rect id="shape_0" stroked="f" style="position:absolute;left:74;top:895;width:3476;height:432">
                  <v:textbo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Trebao bi se češće događati</w:t>
                        </w:r>
                      </w:p>
                    </w:txbxContent>
                  </v:textbox>
                  <w10:wrap type="square"/>
                  <v:fill o:detectmouseclick="t" on="false"/>
                  <v:stroke color="#3465a4" joinstyle="round" endcap="flat"/>
                </v:rect>
                <v:rect id="shape_0" stroked="f" style="position:absolute;left:74;top:1666;width:3476;height:762">
                  <v:textbo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Korisno je da se glas građana čuje u europskim institucijama</w:t>
                        </w:r>
                      </w:p>
                    </w:txbxContent>
                  </v:textbox>
                  <w10:wrap type="square"/>
                  <v:fill o:detectmouseclick="t" on="false"/>
                  <v:stroke color="#3465a4" joinstyle="round" endcap="flat"/>
                </v:rect>
                <v:rect id="shape_0" stroked="f" style="position:absolute;left:74;top:2463;width:3476;height:555">
                  <v:textbo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Može dati pozitivan doprinos poboljšanju budućnosti Europe</w:t>
                        </w:r>
                      </w:p>
                    </w:txbxContent>
                  </v:textbox>
                  <w10:wrap type="square"/>
                  <v:fill o:detectmouseclick="t" on="false"/>
                  <v:stroke color="#3465a4" joinstyle="round" endcap="flat"/>
                </v:rect>
                <v:rect id="shape_0" stroked="f" style="position:absolute;left:0;top:3219;width:3477;height:555">
                  <v:textbo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Približavanje europskih institucija građanima</w:t>
                        </w:r>
                      </w:p>
                    </w:txbxContent>
                  </v:textbox>
                  <w10:wrap type="square"/>
                  <v:fill o:detectmouseclick="t" on="false"/>
                  <v:stroke color="#3465a4" joinstyle="round" endcap="flat"/>
                </v:rect>
                <v:rect id="shape_0" stroked="f" style="position:absolute;left:0;top:3906;width:3477;height:1159">
                  <v:textbo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Gubljenje vremena</w:t>
                        </w:r>
                      </w:p>
                    </w:txbxContent>
                  </v:textbox>
                  <w10:wrap type="square"/>
                  <v:fill o:detectmouseclick="t" on="false"/>
                  <v:stroke color="#3465a4" joinstyle="round" endcap="flat"/>
                </v:rect>
                <v:rect id="shape_0" stroked="f" style="position:absolute;left:831;top:4424;width:1353;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Slažem se</w:t>
                        </w:r>
                      </w:p>
                    </w:txbxContent>
                  </v:textbox>
                  <w10:wrap type="square"/>
                  <v:fill o:detectmouseclick="t" on="false"/>
                  <v:stroke color="#3465a4" joinstyle="round" endcap="flat"/>
                </v:rect>
                <v:rect id="shape_0" stroked="f" style="position:absolute;left:2438;top:4382;width:1225;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Radije bih se složio.</w:t>
                        </w:r>
                      </w:p>
                    </w:txbxContent>
                  </v:textbox>
                  <w10:wrap type="square"/>
                  <v:fill o:detectmouseclick="t" on="false"/>
                  <v:stroke color="#3465a4" joinstyle="round" endcap="flat"/>
                </v:rect>
                <v:rect id="shape_0" stroked="f" style="position:absolute;left:3944;top:4452;width:2028;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Bez sporazuma i dogovora</w:t>
                        </w:r>
                      </w:p>
                    </w:txbxContent>
                  </v:textbox>
                  <w10:wrap type="square"/>
                  <v:fill o:detectmouseclick="t" on="false"/>
                  <v:stroke color="#3465a4" joinstyle="round" endcap="flat"/>
                </v:rect>
                <v:rect id="shape_0" stroked="f" style="position:absolute;left:6197;top:4411;width:1353;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Ne slažem se.</w:t>
                        </w:r>
                      </w:p>
                    </w:txbxContent>
                  </v:textbox>
                  <w10:wrap type="square"/>
                  <v:fill o:detectmouseclick="t" on="false"/>
                  <v:stroke color="#3465a4" joinstyle="round" endcap="flat"/>
                </v:rect>
                <v:rect id="shape_0" stroked="f" style="position:absolute;left:7944;top:4522;width:1353;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Uopće se ne slažem.</w:t>
                        </w:r>
                      </w:p>
                    </w:txbxContent>
                  </v:textbox>
                  <w10:wrap type="square"/>
                  <v:fill o:detectmouseclick="t" on="false"/>
                  <v:stroke color="#3465a4" joinstyle="round" endcap="flat"/>
                </v:rect>
              </v:group>
            </w:pict>
          </mc:Fallback>
        </mc:AlternateContent>
      </w:r>
      <w:r>
        <w:rPr>
          <w:color w:val="000000"/>
        </w:rPr>
        <w:t>Svi sudionici naznačili su da će, ako se takva inicijativa ponovno organizira, ne samo da će biti spremni sudjelovati, već će i svojim prijateljima preporučiti da sudjeluju.</w:t>
      </w:r>
    </w:p>
    <w:p>
      <w:pPr>
        <w:pStyle w:val="Normal"/>
        <w:widowControl w:val="false"/>
        <w:spacing w:lineRule="exact" w:line="393"/>
        <w:ind w:left="0" w:right="0" w:hanging="0"/>
        <w:jc w:val="left"/>
        <w:rPr>
          <w:rFonts w:ascii="Arial" w:hAnsi="Arial"/>
          <w:color w:val="000000"/>
          <w:sz w:val="24"/>
        </w:rPr>
      </w:pPr>
      <w:r>
        <w:rPr>
          <w:color w:val="000000"/>
          <w:sz w:val="24"/>
        </w:rPr>
      </w:r>
      <w:r>
        <w:br w:type="page"/>
      </w:r>
    </w:p>
    <w:p>
      <w:pPr>
        <w:pStyle w:val="Titre1"/>
        <w:numPr>
          <w:ilvl w:val="0"/>
          <w:numId w:val="2"/>
        </w:numPr>
        <w:rPr/>
      </w:pPr>
      <w:bookmarkStart w:id="234" w:name="__RefHeading___Toc298382_1346298689"/>
      <w:bookmarkEnd w:id="234"/>
      <w:r>
        <w:rPr/>
        <w:t>II. E Nacionalni paneli: Litva</w:t>
      </w:r>
    </w:p>
    <w:p>
      <w:pPr>
        <w:pStyle w:val="P68B1DB1Normal95"/>
        <w:widowControl w:val="false"/>
        <w:spacing w:lineRule="exact" w:line="393"/>
        <w:ind w:left="0" w:right="0" w:hanging="0"/>
        <w:jc w:val="left"/>
        <w:rPr>
          <w:rFonts w:ascii="Arial" w:hAnsi="Arial"/>
          <w:color w:val="5A5A5A"/>
          <w:sz w:val="28"/>
        </w:rPr>
      </w:pPr>
      <w:r>
        <w:rPr/>
        <w:t xml:space="preserve">Litavski panel građana i građanki o budućnosti Europe </w:t>
      </w:r>
    </w:p>
    <w:p>
      <w:pPr>
        <w:pStyle w:val="P68B1DB1Normal95"/>
        <w:widowControl w:val="false"/>
        <w:spacing w:lineRule="exact" w:line="460"/>
        <w:ind w:left="4320" w:right="0" w:hanging="0"/>
        <w:jc w:val="left"/>
        <w:rPr>
          <w:rFonts w:ascii="Arial" w:hAnsi="Arial"/>
          <w:color w:val="5A5A5A"/>
          <w:sz w:val="28"/>
        </w:rPr>
      </w:pPr>
      <w:r>
        <w:rPr/>
        <w:t xml:space="preserve">Izvješće </w:t>
      </w:r>
    </w:p>
    <w:p>
      <w:pPr>
        <w:pStyle w:val="P68B1DB1Normal76"/>
        <w:widowControl w:val="false"/>
        <w:spacing w:lineRule="exact" w:line="227" w:before="87" w:after="0"/>
        <w:ind w:left="0" w:right="2" w:hanging="0"/>
        <w:jc w:val="both"/>
        <w:rPr/>
      </w:pPr>
      <w:r>
        <w:rPr/>
        <w:t xml:space="preserve">Ovo izvješće sastoji se od četiri dijela. U prvom dijelu ukratko je prikazan napredak događaja. U drugom se opisuju preporuke sudionika panela građana i građanki za politike EU-a i Litve. U trećem se daje kratka analiza rasprava u skupinama i glavnih ishoda foruma. U četvrtom se uspoređuju rezultati panela građana i građanki s rezultatima anketa litavskih građana o stanju i budućnosti Europe. </w:t>
      </w:r>
    </w:p>
    <w:p>
      <w:pPr>
        <w:pStyle w:val="P68B1DB1Normal96"/>
        <w:widowControl w:val="false"/>
        <w:spacing w:lineRule="exact" w:line="517" w:before="188" w:after="0"/>
        <w:ind w:left="0" w:right="0" w:hanging="0"/>
        <w:jc w:val="left"/>
        <w:rPr/>
      </w:pPr>
      <w:r>
        <w:rPr>
          <w:rFonts w:ascii="Calibri" w:hAnsi="Calibri"/>
        </w:rPr>
        <w:t>1.</w:t>
      </w:r>
      <w:r>
        <w:rPr/>
        <w:t xml:space="preserve"> </w:t>
      </w:r>
      <w:r>
        <w:rPr>
          <w:rFonts w:ascii="Calibri" w:hAnsi="Calibri"/>
        </w:rPr>
        <w:t>Vođenje Nacionalnog panela građana i građanki</w:t>
      </w:r>
    </w:p>
    <w:p>
      <w:pPr>
        <w:pStyle w:val="Normal"/>
        <w:widowControl w:val="false"/>
        <w:spacing w:lineRule="exact" w:line="253" w:before="95" w:after="0"/>
        <w:ind w:left="0" w:right="0" w:hanging="0"/>
        <w:jc w:val="both"/>
        <w:rPr/>
      </w:pPr>
      <w:r>
        <w:rPr>
          <w:color w:val="000000"/>
        </w:rPr>
        <w:t>U skladu sa smjernicama za organizaciju nacionalnih panela građana u okviru Konferencije o budućnosti Europe, institut za istraživanje Kantar TNS LT razvio je u prosincu 2021. na zahtjev Ministarstva vanjskih poslova (MAE) stratificiranu metodologiju nasumičnog odabira reprezentativnog uzorka litavskog stanovništva na temelju kojeg je Kantar TNS odabrao 25 litavskih građana u dobi od 18 do 65 godina koji predstavljaju različite socioekonomske skupine i sve zemljopisne regije Litve</w:t>
      </w:r>
      <w:r>
        <w:rPr>
          <w:rStyle w:val="Ancredenotedebasdepage"/>
          <w:rStyle w:val="Ancredenotedebasdepage"/>
          <w:color w:val="000000"/>
          <w:sz w:val="14"/>
        </w:rPr>
        <w:footnoteReference w:id="16"/>
      </w:r>
      <w:r>
        <w:rPr>
          <w:color w:val="000000"/>
        </w:rPr>
        <w:t xml:space="preserve">. </w:t>
      </w:r>
    </w:p>
    <w:p>
      <w:pPr>
        <w:pStyle w:val="P68B1DB1Normal76"/>
        <w:widowControl w:val="false"/>
        <w:spacing w:lineRule="exact" w:line="253"/>
        <w:ind w:left="0" w:right="1" w:hanging="0"/>
        <w:jc w:val="both"/>
        <w:rPr/>
      </w:pPr>
      <w:r>
        <w:rPr/>
        <w:t xml:space="preserve">Odabrani građani pozvani su 4. siječnja na virtualnu uvodnu sjednicu tijekom koje je predstavljena ideja nacionalnog panela građana i građanki i održana razmjena mišljenja o temama koje su najrelevantnije za budućnost Europe. Na kraju događanja sudionici su dobili pripremni dokument s detaljnim opisom tema o kojima se raspravljalo i izvorima informacija. </w:t>
      </w:r>
    </w:p>
    <w:p>
      <w:pPr>
        <w:pStyle w:val="P68B1DB1Normal76"/>
        <w:widowControl w:val="false"/>
        <w:spacing w:lineRule="exact" w:line="253"/>
        <w:ind w:left="0" w:right="2" w:hanging="0"/>
        <w:jc w:val="both"/>
        <w:rPr/>
      </w:pPr>
      <w:r>
        <w:rPr/>
        <w:t xml:space="preserve">Dana 15. siječnja u Europskom uhidbenom nalogu u organizaciji Istraživačkog centra za istočnu Europu (RESC) i instituta za anketiranje Kantar TNS LT-a održan je panel nacionalnih građana o budućnosti Europe, u kojem je izravno sudjelovalo 25 odabranih građana. </w:t>
      </w:r>
    </w:p>
    <w:p>
      <w:pPr>
        <w:pStyle w:val="P68B1DB1Normal76"/>
        <w:widowControl w:val="false"/>
        <w:spacing w:lineRule="exact" w:line="362"/>
        <w:ind w:left="0" w:right="0" w:hanging="0"/>
        <w:jc w:val="left"/>
        <w:rPr>
          <w:rFonts w:ascii="Arial" w:hAnsi="Arial"/>
          <w:color w:val="000000"/>
          <w:sz w:val="22"/>
        </w:rPr>
      </w:pPr>
      <w:r>
        <w:rPr/>
        <w:t xml:space="preserve"> </w:t>
      </w:r>
    </w:p>
    <w:p>
      <w:pPr>
        <w:pStyle w:val="P68B1DB1Normal76"/>
        <w:widowControl w:val="false"/>
        <w:spacing w:lineRule="exact" w:line="253"/>
        <w:ind w:left="0" w:right="0" w:hanging="0"/>
        <w:jc w:val="both"/>
        <w:rPr/>
      </w:pPr>
      <w:r>
        <w:rPr/>
        <w:t xml:space="preserve">Sudionici su raspravljali o dvama pitanjima povezanima s politikama EU-a: </w:t>
      </w:r>
      <w:r>
        <w:rPr>
          <w:b/>
        </w:rPr>
        <w:t>uloga i nadležnosti koje bi EU mogao imati u vanjskoj politici</w:t>
      </w:r>
      <w:r>
        <w:rPr/>
        <w:t xml:space="preserve">, kao i </w:t>
      </w:r>
      <w:r>
        <w:rPr>
          <w:b/>
        </w:rPr>
        <w:t>gospodarska uloga EU-a</w:t>
      </w:r>
      <w:r>
        <w:rPr/>
        <w:t>.</w:t>
      </w:r>
      <w:r>
        <w:rPr>
          <w:b/>
        </w:rPr>
        <w:t xml:space="preserve"> </w:t>
      </w:r>
      <w:r>
        <w:rPr/>
        <w:t xml:space="preserve">Na ovom događaju, svako od tih pitanja bilo je predmet zasebnog zasjedanja na kojem su stručnjaci za politiku EU-a Linas Kojala (RESC) i Ramūnas Vilpišauskas (profesor na Sveučilištu u Vilniusu) ukratko upoznali građane s aktualnošću i pitanjima teme sjednice. Tijekom rasprave građani su mogli postavljati pitanja i razmjenjivati svoja stajališta. Nakon stručnih prezentacija sudionici su bili podijeljeni u tri manje reprezentativne skupine kako bi svaka razmišljala o drugom pitanju povezanom s temom sjednice. Pitanja vanjske politike o kojima se raspravljalo bile su sljedeća: </w:t>
      </w:r>
    </w:p>
    <w:p>
      <w:pPr>
        <w:pStyle w:val="P68B1DB1Normal76"/>
        <w:widowControl w:val="false"/>
        <w:spacing w:lineRule="exact" w:line="253"/>
        <w:ind w:left="720" w:right="1" w:hanging="0"/>
        <w:jc w:val="left"/>
        <w:rPr/>
      </w:pPr>
      <w:r>
        <w:rPr>
          <w:b/>
        </w:rPr>
        <w:t>1.1.</w:t>
      </w:r>
      <w:r>
        <w:rPr/>
        <w:t xml:space="preserve"> Postoji li potreba za autonomnom obrambenom i vanjskom politikom EU-a?</w:t>
      </w:r>
    </w:p>
    <w:p>
      <w:pPr>
        <w:pStyle w:val="P68B1DB1Normal76"/>
        <w:widowControl w:val="false"/>
        <w:spacing w:lineRule="exact" w:line="253"/>
        <w:ind w:left="720" w:right="1" w:hanging="0"/>
        <w:jc w:val="left"/>
        <w:rPr/>
      </w:pPr>
      <w:r>
        <w:rPr>
          <w:b/>
        </w:rPr>
        <w:t>1.2.</w:t>
      </w:r>
      <w:r>
        <w:rPr/>
        <w:t xml:space="preserve"> Koji bi trebali biti odnosi EU-a sa svojim istočnoeuropskim susjedima, Sjevernom Afrikom i Turskom? </w:t>
      </w:r>
    </w:p>
    <w:p>
      <w:pPr>
        <w:pStyle w:val="P68B1DB1Normal76"/>
        <w:widowControl w:val="false"/>
        <w:spacing w:lineRule="exact" w:line="379"/>
        <w:ind w:left="720" w:right="0" w:hanging="0"/>
        <w:jc w:val="left"/>
        <w:rPr/>
      </w:pPr>
      <w:r>
        <w:rPr>
          <w:b/>
        </w:rPr>
        <w:t>1.3.</w:t>
      </w:r>
      <w:r>
        <w:rPr/>
        <w:t xml:space="preserve"> Što bi trebala biti migracijska politika EU-a? </w:t>
      </w:r>
    </w:p>
    <w:p>
      <w:pPr>
        <w:pStyle w:val="P68B1DB1Normal76"/>
        <w:widowControl w:val="false"/>
        <w:spacing w:lineRule="exact" w:line="254"/>
        <w:ind w:left="0" w:right="0" w:hanging="0"/>
        <w:jc w:val="left"/>
        <w:rPr/>
      </w:pPr>
      <w:r>
        <w:rPr/>
        <w:t xml:space="preserve">Sjednica o gospodarskoj ulozi EU-a potaknula je promišljanje o sljedećim pitanjima: </w:t>
      </w:r>
    </w:p>
    <w:p>
      <w:pPr>
        <w:pStyle w:val="P68B1DB1Normal76"/>
        <w:widowControl w:val="false"/>
        <w:spacing w:lineRule="exact" w:line="254"/>
        <w:ind w:left="720" w:right="0" w:hanging="0"/>
        <w:jc w:val="left"/>
        <w:rPr/>
      </w:pPr>
      <w:r>
        <w:rPr>
          <w:b/>
        </w:rPr>
        <w:t xml:space="preserve">2.1. </w:t>
      </w:r>
      <w:r>
        <w:rPr/>
        <w:t xml:space="preserve">Postoji li potreba za većom preraspodjelom sredstava iz proračuna EU-a iz zajedničkog duga EU-a? </w:t>
      </w:r>
    </w:p>
    <w:p>
      <w:pPr>
        <w:pStyle w:val="P68B1DB1Normal76"/>
        <w:widowControl w:val="false"/>
        <w:spacing w:lineRule="exact" w:line="379"/>
        <w:ind w:left="720" w:right="0" w:hanging="0"/>
        <w:jc w:val="left"/>
        <w:rPr/>
      </w:pPr>
      <w:r>
        <w:rPr>
          <w:b/>
        </w:rPr>
        <w:t xml:space="preserve">2.2. </w:t>
      </w:r>
      <w:r>
        <w:rPr/>
        <w:t>Trebaju li se socijalni standardi regulirati na razini EU-a?</w:t>
      </w:r>
      <w:r>
        <w:rPr>
          <w:b/>
        </w:rPr>
        <w:t xml:space="preserve"> </w:t>
      </w:r>
    </w:p>
    <w:p>
      <w:pPr>
        <w:pStyle w:val="P68B1DB1Normal76"/>
        <w:widowControl w:val="false"/>
        <w:spacing w:lineRule="exact" w:line="379"/>
        <w:ind w:left="720" w:right="0" w:hanging="0"/>
        <w:jc w:val="left"/>
        <w:rPr/>
      </w:pPr>
      <w:r>
        <w:rPr>
          <w:b/>
        </w:rPr>
        <w:t>2.3.</w:t>
      </w:r>
      <w:r>
        <w:rPr/>
        <w:t xml:space="preserve"> Kako ojačati gospodarstvo EU-a? </w:t>
      </w:r>
    </w:p>
    <w:p>
      <w:pPr>
        <w:pStyle w:val="P68B1DB1Normal76"/>
        <w:widowControl w:val="false"/>
        <w:spacing w:lineRule="auto" w:line="240"/>
        <w:ind w:left="0" w:right="0" w:hanging="0"/>
        <w:jc w:val="both"/>
        <w:rPr/>
      </w:pPr>
      <w:r>
        <w:rPr/>
        <w:t xml:space="preserve">Na kraju sjednice svaka je skupina morala formulirati glavne zaključke rasprave, dati načelne izjave ili konkretne prijedloge o političkim pitanjima EU-a. Tijekom rasprave s cijelim panelom predstavnik svake skupine predstavio je te nalaze ostalim sudionicima. Oni koji su bili u drugim skupinama mogli su postavljati pitanja i dovršiti prijedloge svojim idejama. Nakon prezentacija i rasprava građani su glasovali po dva među tim zaključcima, uz glasovanje za najvažniji prijedlog ili izjavu o ulozi Litve u jačanju EU-a i uspjehu EU-a čak i diljem Europe; drugi glas za izjavu ili prijedlog čini se najvažnijim u osobnom svojstvu, u interesu stanovnika EU-a. Nakon tog glasovanja održana je rasprava u panelu, a raspravljalo se o glavnim idejama koje su proizašle iz rasprava. </w:t>
      </w:r>
    </w:p>
    <w:p>
      <w:pPr>
        <w:pStyle w:val="P68B1DB1Normal76"/>
        <w:widowControl w:val="false"/>
        <w:spacing w:lineRule="auto" w:line="240"/>
        <w:ind w:left="0" w:right="0" w:hanging="0"/>
        <w:jc w:val="both"/>
        <w:rPr/>
      </w:pPr>
      <w:r>
        <w:rPr/>
        <w:t xml:space="preserve">U tjednu nakon događanja stručnjaci su ispitali sadržaj rasprava i otkrili suštinu ideja koje su predložili građani. Dana 25. siječnja održana je virtualna rekapitulacijska sjednica te su s građanima podijeljene preporuke iz sadržaja njihovih rasprava. Građani su imali priliku reći jesu li odobrili preporuke, dopuniti ih o sadržaju i ocijeniti ih. Svi sudionici imali su tu priliku još tjedan dana nakon rekapitulativne sjednice, poslavši svoja mišljenja i komentare u pisanom obliku organizatorima panela. </w:t>
      </w:r>
    </w:p>
    <w:p>
      <w:pPr>
        <w:pStyle w:val="P68B1DB1Normal97"/>
        <w:widowControl w:val="false"/>
        <w:spacing w:lineRule="auto" w:line="240"/>
        <w:ind w:left="0" w:right="0" w:hanging="0"/>
        <w:jc w:val="left"/>
        <w:rPr>
          <w:rFonts w:ascii="Garamond" w:hAnsi="Garamond"/>
          <w:color w:val="000000"/>
          <w:sz w:val="22"/>
        </w:rPr>
      </w:pPr>
      <w:r>
        <w:rPr/>
        <w:t xml:space="preserve"> </w:t>
      </w:r>
    </w:p>
    <w:p>
      <w:pPr>
        <w:pStyle w:val="P68B1DB1Normal98"/>
        <w:widowControl w:val="false"/>
        <w:spacing w:lineRule="auto" w:line="240" w:before="82" w:after="0"/>
        <w:ind w:left="0" w:right="0" w:hanging="0"/>
        <w:jc w:val="left"/>
        <w:rPr/>
      </w:pPr>
      <w:r>
        <w:rPr/>
        <w:t xml:space="preserve">2. </w:t>
      </w:r>
      <w:r>
        <w:rPr>
          <w:i/>
        </w:rPr>
        <w:t>Rezultati Nacionalnog panela građana i građanki</w:t>
      </w:r>
      <w:r>
        <w:rPr/>
        <w:t xml:space="preserve"> </w:t>
      </w:r>
    </w:p>
    <w:p>
      <w:pPr>
        <w:pStyle w:val="P68B1DB1Normal76"/>
        <w:widowControl w:val="false"/>
        <w:spacing w:lineRule="auto" w:line="240" w:before="70" w:after="0"/>
        <w:ind w:left="0" w:right="1" w:hanging="0"/>
        <w:jc w:val="both"/>
        <w:rPr/>
      </w:pPr>
      <w:r>
        <w:rPr/>
        <w:t xml:space="preserve">U ovom dijelu izvješća prikazani su rezultati panela građana i građanki, s preporukama sudionika u radnim skupinama i njihovim stajalištima o ulozi EU-a u vanjskoj politici i gospodarstvu.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0" w:hanging="0"/>
        <w:jc w:val="left"/>
        <w:rPr/>
      </w:pPr>
      <w:r>
        <w:rPr>
          <w:b/>
        </w:rPr>
        <w:t>Prva sjednica:</w:t>
      </w:r>
      <w:r>
        <w:rPr/>
        <w:t xml:space="preserve"> </w:t>
      </w:r>
      <w:r>
        <w:rPr>
          <w:b/>
        </w:rPr>
        <w:t>uloga i nadležnosti EU-a u vanjskoj politici</w:t>
      </w:r>
    </w:p>
    <w:p>
      <w:pPr>
        <w:pStyle w:val="P68B1DB1Normal99"/>
        <w:widowControl w:val="false"/>
        <w:spacing w:lineRule="auto" w:line="240" w:before="39" w:after="0"/>
        <w:ind w:left="468" w:right="0" w:hanging="0"/>
        <w:jc w:val="left"/>
        <w:rPr/>
      </w:pPr>
      <w:r>
        <w:rPr/>
        <w:t xml:space="preserve">1. Pozivamo EU da razvije učinkovitiju politiku prema Kini. Litvu je potrebno odlučnije podržati, ali bi također trebala bolje uskladiti svoje stajalište s položajem partnera EU-a. Kako bi se osiguralo da interesi mogu biti uravnoteženiji unutar EU-a i da postoji samo jedna politika prema Kini, kao i o drugim vanjskopolitičkim pitanjima, preporučujemo razmatranje mogućnosti uspostave ministra vanjskih poslova EU-a. </w:t>
      </w:r>
    </w:p>
    <w:p>
      <w:pPr>
        <w:pStyle w:val="P68B1DB1Normal99"/>
        <w:widowControl w:val="false"/>
        <w:spacing w:lineRule="auto" w:line="240" w:before="78" w:after="0"/>
        <w:ind w:left="468" w:right="341" w:hanging="0"/>
        <w:jc w:val="left"/>
        <w:rPr/>
      </w:pPr>
      <w:r>
        <w:rPr/>
        <w:t xml:space="preserve">2. Predlažemo da se na dnevni red uvrsti pitanje kvota za migrante na razini EU-a. </w:t>
      </w:r>
    </w:p>
    <w:p>
      <w:pPr>
        <w:pStyle w:val="P68B1DB1Normal99"/>
        <w:widowControl w:val="false"/>
        <w:spacing w:lineRule="auto" w:line="240" w:before="78" w:after="0"/>
        <w:ind w:left="468" w:right="0" w:hanging="0"/>
        <w:jc w:val="left"/>
        <w:rPr/>
      </w:pPr>
      <w:r>
        <w:rPr/>
        <w:t>3. Preporučujemo osnivanje posebnog odbora na razini EU-a za rješavanje pitanja migracija, čime bi se osigurao brži odgovor na migracijske krize i pravo država članica da objasne i brane svoje nacionalne interese te razviju i provedu zajedničke smjernice za upravljanje migracijama.</w:t>
      </w:r>
    </w:p>
    <w:p>
      <w:pPr>
        <w:pStyle w:val="P68B1DB1Normal99"/>
        <w:widowControl w:val="false"/>
        <w:spacing w:lineRule="auto" w:line="240" w:before="78" w:after="0"/>
        <w:ind w:left="468" w:right="0" w:hanging="0"/>
        <w:jc w:val="left"/>
        <w:rPr/>
      </w:pPr>
      <w:r>
        <w:rPr/>
        <w:t xml:space="preserve">4. Preporučujemo jačanje gospodarskih i humanitarnih veza sa zemljama sjeverne Afrike, bez gubitka iz vida političke stvarnosti, posebno s ciljem smanjenja utjecaja Kine, Rusije i drugih država u regiji. </w:t>
      </w:r>
    </w:p>
    <w:p>
      <w:pPr>
        <w:pStyle w:val="P68B1DB1Normal99"/>
        <w:widowControl w:val="false"/>
        <w:spacing w:lineRule="auto" w:line="240" w:before="78" w:after="0"/>
        <w:ind w:left="468" w:right="466" w:hanging="0"/>
        <w:jc w:val="left"/>
        <w:rPr/>
      </w:pPr>
      <w:r>
        <w:rPr/>
        <w:t xml:space="preserve">5. Preporučujemo jačanje veza s istočnom Europom i poticanje gospodarskih mjera na osobnoj razini. </w:t>
      </w:r>
    </w:p>
    <w:p>
      <w:pPr>
        <w:pStyle w:val="P68B1DB1Normal99"/>
        <w:widowControl w:val="false"/>
        <w:spacing w:lineRule="auto" w:line="240" w:before="78" w:after="0"/>
        <w:ind w:left="468" w:right="286" w:hanging="0"/>
        <w:jc w:val="left"/>
        <w:rPr/>
      </w:pPr>
      <w:r>
        <w:rPr/>
        <w:t xml:space="preserve">6. Ustrajemo u tome da sankcije koje je EU nametnuo stranim akterima budu strože, usmjerenije i da se odnose na važne osobe sankcionirane države (npr. političke vođe). </w:t>
      </w:r>
    </w:p>
    <w:p>
      <w:pPr>
        <w:pStyle w:val="P68B1DB1Normal99"/>
        <w:widowControl w:val="false"/>
        <w:spacing w:lineRule="auto" w:line="240" w:before="78" w:after="0"/>
        <w:ind w:left="466" w:right="295" w:hanging="0"/>
        <w:jc w:val="left"/>
        <w:rPr/>
      </w:pPr>
      <w:r>
        <w:rPr/>
        <w:t>7. Inzistiramo na tome da se zajednička vanjska i sigurnosna politika EU-a temelji na temeljnom načelu solidarnosti između različitih država članica EU-a i različitih europskih regija i društava.</w:t>
      </w:r>
    </w:p>
    <w:p>
      <w:pPr>
        <w:pStyle w:val="P68B1DB1Normal99"/>
        <w:widowControl w:val="false"/>
        <w:spacing w:lineRule="auto" w:line="240" w:before="78" w:after="0"/>
        <w:ind w:left="466" w:right="295" w:hanging="0"/>
        <w:jc w:val="left"/>
        <w:rPr/>
      </w:pPr>
      <w:r>
        <w:rPr/>
        <w:t xml:space="preserve">8. Preporučujemo da EU preispita dosadašnju politiku otvorenosti u pogledu migracija, koja uzrokuje sigurnosne probleme, povećanje kriminala i uspostavu komunitarizma u društvu. </w:t>
      </w:r>
    </w:p>
    <w:p>
      <w:pPr>
        <w:pStyle w:val="P68B1DB1Normal99"/>
        <w:widowControl w:val="false"/>
        <w:spacing w:lineRule="auto" w:line="240" w:before="78" w:after="0"/>
        <w:ind w:left="468" w:right="0" w:hanging="0"/>
        <w:jc w:val="left"/>
        <w:rPr/>
      </w:pPr>
      <w:r>
        <w:rPr/>
        <w:t xml:space="preserve">9. Pozivamo Litvu da aktivnije govori o pitanjima migracijske politike i da pokrene rasprave o pitanjima povezanima s migracijama. </w:t>
      </w:r>
    </w:p>
    <w:p>
      <w:pPr>
        <w:pStyle w:val="P68B1DB1Normal99"/>
        <w:widowControl w:val="false"/>
        <w:spacing w:lineRule="auto" w:line="240" w:before="78" w:after="0"/>
        <w:ind w:left="468" w:right="0" w:hanging="0"/>
        <w:jc w:val="left"/>
        <w:rPr>
          <w:rFonts w:ascii="Arial" w:hAnsi="Arial"/>
          <w:color w:val="000000"/>
          <w:sz w:val="20"/>
        </w:rPr>
      </w:pPr>
      <w:r>
        <w:rPr/>
        <w:t xml:space="preserve">10. Preporučujemo da EU provodi aktivnu i strogu politiku prema državama koje koriste migracijske tokove kao oružje u hibridnim napadima: s jedne strane primjenom strožih sankcija, a s druge strane dijalogom s njima u cilju smirivanja napetosti. </w:t>
      </w:r>
    </w:p>
    <w:p>
      <w:pPr>
        <w:pStyle w:val="P68B1DB1Normal100"/>
        <w:widowControl w:val="false"/>
        <w:spacing w:lineRule="auto" w:line="240" w:before="111" w:after="0"/>
        <w:ind w:left="0" w:right="0" w:hanging="0"/>
        <w:jc w:val="left"/>
        <w:rPr>
          <w:rFonts w:ascii="Arial" w:hAnsi="Arial"/>
          <w:b/>
          <w:b/>
          <w:i/>
          <w:i/>
          <w:color w:val="000000"/>
          <w:sz w:val="22"/>
        </w:rPr>
      </w:pPr>
      <w:r>
        <w:rPr/>
        <w:t xml:space="preserve"> </w:t>
      </w:r>
    </w:p>
    <w:p>
      <w:pPr>
        <w:pStyle w:val="P68B1DB1Normal100"/>
        <w:widowControl w:val="false"/>
        <w:spacing w:lineRule="auto" w:line="240"/>
        <w:ind w:left="0" w:right="0" w:hanging="0"/>
        <w:jc w:val="left"/>
        <w:rPr>
          <w:rFonts w:ascii="Arial" w:hAnsi="Arial"/>
          <w:b/>
          <w:b/>
          <w:i/>
          <w:i/>
          <w:color w:val="000000"/>
          <w:sz w:val="22"/>
        </w:rPr>
      </w:pPr>
      <w:r>
        <w:rPr/>
        <w:t xml:space="preserve">Druga sjednica: gospodarska uloga EU-a </w:t>
      </w:r>
    </w:p>
    <w:p>
      <w:pPr>
        <w:pStyle w:val="P68B1DB1Normal99"/>
        <w:widowControl w:val="false"/>
        <w:spacing w:lineRule="auto" w:line="240"/>
        <w:ind w:left="828" w:right="142" w:hanging="359"/>
        <w:jc w:val="both"/>
        <w:rPr/>
      </w:pPr>
      <w:r>
        <w:rPr/>
        <w:t xml:space="preserve">1. Preporučujemo da EU na razne načine ojača sigurnost opskrbe osnovnom robom: davanje prednosti unutarnjoj trgovini EU-a, promicanje proizvodnje naprednih tehnologija i daljnja diversifikacija izvora uvoza. Također preporučujemo istraživanje novih izvoznih tržišta. </w:t>
      </w:r>
    </w:p>
    <w:p>
      <w:pPr>
        <w:pStyle w:val="P68B1DB1Normal99"/>
        <w:widowControl w:val="false"/>
        <w:spacing w:lineRule="auto" w:line="240" w:before="83" w:after="0"/>
        <w:ind w:left="828" w:right="143" w:hanging="359"/>
        <w:jc w:val="both"/>
        <w:rPr/>
      </w:pPr>
      <w:r>
        <w:rPr/>
        <w:t xml:space="preserve">2. Preporučujemo preispitivanje pregovaračkih praksi ugovora o prirodnom plinu s obzirom na kratkoročne i dugoročne ugovore. Predlažemo daljnju diversifikaciju izvora opskrbe energijom. </w:t>
      </w:r>
    </w:p>
    <w:p>
      <w:pPr>
        <w:pStyle w:val="P68B1DB1Normal99"/>
        <w:widowControl w:val="false"/>
        <w:spacing w:lineRule="auto" w:line="240" w:before="83" w:after="0"/>
        <w:ind w:left="828" w:right="143" w:hanging="359"/>
        <w:jc w:val="both"/>
        <w:rPr/>
      </w:pPr>
      <w:r>
        <w:rPr/>
        <w:t xml:space="preserve">3. Preporučujemo da se mjere zelenog plana i njihova provedba procijene uzimajući u obzir moguće negativne socioekonomske učinke. Kako bi se ostvarili ciljevi zelenog plana, Sud preporučuje da se uz korištenje obnovljivih izvora energije koriste i nuklearna energija i prirodni plin. </w:t>
      </w:r>
    </w:p>
    <w:p>
      <w:pPr>
        <w:pStyle w:val="P68B1DB1Normal99"/>
        <w:widowControl w:val="false"/>
        <w:spacing w:lineRule="auto" w:line="240" w:before="83" w:after="0"/>
        <w:ind w:left="828" w:right="143" w:hanging="359"/>
        <w:jc w:val="both"/>
        <w:rPr/>
      </w:pPr>
      <w:r>
        <w:rPr/>
        <w:t xml:space="preserve">4. Naglašavamo da je posebno važno da sve države članice poštuju načelo nadređenosti prava EU-a. Na primjer, tražimo da Litva ima jasno načelno stajalište o tom pitanju. </w:t>
      </w:r>
    </w:p>
    <w:p>
      <w:pPr>
        <w:pStyle w:val="P68B1DB1Normal99"/>
        <w:widowControl w:val="false"/>
        <w:spacing w:lineRule="auto" w:line="240" w:before="83" w:after="0"/>
        <w:ind w:left="828" w:right="142" w:hanging="359"/>
        <w:jc w:val="both"/>
        <w:rPr/>
      </w:pPr>
      <w:r>
        <w:rPr/>
        <w:t>5. Preporučujemo Litvi da aktivnije koristi dobre prakse iz zemalja EU-a s ciljem viših socijalnih standarda, gospodarskog širenja te uravnoteženog i održivog razvoja.</w:t>
      </w:r>
    </w:p>
    <w:p>
      <w:pPr>
        <w:pStyle w:val="P68B1DB1Normal99"/>
        <w:widowControl w:val="false"/>
        <w:spacing w:lineRule="auto" w:line="240" w:before="83" w:after="0"/>
        <w:ind w:left="828" w:right="142" w:hanging="359"/>
        <w:jc w:val="both"/>
        <w:rPr/>
      </w:pPr>
      <w:r>
        <w:rPr/>
        <w:t xml:space="preserve">6. Preporučujemo da se veća pozornost posveti jačanju kibersigurnosti, kao i zaštiti podataka i infrastrukture. </w:t>
      </w:r>
    </w:p>
    <w:p>
      <w:pPr>
        <w:pStyle w:val="P68B1DB1Normal99"/>
        <w:widowControl w:val="false"/>
        <w:spacing w:lineRule="auto" w:line="240" w:before="83" w:after="0"/>
        <w:ind w:left="821" w:right="143" w:hanging="354"/>
        <w:jc w:val="both"/>
        <w:rPr/>
      </w:pPr>
      <w:r>
        <w:rPr/>
        <w:t xml:space="preserve">7. Preporučujemo da EU i države članice daju prednost razvoju osnovnih gospodarskih znanja među građanima, obrazovanju i širenju informacija. </w:t>
      </w:r>
    </w:p>
    <w:p>
      <w:pPr>
        <w:pStyle w:val="P68B1DB1Normal99"/>
        <w:widowControl w:val="false"/>
        <w:spacing w:lineRule="auto" w:line="240" w:before="45" w:after="0"/>
        <w:ind w:left="821" w:right="143" w:hanging="354"/>
        <w:jc w:val="both"/>
        <w:rPr/>
      </w:pPr>
      <w:r>
        <w:rPr/>
        <w:t xml:space="preserve">8. Preporučujemo da se u nove trgovinske sporazume EU-a uključe ambiciozni socijalni, radni i zdravstveni standardi. Preporučujemo da se na razini EU-a uspostave smjernice o tome što učiniti, a nemaju pravo raditi na platformama društvenih medija koje upravljaju osobnim podacima potrošača i informacijama o njima. </w:t>
      </w:r>
    </w:p>
    <w:p>
      <w:pPr>
        <w:pStyle w:val="P68B1DB1Normal99"/>
        <w:widowControl w:val="false"/>
        <w:spacing w:lineRule="auto" w:line="240" w:before="42" w:after="0"/>
        <w:ind w:left="821" w:right="143" w:hanging="354"/>
        <w:jc w:val="both"/>
        <w:rPr/>
      </w:pPr>
      <w:r>
        <w:rPr/>
        <w:t>9. Preporučujemo daljnje razmatranje mogućnosti zajedničkog zaduživanja na razini EU-a kako bi se postigli najbolji mogući uvjeti zaduživanja. Također preporučujemo razvoj financijski zdrave i odgovorne politike kako bi se smanjila potreba za zaduženošću država članica.</w:t>
      </w:r>
    </w:p>
    <w:p>
      <w:pPr>
        <w:pStyle w:val="P68B1DB1Normal99"/>
        <w:widowControl w:val="false"/>
        <w:spacing w:lineRule="auto" w:line="240" w:before="42" w:after="0"/>
        <w:ind w:left="821" w:right="143" w:hanging="354"/>
        <w:jc w:val="both"/>
        <w:rPr/>
      </w:pPr>
      <w:r>
        <w:rPr/>
        <w:t>10. Preporučujemo jačanje praćenja apsorpcije i korištenja sredstava EU-a, pomažući lokalnim vlastima da uspostave stvarnu praksu prilagodbe korištenja sredstava. S obzirom na to da se objektivna situacija korisnika fondova EU-a može promijeniti, od posebne je važnosti veza između zahtjeva u pogledu transparentnosti i fleksibilnosti.</w:t>
      </w:r>
    </w:p>
    <w:p>
      <w:pPr>
        <w:pStyle w:val="P68B1DB1Normal99"/>
        <w:widowControl w:val="false"/>
        <w:spacing w:lineRule="auto" w:line="240" w:before="42" w:after="0"/>
        <w:ind w:left="821" w:right="143" w:hanging="354"/>
        <w:jc w:val="both"/>
        <w:rPr/>
      </w:pPr>
      <w:r>
        <w:rPr/>
        <w:t xml:space="preserve">11. Preporučujemo da Litva nastavi aktivno promicati gospodarski razvoj i ulaganja u regijama zemlje. </w:t>
      </w:r>
    </w:p>
    <w:p>
      <w:pPr>
        <w:pStyle w:val="P68B1DB1Normal35"/>
        <w:widowControl w:val="false"/>
        <w:spacing w:lineRule="auto" w:line="240" w:before="62" w:after="0"/>
        <w:ind w:left="0" w:right="0" w:hanging="0"/>
        <w:jc w:val="left"/>
        <w:rPr>
          <w:rFonts w:ascii="Arial" w:hAnsi="Arial"/>
          <w:b/>
          <w:b/>
          <w:color w:val="000000"/>
          <w:sz w:val="22"/>
        </w:rPr>
      </w:pPr>
      <w:r>
        <w:rPr/>
        <w:t xml:space="preserve"> </w:t>
      </w:r>
    </w:p>
    <w:p>
      <w:pPr>
        <w:pStyle w:val="P68B1DB1Normal96"/>
        <w:widowControl w:val="false"/>
        <w:spacing w:lineRule="auto" w:line="240" w:before="16" w:after="0"/>
        <w:ind w:left="720" w:right="0" w:hanging="0"/>
        <w:jc w:val="left"/>
        <w:rPr/>
      </w:pPr>
      <w:r>
        <w:rPr/>
        <w:t xml:space="preserve">3. Rasprave u okviru Nacionalnog panela građana i građanke i analiza rezultata </w:t>
      </w:r>
    </w:p>
    <w:p>
      <w:pPr>
        <w:pStyle w:val="P68B1DB1Normal76"/>
        <w:widowControl w:val="false"/>
        <w:spacing w:lineRule="auto" w:line="240" w:before="46" w:after="0"/>
        <w:ind w:left="0" w:right="29" w:hanging="0"/>
        <w:jc w:val="both"/>
        <w:rPr/>
      </w:pPr>
      <w:r>
        <w:rPr/>
        <w:t xml:space="preserve">Sudionici Nacionalnog panela građana raspravljali su o najvažnijim aktualnim pitanjima za Litvu (u velikoj mjeri o kojima se raspravljalo na nacionalnoj razini na političkoj i medijskoj sceni) i o tome kako ih riješiti. Opće glasovanje o glavnim zaključcima povjerenstva pokazalo je da je gotovo 45 % svih glasova danih na dvjema sjednicama bilo posvećeno prijedlozima o dvjema temama: odnosi s Kinom i kontrola migracijskih tokova (vidjeti tablicu u nastavku). Tema energetske politike također je privukla veliku pozornost. Bio je predmet samo jednog prijedloga, ali je dobio glasove gotovo 10 % sudionika. Rezultati tih glasovanja upućuju na to da bi percepcija građana o budućnosti Europe mogla biti odlučujuća za današnja politička pitanja i vijesti (na nacionalnoj razini). </w:t>
      </w:r>
    </w:p>
    <w:p>
      <w:pPr>
        <w:pStyle w:val="P68B1DB1Normal76"/>
        <w:widowControl w:val="false"/>
        <w:spacing w:lineRule="auto" w:line="240"/>
        <w:ind w:left="0" w:right="0" w:hanging="0"/>
        <w:jc w:val="left"/>
        <w:rPr>
          <w:rFonts w:ascii="Arial" w:hAnsi="Arial"/>
          <w:color w:val="000000"/>
          <w:sz w:val="22"/>
        </w:rPr>
      </w:pPr>
      <w:r>
        <w:rPr/>
        <w:t xml:space="preserve">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175"/>
        <w:gridCol w:w="7779"/>
        <w:gridCol w:w="374"/>
        <w:gridCol w:w="1310"/>
      </w:tblGrid>
      <w:tr>
        <w:trPr>
          <w:trHeight w:val="236"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1"/>
              <w:spacing w:before="57" w:after="57"/>
              <w:jc w:val="left"/>
              <w:rPr>
                <w:rFonts w:ascii="Garamond" w:hAnsi="Garamond"/>
                <w:b/>
                <w:b/>
                <w:color w:val="000000"/>
              </w:rPr>
            </w:pPr>
            <w:r>
              <w:rPr/>
              <w:t>Preporuka</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1"/>
              <w:spacing w:before="57" w:after="57"/>
              <w:jc w:val="left"/>
              <w:rPr>
                <w:rFonts w:ascii="Garamond" w:hAnsi="Garamond"/>
                <w:b/>
                <w:b/>
                <w:color w:val="000000"/>
              </w:rPr>
            </w:pPr>
            <w:r>
              <w:rPr/>
              <w:t>Glasanje</w:t>
            </w:r>
          </w:p>
        </w:tc>
      </w:tr>
      <w:tr>
        <w:trPr>
          <w:trHeight w:val="251" w:hRule="atLeast"/>
        </w:trPr>
        <w:tc>
          <w:tcPr>
            <w:tcW w:w="175" w:type="dxa"/>
            <w:tcBorders>
              <w:top w:val="single" w:sz="2" w:space="0" w:color="000001"/>
              <w:left w:val="single" w:sz="2" w:space="0" w:color="000001"/>
              <w:bottom w:val="single" w:sz="2" w:space="0" w:color="000001"/>
              <w:insideH w:val="single" w:sz="2" w:space="0" w:color="000001"/>
            </w:tcBorders>
            <w:shd w:fill="C0C0C0" w:val="clear"/>
            <w:tcMar>
              <w:right w:w="0" w:type="dxa"/>
            </w:tcMar>
            <w:vAlign w:val="center"/>
          </w:tcPr>
          <w:p>
            <w:pPr>
              <w:pStyle w:val="Contenudetableau"/>
              <w:spacing w:before="57" w:after="57"/>
              <w:rPr>
                <w:color w:val="000000"/>
              </w:rPr>
            </w:pPr>
            <w:r>
              <w:rPr>
                <w:color w:val="000000"/>
              </w:rPr>
            </w:r>
          </w:p>
        </w:tc>
        <w:tc>
          <w:tcPr>
            <w:tcW w:w="8153" w:type="dxa"/>
            <w:gridSpan w:val="2"/>
            <w:tcBorders>
              <w:top w:val="single" w:sz="2" w:space="0" w:color="000001"/>
              <w:bottom w:val="single" w:sz="2" w:space="0" w:color="000001"/>
              <w:insideH w:val="single" w:sz="2" w:space="0" w:color="000001"/>
            </w:tcBorders>
            <w:shd w:fill="C0C0C0" w:val="clear"/>
            <w:tcMar>
              <w:left w:w="0" w:type="dxa"/>
              <w:right w:w="0" w:type="dxa"/>
            </w:tcMar>
            <w:vAlign w:val="center"/>
          </w:tcPr>
          <w:p>
            <w:pPr>
              <w:pStyle w:val="P68B1DB1Contenudetableau101"/>
              <w:spacing w:before="57" w:after="57"/>
              <w:jc w:val="left"/>
              <w:rPr>
                <w:rFonts w:ascii="Garamond" w:hAnsi="Garamond"/>
                <w:b/>
                <w:b/>
                <w:color w:val="000000"/>
              </w:rPr>
            </w:pPr>
            <w:r>
              <w:rPr/>
              <w:t>Prva sjednica: uloga i nadležnosti EU-a u vanjskoj politici</w:t>
            </w:r>
          </w:p>
        </w:tc>
        <w:tc>
          <w:tcPr>
            <w:tcW w:w="1310" w:type="dxa"/>
            <w:tcBorders>
              <w:top w:val="single" w:sz="2" w:space="0" w:color="000001"/>
              <w:bottom w:val="single" w:sz="2" w:space="0" w:color="000001"/>
              <w:right w:val="single" w:sz="2" w:space="0" w:color="000001"/>
              <w:insideH w:val="single" w:sz="2" w:space="0" w:color="000001"/>
              <w:insideV w:val="single" w:sz="2" w:space="0" w:color="000001"/>
            </w:tcBorders>
            <w:shd w:fill="C0C0C0" w:val="clear"/>
            <w:tcMar>
              <w:left w:w="0" w:type="dxa"/>
            </w:tcMar>
            <w:vAlign w:val="center"/>
          </w:tcPr>
          <w:p>
            <w:pPr>
              <w:pStyle w:val="Contenudetableau"/>
              <w:spacing w:before="57" w:after="57"/>
              <w:rPr>
                <w:color w:val="000000"/>
              </w:rPr>
            </w:pPr>
            <w:r>
              <w:rPr>
                <w:color w:val="000000"/>
              </w:rPr>
            </w:r>
          </w:p>
        </w:tc>
      </w:tr>
      <w:tr>
        <w:trPr>
          <w:trHeight w:val="154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1. Pozivamo EU da razvije učinkovitiju politiku prema Kini. Trenutačna potpora Litvi nije dovoljna, ali Litva nije u dovoljnoj mjeri uskladila svoje stajalište sa stajalištem partnera EU-a. Kako bi se osiguralo da interesi mogu biti uravnoteženiji unutar EU-a i da postoji samo jedna politika prema Kini, kao i o drugim vanjskopolitičkim pitanjima, preporučujemo razmatranje mogućnosti uspostave ministra vanjskih poslova EU-a.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11 (22,9 %) važno za cijelu Europu: 8; u osobnom svojstvu: 3</w:t>
            </w:r>
          </w:p>
        </w:tc>
      </w:tr>
      <w:tr>
        <w:trPr>
          <w:trHeight w:val="79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2. Predlažemo da se na dnevni red uvrsti pitanje kvota za migrante na razini EU-a.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9 (18,8 %) važno za cijelu Europu: 9 </w:t>
            </w:r>
          </w:p>
        </w:tc>
      </w:tr>
      <w:tr>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right w:w="0" w:type="dxa"/>
            </w:tcMar>
            <w:vAlign w:val="center"/>
          </w:tcPr>
          <w:p>
            <w:pPr>
              <w:pStyle w:val="P68B1DB1Contenudetableau102"/>
              <w:spacing w:before="57" w:after="57"/>
              <w:jc w:val="left"/>
              <w:rPr>
                <w:rFonts w:ascii="Garamond" w:hAnsi="Garamond"/>
                <w:color w:val="000000"/>
              </w:rPr>
            </w:pPr>
            <w:r>
              <w:rPr/>
              <w:t xml:space="preserve">3. Preporučujemo osnivanje posebnog odbora na razini EU-a za rješavanje pitanja migracija, čime bi se osigurao brži odgovor na migracijske krize i pravo država članica da objasne i brane svoje nacionalne interese te da razviju i provedu zajedničke smjernice za upravljanje migracijama.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7 (14,6 %) važno za cijelu Europu: 3; u osobnom svojstvu: 4 </w:t>
            </w:r>
          </w:p>
        </w:tc>
      </w:tr>
      <w:tr>
        <w:trPr>
          <w:trHeight w:val="806"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4. Preporučujemo jačanje gospodarskih i humanitarnih veza sa zemljama sjeverne Afrike, bez gubitka iz vida političke stvarnosti, posebno s ciljem smanjenja utjecaja Kine, Rusije i drugih država u regiji.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6 (12,5 %) važno u osobnom svojstvu: 6</w:t>
            </w:r>
          </w:p>
        </w:tc>
      </w:tr>
      <w:tr>
        <w:trPr>
          <w:trHeight w:val="79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5. Preporučujemo jačanje veza s istočnom Europom i primjenu gospodarskih mjera na razini ljudi.</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5 (10,4 %) važno osobno: 5</w:t>
            </w:r>
          </w:p>
        </w:tc>
      </w:tr>
      <w:tr>
        <w:trPr>
          <w:trHeight w:val="251" w:hRule="atLeast"/>
        </w:trPr>
        <w:tc>
          <w:tcPr>
            <w:tcW w:w="175" w:type="dxa"/>
            <w:tcBorders>
              <w:top w:val="single" w:sz="2" w:space="0" w:color="000001"/>
              <w:left w:val="single" w:sz="2" w:space="0" w:color="000001"/>
              <w:bottom w:val="single" w:sz="2" w:space="0" w:color="000001"/>
              <w:insideH w:val="single" w:sz="2" w:space="0" w:color="000001"/>
            </w:tcBorders>
            <w:shd w:fill="C0C0C0" w:val="clear"/>
            <w:tcMar>
              <w:right w:w="0" w:type="dxa"/>
            </w:tcMar>
            <w:vAlign w:val="center"/>
          </w:tcPr>
          <w:p>
            <w:pPr>
              <w:pStyle w:val="Contenudetableau"/>
              <w:spacing w:before="57" w:after="57"/>
              <w:rPr>
                <w:color w:val="000000"/>
              </w:rPr>
            </w:pPr>
            <w:r>
              <w:rPr>
                <w:color w:val="000000"/>
              </w:rPr>
            </w:r>
          </w:p>
        </w:tc>
        <w:tc>
          <w:tcPr>
            <w:tcW w:w="8153" w:type="dxa"/>
            <w:gridSpan w:val="2"/>
            <w:tcBorders>
              <w:top w:val="single" w:sz="2" w:space="0" w:color="000001"/>
              <w:bottom w:val="single" w:sz="2" w:space="0" w:color="000001"/>
              <w:insideH w:val="single" w:sz="2" w:space="0" w:color="000001"/>
            </w:tcBorders>
            <w:shd w:fill="C0C0C0" w:val="clear"/>
            <w:tcMar>
              <w:left w:w="0" w:type="dxa"/>
              <w:right w:w="0" w:type="dxa"/>
            </w:tcMar>
            <w:vAlign w:val="center"/>
          </w:tcPr>
          <w:p>
            <w:pPr>
              <w:pStyle w:val="P68B1DB1Contenudetableau101"/>
              <w:spacing w:before="57" w:after="57"/>
              <w:jc w:val="left"/>
              <w:rPr>
                <w:rFonts w:ascii="Garamond" w:hAnsi="Garamond"/>
                <w:b/>
                <w:b/>
                <w:color w:val="000000"/>
              </w:rPr>
            </w:pPr>
            <w:r>
              <w:rPr/>
              <w:t xml:space="preserve">Druga sjednica: gospodarska uloga EU-a </w:t>
            </w:r>
          </w:p>
        </w:tc>
        <w:tc>
          <w:tcPr>
            <w:tcW w:w="1310" w:type="dxa"/>
            <w:tcBorders>
              <w:top w:val="single" w:sz="2" w:space="0" w:color="000001"/>
              <w:bottom w:val="single" w:sz="2" w:space="0" w:color="000001"/>
              <w:right w:val="single" w:sz="2" w:space="0" w:color="000001"/>
              <w:insideH w:val="single" w:sz="2" w:space="0" w:color="000001"/>
              <w:insideV w:val="single" w:sz="2" w:space="0" w:color="000001"/>
            </w:tcBorders>
            <w:shd w:fill="C0C0C0" w:val="clear"/>
            <w:tcMar>
              <w:left w:w="0" w:type="dxa"/>
            </w:tcMar>
            <w:vAlign w:val="center"/>
          </w:tcPr>
          <w:p>
            <w:pPr>
              <w:pStyle w:val="Contenudetableau"/>
              <w:spacing w:before="57" w:after="57"/>
              <w:rPr>
                <w:color w:val="000000"/>
              </w:rPr>
            </w:pPr>
            <w:r>
              <w:rPr>
                <w:color w:val="000000"/>
              </w:rPr>
            </w:r>
          </w:p>
        </w:tc>
      </w:tr>
      <w:tr>
        <w:trPr>
          <w:trHeight w:val="127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1. Preporučujemo da EU poduzme različite korake za poboljšanje sigurnosti opskrbe osnovnom robom: davanje prednosti trgovini unutar EU-a, promicanje proizvodnje naprednih tehnologija unutar EU-a i daljnja diversifikacija izvora uvoza. Također preporučujemo istraživanje novih izvoznih tržišta.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9 (19,6 %) važno za cijelu Europu: 3; osobno: 6 </w:t>
            </w:r>
          </w:p>
        </w:tc>
      </w:tr>
      <w:tr>
        <w:trPr>
          <w:trHeight w:val="91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2. Preporučujemo preispitivanje pregovaračkih praksi ugovora o prirodnom plinu s obzirom na kratkoročne i dugoročne ugovore. Predlažemo daljnju diversifikaciju izvora opskrbe energijom.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9 (19,6 %) važno za cijelu Europu: 9</w:t>
            </w:r>
          </w:p>
        </w:tc>
      </w:tr>
      <w:tr>
        <w:trPr>
          <w:trHeight w:val="112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3. Preporučujemo da se mjere zelenog plana i njihova provedba procijene uzimajući u obzir moguće negativne socioekonomske učinke. Kako bi se ostvarili ciljevi zelenog plana, Sud preporučuje da se uz korištenje obnovljivih izvora energije koriste i nuklearna energija i prirodni plin.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6 (13 %) važno u osobnom svojstvu: 6</w:t>
            </w:r>
          </w:p>
        </w:tc>
      </w:tr>
      <w:tr>
        <w:trPr>
          <w:trHeight w:val="1016"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4. Naglašavamo da je važno da sve države članice poštuju načelo nadređenosti prava EU-a. Na primjer, tražimo da Litva ima jasno načelno stajalište o tom pitanju.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4 (8,7 %) važno za cijelu Europu: 2; u osobnom svojstvu: 2</w:t>
            </w:r>
          </w:p>
        </w:tc>
      </w:tr>
    </w:tbl>
    <w:p>
      <w:pPr>
        <w:pStyle w:val="P68B1DB1Normal97"/>
        <w:spacing w:lineRule="auto" w:line="240"/>
        <w:rPr>
          <w:rFonts w:ascii="Garamond" w:hAnsi="Garamond"/>
          <w:color w:val="000000"/>
          <w:sz w:val="22"/>
        </w:rPr>
      </w:pPr>
      <w:r>
        <w:rPr/>
        <w:t xml:space="preserve"> </w:t>
      </w:r>
    </w:p>
    <w:p>
      <w:pPr>
        <w:pStyle w:val="P68B1DB1Normal76"/>
        <w:widowControl w:val="false"/>
        <w:spacing w:lineRule="auto" w:line="240" w:before="48" w:after="0"/>
        <w:ind w:left="0" w:right="0" w:hanging="0"/>
        <w:jc w:val="both"/>
        <w:rPr/>
      </w:pPr>
      <w:r>
        <w:rPr/>
        <w:t xml:space="preserve">Osim toga, najvažnija pitanja za građane, odnosno odnosi s Kinom, migracije ili energetika, su privremena: njihova rezolucija imat će temeljni učinak na dugoročnu budućnost Europe. Stoga vjerojatnost da će građani koji razmišljaju o budućnosti dati prednost onome što je sada važno nije problematična. Budući da izgradnja budućnosti danas započinje mnoštvom malih koraka, percepcija očekivanja građana u kratkom roku ključan je uvjet za osiguravanje snažne dugoročne kontrole nad procesima i rješavanja problema. Analiza glavnih rezultata panela nacionalnih građana u nastavku temelji se na tom opažanju.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spacing w:lineRule="auto" w:line="240"/>
        <w:rPr/>
      </w:pPr>
      <w:r>
        <w:rPr/>
        <w:t>Rezolucija koja dobiva najveći broj glasova (11 ili gotovo 12 %) jest da</w:t>
      </w:r>
      <w:r>
        <w:rPr>
          <w:b/>
        </w:rPr>
        <w:t xml:space="preserve"> je EU-u potrebna učinkovitija politika prema Kini</w:t>
      </w:r>
      <w:r>
        <w:rPr/>
        <w:t xml:space="preserve">. Taj opći zaključak obuhvaćao je nekoliko konkretnijih izjava. Prvo, sudionici su naglasili da u ovoj fazi potpora EU-a Litvi zbog gospodarskog pritiska Kine nije bila dovoljna. Drugo, predstavnici Skupine koji su priopćili zaključak naglasili su da bi sama Litva trebala uložiti veće napore kako bi uskladila svoju politiku prema Kini s politikom partnera EU-a, posebno zato što je važno da se EU u cjelini nastavi baviti trgovinom s Kinom. Treće, građani su izrazili ideju da bi koordinacija stajališta i razvoj zajedničke politike posebno o Kini mogli biti učinkovitiji ako se uspostavi ministar vanjskih poslova EU-a. Osam sudionika izjavilo je da je taj zaključak posebno važan za cijelu Europu, a tri su ga proglasila važnim za njih u osobnom svojstvu.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0" w:hanging="0"/>
        <w:jc w:val="both"/>
        <w:rPr/>
      </w:pPr>
      <w:r>
        <w:rPr/>
        <w:t xml:space="preserve">Pitanje odnosa s Kinom usko je povezano s još dva prijedloga s velikim brojem građana. Devet sudionika glasovalo je za zaključak donesen na drugoj sjednici da </w:t>
      </w:r>
      <w:r>
        <w:rPr>
          <w:b/>
        </w:rPr>
        <w:t>EU treba ojačati sigurnost opskrbe</w:t>
      </w:r>
      <w:r>
        <w:rPr/>
        <w:t xml:space="preserve"> (tri sudionika navela su da je to posebno važno za cijelu Europu, a šest drugih da je to za njih osobno). Taj je zaključak uključivao i nekoliko aspekata. Prvo, građani su naglasili potrebu da se prednost da tržištima EU-a koja karakteriziraju pouzdani dobavljači i proizvodi koji zadovoljavaju zahtjevne standarde. Drugo, sudionici su istaknuli potrebu za poticanjem visokotehnoloških proizvodnih kapaciteta u samoj Europi. Kao treće, građani su izrazili potporu većoj diversifikaciji izvora uvoza. U formuliranju tih preporuka sudionici u raspravi dosljedno su se referirali na faktor Kine: sigurnosne prijetnje povezane s kineskom robom, oslanjanje na kineske sirovine potrebne za proizvodnju naprednih tehnologija, kao i kineske prakse kopiranja i krađe tehnologija od zapadnih tvrtki koje posluju na njezinu tržištu. Prijedlog za</w:t>
      </w:r>
      <w:r>
        <w:rPr>
          <w:b/>
        </w:rPr>
        <w:t xml:space="preserve"> razvoj gospodarske i humanitarne suradnje EU-a sa zemljama sjeverne Afrike</w:t>
      </w:r>
      <w:r>
        <w:rPr/>
        <w:t xml:space="preserve"> također je dobio šest glasova (važno u osobnom svojstvu) jer je u toj regiji važno smanjiti utjecaj Kine, Rusije i drugih prijateljskih država.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0" w:hanging="0"/>
        <w:jc w:val="both"/>
        <w:rPr/>
      </w:pPr>
      <w:r>
        <w:rPr/>
        <w:t xml:space="preserve">Rezultati glasovanja također su odražavali zabrinutost građana u vezi s migracijskim pitanjima. Dva od tri najglasnija otkrića u vanjskoj politici posvećena su migraciji. Devet sudionika glasovalo je za prijedlog </w:t>
      </w:r>
      <w:r>
        <w:rPr>
          <w:b/>
        </w:rPr>
        <w:t>da se EU vrati stvaranju sustava obveznih kvota za prihvat migranata za države članice</w:t>
      </w:r>
      <w:r>
        <w:rPr/>
        <w:t xml:space="preserve"> (svi su naglasili da je ovaj prijedlog od posebne važnosti za cijelu Europu). Sudionici koji su donijeli taj zaključak izrazili su potporu utvrđivanju nacionalnih kvota prema broju stanovnika i sufinanciranju EU-a kako bi se zadovoljile potrebe migranata prema tim kvotama. Sedam sudionika i dalje je glasovalo za prijedlog o </w:t>
      </w:r>
      <w:r>
        <w:rPr>
          <w:b/>
        </w:rPr>
        <w:t>osnivanju stalnog tehničkog povjerenstva na razini EU-a za rješavanje pitanja migracija, u koje bi predstavnici država članica bili upućeni</w:t>
      </w:r>
      <w:r>
        <w:rPr/>
        <w:t xml:space="preserve"> (tri sudionika smatraju da je ovaj prijedlog od posebne važnosti za Europu u cjelini, a četiri smatraju da je za njih važno u osobnom svojstvu). Sudionici su naglasili da bi takvo tijelo moglo omogućiti EU-u da brže odgovori na migracijske krize, istodobno osiguravajući ravnotežu između odgovarajućeg poštovanja općih načela EU-a i prava država članica da brane svoje nacionalne interese i sigurnost.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0" w:hanging="0"/>
        <w:jc w:val="both"/>
        <w:rPr/>
      </w:pPr>
      <w:r>
        <w:rPr/>
        <w:t xml:space="preserve">Tijekom rasprave o migracijskoj politici sudionici su raspravljali o dvjema različitim krizama u upravljanju migracijskim tokovima: migracijska kriza Sredozemnog mora 2016. i hibridni napad Bjelarusa 2012. na Litvu, Latviju i Poljsku tijekom kojih je Minsk koristio migrante iz tokova s Bliskog istoka i Afrike. Određeni broj sudionika panela izjavio je da se kriza 2016. činila udaljenom i nevažnom, kako za Litvu u cjelini tako i za njih u osobnom svojstvu, te da im se prijedlog o uspostavi sustava kvota za migrante ne čini primjerenim. Prema riječima sudionika, iskustvo hibridnog napada približilo je pitanje migracija u istočnoj Europi te je primorano pristupiti kvotama kao prilagođenom, učinkovitom i solidarnom instrumentu migracijske politike. Neki su sudionici istaknuli da je tijekom krize 2021. postalo teško razlikovati one na državnom području zemlje, izbjeglice, migrante i one koji predstavljaju prijetnju. Svi sudionici u raspravi složili su se da se trenutačnom „otvorenom” migracijskom politikom EU-a ne uzimaju dovoljno u obzir prijetnje koje predstavljaju migracije, nacionalni interesi država članica, njihova sposobnost integracije migranata itd. Građani su također kritizirali EU zbog sporosti ili nedostatka odgovora na potrebe Litve, kao i zbog odbijanja financiranja izgradnje zida na vanjskim granicama.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spacing w:lineRule="auto" w:line="240"/>
        <w:jc w:val="both"/>
        <w:rPr/>
      </w:pPr>
      <w:r>
        <w:rPr/>
        <w:t xml:space="preserve">Ukratko, može se reći da dva elementa najtoplije vijesti Litve u 2021. – odnosi s Kinom i upravljanje migracijskim tokovima – potiču litavske građane da zahtijevaju veću intervenciju EU-a i učinkovitiju zajedničku politiku. Građani su zabrinuti zbog kineske politike i njezina sve većeg utjecaja u Europi i susjedstvu EU-a. Mora se priznati da kineski gospodarski utjecaj prisiljava Europu da traži odgovarajuće i uravnotežene političke mjere. Prema mišljenju građana, glavno je rješenje jačanje instrumenata zajedničke vanjske politike EU-a, industrijske politike i suradnje sa susjedima. Slično tome, građani su smatrali da su jedinstveno djelovanje na razini EU-a, kao i mogući novi sustav migracijskih kvota, vjerojatno najprikladniji način za izbjegavanje sigurnosnih prijetnji koje predstavljaju migracije, kao i za brzu i učinkovitu kontrolu migracijskih tokova u Europu. Odbor smatra da bi najbolji odgovor na rastuće pritiske Kine i hibridni napad Bjelarusa bio uspostava duboke i ojačane zajedničke politike EU-a. </w:t>
      </w:r>
    </w:p>
    <w:p>
      <w:pPr>
        <w:pStyle w:val="P68B1DB1Normal76"/>
        <w:widowControl w:val="false"/>
        <w:spacing w:lineRule="auto" w:line="240"/>
        <w:ind w:left="0" w:right="0" w:hanging="0"/>
        <w:jc w:val="both"/>
        <w:rPr>
          <w:rFonts w:ascii="Arial" w:hAnsi="Arial"/>
          <w:color w:val="000000"/>
          <w:sz w:val="22"/>
        </w:rPr>
      </w:pPr>
      <w:r>
        <w:rPr/>
        <w:t xml:space="preserve"> </w:t>
      </w:r>
    </w:p>
    <w:p>
      <w:pPr>
        <w:pStyle w:val="P68B1DB1Normal76"/>
        <w:widowControl w:val="false"/>
        <w:spacing w:lineRule="auto" w:line="240"/>
        <w:ind w:left="0" w:right="0" w:hanging="0"/>
        <w:jc w:val="both"/>
        <w:rPr/>
      </w:pPr>
      <w:r>
        <w:rPr/>
        <w:t>Ovo mišljenje o krizama o kojima se raspravlja može se usporediti s prijedlozima sudionika panela o energetskim i klimatskim pitanjima. Krajem 2021. mnogi litavski građani morali su se izravno nositi s rastućim cijenama grijanja, a kriza cijena energije brzo se pokazala jednom od najvažnijih vijesti za Litvu. Zabrinutost u pogledu cijena energije odražava se i u glasovanju sudionika: devet građana glasalo je za zaključak da je to pitanje najvažnije za cijelu Europu. Glavna preporuka sudionika bila</w:t>
      </w:r>
      <w:r>
        <w:rPr>
          <w:b/>
        </w:rPr>
        <w:t xml:space="preserve"> je preispitati trenutačnu praksu država članica sklapanjem ugovora o opskrbi energijom s različitim opskrbljivačima i nastojati ih sklopiti kratkoročno i dugoročno.</w:t>
      </w:r>
      <w:r>
        <w:rPr/>
        <w:t xml:space="preserve"> Drugim riječima, građani su podržali politiku diversifikacije izvora opskrbe energijom, ali nisu dali preporuke o općim politikama EU-a i nisu preporučili daljnju integraciju energetskih politika. </w:t>
      </w:r>
    </w:p>
    <w:p>
      <w:pPr>
        <w:pStyle w:val="P68B1DB1Normal76"/>
        <w:widowControl w:val="false"/>
        <w:spacing w:lineRule="auto" w:line="240"/>
        <w:ind w:left="0" w:right="0" w:hanging="0"/>
        <w:jc w:val="both"/>
        <w:rPr>
          <w:rFonts w:ascii="Arial" w:hAnsi="Arial"/>
          <w:color w:val="000000"/>
          <w:sz w:val="22"/>
        </w:rPr>
      </w:pPr>
      <w:r>
        <w:rPr/>
        <w:t xml:space="preserve"> </w:t>
      </w:r>
    </w:p>
    <w:p>
      <w:pPr>
        <w:pStyle w:val="P68B1DB1Normal76"/>
        <w:widowControl w:val="false"/>
        <w:spacing w:lineRule="auto" w:line="240"/>
        <w:ind w:left="0" w:right="0" w:hanging="0"/>
        <w:jc w:val="both"/>
        <w:rPr/>
      </w:pPr>
      <w:r>
        <w:rPr/>
        <w:t xml:space="preserve">Kad je riječ o klimatskoj politici, građani </w:t>
      </w:r>
      <w:r>
        <w:rPr>
          <w:b/>
        </w:rPr>
        <w:t>su preporučili procjenu mjera zelenog plana, uzimajući u obzir očekivani socioekonomski učinak i ambicije.</w:t>
      </w:r>
      <w:r>
        <w:rPr/>
        <w:t xml:space="preserve"> Ovaj prijedlog dobio je glas šest sudionika, od kojih je svaki smatrao da je to važno u osobnom svojstvu. Neki sudionici izrazili su zabrinutost zbog prebrzog tempa takozvane „zelene tranzicije” i rekli da bi Litva trebala pažljivije procijeniti bi li takva politika ugrozila interese zemlje i njezinih građana. Neki sudionici također su oživjeli potrebu za korištenjem ne samo obnovljive energije, već i nuklearne energije i prirodnog plina. U prilog tom stajalištu uputili su se na odluku Njemačke da nastavi upotrebljavati prirodni plin, kao i na potencijal nove generacije „modularnih” nuklearnih reaktora. Kad je riječ o klimatskoj politici, povjerenstvo je stoga dalo prednost politikama država članica u skladu s nacionalnim potrebama, a ne ambicioznoj zajedničkoj politici EU-a o upravljanju u području klime. </w:t>
      </w:r>
    </w:p>
    <w:p>
      <w:pPr>
        <w:pStyle w:val="P68B1DB1Normal76"/>
        <w:widowControl w:val="false"/>
        <w:spacing w:lineRule="auto" w:line="240"/>
        <w:ind w:left="0" w:right="0" w:hanging="0"/>
        <w:jc w:val="both"/>
        <w:rPr>
          <w:rFonts w:ascii="Arial" w:hAnsi="Arial"/>
          <w:color w:val="000000"/>
          <w:sz w:val="22"/>
        </w:rPr>
      </w:pPr>
      <w:r>
        <w:rPr/>
        <w:t xml:space="preserve"> </w:t>
      </w:r>
    </w:p>
    <w:p>
      <w:pPr>
        <w:pStyle w:val="P68B1DB1Normal76"/>
        <w:widowControl w:val="false"/>
        <w:spacing w:lineRule="auto" w:line="240"/>
        <w:ind w:left="0" w:right="2" w:hanging="0"/>
        <w:jc w:val="both"/>
        <w:rPr/>
      </w:pPr>
      <w:r>
        <w:rPr/>
        <w:t xml:space="preserve">S obzirom na relativno mali broj sudionika panela i razlike u odgovorima građana (više jedinstva djelovanja ili veće fleksibilnosti) na različite krize, ovdje bi bilo pogrešno razmotriti rekapitulativne i široko primjenjive mjere. Međutim, ta dinamika izražavanja mišljenja može dovesti do prijedloga tema od interesa za buduće studije mišljenja litavskih građana o pitanjima integracije u EU, pri čemu treba voditi računa o tome što građani kažu o autonomnim politikama EU-a, promjenama u institucijskim aranžmanima i razlikama. </w:t>
      </w:r>
    </w:p>
    <w:p>
      <w:pPr>
        <w:pStyle w:val="P68B1DB1Normal76"/>
        <w:widowControl w:val="false"/>
        <w:spacing w:lineRule="auto" w:line="240"/>
        <w:ind w:left="0" w:right="0" w:hanging="0"/>
        <w:jc w:val="both"/>
        <w:rPr>
          <w:rFonts w:ascii="Arial" w:hAnsi="Arial"/>
          <w:color w:val="000000"/>
          <w:sz w:val="22"/>
        </w:rPr>
      </w:pPr>
      <w:r>
        <w:rPr/>
        <w:t xml:space="preserve"> </w:t>
      </w:r>
    </w:p>
    <w:p>
      <w:pPr>
        <w:pStyle w:val="P68B1DB1Normal96"/>
        <w:spacing w:lineRule="auto" w:line="240"/>
        <w:jc w:val="both"/>
        <w:rPr>
          <w:rFonts w:ascii="Arial" w:hAnsi="Arial"/>
          <w:i/>
          <w:i/>
          <w:color w:val="404040"/>
          <w:sz w:val="32"/>
        </w:rPr>
      </w:pPr>
      <w:r>
        <w:rPr/>
        <w:t xml:space="preserve">4. Rezultati panela građana u širem kontekstu javnog mnijenja u Litvi </w:t>
      </w:r>
    </w:p>
    <w:p>
      <w:pPr>
        <w:pStyle w:val="Normal"/>
        <w:widowControl w:val="false"/>
        <w:spacing w:lineRule="auto" w:line="240"/>
        <w:ind w:left="0" w:right="1" w:hanging="0"/>
        <w:jc w:val="both"/>
        <w:rPr/>
      </w:pPr>
      <w:r>
        <w:rPr>
          <w:color w:val="000000"/>
        </w:rPr>
        <w:t xml:space="preserve">Kako bi se u kontekstualizirali rezultati Nacionalnog panela građana i građanki, oni su u posljednjem dijelu ukratko uspoređeni s rezultatima dvaju trenutačnih anketa o mišljenju te s privremenim rezultatima drugih pripremnih radova za Konferenciju o budućnosti Europe. Prvi dio ovog izvješća odnosi se na istraživanje </w:t>
      </w:r>
      <w:hyperlink r:id="rId114">
        <w:r>
          <w:rPr>
            <w:rStyle w:val="LienInternet"/>
            <w:color w:val="0563C1"/>
          </w:rPr>
          <w:t>obarometra</w:t>
        </w:r>
      </w:hyperlink>
      <w:hyperlink r:id="rId115">
        <w:r>
          <w:rPr>
            <w:color w:val="000000"/>
          </w:rPr>
          <w:t xml:space="preserve"> </w:t>
        </w:r>
      </w:hyperlink>
      <w:hyperlink r:id="rId116">
        <w:r>
          <w:rPr>
            <w:rStyle w:val="LienInternet"/>
            <w:color w:val="0563C1"/>
          </w:rPr>
          <w:t>građana</w:t>
        </w:r>
      </w:hyperlink>
      <w:r>
        <w:rPr>
          <w:color w:val="000000"/>
        </w:rPr>
        <w:t xml:space="preserve">EU-a provedeno u listopadu i studenome 2020. o Konferenciji o budućnosti Europe; drugi o najnovijem </w:t>
      </w:r>
      <w:hyperlink r:id="rId117">
        <w:r>
          <w:rPr>
            <w:rStyle w:val="LienInternet"/>
            <w:color w:val="0563C1"/>
          </w:rPr>
          <w:t>standardnom istraživanju Eurobarometra</w:t>
        </w:r>
      </w:hyperlink>
      <w:r>
        <w:rPr>
          <w:color w:val="000000"/>
        </w:rPr>
        <w:t xml:space="preserve"> provedenom u ljeto 2021. U mjeri u kojoj su se neka od pitanja u tim studijama usredotočila na druge političke teme i očekivanja građana od same konferencije, u nastavku je napravljena usporedba s pitanjima o kojima se doista raspravljalo na panelu. Ispitivanje rezultata pripremnog rada za Konferenciju o budućnosti Europe temeljilo se na preliminarnom izvješću o radu koji je pripremio RESC, a koje je uključivalo izjave građana koji su sudjelovali u radu na različitim političkim pitanjima EU-a.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0" w:hanging="0"/>
        <w:jc w:val="both"/>
        <w:rPr/>
      </w:pPr>
      <w:r>
        <w:rPr/>
        <w:t xml:space="preserve">Rezultati istraživanja Eurobarometra upućuju na to da rasprave i glasovi sudionika u panelu građana prilično dobro odražavaju prevladavajuća stajališta litavskog društva. Preporuke sudionika panela za jačanje zajedničke vanjske i migracijske politike sudjelovanjem u odlukama na razini EU-a odgovaraju rezultatima širih istraživanja javnog mnijenja: </w:t>
      </w:r>
    </w:p>
    <w:p>
      <w:pPr>
        <w:pStyle w:val="P68B1DB1Normal76"/>
        <w:widowControl w:val="false"/>
        <w:spacing w:lineRule="auto" w:line="240"/>
        <w:ind w:left="361" w:right="1" w:hanging="0"/>
        <w:jc w:val="left"/>
        <w:rPr/>
      </w:pPr>
      <w:r>
        <w:rPr>
          <w:rFonts w:ascii="Garamond" w:hAnsi="Garamond"/>
        </w:rPr>
        <w:t>—</w:t>
      </w:r>
      <w:r>
        <w:rPr/>
        <w:t xml:space="preserve"> </w:t>
      </w:r>
      <w:r>
        <w:rPr/>
        <w:t xml:space="preserve">Litavski građani podupiru zajedničku obrambenu politiku EU-a više od prosjeka EU-a (90 % naspram 78 %); </w:t>
      </w:r>
    </w:p>
    <w:p>
      <w:pPr>
        <w:pStyle w:val="P68B1DB1Normal76"/>
        <w:widowControl w:val="false"/>
        <w:spacing w:lineRule="auto" w:line="240"/>
        <w:ind w:left="361" w:right="3" w:hanging="0"/>
        <w:jc w:val="left"/>
        <w:rPr/>
      </w:pPr>
      <w:r>
        <w:rPr>
          <w:rFonts w:ascii="Garamond" w:hAnsi="Garamond"/>
        </w:rPr>
        <w:t>—</w:t>
      </w:r>
      <w:r>
        <w:rPr/>
        <w:t xml:space="preserve"> </w:t>
      </w:r>
      <w:r>
        <w:rPr/>
        <w:t xml:space="preserve">Litavski građani podupiru zajedničku migracijsku politiku EU-a više od prosjeka EU-a (76 % u odnosu na 71 %; ta je razlika unutar dopuštenog odstupanja); </w:t>
      </w:r>
    </w:p>
    <w:p>
      <w:pPr>
        <w:pStyle w:val="P68B1DB1Normal76"/>
        <w:widowControl w:val="false"/>
        <w:spacing w:lineRule="auto" w:line="240"/>
        <w:ind w:left="360" w:right="2" w:hanging="0"/>
        <w:jc w:val="left"/>
        <w:rPr/>
      </w:pPr>
      <w:r>
        <w:rPr>
          <w:rFonts w:ascii="Garamond" w:hAnsi="Garamond"/>
        </w:rPr>
        <w:t>Građani</w:t>
      </w:r>
      <w:r>
        <w:rPr/>
        <w:t xml:space="preserve"> Litve smatraju migraciju jednim od dva glavna problema EU-a; </w:t>
      </w:r>
    </w:p>
    <w:p>
      <w:pPr>
        <w:pStyle w:val="P68B1DB1Normal76"/>
        <w:widowControl w:val="false"/>
        <w:spacing w:lineRule="auto" w:line="240"/>
        <w:ind w:left="360" w:right="3" w:hanging="0"/>
        <w:jc w:val="left"/>
        <w:rPr/>
      </w:pPr>
      <w:r>
        <w:rPr>
          <w:rFonts w:ascii="Garamond" w:hAnsi="Garamond"/>
        </w:rPr>
        <w:t>Litavski</w:t>
      </w:r>
      <w:r>
        <w:rPr/>
        <w:t xml:space="preserve"> građani žele da se više problema riješi na razini EU-a (49 % naspram 42 %). </w:t>
      </w:r>
    </w:p>
    <w:p>
      <w:pPr>
        <w:pStyle w:val="P68B1DB1Normal76"/>
        <w:widowControl w:val="false"/>
        <w:spacing w:lineRule="auto" w:line="240" w:before="83" w:after="0"/>
        <w:ind w:left="0" w:right="3" w:hanging="0"/>
        <w:jc w:val="both"/>
        <w:rPr/>
      </w:pPr>
      <w:r>
        <w:rPr/>
        <w:t xml:space="preserve">Litavski građani koji su sudjelovali na pripremnim događanjima za Konferenciju o budućnosti Europe također su naglasili važnost suradnje u području obrane te da su zajednička migracijska politika EU-a i vanjska politika EU-a područja u kojima bi Litva imala koristi od snažnije intervencije EU-a.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1" w:hanging="0"/>
        <w:jc w:val="both"/>
        <w:rPr/>
      </w:pPr>
      <w:r>
        <w:rPr/>
        <w:t xml:space="preserve">Podaci Eurobarometra mogli bi rasvijetliti stajališta sudionika panela o odnosima s Kinom i cijenama energije: Litvanci su više zabrinuti od prosjeka EU-a zbog raspada odnosa među zemljama diljem svijeta i rastućih geopolitičkih napetosti koje iz toga proizlaze (33 % u odnosu na 18 %). Zaključci povjerenstva o potrebi za ambicioznijom politikom prema Kini preklapaju se s tim podacima, kao i prethodno navedeno stajalište u korist donošenja odluka na razini EU-a i zajedničke obrambene politike EU-a. S druge strane, zabrinutost sudionika panela o različitim odlukama o smanjenju cijena energije može biti povezana s činjenicom da su Litvanci mnogo više zabrinuti od prosjeka EU-a zbog rasta inflacije i rasta cijena (53 % u odnosu na 23 %). Osjetljivost na rastuću inflaciju posljedica je činjenice da se čini da je kontroliranje povećanja cijena važnije od općeg oblikovanja politika EU-a ili drugih ciljeva politike.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1" w:hanging="0"/>
        <w:jc w:val="both"/>
        <w:rPr/>
      </w:pPr>
      <w:r>
        <w:rPr/>
        <w:t xml:space="preserve">Podaci Eurobarometra upućuju i na zanimljiv razvoj percepcije Litve o migracijskom pitanju iz političke perspektive. U istraživanju iz 2020. Litvanci su naveli migracije kao važan izazov za budućnost EU-a (16 % naspram 27 %) od prosjeka EU-a; U istraživanju iz 2021. 32 % litavskih ispitanika smatralo je migraciju jednim od glavnih problema u EU-u (u usporedbi s prosjekom od 25 % u EU-u u cjelini). Iako ta promjena gledišta može biti posljedica razlika u formulaciji pitanja, ona se preklapa s onim što su sudionici panela rekli u raspravama o razvoju njihovih stajališta o pitanjima migracija.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before="220" w:after="0"/>
        <w:ind w:left="0" w:right="0" w:hanging="0"/>
        <w:jc w:val="both"/>
        <w:rPr/>
      </w:pPr>
      <w:r>
        <w:rPr/>
        <w:t xml:space="preserve">Nadalje, usporedba rezultata panela građana i građanki s podacima Eurobarometra pokazuje jaz između, s jedne strane, relativno opreznog stajališta sudionika panela o politici EU-a i, s druge strane, zabrinutost litavskih građana u pogledu pitanja klimatskih promjena. Iako su sudionici panela potaknuli da procijene nije li zeleni plan previše ambiciozan i ne bi li naštetio interesima Litve, Litvanci su, prema istraživanjima Eurobarometra, dosljedno smatrali klimatske promjene jednim od glavnih izazova za EU. U istraživanju iz 2020. 47 % litavskih ispitanika smatralo je da je klima jedan od najvažnijih izazova za budućnost Europe (u usporedbi s prosjekom od 45 % u EU-u u cjelini); U anketi za 2021. to je bio slučaj s 28 % litavskih ispitanika (u odnosu na prosječno 25 % u EU-u u cjelini). Treba napomenuti da su građani koji su sudjelovali na drugim pripremnim događanjima za Konferenciju o budućnosti Europe spomenuli i klimatsku politiku kao jedno od područja u kojima bi Litva imala najveći interes za snažniju intervenciju EU-a. To se odstupanje vjerojatno može objasniti motivacijom glasovanja sudionika panela: svi oni koji su glasovali za preporuku da se ponovno procijene mjere iz zelenog plana utvrdili su da je to važno za njih s osobnog stajališta. Drugim riječima, osobno protivljenje ne bi bilo u skladu sa zaključkom da su klimatske promjene jedan od najvažnijih izazova za politiku EU-a. </w:t>
      </w:r>
    </w:p>
    <w:p>
      <w:pPr>
        <w:pStyle w:val="P68B1DB1Normal97"/>
        <w:widowControl w:val="false"/>
        <w:spacing w:lineRule="auto" w:line="240"/>
        <w:ind w:left="0" w:right="0" w:hanging="0"/>
        <w:jc w:val="left"/>
        <w:rPr>
          <w:rFonts w:ascii="Garamond" w:hAnsi="Garamond"/>
          <w:color w:val="000000"/>
          <w:sz w:val="22"/>
        </w:rPr>
      </w:pPr>
      <w:r>
        <w:rPr/>
        <w:t xml:space="preserve"> </w:t>
      </w:r>
    </w:p>
    <w:p>
      <w:pPr>
        <w:pStyle w:val="Normal"/>
        <w:widowControl w:val="false"/>
        <w:spacing w:lineRule="auto" w:line="240" w:before="89" w:after="0"/>
        <w:ind w:left="0" w:right="0" w:hanging="0"/>
        <w:jc w:val="left"/>
        <w:rPr>
          <w:rFonts w:ascii="Garamond" w:hAnsi="Garamond"/>
          <w:color w:val="000000"/>
          <w:sz w:val="22"/>
        </w:rPr>
      </w:pPr>
      <w:r>
        <w:rPr>
          <w:rFonts w:ascii="Garamond" w:hAnsi="Garamond"/>
          <w:color w:val="000000"/>
          <w:sz w:val="22"/>
        </w:rPr>
      </w:r>
      <w:r>
        <w:br w:type="page"/>
      </w:r>
    </w:p>
    <w:p>
      <w:pPr>
        <w:pStyle w:val="Titre1"/>
        <w:numPr>
          <w:ilvl w:val="0"/>
          <w:numId w:val="2"/>
        </w:numPr>
        <w:rPr/>
      </w:pPr>
      <w:bookmarkStart w:id="235" w:name="__RefHeading___Toc297357_1346298689"/>
      <w:bookmarkEnd w:id="235"/>
      <w:r>
        <w:rPr/>
        <w:t>II F Nacionalni paneli: Nizozemska</w:t>
      </w:r>
    </w:p>
    <w:p>
      <w:pPr>
        <w:pStyle w:val="Normal"/>
        <w:widowControl w:val="false"/>
        <w:spacing w:lineRule="auto" w:line="240" w:before="0" w:after="0"/>
        <w:ind w:left="0" w:right="0" w:hanging="0"/>
        <w:jc w:val="left"/>
        <w:rPr>
          <w:rFonts w:ascii="Calibri" w:hAnsi="Calibri"/>
          <w:b/>
          <w:b/>
          <w:i/>
          <w:i/>
          <w:color w:val="000000"/>
          <w:sz w:val="48"/>
        </w:rPr>
      </w:pPr>
      <w:r>
        <w:drawing>
          <wp:anchor behindDoc="0" distT="0" distB="0" distL="0" distR="0" simplePos="0" locked="0" layoutInCell="1" allowOverlap="1" relativeHeight="55">
            <wp:simplePos x="0" y="0"/>
            <wp:positionH relativeFrom="column">
              <wp:align>center</wp:align>
            </wp:positionH>
            <wp:positionV relativeFrom="paragraph">
              <wp:posOffset>635</wp:posOffset>
            </wp:positionV>
            <wp:extent cx="3098800" cy="3129280"/>
            <wp:effectExtent l="0" t="0" r="0" b="0"/>
            <wp:wrapTopAndBottom/>
            <wp:docPr id="109" name="Slika 4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Slika 46" descr=""/>
                    <pic:cNvPicPr>
                      <a:picLocks noChangeAspect="1" noChangeArrowheads="1"/>
                    </pic:cNvPicPr>
                  </pic:nvPicPr>
                  <pic:blipFill>
                    <a:blip r:embed="rId118"/>
                    <a:stretch>
                      <a:fillRect/>
                    </a:stretch>
                  </pic:blipFill>
                  <pic:spPr bwMode="auto">
                    <a:xfrm>
                      <a:off x="0" y="0"/>
                      <a:ext cx="3098800" cy="3129280"/>
                    </a:xfrm>
                    <a:prstGeom prst="rect">
                      <a:avLst/>
                    </a:prstGeom>
                  </pic:spPr>
                </pic:pic>
              </a:graphicData>
            </a:graphic>
          </wp:anchor>
        </w:drawing>
      </w:r>
      <w:r>
        <w:rPr>
          <w:rFonts w:ascii="Calibri" w:hAnsi="Calibri"/>
          <w:b/>
          <w:i/>
          <w:color w:val="000000"/>
          <w:sz w:val="48"/>
        </w:rPr>
        <w:t>N</w:t>
      </w:r>
      <w:r>
        <w:rPr>
          <w:rFonts w:ascii="Calibri" w:hAnsi="Calibri"/>
          <w:b/>
          <w:i/>
          <w:color w:val="000000"/>
          <w:sz w:val="48"/>
        </w:rPr>
        <w:t>aša vizija Europe</w:t>
      </w:r>
    </w:p>
    <w:p>
      <w:pPr>
        <w:pStyle w:val="P68B1DB1Normal103"/>
        <w:widowControl w:val="false"/>
        <w:spacing w:lineRule="exact" w:line="499" w:before="100" w:after="0"/>
        <w:ind w:left="0" w:right="0" w:hanging="0"/>
        <w:jc w:val="left"/>
        <w:rPr>
          <w:rFonts w:ascii="Calibri" w:hAnsi="Calibri"/>
          <w:i/>
          <w:i/>
          <w:color w:val="000000"/>
          <w:sz w:val="32"/>
        </w:rPr>
      </w:pPr>
      <w:r>
        <w:rPr/>
        <w:t xml:space="preserve">Mišljenja, ideje i preporuke </w:t>
      </w:r>
    </w:p>
    <w:p>
      <w:pPr>
        <w:pStyle w:val="P68B1DB1Normal104"/>
        <w:widowControl w:val="false"/>
        <w:spacing w:lineRule="exact" w:line="339" w:before="101" w:after="0"/>
        <w:ind w:left="0" w:right="0" w:hanging="0"/>
        <w:jc w:val="left"/>
        <w:rPr>
          <w:rFonts w:ascii="Calibri" w:hAnsi="Calibri"/>
          <w:color w:val="000000"/>
          <w:sz w:val="21"/>
        </w:rPr>
      </w:pPr>
      <w:r>
        <w:rPr/>
        <w:t xml:space="preserve">Teme </w:t>
      </w:r>
    </w:p>
    <w:p>
      <w:pPr>
        <w:pStyle w:val="P68B1DB1Normal105"/>
        <w:widowControl w:val="false"/>
        <w:spacing w:lineRule="exact" w:line="349" w:before="7" w:after="0"/>
        <w:ind w:left="0" w:right="0" w:hanging="0"/>
        <w:jc w:val="left"/>
        <w:rPr/>
      </w:pPr>
      <w:r>
        <w:rPr>
          <w:rFonts w:ascii="Verdana" w:hAnsi="Verdana"/>
        </w:rPr>
        <w:t>•</w:t>
      </w:r>
      <w:r>
        <w:rPr/>
        <w:t xml:space="preserve"> </w:t>
      </w:r>
      <w:r>
        <w:rPr>
          <w:rFonts w:ascii="Calibri" w:hAnsi="Calibri"/>
        </w:rPr>
        <w:t xml:space="preserve">Vrijednosti i prava, vladavina prava i sigurnost </w:t>
      </w:r>
    </w:p>
    <w:p>
      <w:pPr>
        <w:pStyle w:val="P68B1DB1Normal105"/>
        <w:widowControl w:val="false"/>
        <w:spacing w:lineRule="exact" w:line="293" w:before="2" w:after="0"/>
        <w:ind w:left="0" w:right="5110" w:hanging="0"/>
        <w:jc w:val="left"/>
        <w:rPr/>
      </w:pPr>
      <w:r>
        <w:rPr>
          <w:rFonts w:ascii="Verdana" w:hAnsi="Verdana"/>
        </w:rPr>
        <w:t>•</w:t>
      </w:r>
      <w:r>
        <w:rPr/>
        <w:t xml:space="preserve"> </w:t>
      </w:r>
      <w:r>
        <w:rPr>
          <w:rFonts w:ascii="Calibri" w:hAnsi="Calibri"/>
        </w:rPr>
        <w:t xml:space="preserve">Snažnije gospodarstvo, socijalna pravda i zapošljavanje </w:t>
      </w:r>
    </w:p>
    <w:p>
      <w:pPr>
        <w:pStyle w:val="P68B1DB1Normal105"/>
        <w:widowControl w:val="false"/>
        <w:spacing w:lineRule="exact" w:line="293" w:before="2" w:after="0"/>
        <w:ind w:left="0" w:right="5110" w:hanging="0"/>
        <w:jc w:val="left"/>
        <w:rPr/>
      </w:pPr>
      <w:r>
        <w:rPr>
          <w:rFonts w:ascii="Verdana" w:hAnsi="Verdana"/>
        </w:rPr>
        <w:t>•</w:t>
      </w:r>
      <w:r>
        <w:rPr/>
        <w:t xml:space="preserve"> </w:t>
      </w:r>
      <w:r>
        <w:rPr>
          <w:rFonts w:ascii="Calibri" w:hAnsi="Calibri"/>
        </w:rPr>
        <w:t xml:space="preserve">Europska demokracija </w:t>
      </w:r>
    </w:p>
    <w:p>
      <w:pPr>
        <w:pStyle w:val="P68B1DB1Normal105"/>
        <w:widowControl w:val="false"/>
        <w:spacing w:lineRule="exact" w:line="349" w:before="2" w:after="0"/>
        <w:ind w:left="0" w:right="0" w:hanging="0"/>
        <w:jc w:val="left"/>
        <w:rPr/>
      </w:pPr>
      <w:r>
        <w:rPr>
          <w:rFonts w:ascii="Verdana" w:hAnsi="Verdana"/>
        </w:rPr>
        <w:t>•</w:t>
      </w:r>
      <w:r>
        <w:rPr/>
        <w:t xml:space="preserve"> </w:t>
      </w:r>
      <w:r>
        <w:rPr>
          <w:rFonts w:ascii="Calibri" w:hAnsi="Calibri"/>
        </w:rPr>
        <w:t xml:space="preserve">Digitalna transformacija </w:t>
      </w:r>
    </w:p>
    <w:p>
      <w:pPr>
        <w:pStyle w:val="P68B1DB1Normal105"/>
        <w:widowControl w:val="false"/>
        <w:spacing w:lineRule="exact" w:line="349" w:before="2" w:after="0"/>
        <w:ind w:left="0" w:right="0" w:hanging="0"/>
        <w:jc w:val="left"/>
        <w:rPr/>
      </w:pPr>
      <w:r>
        <w:rPr>
          <w:rFonts w:ascii="Verdana" w:hAnsi="Verdana"/>
        </w:rPr>
        <w:t>•</w:t>
      </w:r>
      <w:r>
        <w:rPr/>
        <w:t xml:space="preserve"> </w:t>
      </w:r>
      <w:r>
        <w:rPr>
          <w:rFonts w:ascii="Calibri" w:hAnsi="Calibri"/>
        </w:rPr>
        <w:t xml:space="preserve">Obrazovanje, kultura, mladi i sport </w:t>
      </w:r>
    </w:p>
    <w:p>
      <w:pPr>
        <w:pStyle w:val="P68B1DB1Normal104"/>
        <w:widowControl w:val="false"/>
        <w:spacing w:lineRule="exact" w:line="339"/>
        <w:ind w:left="0" w:right="0" w:hanging="0"/>
        <w:jc w:val="left"/>
        <w:rPr>
          <w:rFonts w:ascii="Calibri" w:hAnsi="Calibri"/>
          <w:color w:val="000000"/>
          <w:sz w:val="21"/>
        </w:rPr>
      </w:pPr>
      <w:r>
        <w:rPr/>
        <w:t xml:space="preserve"> </w:t>
      </w:r>
    </w:p>
    <w:p>
      <w:pPr>
        <w:pStyle w:val="Titre4"/>
        <w:numPr>
          <w:ilvl w:val="3"/>
          <w:numId w:val="2"/>
        </w:numPr>
        <w:rPr/>
      </w:pPr>
      <w:bookmarkStart w:id="236" w:name="__RefHeading___Toc298384_1346298689"/>
      <w:bookmarkEnd w:id="236"/>
      <w:r>
        <w:rPr/>
        <w:t xml:space="preserve">3. prosinca 2021. </w:t>
      </w:r>
    </w:p>
    <w:p>
      <w:pPr>
        <w:pStyle w:val="Normal"/>
        <w:widowControl w:val="false"/>
        <w:spacing w:lineRule="exact" w:line="282" w:before="1" w:after="0"/>
        <w:ind w:left="0" w:right="37" w:hanging="0"/>
        <w:jc w:val="left"/>
        <w:rPr/>
      </w:pPr>
      <w:r>
        <w:rPr>
          <w:rFonts w:ascii="Calibri" w:hAnsi="Calibri"/>
          <w:color w:val="000000"/>
          <w:sz w:val="21"/>
        </w:rPr>
        <w:t xml:space="preserve">Ovaj je dokument prijevod izvješća naslovljenog „Eleven kijk op Europa; Meningen, ideeën en Aanbevelingen”(„Naša vizija Europe: mišljenja, ideje i preporuke”, koja je objavljena na nizozemskom jeziku 3. prosinca 2021. na www.kijkopeuropa.nl. Ovaj prijevod je pojednostavljena verzija izvješća u kojem je izvorni prikaz (ilustracije i drugi grafički elementi) izmijenjen u svrhu prevođenja. </w:t>
      </w:r>
      <w:r>
        <w:rPr>
          <w:rFonts w:ascii="Times New Roman" w:hAnsi="Times New Roman"/>
          <w:color w:val="000000"/>
          <w:sz w:val="24"/>
        </w:rPr>
        <w:t xml:space="preserve"> </w:t>
      </w:r>
      <w:r>
        <w:br w:type="page"/>
      </w:r>
    </w:p>
    <w:p>
      <w:pPr>
        <w:pStyle w:val="P68B1DB1Normal106"/>
        <w:rPr>
          <w:rFonts w:ascii="Calibri" w:hAnsi="Calibri"/>
          <w:b/>
          <w:b/>
          <w:i/>
          <w:i/>
          <w:color w:val="000000"/>
          <w:sz w:val="36"/>
        </w:rPr>
      </w:pPr>
      <w:r>
        <w:rPr/>
        <w:t xml:space="preserve">Naša vizija... </w:t>
      </w:r>
    </w:p>
    <w:p>
      <w:pPr>
        <w:pStyle w:val="P68B1DB1Normal107"/>
        <w:widowControl w:val="false"/>
        <w:spacing w:lineRule="exact" w:line="375" w:before="248" w:after="0"/>
        <w:ind w:left="0" w:right="0" w:hanging="0"/>
        <w:jc w:val="left"/>
        <w:rPr>
          <w:rFonts w:ascii="Calibri" w:hAnsi="Calibri"/>
          <w:i/>
          <w:i/>
          <w:color w:val="000000"/>
          <w:sz w:val="24"/>
        </w:rPr>
      </w:pPr>
      <w:r>
        <w:rPr/>
        <w:t xml:space="preserve">Sažetak izvješća: sve preporuke ukratko </w:t>
      </w:r>
    </w:p>
    <w:p>
      <w:pPr>
        <w:pStyle w:val="P68B1DB1Normal104"/>
        <w:widowControl w:val="false"/>
        <w:spacing w:lineRule="exact" w:line="282" w:before="185" w:after="0"/>
        <w:ind w:left="0" w:right="25" w:hanging="0"/>
        <w:jc w:val="left"/>
        <w:rPr/>
      </w:pPr>
      <w:r>
        <w:rPr/>
        <w:t xml:space="preserve">Kroz dijalog s građanima organiziran na temu „Vizija Europe” prikupili smo stajališta i ideje nizozemskih građana o budućnosti Europe. To je dovelo do sljedećih preporuka Europskoj uniji za prvih pet tema. </w:t>
      </w:r>
    </w:p>
    <w:p>
      <w:pPr>
        <w:pStyle w:val="P68B1DB1Normal108"/>
        <w:widowControl w:val="false"/>
        <w:spacing w:lineRule="exact" w:line="387" w:before="59" w:after="0"/>
        <w:ind w:left="0" w:right="0" w:hanging="0"/>
        <w:jc w:val="left"/>
        <w:rPr>
          <w:rFonts w:ascii="Calibri" w:hAnsi="Calibri"/>
          <w:b/>
          <w:b/>
          <w:i/>
          <w:i/>
          <w:color w:val="000000"/>
          <w:sz w:val="24"/>
        </w:rPr>
      </w:pPr>
      <w:r>
        <w:rPr/>
        <w:t xml:space="preserve">Vrijednosti i prava, vladavina prava i sigurnost </w:t>
      </w:r>
    </w:p>
    <w:p>
      <w:pPr>
        <w:pStyle w:val="P68B1DB1Normal104"/>
        <w:widowControl w:val="false"/>
        <w:spacing w:lineRule="exact" w:line="282" w:before="178" w:after="0"/>
        <w:ind w:left="0" w:right="105" w:hanging="0"/>
        <w:jc w:val="left"/>
        <w:rPr/>
      </w:pPr>
      <w:r>
        <w:rPr/>
        <w:t xml:space="preserve">Važno je da EU štiti vladavinu prava. U isto vrijeme, Nizozemci vjeruju da treba obratiti pozornost na raznolikost tradicija i kultura koje postoje u Europi. Suradnja unutar EU-a može imati brojne koristi u različitim oblicima, ali treba dodati vrijednost svim dionicima. To se odnosi i na razmjenu sigurnosnih informacija. Brzo dijeljenje svih informacija čini suradnju neučinkovitom. </w:t>
      </w:r>
    </w:p>
    <w:p>
      <w:pPr>
        <w:pStyle w:val="P68B1DB1Normal19"/>
        <w:widowControl w:val="false"/>
        <w:spacing w:lineRule="exact" w:line="388" w:before="47" w:after="0"/>
        <w:ind w:left="0" w:right="0" w:hanging="0"/>
        <w:jc w:val="left"/>
        <w:rPr>
          <w:rFonts w:ascii="Times New Roman" w:hAnsi="Times New Roman"/>
          <w:color w:val="000000"/>
          <w:sz w:val="24"/>
        </w:rPr>
      </w:pPr>
      <w:r>
        <w:rPr/>
        <w:t xml:space="preserve"> </w:t>
      </w:r>
    </w:p>
    <w:p>
      <w:pPr>
        <w:pStyle w:val="P68B1DB1Normal105"/>
        <w:widowControl w:val="false"/>
        <w:spacing w:lineRule="exact" w:line="346" w:before="50" w:after="0"/>
        <w:ind w:left="0" w:right="0" w:hanging="0"/>
        <w:jc w:val="left"/>
        <w:rPr/>
      </w:pPr>
      <w:r>
        <w:rPr>
          <w:rFonts w:ascii="Calibri" w:hAnsi="Calibri"/>
        </w:rPr>
        <w:t>1.</w:t>
      </w:r>
      <w:r>
        <w:rPr/>
        <w:t xml:space="preserve"> </w:t>
      </w:r>
      <w:r>
        <w:rPr>
          <w:rFonts w:ascii="Calibri" w:hAnsi="Calibri"/>
        </w:rPr>
        <w:t>Pobrinite se da se svatko može osjećati slobodno i sigurno</w:t>
      </w:r>
    </w:p>
    <w:p>
      <w:pPr>
        <w:pStyle w:val="P68B1DB1Normal105"/>
        <w:widowControl w:val="false"/>
        <w:spacing w:lineRule="exact" w:line="346"/>
        <w:ind w:left="0" w:right="0" w:hanging="0"/>
        <w:jc w:val="left"/>
        <w:rPr/>
      </w:pPr>
      <w:r>
        <w:rPr>
          <w:rFonts w:ascii="Calibri" w:hAnsi="Calibri"/>
        </w:rPr>
        <w:t>2.</w:t>
      </w:r>
      <w:r>
        <w:rPr/>
        <w:t xml:space="preserve"> </w:t>
      </w:r>
      <w:r>
        <w:rPr>
          <w:rFonts w:ascii="Calibri" w:hAnsi="Calibri"/>
        </w:rPr>
        <w:t>Povećanje EU-a samo ako donosi dodanu vrijednost</w:t>
      </w:r>
    </w:p>
    <w:p>
      <w:pPr>
        <w:pStyle w:val="P68B1DB1Normal105"/>
        <w:widowControl w:val="false"/>
        <w:spacing w:lineRule="exact" w:line="346"/>
        <w:ind w:left="0" w:right="0" w:hanging="0"/>
        <w:jc w:val="left"/>
        <w:rPr/>
      </w:pPr>
      <w:r>
        <w:rPr>
          <w:rFonts w:ascii="Calibri" w:hAnsi="Calibri"/>
        </w:rPr>
        <w:t>3.</w:t>
      </w:r>
      <w:r>
        <w:rPr/>
        <w:t xml:space="preserve"> </w:t>
      </w:r>
      <w:r>
        <w:rPr>
          <w:rFonts w:ascii="Calibri" w:hAnsi="Calibri"/>
        </w:rPr>
        <w:t>Suradnja uglavnom u borbi protiv međunarodnog kriminala i terorizma</w:t>
      </w:r>
    </w:p>
    <w:p>
      <w:pPr>
        <w:pStyle w:val="P68B1DB1Normal104"/>
        <w:widowControl w:val="false"/>
        <w:spacing w:lineRule="exact" w:line="339"/>
        <w:ind w:left="283" w:right="0" w:hanging="0"/>
        <w:jc w:val="left"/>
        <w:rPr>
          <w:rFonts w:ascii="Calibri" w:hAnsi="Calibri"/>
          <w:color w:val="000000"/>
          <w:sz w:val="21"/>
        </w:rPr>
      </w:pPr>
      <w:r>
        <w:rPr/>
        <w:t xml:space="preserve"> </w:t>
      </w:r>
    </w:p>
    <w:p>
      <w:pPr>
        <w:pStyle w:val="P68B1DB1Normal108"/>
        <w:widowControl w:val="false"/>
        <w:spacing w:lineRule="exact" w:line="387" w:before="59" w:after="0"/>
        <w:ind w:left="0" w:right="0" w:hanging="0"/>
        <w:jc w:val="left"/>
        <w:rPr>
          <w:rFonts w:ascii="Calibri" w:hAnsi="Calibri"/>
          <w:b/>
          <w:b/>
          <w:i/>
          <w:i/>
          <w:color w:val="000000"/>
          <w:sz w:val="24"/>
        </w:rPr>
      </w:pPr>
      <w:r>
        <w:rPr/>
        <w:t xml:space="preserve">Snažnije gospodarstvo, socijalna pravda i zapošljavanje </w:t>
      </w:r>
    </w:p>
    <w:p>
      <w:pPr>
        <w:pStyle w:val="P68B1DB1Normal104"/>
        <w:widowControl w:val="false"/>
        <w:spacing w:lineRule="exact" w:line="282" w:before="178" w:after="0"/>
        <w:ind w:left="0" w:right="18" w:hanging="0"/>
        <w:jc w:val="left"/>
        <w:rPr/>
      </w:pPr>
      <w:r>
        <w:rPr/>
        <w:t xml:space="preserve">Nizozemci vjeruju da postoje brojne mogućnosti za jačanje europskog gospodarstva. Međutim, države se ne mogu uvijek uspoređivati. Porezni sustav posebno bi trebao biti pravedniji i jasniji. U Europi bismo se trebali više usredotočiti na naše prednosti, kao što su kvaliteta i raznolikost. Osim toga, države članice EU-a mogu surađivati kako bi osigurale jednake mogućnosti na europskom tržištu rada. </w:t>
      </w:r>
    </w:p>
    <w:p>
      <w:pPr>
        <w:pStyle w:val="P68B1DB1Normal104"/>
        <w:widowControl w:val="false"/>
        <w:spacing w:lineRule="exact" w:line="339" w:before="58" w:after="0"/>
        <w:ind w:left="0" w:right="0" w:hanging="0"/>
        <w:jc w:val="left"/>
        <w:rPr>
          <w:rFonts w:ascii="Calibri" w:hAnsi="Calibri"/>
          <w:color w:val="000000"/>
          <w:sz w:val="21"/>
        </w:rPr>
      </w:pPr>
      <w:r>
        <w:rPr/>
        <w:t xml:space="preserve"> </w:t>
      </w:r>
    </w:p>
    <w:p>
      <w:pPr>
        <w:pStyle w:val="P68B1DB1Normal105"/>
        <w:widowControl w:val="false"/>
        <w:spacing w:lineRule="exact" w:line="281" w:before="58" w:after="0"/>
        <w:ind w:left="0" w:right="4851" w:hanging="0"/>
        <w:jc w:val="left"/>
        <w:rPr/>
      </w:pPr>
      <w:r>
        <w:rPr>
          <w:rFonts w:ascii="Calibri" w:hAnsi="Calibri"/>
        </w:rPr>
        <w:t>4.</w:t>
      </w:r>
      <w:r>
        <w:rPr/>
        <w:t xml:space="preserve"> </w:t>
      </w:r>
      <w:r>
        <w:rPr>
          <w:rFonts w:ascii="Calibri" w:hAnsi="Calibri"/>
        </w:rPr>
        <w:t>Uzeti u obzir zajedničke značajke i razlike</w:t>
      </w:r>
    </w:p>
    <w:p>
      <w:pPr>
        <w:pStyle w:val="P68B1DB1Normal105"/>
        <w:widowControl w:val="false"/>
        <w:spacing w:lineRule="exact" w:line="281" w:before="58" w:after="0"/>
        <w:ind w:left="0" w:right="4851" w:hanging="0"/>
        <w:jc w:val="left"/>
        <w:rPr/>
      </w:pPr>
      <w:r>
        <w:rPr>
          <w:rFonts w:ascii="Calibri" w:hAnsi="Calibri"/>
        </w:rPr>
        <w:t>5.</w:t>
      </w:r>
      <w:r>
        <w:rPr/>
        <w:t xml:space="preserve"> </w:t>
      </w:r>
      <w:r>
        <w:rPr>
          <w:rFonts w:ascii="Calibri" w:hAnsi="Calibri"/>
        </w:rPr>
        <w:t>Veće iskorištavanje prednosti Europe</w:t>
      </w:r>
    </w:p>
    <w:p>
      <w:pPr>
        <w:pStyle w:val="P68B1DB1Normal105"/>
        <w:widowControl w:val="false"/>
        <w:spacing w:lineRule="exact" w:line="346"/>
        <w:ind w:left="0" w:right="0" w:hanging="0"/>
        <w:jc w:val="left"/>
        <w:rPr/>
      </w:pPr>
      <w:r>
        <w:rPr>
          <w:rFonts w:ascii="Calibri" w:hAnsi="Calibri"/>
        </w:rPr>
        <w:t>6.</w:t>
      </w:r>
      <w:r>
        <w:rPr/>
        <w:t xml:space="preserve"> </w:t>
      </w:r>
      <w:r>
        <w:rPr>
          <w:rFonts w:ascii="Calibri" w:hAnsi="Calibri"/>
        </w:rPr>
        <w:t>Razviti pravedan i jasan porezni sustav</w:t>
      </w:r>
    </w:p>
    <w:p>
      <w:pPr>
        <w:pStyle w:val="P68B1DB1Normal76"/>
        <w:widowControl w:val="false"/>
        <w:spacing w:lineRule="exact" w:line="374"/>
        <w:ind w:left="0" w:right="5338" w:hanging="0"/>
        <w:jc w:val="left"/>
        <w:rPr/>
      </w:pPr>
      <w:r>
        <w:rPr>
          <w:rFonts w:ascii="Calibri" w:hAnsi="Calibri"/>
          <w:sz w:val="21"/>
        </w:rPr>
        <w:t>7.</w:t>
      </w:r>
      <w:r>
        <w:rPr>
          <w:sz w:val="21"/>
        </w:rPr>
        <w:t xml:space="preserve"> </w:t>
      </w:r>
      <w:r>
        <w:rPr>
          <w:rFonts w:ascii="Calibri" w:hAnsi="Calibri"/>
          <w:sz w:val="21"/>
        </w:rPr>
        <w:t xml:space="preserve">Osiguravanje da svi mogu sudjelovati u </w:t>
      </w:r>
      <w:r>
        <w:rPr>
          <w:rFonts w:ascii="Calibri" w:hAnsi="Calibri"/>
          <w:b/>
          <w:i/>
          <w:sz w:val="24"/>
        </w:rPr>
        <w:t xml:space="preserve">europskoj demokraciji </w:t>
      </w:r>
    </w:p>
    <w:p>
      <w:pPr>
        <w:pStyle w:val="P68B1DB1Normal104"/>
        <w:widowControl w:val="false"/>
        <w:spacing w:lineRule="exact" w:line="282" w:before="178" w:after="0"/>
        <w:ind w:left="0" w:right="323" w:hanging="0"/>
        <w:jc w:val="both"/>
        <w:rPr/>
      </w:pPr>
      <w:r>
        <w:rPr/>
        <w:t xml:space="preserve">Nizozemci ne moraju znati sve o Europskoj uniji, ali žele više transparentnosti i više informacija. Na primjer, poznavanje stajališta drugih država članica EU-a može doprinijeti boljem pregledu. Osim toga, Nizozemska smatra da bi EU trebao češće i po mogućnosti trajno surađivati s građanima. U tom je pogledu važno ne samo uzeti u obzir različite interese, već i donositi odluke brže nego što je to trenutačno slučaj. </w:t>
      </w:r>
    </w:p>
    <w:p>
      <w:pPr>
        <w:pStyle w:val="P68B1DB1Normal105"/>
        <w:widowControl w:val="false"/>
        <w:spacing w:lineRule="exact" w:line="346" w:before="58" w:after="0"/>
        <w:ind w:left="0" w:right="0" w:hanging="0"/>
        <w:jc w:val="left"/>
        <w:rPr/>
      </w:pPr>
      <w:r>
        <w:rPr>
          <w:rFonts w:ascii="Calibri" w:hAnsi="Calibri"/>
        </w:rPr>
        <w:t>1.</w:t>
      </w:r>
      <w:r>
        <w:rPr/>
        <w:t xml:space="preserve"> </w:t>
      </w:r>
      <w:r>
        <w:rPr>
          <w:rFonts w:ascii="Calibri" w:hAnsi="Calibri"/>
        </w:rPr>
        <w:t>Davanje boljeg pregleda Europe</w:t>
      </w:r>
    </w:p>
    <w:p>
      <w:pPr>
        <w:pStyle w:val="P68B1DB1Normal105"/>
        <w:widowControl w:val="false"/>
        <w:spacing w:lineRule="exact" w:line="346"/>
        <w:ind w:left="0" w:right="0" w:hanging="0"/>
        <w:jc w:val="left"/>
        <w:rPr/>
      </w:pPr>
      <w:r>
        <w:rPr>
          <w:rFonts w:ascii="Calibri" w:hAnsi="Calibri"/>
        </w:rPr>
        <w:t>2.</w:t>
      </w:r>
      <w:r>
        <w:rPr/>
        <w:t xml:space="preserve"> </w:t>
      </w:r>
      <w:r>
        <w:rPr>
          <w:rFonts w:ascii="Calibri" w:hAnsi="Calibri"/>
        </w:rPr>
        <w:t>Pronađite nove načine za kontinuirano slušanje građana</w:t>
      </w:r>
    </w:p>
    <w:p>
      <w:pPr>
        <w:pStyle w:val="P68B1DB1Normal105"/>
        <w:widowControl w:val="false"/>
        <w:spacing w:lineRule="exact" w:line="281"/>
        <w:ind w:left="0" w:right="1902" w:hanging="0"/>
        <w:jc w:val="left"/>
        <w:rPr/>
      </w:pPr>
      <w:r>
        <w:rPr>
          <w:rFonts w:ascii="Calibri" w:hAnsi="Calibri"/>
        </w:rPr>
        <w:t>3.</w:t>
      </w:r>
      <w:r>
        <w:rPr/>
        <w:t xml:space="preserve"> </w:t>
      </w:r>
      <w:r>
        <w:rPr>
          <w:rFonts w:ascii="Calibri" w:hAnsi="Calibri"/>
        </w:rPr>
        <w:t>Veća transparentnost i jasnoća donesenih odluka</w:t>
      </w:r>
    </w:p>
    <w:p>
      <w:pPr>
        <w:pStyle w:val="P68B1DB1Normal105"/>
        <w:widowControl w:val="false"/>
        <w:spacing w:lineRule="exact" w:line="281"/>
        <w:ind w:left="0" w:right="1902" w:hanging="0"/>
        <w:jc w:val="left"/>
        <w:rPr/>
      </w:pPr>
      <w:r>
        <w:rPr>
          <w:rFonts w:ascii="Calibri" w:hAnsi="Calibri"/>
        </w:rPr>
        <w:t>4.</w:t>
      </w:r>
      <w:r>
        <w:rPr/>
        <w:t xml:space="preserve"> </w:t>
      </w:r>
      <w:r>
        <w:rPr>
          <w:rFonts w:ascii="Calibri" w:hAnsi="Calibri"/>
        </w:rPr>
        <w:t>Osiguravanje da se trnovita pitanja mogu brže riješiti</w:t>
      </w:r>
    </w:p>
    <w:p>
      <w:pPr>
        <w:pStyle w:val="P68B1DB1Normal104"/>
        <w:widowControl w:val="false"/>
        <w:spacing w:lineRule="exact" w:line="339" w:before="60" w:after="0"/>
        <w:ind w:left="0" w:right="0" w:hanging="0"/>
        <w:jc w:val="left"/>
        <w:rPr>
          <w:rFonts w:ascii="Calibri" w:hAnsi="Calibri"/>
          <w:color w:val="000000"/>
          <w:sz w:val="21"/>
        </w:rPr>
      </w:pPr>
      <w:r>
        <w:rPr/>
        <w:t xml:space="preserve"> </w:t>
      </w:r>
    </w:p>
    <w:p>
      <w:pPr>
        <w:pStyle w:val="P68B1DB1Normal108"/>
        <w:widowControl w:val="false"/>
        <w:spacing w:lineRule="exact" w:line="387" w:before="59" w:after="0"/>
        <w:ind w:left="0" w:right="0" w:hanging="0"/>
        <w:jc w:val="left"/>
        <w:rPr>
          <w:rFonts w:ascii="Calibri" w:hAnsi="Calibri"/>
          <w:b/>
          <w:b/>
          <w:i/>
          <w:i/>
          <w:color w:val="000000"/>
          <w:sz w:val="24"/>
        </w:rPr>
      </w:pPr>
      <w:r>
        <w:rPr/>
        <w:t xml:space="preserve">Digitalna transformacija </w:t>
      </w:r>
    </w:p>
    <w:p>
      <w:pPr>
        <w:pStyle w:val="P68B1DB1Normal104"/>
        <w:widowControl w:val="false"/>
        <w:spacing w:lineRule="exact" w:line="282" w:before="178" w:after="0"/>
        <w:ind w:left="0" w:right="54" w:hanging="0"/>
        <w:jc w:val="left"/>
        <w:rPr/>
      </w:pPr>
      <w:r>
        <w:rPr/>
        <w:t xml:space="preserve">Društvo sve više ovisi o internetu, a velike tehnološke tvrtke postaju sve moćnije. To ponekad zabrinjava Nizozemce. Stoga je korisno da EU razvije europska pravila i standarde (privatnosti). Međutim, važno je da svatko može razumjeti i primijeniti ta pravila i standarde. Nizozemci radije primaju potporu i informacije od nacionalnih tijela na svojem jeziku. </w:t>
      </w:r>
    </w:p>
    <w:p>
      <w:pPr>
        <w:pStyle w:val="P68B1DB1Normal104"/>
        <w:widowControl w:val="false"/>
        <w:spacing w:lineRule="exact" w:line="339" w:before="61" w:after="0"/>
        <w:ind w:left="0" w:right="0" w:hanging="0"/>
        <w:jc w:val="left"/>
        <w:rPr>
          <w:rFonts w:ascii="Calibri" w:hAnsi="Calibri"/>
          <w:color w:val="000000"/>
          <w:sz w:val="21"/>
        </w:rPr>
      </w:pPr>
      <w:r>
        <w:rPr/>
        <w:t xml:space="preserve"> </w:t>
      </w:r>
    </w:p>
    <w:p>
      <w:pPr>
        <w:pStyle w:val="P68B1DB1Normal105"/>
        <w:widowControl w:val="false"/>
        <w:spacing w:lineRule="exact" w:line="346"/>
        <w:ind w:left="0" w:right="0" w:hanging="0"/>
        <w:jc w:val="left"/>
        <w:rPr/>
      </w:pPr>
      <w:r>
        <w:rPr>
          <w:rFonts w:ascii="Calibri" w:hAnsi="Calibri"/>
        </w:rPr>
        <w:t>1.</w:t>
      </w:r>
      <w:r>
        <w:rPr/>
        <w:t xml:space="preserve"> </w:t>
      </w:r>
      <w:r>
        <w:rPr>
          <w:rFonts w:ascii="Calibri" w:hAnsi="Calibri"/>
        </w:rPr>
        <w:t>Osiguravanje brzog, sigurnog i stabilnog interneta svugdje</w:t>
      </w:r>
    </w:p>
    <w:p>
      <w:pPr>
        <w:pStyle w:val="P68B1DB1Normal105"/>
        <w:widowControl w:val="false"/>
        <w:spacing w:lineRule="exact" w:line="346"/>
        <w:ind w:left="0" w:right="0" w:hanging="0"/>
        <w:jc w:val="left"/>
        <w:rPr/>
      </w:pPr>
      <w:r>
        <w:rPr>
          <w:rFonts w:ascii="Calibri" w:hAnsi="Calibri"/>
        </w:rPr>
        <w:t>2.</w:t>
      </w:r>
      <w:r>
        <w:rPr/>
        <w:t xml:space="preserve"> </w:t>
      </w:r>
      <w:r>
        <w:rPr>
          <w:rFonts w:ascii="Calibri" w:hAnsi="Calibri"/>
        </w:rPr>
        <w:t>Utvrđivanje jasnih pravila i standarda za internetska poduzeća</w:t>
      </w:r>
    </w:p>
    <w:p>
      <w:pPr>
        <w:pStyle w:val="P68B1DB1Normal105"/>
        <w:widowControl w:val="false"/>
        <w:spacing w:lineRule="exact" w:line="346"/>
        <w:ind w:left="0" w:right="0" w:hanging="0"/>
        <w:jc w:val="left"/>
        <w:rPr/>
      </w:pPr>
      <w:r>
        <w:rPr>
          <w:rFonts w:ascii="Calibri" w:hAnsi="Calibri"/>
        </w:rPr>
        <w:t>3.</w:t>
      </w:r>
      <w:r>
        <w:rPr/>
        <w:t xml:space="preserve"> </w:t>
      </w:r>
      <w:r>
        <w:rPr>
          <w:rFonts w:ascii="Calibri" w:hAnsi="Calibri"/>
        </w:rPr>
        <w:t>Dodavanje provedbe i praktičnih objašnjenja pravila o privatnosti</w:t>
      </w:r>
    </w:p>
    <w:p>
      <w:pPr>
        <w:pStyle w:val="P68B1DB1Normal19"/>
        <w:widowControl w:val="false"/>
        <w:spacing w:lineRule="exact" w:line="388"/>
        <w:ind w:left="284" w:right="0" w:hanging="0"/>
        <w:jc w:val="left"/>
        <w:rPr>
          <w:rFonts w:ascii="Times New Roman" w:hAnsi="Times New Roman"/>
          <w:color w:val="000000"/>
          <w:sz w:val="24"/>
        </w:rPr>
      </w:pPr>
      <w:r>
        <w:rPr/>
        <w:t xml:space="preserve"> </w:t>
      </w:r>
    </w:p>
    <w:p>
      <w:pPr>
        <w:pStyle w:val="P68B1DB1Normal108"/>
        <w:widowControl w:val="false"/>
        <w:spacing w:lineRule="exact" w:line="387" w:before="30" w:after="0"/>
        <w:ind w:left="0" w:right="0" w:hanging="0"/>
        <w:jc w:val="left"/>
        <w:rPr>
          <w:rFonts w:ascii="Calibri" w:hAnsi="Calibri"/>
          <w:b/>
          <w:b/>
          <w:i/>
          <w:i/>
          <w:color w:val="000000"/>
          <w:sz w:val="24"/>
        </w:rPr>
      </w:pPr>
      <w:r>
        <w:rPr/>
        <w:t xml:space="preserve">Obrazovanje, kultura, mladi i sport </w:t>
      </w:r>
    </w:p>
    <w:p>
      <w:pPr>
        <w:pStyle w:val="P68B1DB1Normal104"/>
        <w:widowControl w:val="false"/>
        <w:spacing w:lineRule="exact" w:line="282" w:before="178" w:after="0"/>
        <w:ind w:left="0" w:right="166" w:hanging="0"/>
        <w:jc w:val="left"/>
        <w:rPr/>
      </w:pPr>
      <w:r>
        <w:rPr/>
        <w:t>Mladi koji studiraju u inozemstvu trebali bi moći naučiti više od zemlje domaćina nego</w:t>
      </w:r>
      <w:r>
        <w:rPr/>
        <w:commentReference w:id="21"/>
      </w:r>
      <w:r>
        <w:rPr/>
        <w:t xml:space="preserve"> danas. A zemlje s nižom razinom znanja ne bi smjele izgubiti sve svoje talente koji odlaze u inozemstvo. Nizozemska smatra da su teme kao što su kultura i zlostavljanje u sportu pitanja koja bi trebala biti odgovornost samih država članica. I smatraju da je vrlo važno imati vlastiti nacionalni jezik. Općenito, u Europi, svaka osoba mora se prije svega osjećati slobodno i biti sposobna biti sama. </w:t>
      </w:r>
    </w:p>
    <w:p>
      <w:pPr>
        <w:pStyle w:val="P68B1DB1Normal104"/>
        <w:widowControl w:val="false"/>
        <w:spacing w:lineRule="exact" w:line="339" w:before="61" w:after="0"/>
        <w:ind w:left="0" w:right="0" w:hanging="0"/>
        <w:jc w:val="left"/>
        <w:rPr>
          <w:rFonts w:ascii="Calibri" w:hAnsi="Calibri"/>
          <w:color w:val="000000"/>
          <w:sz w:val="21"/>
        </w:rPr>
      </w:pPr>
      <w:r>
        <w:rPr/>
        <w:t xml:space="preserve"> </w:t>
      </w:r>
    </w:p>
    <w:p>
      <w:pPr>
        <w:pStyle w:val="P68B1DB1Normal105"/>
        <w:widowControl w:val="false"/>
        <w:spacing w:lineRule="exact" w:line="346" w:before="55" w:after="0"/>
        <w:ind w:left="0" w:right="0" w:hanging="0"/>
        <w:jc w:val="left"/>
        <w:rPr/>
      </w:pPr>
      <w:r>
        <w:rPr>
          <w:rFonts w:ascii="Calibri" w:hAnsi="Calibri"/>
        </w:rPr>
        <w:t>1.</w:t>
      </w:r>
      <w:r>
        <w:rPr/>
        <w:t xml:space="preserve"> </w:t>
      </w:r>
      <w:r>
        <w:rPr>
          <w:rFonts w:ascii="Calibri" w:hAnsi="Calibri"/>
        </w:rPr>
        <w:t>Poticanje studenata na inteligentno studiranje u inozemstvu</w:t>
      </w:r>
    </w:p>
    <w:p>
      <w:pPr>
        <w:pStyle w:val="P68B1DB1Normal105"/>
        <w:widowControl w:val="false"/>
        <w:spacing w:lineRule="exact" w:line="346"/>
        <w:ind w:left="0" w:right="0" w:hanging="0"/>
        <w:jc w:val="left"/>
        <w:rPr/>
      </w:pPr>
      <w:r>
        <w:rPr>
          <w:rFonts w:ascii="Calibri" w:hAnsi="Calibri"/>
        </w:rPr>
        <w:t>2.</w:t>
      </w:r>
      <w:r>
        <w:rPr/>
        <w:t xml:space="preserve"> </w:t>
      </w:r>
      <w:r>
        <w:rPr>
          <w:rFonts w:ascii="Calibri" w:hAnsi="Calibri"/>
        </w:rPr>
        <w:t>Omogućiti državama članicama da se usredotoče na teme kao što su kultura i sport</w:t>
      </w:r>
    </w:p>
    <w:p>
      <w:pPr>
        <w:pStyle w:val="Normal"/>
        <w:widowControl w:val="false"/>
        <w:spacing w:lineRule="exact" w:line="346"/>
        <w:ind w:left="1" w:right="0" w:hanging="0"/>
        <w:jc w:val="left"/>
        <w:rPr/>
      </w:pPr>
      <w:r>
        <w:rPr>
          <w:rFonts w:ascii="Calibri" w:hAnsi="Calibri"/>
          <w:color w:val="000000"/>
          <w:sz w:val="21"/>
        </w:rPr>
        <w:t>3.</w:t>
      </w:r>
      <w:r>
        <w:rPr>
          <w:color w:val="000000"/>
          <w:sz w:val="21"/>
        </w:rPr>
        <w:t xml:space="preserve"> </w:t>
      </w:r>
      <w:r>
        <w:rPr>
          <w:rFonts w:ascii="Calibri" w:hAnsi="Calibri"/>
          <w:color w:val="000000"/>
          <w:sz w:val="21"/>
        </w:rPr>
        <w:t>Osigurati da se Europljani bolje upoznaju i da se međusobno poštuju</w:t>
      </w:r>
      <w:r>
        <w:rPr>
          <w:color w:val="000000"/>
          <w:sz w:val="21"/>
        </w:rPr>
        <w:t xml:space="preserve"> </w:t>
      </w:r>
      <w:r>
        <w:br w:type="page"/>
      </w:r>
    </w:p>
    <w:p>
      <w:pPr>
        <w:pStyle w:val="P68B1DB1Normal109"/>
        <w:rPr>
          <w:rFonts w:ascii="Calibri" w:hAnsi="Calibri"/>
          <w:b/>
          <w:b/>
          <w:i/>
          <w:i/>
          <w:color w:val="000000"/>
          <w:sz w:val="32"/>
        </w:rPr>
      </w:pPr>
      <w:r>
        <w:rPr/>
        <w:t xml:space="preserve">Uvod </w:t>
      </w:r>
    </w:p>
    <w:p>
      <w:pPr>
        <w:pStyle w:val="P68B1DB1Normal110"/>
        <w:widowControl w:val="false"/>
        <w:spacing w:lineRule="exact" w:line="274" w:before="31" w:after="0"/>
        <w:ind w:left="0" w:right="113" w:hanging="0"/>
        <w:jc w:val="left"/>
        <w:rPr/>
      </w:pPr>
      <w:r>
        <w:rPr>
          <w:sz w:val="21"/>
        </w:rPr>
        <w:t xml:space="preserve">Dijalog s građanima „Vizija Europe”, održan od 1. rujna do sredine studenoga, omogućio je svim Nizozemcima da izraze svoja mišljenja i ideje o budućnosti Europe. Nizozemska Europskoj uniji (EU) predstavlja preporuke na kojima se dijalog temelji, kao i iznesene ideje i stajališta. U ovom se izvješću usredotočujemo na prvih pet tema. Ostale četiri teme bit će obrađene u predstojećem izvješću početkom 2022. </w:t>
      </w:r>
      <w:r>
        <w:rPr>
          <w:b/>
          <w:i/>
          <w:sz w:val="24"/>
        </w:rPr>
        <w:t>O viziji Europe</w:t>
      </w:r>
    </w:p>
    <w:p>
      <w:pPr>
        <w:pStyle w:val="P68B1DB1Normal104"/>
        <w:widowControl w:val="false"/>
        <w:spacing w:lineRule="exact" w:line="257" w:before="34" w:after="0"/>
        <w:ind w:left="0" w:right="200" w:hanging="0"/>
        <w:jc w:val="left"/>
        <w:rPr/>
      </w:pPr>
      <w:r>
        <w:rPr/>
        <w:t xml:space="preserve">Europska unija želi da njezini građani dijele mišljenje o Europi. Zato EU organizira Konferenciju o budućnosti Europe. Mišljenja i ideje građana diljem Europske unije potom će se uključiti u planove za budućnost Europe. Nizozemska je u sklopu konferencije organizirala dijalog s građanima „Vizija Europe” na nacionalnoj razini. </w:t>
      </w:r>
    </w:p>
    <w:p>
      <w:pPr>
        <w:pStyle w:val="P68B1DB1Normal104"/>
        <w:widowControl w:val="false"/>
        <w:spacing w:lineRule="exact" w:line="339" w:before="34" w:after="0"/>
        <w:ind w:left="0" w:right="0" w:hanging="0"/>
        <w:jc w:val="left"/>
        <w:rPr>
          <w:rFonts w:ascii="Calibri" w:hAnsi="Calibri"/>
          <w:color w:val="000000"/>
          <w:sz w:val="21"/>
        </w:rPr>
      </w:pPr>
      <w:r>
        <w:rPr/>
        <w:t xml:space="preserve"> </w:t>
      </w:r>
    </w:p>
    <w:p>
      <w:pPr>
        <w:pStyle w:val="P68B1DB1Normal104"/>
        <w:widowControl w:val="false"/>
        <w:spacing w:lineRule="exact" w:line="257" w:before="32" w:after="0"/>
        <w:ind w:left="0" w:right="109" w:hanging="0"/>
        <w:jc w:val="left"/>
        <w:rPr/>
      </w:pPr>
      <w:r>
        <w:rPr/>
        <w:t xml:space="preserve">Dijalog o viziji Europe započeo je 1. rujna internetskim prikupljanjem mišljenja i ideja anketom reprezentativnog panela. Kako bi se produbili početni rezultati panel-ispitivanja i dale konkretne preporuke, Sud je organizirao tematske internetske dijaloge. Svatko tko želi sudjelovati može sudjelovati. Putovali smo i po zemlji kako bismo održali razgovore s mladima i drugim skupinama (teško ih je doprijeti). </w:t>
      </w:r>
    </w:p>
    <w:p>
      <w:pPr>
        <w:pStyle w:val="P68B1DB1Normal111"/>
        <w:widowControl w:val="false"/>
        <w:spacing w:lineRule="exact" w:line="269" w:before="28" w:after="0"/>
        <w:ind w:left="0" w:right="113" w:hanging="0"/>
        <w:jc w:val="left"/>
        <w:rPr/>
      </w:pPr>
      <w:r>
        <w:rPr/>
        <w:t xml:space="preserve">Od školske djece, učenika strukovnih srednjih škola i učenika do ministra, poljoprivrednika i migranata </w:t>
      </w:r>
    </w:p>
    <w:p>
      <w:pPr>
        <w:pStyle w:val="P68B1DB1Normal104"/>
        <w:widowControl w:val="false"/>
        <w:spacing w:lineRule="exact" w:line="257" w:before="26" w:after="0"/>
        <w:ind w:left="0" w:right="44" w:hanging="0"/>
        <w:jc w:val="left"/>
        <w:rPr/>
      </w:pPr>
      <w:r>
        <w:rPr/>
        <w:t xml:space="preserve">U listopadu i studenome održano je ukupno osam tematskih dijaloga na internetu, u prosjeku 30 sudionika po sastanku. Organizirali smo i tematski dijalog na internetu i sedam tematskih dijaloga na licu mjesta s različitim skupinama nizozemskih građana. Razgovarali smo s turskom zajednicom u Schiedamu i pozvani su volonteri Zaklade Piëzo u Zoetermeer. Posljednji put ministar vanjskih poslova Ben Knapen također je bio nazočan na kraju dijaloga. Ministar je sa sudionicima razgovarao o dijalogu i izraženim stajalištima o budućnosti Europe. Na kraju smo organizirali šest sastanaka s različitim skupinama mladih. Na primjer, bili smo dobrodošli u srednju školu u Helmondu, strukovnu srednju školu u Doetinchemu i Sveučilište u Leidenu. </w:t>
      </w:r>
    </w:p>
    <w:p>
      <w:pPr>
        <w:pStyle w:val="P68B1DB1Normal112"/>
        <w:widowControl w:val="false"/>
        <w:spacing w:lineRule="exact" w:line="260" w:before="31" w:after="0"/>
        <w:ind w:left="0" w:right="0" w:hanging="0"/>
        <w:jc w:val="left"/>
        <w:rPr>
          <w:rFonts w:ascii="Times New Roman" w:hAnsi="Times New Roman"/>
          <w:color w:val="000000"/>
          <w:sz w:val="16"/>
        </w:rPr>
      </w:pPr>
      <w:r>
        <w:rPr/>
        <w:t xml:space="preserve"> </w:t>
      </w:r>
    </w:p>
    <w:p>
      <w:pPr>
        <w:pStyle w:val="P68B1DB1Normal113"/>
        <w:widowControl w:val="false"/>
        <w:spacing w:lineRule="exact" w:line="319" w:before="28" w:after="0"/>
        <w:ind w:left="883" w:right="888" w:hanging="0"/>
        <w:jc w:val="center"/>
        <w:rPr/>
      </w:pPr>
      <w:r>
        <w:rPr/>
        <w:t xml:space="preserve">Uvijek volim izraziti svoje mišljenje ispred aparata za kavu. Zato sam mislio da moram sudjelovati. </w:t>
      </w:r>
    </w:p>
    <w:p>
      <w:pPr>
        <w:pStyle w:val="P68B1DB1Normal110"/>
        <w:widowControl w:val="false"/>
        <w:spacing w:lineRule="exact" w:line="346" w:before="41" w:after="0"/>
        <w:ind w:left="0" w:right="6639" w:hanging="0"/>
        <w:jc w:val="left"/>
        <w:rPr/>
      </w:pPr>
      <w:r>
        <w:rPr>
          <w:sz w:val="21"/>
        </w:rPr>
        <w:t xml:space="preserve">Sudionik u tematskom </w:t>
      </w:r>
      <w:r>
        <w:rPr>
          <w:b/>
          <w:i/>
          <w:sz w:val="24"/>
        </w:rPr>
        <w:t xml:space="preserve">dijalogu o ovom izvješću </w:t>
      </w:r>
    </w:p>
    <w:p>
      <w:pPr>
        <w:pStyle w:val="P68B1DB1Normal104"/>
        <w:widowControl w:val="false"/>
        <w:spacing w:lineRule="exact" w:line="257" w:before="178" w:after="0"/>
        <w:ind w:left="0" w:right="56" w:hanging="0"/>
        <w:jc w:val="left"/>
        <w:rPr/>
      </w:pPr>
      <w:r>
        <w:rPr/>
        <w:t xml:space="preserve">Na temelju ideja i mišljenja koje smo prikupili posljednjih mjeseci sastavili smo niz preporuka koje nizozemski građani daju Europskoj uniji. Tijekom rasprava među nizozemskim građanima održane su zanimljive razmjene mišljenja i iznesene su inovativne ideje. Prijedlozi su također izneseni putem panela i javne istrage. Neke od tih ideja uključene su u ovo izvješće. Stoga je sadržaj ovog izvješća glas Nizozemske: naša vizija Europe. </w:t>
      </w:r>
    </w:p>
    <w:p>
      <w:pPr>
        <w:pStyle w:val="P68B1DB1Normal104"/>
        <w:widowControl w:val="false"/>
        <w:spacing w:lineRule="exact" w:line="339" w:before="34" w:after="0"/>
        <w:ind w:left="0" w:right="0" w:hanging="0"/>
        <w:jc w:val="left"/>
        <w:rPr>
          <w:rFonts w:ascii="Calibri" w:hAnsi="Calibri"/>
          <w:color w:val="000000"/>
          <w:sz w:val="21"/>
        </w:rPr>
      </w:pPr>
      <w:r>
        <w:rPr/>
        <w:t xml:space="preserve"> </w:t>
      </w:r>
    </w:p>
    <w:p>
      <w:pPr>
        <w:pStyle w:val="Normal"/>
        <w:widowControl w:val="false"/>
        <w:spacing w:lineRule="exact" w:line="256" w:before="32" w:after="0"/>
        <w:ind w:left="0" w:right="16" w:hanging="0"/>
        <w:jc w:val="left"/>
        <w:rPr/>
      </w:pPr>
      <w:r>
        <w:rPr>
          <w:rFonts w:ascii="Calibri" w:hAnsi="Calibri"/>
          <w:color w:val="000000"/>
          <w:sz w:val="21"/>
        </w:rPr>
        <w:t xml:space="preserve">Kao što postoje razlike u stajalištima između zemalja i europskih građana, ni u Nizozemskoj se ne slažemo uvijek jedni s drugima. Ove razlike u stavovima, upravo, su vrijedne: to je važno obilježje demokracije. Preporuke se temelje na najčešće izraženim idejama i mišljenjima sudionika ankete Vision of Europe. Također opisujemo zabrinutosti, ideje i osjećaje koji mogu biti manje rašireni, ali koji su nam privukli pozornost tijekom dijaloga i online ankete. </w:t>
      </w:r>
      <w:r>
        <w:br w:type="page"/>
      </w:r>
    </w:p>
    <w:p>
      <w:pPr>
        <w:pStyle w:val="P68B1DB1Normal113"/>
        <w:spacing w:lineRule="auto" w:line="240"/>
        <w:rPr/>
      </w:pPr>
      <w:r>
        <w:rPr/>
        <w:t xml:space="preserve">Bilo je lijepo razgovarati u malim skupinama s navijačima i protivnicima. To je vrlo različito od načina na koji se rasprave obično odvijaju na društvenim mrežama. </w:t>
      </w:r>
    </w:p>
    <w:p>
      <w:pPr>
        <w:pStyle w:val="P68B1DB1Normal76"/>
        <w:widowControl w:val="false"/>
        <w:spacing w:lineRule="auto" w:line="240" w:before="267" w:after="0"/>
        <w:ind w:left="0" w:right="0" w:hanging="0"/>
        <w:jc w:val="left"/>
        <w:rPr/>
      </w:pPr>
      <w:r>
        <w:rPr>
          <w:rFonts w:ascii="Calibri" w:hAnsi="Calibri"/>
          <w:sz w:val="21"/>
        </w:rPr>
        <w:t>Sudionik u tematskom dijalogu</w:t>
      </w:r>
      <w:r>
        <w:rPr>
          <w:rFonts w:ascii="Times New Roman" w:hAnsi="Times New Roman"/>
          <w:sz w:val="24"/>
        </w:rPr>
        <w:t xml:space="preserve"> </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P68B1DB1Normal104"/>
        <w:widowControl w:val="false"/>
        <w:spacing w:lineRule="auto" w:line="240"/>
        <w:ind w:left="0" w:right="54" w:hanging="0"/>
        <w:jc w:val="left"/>
        <w:rPr/>
      </w:pPr>
      <w:r>
        <w:rPr/>
        <w:t xml:space="preserve">Za Konferenciju o budućnosti Europe utvrđeno je devet tema. Te su teme također u središtu dijaloga o viziji Europe s nizozemskim građanima. Sud je u listopadu objavio privremeno izvješće s početnim pregledom rezultata i komplementarnim pitanjima na temelju ankete panela. U ovom drugom izvješću iznosimo mišljenja, ideje i preporuke o prvih pet tema za plenarnu sjednicu Konferencije o budućnosti Europe u prosincu. Sljedeće izvješće, koje će se baviti četiri preostale teme, bit će objavljeno sredinom siječnja. </w:t>
      </w:r>
    </w:p>
    <w:p>
      <w:pPr>
        <w:pStyle w:val="Normal"/>
        <w:rPr/>
      </w:pPr>
      <w:r>
        <w:rPr/>
        <w:t xml:space="preserve">Tekuće izvješće – prosinac 2021. </w:t>
      </w:r>
    </w:p>
    <w:p>
      <w:pPr>
        <w:pStyle w:val="P68B1DB1Normal105"/>
        <w:widowControl w:val="false"/>
        <w:spacing w:lineRule="auto" w:line="240" w:before="125" w:after="0"/>
        <w:ind w:left="0" w:right="0" w:hanging="0"/>
        <w:jc w:val="left"/>
        <w:rPr/>
      </w:pPr>
      <w:r>
        <w:rPr>
          <w:rFonts w:ascii="Verdana" w:hAnsi="Verdana"/>
        </w:rPr>
        <w:t>•</w:t>
      </w:r>
      <w:r>
        <w:rPr/>
        <w:t xml:space="preserve"> </w:t>
      </w:r>
      <w:r>
        <w:rPr>
          <w:rFonts w:ascii="Calibri" w:hAnsi="Calibri"/>
        </w:rPr>
        <w:t xml:space="preserve">Vrijednosti i prava, vladavina prava i sigurnost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Snažnije gospodarstvo, socijalna pravda i zapošljavanje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Europska demokracija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Digitalna transformacija </w:t>
      </w:r>
    </w:p>
    <w:p>
      <w:pPr>
        <w:pStyle w:val="P68B1DB1Normal105"/>
        <w:widowControl w:val="false"/>
        <w:spacing w:lineRule="auto" w:line="240" w:before="5" w:after="0"/>
        <w:ind w:left="0" w:right="0" w:hanging="0"/>
        <w:jc w:val="left"/>
        <w:rPr/>
      </w:pPr>
      <w:r>
        <w:rPr>
          <w:rFonts w:ascii="Verdana" w:hAnsi="Verdana"/>
        </w:rPr>
        <w:t>•</w:t>
      </w:r>
      <w:r>
        <w:rPr/>
        <w:t xml:space="preserve"> </w:t>
      </w:r>
      <w:r>
        <w:rPr>
          <w:rFonts w:ascii="Calibri" w:hAnsi="Calibri"/>
        </w:rPr>
        <w:t xml:space="preserve">Obrazovanje, kultura, mladi i sport </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P68B1DB1Normal69"/>
        <w:widowControl w:val="false"/>
        <w:spacing w:lineRule="auto" w:line="240"/>
        <w:ind w:left="0" w:right="0" w:hanging="0"/>
        <w:jc w:val="left"/>
        <w:rPr>
          <w:rFonts w:ascii="Calibri" w:hAnsi="Calibri"/>
          <w:b/>
          <w:b/>
          <w:color w:val="000000"/>
          <w:sz w:val="20"/>
        </w:rPr>
      </w:pPr>
      <w:r>
        <w:rPr/>
        <w:t xml:space="preserve">Sljedeće izvješće – siječanj 2022.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Klimatske promjene i okoliš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Migracija </w:t>
      </w:r>
    </w:p>
    <w:p>
      <w:pPr>
        <w:pStyle w:val="P68B1DB1Normal105"/>
        <w:widowControl w:val="false"/>
        <w:spacing w:lineRule="auto" w:line="240" w:before="5" w:after="0"/>
        <w:ind w:left="0" w:right="0" w:hanging="0"/>
        <w:jc w:val="left"/>
        <w:rPr/>
      </w:pPr>
      <w:r>
        <w:rPr>
          <w:rFonts w:ascii="Verdana" w:hAnsi="Verdana"/>
        </w:rPr>
        <w:t>•</w:t>
      </w:r>
      <w:r>
        <w:rPr/>
        <w:t xml:space="preserve"> </w:t>
      </w:r>
      <w:r>
        <w:rPr>
          <w:rFonts w:ascii="Calibri" w:hAnsi="Calibri"/>
        </w:rPr>
        <w:t xml:space="preserve">Zdravlje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EU u svijetu </w:t>
      </w:r>
    </w:p>
    <w:p>
      <w:pPr>
        <w:pStyle w:val="P68B1DB1Normal108"/>
        <w:widowControl w:val="false"/>
        <w:spacing w:lineRule="auto" w:line="240" w:before="35" w:after="0"/>
        <w:ind w:left="0" w:right="0" w:hanging="0"/>
        <w:jc w:val="left"/>
        <w:rPr>
          <w:rFonts w:ascii="Calibri" w:hAnsi="Calibri"/>
          <w:b/>
          <w:b/>
          <w:i/>
          <w:i/>
          <w:color w:val="000000"/>
          <w:sz w:val="24"/>
        </w:rPr>
      </w:pPr>
      <w:r>
        <w:rPr/>
        <w:t xml:space="preserve">Sljedeći koraci </w:t>
      </w:r>
    </w:p>
    <w:p>
      <w:pPr>
        <w:pStyle w:val="P68B1DB1Normal105"/>
        <w:widowControl w:val="false"/>
        <w:spacing w:lineRule="auto" w:line="240" w:before="125" w:after="0"/>
        <w:ind w:left="0" w:right="0" w:hanging="0"/>
        <w:jc w:val="left"/>
        <w:rPr/>
      </w:pPr>
      <w:r>
        <w:rPr>
          <w:rFonts w:ascii="Verdana" w:hAnsi="Verdana"/>
        </w:rPr>
        <w:t>•</w:t>
      </w:r>
      <w:r>
        <w:rPr/>
        <w:t xml:space="preserve"> </w:t>
      </w:r>
      <w:r>
        <w:rPr>
          <w:rFonts w:ascii="Calibri" w:hAnsi="Calibri"/>
        </w:rPr>
        <w:t xml:space="preserve">Konferencija o budućnosti Europe objedinjuje ideje, mišljenja i preporuke svih građana EU-a. Sastanci će biti posvećeni ne samo rezultatima svih dijaloga s građanima na nacionalnoj razini, nego i rezultatima drugih inicijativa pokrenutih u kontekstu konferencije. Na primjer, tu su i paneli europskih građana, a svi građani EU-a (uključujući nizozemske građane) mogu pristupiti europskoj digitalnoj platformi. </w:t>
      </w:r>
    </w:p>
    <w:p>
      <w:pPr>
        <w:pStyle w:val="P68B1DB1Normal113"/>
        <w:widowControl w:val="false"/>
        <w:spacing w:lineRule="auto" w:line="240" w:before="203" w:after="0"/>
        <w:ind w:left="1080" w:right="1083" w:hanging="0"/>
        <w:jc w:val="center"/>
        <w:rPr/>
      </w:pPr>
      <w:r>
        <w:rPr/>
        <w:t>„</w:t>
      </w:r>
      <w:r>
        <w:rPr/>
        <w:t xml:space="preserve">Dobro je što EU preuzima tu inicijativu. Nadam se da će rezultati zaista biti uzeti u obzir. </w:t>
      </w:r>
    </w:p>
    <w:p>
      <w:pPr>
        <w:pStyle w:val="P68B1DB1Normal104"/>
        <w:widowControl w:val="false"/>
        <w:spacing w:lineRule="auto" w:line="240" w:before="307" w:after="0"/>
        <w:ind w:left="0" w:right="0" w:hanging="0"/>
        <w:jc w:val="left"/>
        <w:rPr>
          <w:rFonts w:ascii="Calibri" w:hAnsi="Calibri"/>
          <w:color w:val="000000"/>
          <w:sz w:val="21"/>
        </w:rPr>
      </w:pPr>
      <w:r>
        <w:rPr/>
        <w:t xml:space="preserve">Sudionik u tematskom dijalogu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Konferencija će završiti u proljeće 2022. Nizozemska će zatim sastaviti završno izvješće o dijalogu s građanima: kompilaciju ovog izvješća i sljedećeg izvješća (uključujući druge teme). Nakon konferencije, predsjedniku Konferencije dat će se preporuke: predsjednici Europskog parlamenta, Vijeća ministara i Europske komisije. Obvezali su se istražiti načine i načine provedbe preporuka. Za nizozemsku vladu rezultati su također vrijedan doprinos razvoju europskih politika Nizozemske. </w:t>
      </w:r>
    </w:p>
    <w:p>
      <w:pPr>
        <w:pStyle w:val="Normal"/>
        <w:widowControl w:val="false"/>
        <w:spacing w:lineRule="auto" w:line="240"/>
        <w:ind w:left="0" w:right="0" w:hanging="0"/>
        <w:jc w:val="left"/>
        <w:rPr/>
      </w:pPr>
      <w:r>
        <w:rPr>
          <w:rFonts w:ascii="Verdana" w:hAnsi="Verdana"/>
          <w:color w:val="000000"/>
          <w:sz w:val="21"/>
        </w:rPr>
        <w:t>•</w:t>
      </w:r>
      <w:r>
        <w:rPr>
          <w:color w:val="000000"/>
          <w:sz w:val="21"/>
        </w:rPr>
        <w:t xml:space="preserve"> </w:t>
      </w:r>
      <w:r>
        <w:rPr>
          <w:rFonts w:ascii="Calibri" w:hAnsi="Calibri"/>
          <w:color w:val="000000"/>
          <w:sz w:val="21"/>
        </w:rPr>
        <w:t xml:space="preserve">Ukratko, postupak do proljeća 2022. organizirat će se na sljedeći način: </w:t>
      </w:r>
      <w:r>
        <w:br w:type="page"/>
      </w:r>
    </w:p>
    <w:p>
      <w:pPr>
        <w:pStyle w:val="P68B1DB1Normal107"/>
        <w:spacing w:lineRule="auto" w:line="240"/>
        <w:rPr/>
      </w:pPr>
      <w:r>
        <w:rPr/>
        <w:t xml:space="preserve">Kronologija </w:t>
      </w:r>
    </w:p>
    <w:p>
      <w:pPr>
        <w:pStyle w:val="P68B1DB1Normal114"/>
        <w:spacing w:lineRule="auto" w:line="240"/>
        <w:rPr/>
      </w:pPr>
      <w:r>
        <w:rPr/>
        <w:t xml:space="preserve">Vizija Europe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675"/>
        <w:gridCol w:w="1633"/>
        <w:gridCol w:w="39"/>
        <w:gridCol w:w="840"/>
        <w:gridCol w:w="719"/>
        <w:gridCol w:w="1480"/>
        <w:gridCol w:w="411"/>
        <w:gridCol w:w="410"/>
        <w:gridCol w:w="1286"/>
        <w:gridCol w:w="564"/>
        <w:gridCol w:w="1580"/>
      </w:tblGrid>
      <w:tr>
        <w:trPr>
          <w:trHeight w:val="851"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Prvih sedam.</w:t>
            </w:r>
          </w:p>
        </w:tc>
        <w:tc>
          <w:tcPr>
            <w:tcW w:w="16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12. listopada</w:t>
            </w:r>
          </w:p>
        </w:tc>
        <w:tc>
          <w:tcPr>
            <w:tcW w:w="87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22. i 23. listopada</w:t>
            </w:r>
          </w:p>
        </w:tc>
        <w:tc>
          <w:tcPr>
            <w:tcW w:w="7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15. studenog.</w:t>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17./18. prosinca</w:t>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21./22. siječnja</w:t>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22./24. travnja</w:t>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r>
      <w:tr>
        <w:trPr>
          <w:trHeight w:val="581" w:hRule="atLeast"/>
        </w:trPr>
        <w:tc>
          <w:tcPr>
            <w:tcW w:w="3906" w:type="dxa"/>
            <w:gridSpan w:val="5"/>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Prikupljanje ideja na internetu</w:t>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r>
      <w:tr>
        <w:trPr>
          <w:trHeight w:val="56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3231" w:type="dxa"/>
            <w:gridSpan w:val="4"/>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Tematski dijalozi</w:t>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r>
      <w:tr>
        <w:trPr>
          <w:trHeight w:val="167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6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87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Međurezultati (srednje izvješće)</w:t>
            </w:r>
          </w:p>
        </w:tc>
        <w:tc>
          <w:tcPr>
            <w:tcW w:w="7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Privremeno izvješće o „ekonomiji” i „demokraciji”</w:t>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Privremeno izvješće o klimi i EU-u u svijetu</w:t>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Završno izvješće „Naša vizija za Europu”</w:t>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r>
      <w:tr>
        <w:trPr>
          <w:trHeight w:val="56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6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87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t xml:space="preserve">ŠTO JE TO? </w:t>
            </w:r>
          </w:p>
        </w:tc>
        <w:tc>
          <w:tcPr>
            <w:tcW w:w="7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t xml:space="preserve">ŠTO JE TO? </w:t>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t xml:space="preserve">ŠTO JE TO? </w:t>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t xml:space="preserve">ŠTO JE TO? </w:t>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r>
      <w:tr>
        <w:trPr>
          <w:trHeight w:val="209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6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87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Sastanak Konferencije</w:t>
            </w:r>
          </w:p>
        </w:tc>
        <w:tc>
          <w:tcPr>
            <w:tcW w:w="7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Sastanak Konferencije</w:t>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Sastanak Konferencije</w:t>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Zatvaranje konferencije</w:t>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t xml:space="preserve">→ </w:t>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 xml:space="preserve">Preporuke za predsjednike </w:t>
              <w:br/>
              <w:t xml:space="preserve">• Europski parlament </w:t>
              <w:br/>
              <w:t xml:space="preserve">• Europska komisija </w:t>
              <w:br/>
              <w:t>• Vijeće ministara</w:t>
            </w:r>
          </w:p>
        </w:tc>
      </w:tr>
      <w:tr>
        <w:trPr>
          <w:trHeight w:val="56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6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87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7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t xml:space="preserve">↑ </w:t>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t xml:space="preserve">↑ </w:t>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t xml:space="preserve">↑ </w:t>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r>
      <w:tr>
        <w:trPr>
          <w:trHeight w:val="56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8962" w:type="dxa"/>
            <w:gridSpan w:val="10"/>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Više mišljenja i ideja o budućnosti Europe:</w:t>
            </w:r>
          </w:p>
        </w:tc>
      </w:tr>
      <w:tr>
        <w:trPr>
          <w:trHeight w:val="851" w:hRule="atLeast"/>
        </w:trPr>
        <w:tc>
          <w:tcPr>
            <w:tcW w:w="234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Dijalozi s građanima</w:t>
            </w:r>
          </w:p>
        </w:tc>
        <w:tc>
          <w:tcPr>
            <w:tcW w:w="8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2610"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Europski paneli građana i građanki</w:t>
            </w:r>
          </w:p>
        </w:tc>
        <w:tc>
          <w:tcPr>
            <w:tcW w:w="3840" w:type="dxa"/>
            <w:gridSpan w:val="4"/>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Europska digitalna platforma (također za nizozemske građane)</w:t>
            </w:r>
          </w:p>
        </w:tc>
      </w:tr>
    </w:tbl>
    <w:p>
      <w:pPr>
        <w:pStyle w:val="Normal"/>
        <w:spacing w:lineRule="auto" w:line="240"/>
        <w:rPr/>
      </w:pPr>
      <w:r>
        <w:rPr/>
      </w:r>
    </w:p>
    <w:p>
      <w:pPr>
        <w:pStyle w:val="P68B1DB1Normal107"/>
        <w:spacing w:lineRule="auto" w:line="240"/>
        <w:ind w:left="0" w:right="0" w:hanging="0"/>
        <w:rPr>
          <w:rFonts w:ascii="Calibri" w:hAnsi="Calibri"/>
          <w:i/>
          <w:i/>
          <w:color w:val="000000"/>
          <w:sz w:val="24"/>
        </w:rPr>
      </w:pPr>
      <w:r>
        <w:rPr/>
        <w:t xml:space="preserve">Objašnjenja za lakše čitanje </w:t>
      </w:r>
    </w:p>
    <w:p>
      <w:pPr>
        <w:pStyle w:val="P68B1DB1Normal104"/>
        <w:widowControl w:val="false"/>
        <w:spacing w:lineRule="auto" w:line="240" w:before="125" w:after="0"/>
        <w:ind w:left="0" w:right="0" w:hanging="0"/>
        <w:jc w:val="left"/>
        <w:rPr/>
      </w:pPr>
      <w:r>
        <w:rPr/>
        <w:t xml:space="preserve">U ovom smo izvješću raspravljali o pet tema. Za svaku temu uključili smo uzastopno: </w:t>
      </w:r>
    </w:p>
    <w:p>
      <w:pPr>
        <w:pStyle w:val="P68B1DB1Normal104"/>
        <w:widowControl w:val="false"/>
        <w:spacing w:lineRule="auto" w:line="240"/>
        <w:ind w:left="0" w:right="0" w:hanging="0"/>
        <w:jc w:val="left"/>
        <w:rPr>
          <w:rFonts w:ascii="Calibri" w:hAnsi="Calibri"/>
          <w:color w:val="000000"/>
          <w:sz w:val="21"/>
        </w:rPr>
      </w:pPr>
      <w:r>
        <w:rPr/>
        <w:t xml:space="preserve">preporuke koje se temelje na svim aspektima dijaloga s građanima; </w:t>
      </w:r>
    </w:p>
    <w:p>
      <w:pPr>
        <w:pStyle w:val="P68B1DB1Normal104"/>
        <w:widowControl w:val="false"/>
        <w:spacing w:lineRule="auto" w:line="240" w:before="1" w:after="0"/>
        <w:ind w:left="0" w:right="0" w:hanging="0"/>
        <w:jc w:val="left"/>
        <w:rPr/>
      </w:pPr>
      <w:r>
        <w:rPr/>
        <w:t xml:space="preserve">pregled mišljenja, ideja i stajališta razmijenjenih (na internetu i s fizičkom prisutnošću) tijekom tematskih dijaloga i prijedloga iz internetske ankete, riječima i slikama.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rFonts w:ascii="Calibri" w:hAnsi="Calibri"/>
          <w:color w:val="000000"/>
          <w:sz w:val="21"/>
        </w:rPr>
      </w:pPr>
      <w:r>
        <w:rPr/>
        <w:t xml:space="preserve">Opis metodologije upotrijebljene u anketi nalazi se na kraju ovog izvješća. </w:t>
      </w:r>
    </w:p>
    <w:p>
      <w:pPr>
        <w:pStyle w:val="P68B1DB1Normal19"/>
        <w:widowControl w:val="false"/>
        <w:spacing w:lineRule="exact" w:line="388"/>
        <w:ind w:left="0" w:right="0" w:hanging="0"/>
        <w:jc w:val="left"/>
        <w:rPr>
          <w:rFonts w:ascii="Times New Roman" w:hAnsi="Times New Roman"/>
          <w:color w:val="000000"/>
          <w:sz w:val="24"/>
        </w:rPr>
      </w:pPr>
      <w:r>
        <w:rPr/>
        <w:t xml:space="preserve"> </w:t>
      </w:r>
    </w:p>
    <w:p>
      <w:pPr>
        <w:pStyle w:val="Normal"/>
        <w:spacing w:lineRule="auto" w:line="240"/>
        <w:rPr/>
      </w:pPr>
      <w:r>
        <w:rPr/>
      </w:r>
      <w:r>
        <w:br w:type="page"/>
      </w:r>
    </w:p>
    <w:p>
      <w:pPr>
        <w:pStyle w:val="P68B1DB1Normal117"/>
        <w:spacing w:lineRule="auto" w:line="240"/>
        <w:ind w:left="0" w:right="0" w:hanging="0"/>
        <w:rPr>
          <w:rFonts w:ascii="Calibri" w:hAnsi="Calibri"/>
          <w:b/>
          <w:b/>
          <w:i/>
          <w:i/>
          <w:color w:val="000000"/>
          <w:sz w:val="28"/>
        </w:rPr>
      </w:pPr>
      <w:r>
        <w:rPr/>
        <w:t xml:space="preserve">Vrijednosti i prava, vladavina prava i sigurnost </w:t>
      </w:r>
    </w:p>
    <w:p>
      <w:pPr>
        <w:pStyle w:val="P68B1DB1Normal104"/>
        <w:widowControl w:val="false"/>
        <w:spacing w:lineRule="auto" w:line="240" w:before="36" w:after="0"/>
        <w:ind w:left="0" w:right="0" w:hanging="0"/>
        <w:jc w:val="both"/>
        <w:rPr/>
      </w:pPr>
      <w:r>
        <w:rPr/>
        <w:t xml:space="preserve">EU prati vladavinu prava u svim zemljama EU-a i pokušava smanjiti nejednakosti unutar EU-a. EU također želi zaštititi sve Europljane od terorizma i kriminala. Kako bi se to postiglo, EU uvodi mjere i pravila, a zemlje EU-a intenzivno surađuju. </w:t>
      </w:r>
    </w:p>
    <w:p>
      <w:pPr>
        <w:pStyle w:val="P68B1DB1Normal104"/>
        <w:widowControl w:val="false"/>
        <w:spacing w:lineRule="auto" w:line="240" w:before="32" w:after="0"/>
        <w:ind w:left="0" w:right="0" w:hanging="0"/>
        <w:jc w:val="left"/>
        <w:rPr>
          <w:rFonts w:ascii="Calibri" w:hAnsi="Calibri"/>
          <w:color w:val="000000"/>
          <w:sz w:val="21"/>
        </w:rPr>
      </w:pPr>
      <w:r>
        <w:rPr/>
        <w:t xml:space="preserve"> </w:t>
      </w:r>
      <w:r>
        <w:rPr/>
        <w:t xml:space="preserve">Kakva je to vizija Nizozemske? </w:t>
      </w:r>
    </w:p>
    <w:p>
      <w:pPr>
        <w:pStyle w:val="P68B1DB1Normal19"/>
        <w:widowControl w:val="false"/>
        <w:spacing w:lineRule="auto" w:line="240" w:before="23" w:after="0"/>
        <w:ind w:left="0" w:right="0" w:hanging="0"/>
        <w:jc w:val="left"/>
        <w:rPr>
          <w:rFonts w:ascii="Times New Roman" w:hAnsi="Times New Roman"/>
          <w:color w:val="000000"/>
          <w:sz w:val="24"/>
        </w:rPr>
      </w:pPr>
      <w:r>
        <w:rPr/>
        <w:t xml:space="preserve"> </w:t>
      </w:r>
    </w:p>
    <w:p>
      <w:pPr>
        <w:pStyle w:val="P68B1DB1Normal108"/>
        <w:widowControl w:val="false"/>
        <w:spacing w:lineRule="auto" w:line="240" w:before="18" w:after="0"/>
        <w:ind w:left="0" w:right="0" w:hanging="0"/>
        <w:jc w:val="left"/>
        <w:rPr>
          <w:rFonts w:ascii="Calibri" w:hAnsi="Calibri"/>
          <w:b/>
          <w:b/>
          <w:i/>
          <w:i/>
          <w:color w:val="000000"/>
          <w:sz w:val="24"/>
        </w:rPr>
      </w:pPr>
      <w:r>
        <w:rPr/>
        <w:t xml:space="preserve">Preporuke – naša vizija sigurnosti i vladavine prava </w:t>
      </w:r>
    </w:p>
    <w:p>
      <w:pPr>
        <w:pStyle w:val="P68B1DB1Normal69"/>
        <w:widowControl w:val="false"/>
        <w:spacing w:lineRule="auto" w:line="240" w:before="41" w:after="0"/>
        <w:ind w:left="0" w:right="0" w:hanging="0"/>
        <w:jc w:val="left"/>
        <w:rPr/>
      </w:pPr>
      <w:r>
        <w:rPr/>
        <w:t xml:space="preserve">68 % Nizozemaca smatra da su sigurnost i vladavina prava važno pitanje i da EU mora intervenirati u tom području. </w:t>
      </w:r>
    </w:p>
    <w:p>
      <w:pPr>
        <w:pStyle w:val="P68B1DB1Normal111"/>
        <w:widowControl w:val="false"/>
        <w:spacing w:lineRule="auto" w:line="240" w:before="16" w:after="0"/>
        <w:ind w:left="0" w:right="0" w:hanging="0"/>
        <w:jc w:val="left"/>
        <w:rPr>
          <w:rFonts w:ascii="Calibri" w:hAnsi="Calibri"/>
          <w:b/>
          <w:b/>
          <w:color w:val="000000"/>
          <w:sz w:val="22"/>
        </w:rPr>
      </w:pPr>
      <w:r>
        <w:rPr/>
        <w:t xml:space="preserve">1. Pobrinite se da se svatko može osjećati slobodno i sigurno </w:t>
      </w:r>
    </w:p>
    <w:p>
      <w:pPr>
        <w:pStyle w:val="P68B1DB1Normal104"/>
        <w:widowControl w:val="false"/>
        <w:spacing w:lineRule="auto" w:line="240" w:before="25" w:after="0"/>
        <w:ind w:left="0" w:right="0" w:hanging="0"/>
        <w:jc w:val="left"/>
        <w:rPr/>
      </w:pPr>
      <w:r>
        <w:rPr/>
        <w:t xml:space="preserve">78 % Nizozemaca smatra da je važno da EU zaštiti vladavinu prava i naša temeljna prava i slobode. Također pridajemo važnost zaštiti prava potrošača: velika većina građana smatra da je dobro da EU od proizvođača zahtijeva da iste informacije uključe na oznake u svim zemljama. Međutim, velik broj Nizozemaca smatra da EU treba obratiti pozornost na razlike u (upravljačkim) tradicijama i kulturama unutar Europe. I to, između ostalog, jer bi inače bilo teško učinkovito surađivati. Smatramo da je posebno važno da se svatko osjeća slobodno i sigurno u Europi. To uključuje krov nad glavom, ali i obrazovanje i njegu. A to se odnosi i na činjenicu da su proizvodi koji se nalaze u europskim trgovinama </w:t>
      </w:r>
    </w:p>
    <w:p>
      <w:pPr>
        <w:pStyle w:val="P68B1DB1Normal104"/>
        <w:widowControl w:val="false"/>
        <w:spacing w:lineRule="auto" w:line="240"/>
        <w:ind w:left="0" w:right="0" w:hanging="0"/>
        <w:jc w:val="left"/>
        <w:rPr>
          <w:rFonts w:ascii="Calibri" w:hAnsi="Calibri"/>
          <w:color w:val="000000"/>
          <w:sz w:val="21"/>
        </w:rPr>
      </w:pPr>
      <w:r>
        <w:rPr/>
        <w:t xml:space="preserve">uvijek sam siguran. </w:t>
      </w:r>
    </w:p>
    <w:p>
      <w:pPr>
        <w:pStyle w:val="P68B1DB1Normal111"/>
        <w:widowControl w:val="false"/>
        <w:spacing w:lineRule="auto" w:line="240" w:before="29" w:after="0"/>
        <w:ind w:left="0" w:right="0" w:hanging="0"/>
        <w:jc w:val="left"/>
        <w:rPr>
          <w:rFonts w:ascii="Calibri" w:hAnsi="Calibri"/>
          <w:b/>
          <w:b/>
          <w:color w:val="000000"/>
          <w:sz w:val="22"/>
        </w:rPr>
      </w:pPr>
      <w:r>
        <w:rPr/>
        <w:t xml:space="preserve">2. Povećanje EU-a samo ako donosi dodanu vrijednost </w:t>
      </w:r>
    </w:p>
    <w:p>
      <w:pPr>
        <w:pStyle w:val="P68B1DB1Normal104"/>
        <w:widowControl w:val="false"/>
        <w:spacing w:lineRule="auto" w:line="240" w:before="25" w:after="0"/>
        <w:ind w:left="0" w:right="0" w:hanging="0"/>
        <w:jc w:val="left"/>
        <w:rPr/>
      </w:pPr>
      <w:r>
        <w:rPr/>
        <w:t xml:space="preserve">44 % Nizozemaca smatra da se EU ne bi trebao proširiti na više zemalja. S druge strane, 25 % podržava proširenje. Napominjemo da već postoji mnogo rasprava među trenutačnim državama članicama. Mnogi Nizozemci misle da se prvo moramo usredotočiti na to pitanje. A ako nove zemlje pristupe Uniji, moraju zaista biti u stanju ispuniti naše uvjete. Danas i u budućnosti. Mnogi Nizozemci smatraju da sadašnje države članice također moraju uočiti dodanu vrijednost proširenja. Također vjerujemo da postoje i druge mogućnosti za suradnju kao zemlja za sigurnost i stabilnost. Na primjer, ponekad smo zabrinuti zbog utjecaja Rusije na zemlje na istočnoj granici EU-a. Važno je da EU obrati pozornost. </w:t>
      </w:r>
    </w:p>
    <w:p>
      <w:pPr>
        <w:pStyle w:val="P68B1DB1Normal19"/>
        <w:widowControl w:val="false"/>
        <w:spacing w:lineRule="auto" w:line="240" w:before="21" w:after="0"/>
        <w:ind w:left="0" w:right="0" w:hanging="0"/>
        <w:jc w:val="left"/>
        <w:rPr>
          <w:rFonts w:ascii="Times New Roman" w:hAnsi="Times New Roman"/>
          <w:color w:val="000000"/>
          <w:sz w:val="24"/>
        </w:rPr>
      </w:pPr>
      <w:r>
        <w:rPr/>
        <w:t xml:space="preserve"> </w:t>
      </w:r>
    </w:p>
    <w:p>
      <w:pPr>
        <w:pStyle w:val="P68B1DB1Normal113"/>
        <w:widowControl w:val="false"/>
        <w:spacing w:lineRule="auto" w:line="240" w:before="28" w:after="0"/>
        <w:ind w:left="0" w:right="0" w:hanging="0"/>
        <w:jc w:val="center"/>
        <w:rPr/>
      </w:pPr>
      <w:r>
        <w:rPr/>
        <w:t>„</w:t>
      </w:r>
      <w:r>
        <w:rPr/>
        <w:t xml:space="preserve">Proširenje ne bi trebalo biti usmjereno na troškove i koristi, već na viziju stabilnosti.” </w:t>
      </w:r>
    </w:p>
    <w:p>
      <w:pPr>
        <w:pStyle w:val="P68B1DB1Normal111"/>
        <w:widowControl w:val="false"/>
        <w:spacing w:lineRule="auto" w:line="240" w:before="40" w:after="0"/>
        <w:ind w:left="0" w:right="0" w:hanging="0"/>
        <w:jc w:val="left"/>
        <w:rPr/>
      </w:pPr>
      <w:r>
        <w:rPr/>
        <w:t xml:space="preserve">3. Suradnja uglavnom u borbi protiv međunarodnog kriminala i terorizma </w:t>
      </w:r>
    </w:p>
    <w:p>
      <w:pPr>
        <w:pStyle w:val="P68B1DB1Normal104"/>
        <w:widowControl w:val="false"/>
        <w:spacing w:lineRule="auto" w:line="240" w:before="26" w:after="0"/>
        <w:ind w:left="0" w:right="0" w:hanging="0"/>
        <w:jc w:val="left"/>
        <w:rPr/>
      </w:pPr>
      <w:r>
        <w:rPr/>
        <w:t xml:space="preserve">68 % Nizozemaca smatra da bi sigurnosne službe EU-a trebale dijeliti svoje informacije. Međutim, smatramo da je važno da zemlje mogu i dalje samostalno odlučivati koje informacije žele pružiti ili ne. Brzo dijeljenje svih informacija čini suradnju neučinkovitom. A EU je danas toliko velik da moramo nastaviti kritički ispitivati gdje stižu ili će se vjerojatno dogoditi osjetljive informacije. Želimo nastaviti vjerovati da je naša privatnost zaštićena. Smatramo da prije svega ima smisla surađivati u borbi protiv teških međunarodnih kaznenih djela, kao što su kiberkriminalitet, trgovina drogom i terorizam. </w:t>
      </w:r>
    </w:p>
    <w:p>
      <w:pPr>
        <w:pStyle w:val="P68B1DB1Normal113"/>
        <w:widowControl w:val="false"/>
        <w:spacing w:lineRule="auto" w:line="240" w:before="28" w:after="0"/>
        <w:ind w:left="0" w:right="0" w:hanging="0"/>
        <w:jc w:val="center"/>
        <w:rPr/>
      </w:pPr>
      <w:r>
        <w:rPr/>
        <w:t xml:space="preserve">Ako spalite jednom crveno svjetlo u Nizozemskoj, nema razloga da se to zna u Španjolskoj. </w:t>
      </w:r>
    </w:p>
    <w:p>
      <w:pPr>
        <w:pStyle w:val="P68B1DB1Normal19"/>
        <w:widowControl w:val="false"/>
        <w:spacing w:lineRule="auto" w:line="240" w:before="44" w:after="0"/>
        <w:ind w:left="0" w:right="0" w:hanging="0"/>
        <w:jc w:val="left"/>
        <w:rPr>
          <w:rFonts w:ascii="Times New Roman" w:hAnsi="Times New Roman"/>
          <w:color w:val="000000"/>
          <w:sz w:val="24"/>
        </w:rPr>
      </w:pPr>
      <w:r>
        <w:rPr/>
        <w:t xml:space="preserve"> </w:t>
      </w:r>
    </w:p>
    <w:p>
      <w:pPr>
        <w:pStyle w:val="P68B1DB1Normal108"/>
        <w:spacing w:lineRule="auto" w:line="240"/>
        <w:ind w:left="0" w:right="0" w:hanging="0"/>
        <w:rPr>
          <w:rFonts w:ascii="Calibri" w:hAnsi="Calibri"/>
          <w:b/>
          <w:b/>
          <w:i/>
          <w:i/>
          <w:color w:val="000000"/>
          <w:sz w:val="24"/>
        </w:rPr>
      </w:pPr>
      <w:r>
        <w:rPr/>
        <w:t xml:space="preserve">Rasprave i ideje na internetu i na licu mjesta </w:t>
      </w:r>
    </w:p>
    <w:p>
      <w:pPr>
        <w:pStyle w:val="P68B1DB1Normal118"/>
        <w:widowControl w:val="false"/>
        <w:spacing w:lineRule="auto" w:line="240" w:before="118" w:after="0"/>
        <w:ind w:left="0" w:right="0" w:hanging="0"/>
        <w:jc w:val="left"/>
        <w:rPr>
          <w:rFonts w:ascii="Calibri" w:hAnsi="Calibri"/>
          <w:i/>
          <w:i/>
          <w:color w:val="000000"/>
          <w:sz w:val="21"/>
        </w:rPr>
      </w:pPr>
      <w:r>
        <w:rPr/>
        <w:t xml:space="preserve">Ako sankcionirate zemlju koja ne poštuje pravila, to su najsiromašniji stanovnici ove zemlje koji su prvi žrtve. Zato mislim da je bolje razgovarati nego sankcionirati. </w:t>
      </w:r>
    </w:p>
    <w:p>
      <w:pPr>
        <w:pStyle w:val="P68B1DB1Normal118"/>
        <w:widowControl w:val="false"/>
        <w:spacing w:lineRule="auto" w:line="240" w:before="87" w:after="0"/>
        <w:ind w:left="0" w:right="0" w:hanging="0"/>
        <w:jc w:val="left"/>
        <w:rPr>
          <w:rFonts w:ascii="Calibri" w:hAnsi="Calibri"/>
          <w:i/>
          <w:i/>
          <w:color w:val="000000"/>
          <w:sz w:val="21"/>
        </w:rPr>
      </w:pPr>
      <w:r>
        <w:rPr/>
        <w:t xml:space="preserve">Prvo moramo osigurati stabilnost unutar sadašnjeg kluba. A onda samo pomislite na proširenje. </w:t>
      </w:r>
    </w:p>
    <w:p>
      <w:pPr>
        <w:pStyle w:val="P68B1DB1Normal118"/>
        <w:widowControl w:val="false"/>
        <w:spacing w:lineRule="auto" w:line="240" w:before="85" w:after="0"/>
        <w:ind w:left="0" w:right="392" w:hanging="0"/>
        <w:jc w:val="left"/>
        <w:rPr/>
      </w:pPr>
      <w:r>
        <w:rPr/>
        <w:t xml:space="preserve">Također moramo kritički ispitati vlastitu vladavinu prava. Sigurno postoji jedan ili drugi kvar. </w:t>
      </w:r>
    </w:p>
    <w:p>
      <w:pPr>
        <w:pStyle w:val="P68B1DB1Normal118"/>
        <w:widowControl w:val="false"/>
        <w:spacing w:lineRule="auto" w:line="240" w:before="85" w:after="0"/>
        <w:ind w:left="0" w:right="244" w:hanging="0"/>
        <w:jc w:val="left"/>
        <w:rPr/>
      </w:pPr>
      <w:r>
        <w:rPr/>
        <w:t xml:space="preserve">ZAMISAO: „Uspostaviti stroga pravila integriteta za političare diljem Europe kako bi se spriječio preveliki utjecaj na njih.” </w:t>
      </w:r>
    </w:p>
    <w:p>
      <w:pPr>
        <w:pStyle w:val="P68B1DB1Normal118"/>
        <w:widowControl w:val="false"/>
        <w:spacing w:lineRule="auto" w:line="240" w:before="85" w:after="0"/>
        <w:ind w:left="0" w:right="0" w:hanging="0"/>
        <w:jc w:val="left"/>
        <w:rPr>
          <w:rFonts w:ascii="Calibri" w:hAnsi="Calibri"/>
          <w:i/>
          <w:i/>
          <w:color w:val="000000"/>
          <w:sz w:val="21"/>
        </w:rPr>
      </w:pPr>
      <w:r>
        <w:rPr/>
        <w:t xml:space="preserve">ZAMISAO: „Jačanje suradnje između policije i pravosuđa u državama članicama EU-a.” </w:t>
      </w:r>
    </w:p>
    <w:p>
      <w:pPr>
        <w:pStyle w:val="P68B1DB1Normal111"/>
        <w:widowControl w:val="false"/>
        <w:spacing w:lineRule="auto" w:line="240" w:before="84" w:after="0"/>
        <w:ind w:left="0" w:right="67" w:hanging="0"/>
        <w:jc w:val="left"/>
        <w:rPr/>
      </w:pPr>
      <w:r>
        <w:rPr/>
        <w:t xml:space="preserve">Doetinchem Strukturni srednjoškolci: Oni koji žele biti dio EU-a moraju poštovati pravila. </w:t>
      </w:r>
    </w:p>
    <w:p>
      <w:pPr>
        <w:pStyle w:val="P68B1DB1Normal104"/>
        <w:widowControl w:val="false"/>
        <w:spacing w:lineRule="auto" w:line="240" w:before="100" w:after="0"/>
        <w:ind w:left="0" w:right="0" w:hanging="0"/>
        <w:jc w:val="left"/>
        <w:rPr/>
      </w:pPr>
      <w:r>
        <w:rPr/>
        <w:t xml:space="preserve">Na Graafschap Collegeu u Doetinchemu oko 20 studenata sestrinstva raspravljalo je o pitanju koje su, prema njihovu mišljenju, najveće koristi EU-a: slobodno tržište, euro kao zajednička valuta i činjenica da se kao europska osoba lako može nastaniti i raditi u drugim državama članicama EU-a. I činjenicu da se države članice EU-a mogu međusobno podupirati. Sindikat je snaga", rekao je jedan od prisutnih studenata. Raspravljalo se i o važnosti pravila. Ako ih zemlje ne poštuju, često ih je teško kazniti. Prema riječima studenata, moglo bi biti korisno da to postane malo lakše. Jedan od njih također je spomenuo odvraćajući učinak. Ako nametnete stroge sankcije, druge zemlje vide što se može dogoditi ako se ne pridržavate pravila. </w:t>
      </w:r>
    </w:p>
    <w:p>
      <w:pPr>
        <w:pStyle w:val="P68B1DB1Normal111"/>
        <w:widowControl w:val="false"/>
        <w:spacing w:lineRule="auto" w:line="240" w:before="88" w:after="0"/>
        <w:ind w:left="0" w:right="0" w:hanging="0"/>
        <w:jc w:val="left"/>
        <w:rPr>
          <w:rFonts w:ascii="Calibri" w:hAnsi="Calibri"/>
          <w:b/>
          <w:b/>
          <w:color w:val="000000"/>
          <w:sz w:val="22"/>
        </w:rPr>
      </w:pPr>
      <w:r>
        <w:rPr/>
        <w:t xml:space="preserve">Hindutanis od Surinama do Utrechta: Povjerenje u vladavinu prava ponekad nedostaje </w:t>
      </w:r>
    </w:p>
    <w:p>
      <w:pPr>
        <w:pStyle w:val="Normal"/>
        <w:widowControl w:val="false"/>
        <w:spacing w:lineRule="auto" w:line="240" w:before="97" w:after="0"/>
        <w:ind w:left="0" w:right="34" w:hanging="0"/>
        <w:jc w:val="left"/>
        <w:rPr/>
      </w:pPr>
      <w:r>
        <w:rPr>
          <w:rFonts w:ascii="Calibri" w:hAnsi="Calibri"/>
          <w:color w:val="000000"/>
          <w:sz w:val="21"/>
        </w:rPr>
        <w:t xml:space="preserve">Zaklada Asha je organizacija hinduističkih volontera iz Surinama u općini Utrecht. Sudionici u tematskom dijalogu posebno su raspravljali o važnosti prava građana: pravo na krov iznad glave, ali i, na primjer, pravo na nediskriminaciju. Prema riječima prisutnih volontera, moraju postojati pravila kojima se štite ta prava za sve europske građane. Nije uvijek poznato što je trenutačno regulirano u Nizozemskoj i što je trenutačno regulirano na europskoj razini. Kao rezultat toga, ponekad je teško imati povjerenje u javna tijela. Pogotovo zato što ponekad postoje neki kvarovi unutar javnih vlasti. „Možete reći da me vlasti moraju braniti, ali ponekad uspijevaju sijati veslo, kao što je bio slučaj sa slučajem naknade”, rekao je jedan od sudionika. „EU bi trebao osigurati da se pravila zaista poštuju”, rekao je drugi sudionik. </w:t>
      </w:r>
      <w:r>
        <w:br w:type="page"/>
      </w:r>
    </w:p>
    <w:p>
      <w:pPr>
        <w:pStyle w:val="P68B1DB1Normal117"/>
        <w:spacing w:lineRule="auto" w:line="240"/>
        <w:ind w:left="0" w:right="0" w:hanging="0"/>
        <w:rPr>
          <w:rFonts w:ascii="Calibri" w:hAnsi="Calibri"/>
          <w:b/>
          <w:b/>
          <w:i/>
          <w:i/>
          <w:color w:val="000000"/>
          <w:sz w:val="28"/>
        </w:rPr>
      </w:pPr>
      <w:r>
        <w:rPr/>
        <w:t xml:space="preserve">Snažnije gospodarstvo, socijalna pravda i zapošljavanje </w:t>
      </w:r>
    </w:p>
    <w:p>
      <w:pPr>
        <w:pStyle w:val="P68B1DB1Normal104"/>
        <w:widowControl w:val="false"/>
        <w:spacing w:lineRule="auto" w:line="240" w:before="139" w:after="0"/>
        <w:ind w:left="0" w:right="0" w:hanging="0"/>
        <w:jc w:val="left"/>
        <w:rPr/>
      </w:pPr>
      <w:r>
        <w:rPr/>
        <w:t xml:space="preserve">Mala i srednja poduzeća okosnica su europskog gospodarstva. EU stoga želi da države članice EU-a surađuju na planovima oporavka kako bi iz krize uzrokovane bolešću COVID-19 izašle gospodarski snažnije. Dugoročno gledano, cilj je EU-a učiniti europsko gospodarstvo zdravijim, zelenijim i digitalnim. Kakva je to vizija Nizozemske? </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P68B1DB1Normal108"/>
        <w:widowControl w:val="false"/>
        <w:spacing w:lineRule="auto" w:line="240" w:before="18" w:after="0"/>
        <w:ind w:left="0" w:right="0" w:hanging="0"/>
        <w:jc w:val="left"/>
        <w:rPr>
          <w:rFonts w:ascii="Calibri" w:hAnsi="Calibri"/>
          <w:b/>
          <w:b/>
          <w:i/>
          <w:i/>
          <w:color w:val="000000"/>
          <w:sz w:val="24"/>
        </w:rPr>
      </w:pPr>
      <w:r>
        <w:rPr/>
        <w:t xml:space="preserve">Preporuke – naša vizija gospodarstva i zapošljavanja </w:t>
      </w:r>
    </w:p>
    <w:p>
      <w:pPr>
        <w:pStyle w:val="P68B1DB1Normal35"/>
        <w:widowControl w:val="false"/>
        <w:spacing w:lineRule="auto" w:line="240" w:before="123" w:after="0"/>
        <w:ind w:left="0" w:right="0" w:hanging="0"/>
        <w:jc w:val="left"/>
        <w:rPr/>
      </w:pPr>
      <w:r>
        <w:rPr>
          <w:rFonts w:ascii="Calibri" w:hAnsi="Calibri"/>
          <w:sz w:val="20"/>
        </w:rPr>
        <w:t>61 % Nizozemaca smatra da su gospodarstvo i zapošljavanje važna tema i da EU mora intervenirati u tom području.</w:t>
      </w:r>
      <w:r>
        <w:rPr>
          <w:rFonts w:ascii="Times New Roman" w:hAnsi="Times New Roman"/>
          <w:sz w:val="24"/>
        </w:rPr>
        <w:t xml:space="preserve"> </w:t>
      </w:r>
    </w:p>
    <w:p>
      <w:pPr>
        <w:pStyle w:val="P68B1DB1Normal111"/>
        <w:widowControl w:val="false"/>
        <w:spacing w:lineRule="auto" w:line="240" w:before="6" w:after="0"/>
        <w:ind w:left="0" w:right="0" w:hanging="0"/>
        <w:jc w:val="left"/>
        <w:rPr>
          <w:rFonts w:ascii="Calibri" w:hAnsi="Calibri"/>
          <w:b/>
          <w:b/>
          <w:color w:val="000000"/>
          <w:sz w:val="22"/>
        </w:rPr>
      </w:pPr>
      <w:r>
        <w:rPr/>
        <w:t xml:space="preserve">1. Uzeti u obzir zajedničke značajke i razlike </w:t>
      </w:r>
    </w:p>
    <w:p>
      <w:pPr>
        <w:pStyle w:val="P68B1DB1Normal104"/>
        <w:widowControl w:val="false"/>
        <w:spacing w:lineRule="auto" w:line="240" w:before="97" w:after="0"/>
        <w:ind w:left="0" w:right="0" w:hanging="0"/>
        <w:jc w:val="left"/>
        <w:rPr/>
      </w:pPr>
      <w:r>
        <w:rPr/>
        <w:t xml:space="preserve">71 % Nizozemaca smatra da bi EU trebao osigurati veću suradnju poduzeća, čime bi se ojačalo europsko gospodarstvo. Međutim, od tih ljudi samo mali dio misli da EU mora platiti više novca poduzećima. Prije svega, vjerujemo da suradnja može biti učinkovitija. Danas vidimo da različite tvrtke ulažu u istu novu tehnologiju, ponekad čak i javnim sredstvima. Kad bismo imali europsku viziju gospodarstva, mogli bismo učinkovitije iskoristiti taj novac. Međutim, pri tome posebnu pozornost treba posvetiti razlikama među zemljama. </w:t>
      </w:r>
    </w:p>
    <w:p>
      <w:pPr>
        <w:pStyle w:val="P68B1DB1Normal113"/>
        <w:widowControl w:val="false"/>
        <w:spacing w:lineRule="auto" w:line="240" w:before="306" w:after="0"/>
        <w:ind w:left="0" w:right="0" w:hanging="0"/>
        <w:jc w:val="center"/>
        <w:rPr/>
      </w:pPr>
      <w:r>
        <w:rPr/>
        <w:t xml:space="preserve">Poljoprivredni sektor u Nizozemskoj je tako moderan. Nije uvijek moguće uspoređivati ih s onima drugih zemalja. </w:t>
      </w:r>
    </w:p>
    <w:p>
      <w:pPr>
        <w:pStyle w:val="P68B1DB1Normal111"/>
        <w:widowControl w:val="false"/>
        <w:spacing w:lineRule="auto" w:line="240" w:before="297" w:after="0"/>
        <w:ind w:left="0" w:right="0" w:hanging="0"/>
        <w:jc w:val="left"/>
        <w:rPr>
          <w:rFonts w:ascii="Calibri" w:hAnsi="Calibri"/>
          <w:b/>
          <w:b/>
          <w:color w:val="000000"/>
          <w:sz w:val="22"/>
        </w:rPr>
      </w:pPr>
      <w:r>
        <w:rPr/>
        <w:t xml:space="preserve">2. Veće iskorištavanje prednosti Europe </w:t>
      </w:r>
    </w:p>
    <w:p>
      <w:pPr>
        <w:pStyle w:val="P68B1DB1Normal104"/>
        <w:widowControl w:val="false"/>
        <w:spacing w:lineRule="auto" w:line="240" w:before="97" w:after="0"/>
        <w:ind w:left="0" w:right="0" w:hanging="0"/>
        <w:jc w:val="left"/>
        <w:rPr/>
      </w:pPr>
      <w:r>
        <w:rPr/>
        <w:t>Nizozemci vjeruju da postoje brojne mogućnosti za jačanje europskog gospodarstva, ali da se odluke moraju donijeti. Stoga smatramo da bi se EU prije svega trebao usredotočiti na svoje prednosti. Na primjer, smatramo da je Europa dobra u</w:t>
      </w:r>
    </w:p>
    <w:p>
      <w:pPr>
        <w:pStyle w:val="P68B1DB1Normal104"/>
        <w:widowControl w:val="false"/>
        <w:spacing w:lineRule="auto" w:line="240"/>
        <w:ind w:left="0" w:right="0" w:hanging="0"/>
        <w:jc w:val="left"/>
        <w:rPr/>
      </w:pPr>
      <w:r>
        <w:rPr/>
        <w:t xml:space="preserve"> </w:t>
      </w:r>
      <w:r>
        <w:rPr/>
        <w:t xml:space="preserve">područja kao što su digitalna tranzicija, održivost i infrastruktura. Što je možda važnije: branimo kvalitetu i raznolikost. Upravo raznolikost našeg kontinenta, s različitim mišljenjima i idejama, moramo iskoristiti mnogo više kao gospodarsku prednost. To može omogućiti Europi da se razlikuje, na primjer, od kineskog gospodarstva. </w:t>
      </w:r>
    </w:p>
    <w:p>
      <w:pPr>
        <w:pStyle w:val="P68B1DB1Normal111"/>
        <w:widowControl w:val="false"/>
        <w:spacing w:lineRule="auto" w:line="240" w:before="40" w:after="0"/>
        <w:ind w:left="0" w:right="0" w:hanging="0"/>
        <w:jc w:val="left"/>
        <w:rPr>
          <w:rFonts w:ascii="Calibri" w:hAnsi="Calibri"/>
          <w:b/>
          <w:b/>
          <w:color w:val="000000"/>
          <w:sz w:val="22"/>
        </w:rPr>
      </w:pPr>
      <w:r>
        <w:rPr/>
        <w:t xml:space="preserve">3. Razviti pravedan i jasan porezni sustav </w:t>
      </w:r>
    </w:p>
    <w:p>
      <w:pPr>
        <w:pStyle w:val="P68B1DB1Normal104"/>
        <w:widowControl w:val="false"/>
        <w:spacing w:lineRule="auto" w:line="240" w:before="95" w:after="0"/>
        <w:ind w:left="0" w:right="0" w:hanging="0"/>
        <w:jc w:val="left"/>
        <w:rPr/>
      </w:pPr>
      <w:r>
        <w:rPr/>
        <w:t xml:space="preserve">82 % Nizozemaca smatra da države članice EU-a moraju zajednički osigurati da sva poduzeća iz EU-a plaćaju pravedne poreze. To uključuje vrlo velike tvrtke. Danas se ponekad nastanjuju u drugim zemljama iz jednostavnog razloga što plaćaju manje poreza. EU bi se trebao boriti protiv te pojave, primjerice određivanjem minimalne stope za sve zemlje. S druge strane, smatramo da je oporezivanje u nadležnosti zemalja koje imaju svoje ciljeve i kontekste. Smatramo da je oporezivanje općenito složeno pitanje. Upravo zbog toga želimo bolji porezni sustav koji je pravedan i jasan za sve u Europi. </w:t>
      </w:r>
    </w:p>
    <w:p>
      <w:pPr>
        <w:pStyle w:val="P68B1DB1Normal113"/>
        <w:widowControl w:val="false"/>
        <w:spacing w:lineRule="auto" w:line="240" w:before="256" w:after="0"/>
        <w:ind w:left="0" w:right="0" w:hanging="0"/>
        <w:jc w:val="center"/>
        <w:rPr/>
      </w:pPr>
      <w:r>
        <w:rPr/>
        <w:t xml:space="preserve">Krastavci moraju imati isti oblik svugdje, ali porezna pravila su različita. To je ludo, zar ne? </w:t>
      </w:r>
    </w:p>
    <w:p>
      <w:pPr>
        <w:pStyle w:val="P68B1DB1Normal111"/>
        <w:widowControl w:val="false"/>
        <w:spacing w:lineRule="auto" w:line="240" w:before="297" w:after="0"/>
        <w:ind w:left="0" w:right="0" w:hanging="0"/>
        <w:jc w:val="left"/>
        <w:rPr>
          <w:rFonts w:ascii="Calibri" w:hAnsi="Calibri"/>
          <w:b/>
          <w:b/>
          <w:color w:val="000000"/>
          <w:sz w:val="22"/>
        </w:rPr>
      </w:pPr>
      <w:r>
        <w:rPr/>
        <w:t xml:space="preserve">4. Pobrinite se da svatko može sudjelovati </w:t>
      </w:r>
    </w:p>
    <w:p>
      <w:pPr>
        <w:pStyle w:val="P68B1DB1Normal104"/>
        <w:widowControl w:val="false"/>
        <w:spacing w:lineRule="auto" w:line="240" w:before="97" w:after="0"/>
        <w:ind w:left="0" w:right="0" w:hanging="0"/>
        <w:jc w:val="left"/>
        <w:rPr/>
      </w:pPr>
      <w:r>
        <w:rPr/>
        <w:t xml:space="preserve">71 % Nizozemaca smatra da bi EU trebao pomoći u poticanju zapošljavanja. U tom pogledu smatramo da posebnu pozornost treba posvetiti određenim skupinama, kao što su mladi i osobe koje su udaljene od tržišta rada. To se može postići pravilima ili subvencijama za poduzeća, ali i pružanjem posebne potpore poslodavcima i radnicima. Razmišljamo, na primjer, o aktivnostima podizanja svijesti ili vrlo praktičnim pitanjima. Moguće je da se u nekim slučajevima takva potpora može učinkovitije organizirati na razini EU-a, a u drugima to može biti zadaća, a ne same države članice. Države članice EU-a trebale bi u konačnici surađivati kako bi osigurale jednake mogućnosti na europskom tržištu rada. </w:t>
      </w:r>
    </w:p>
    <w:p>
      <w:pPr>
        <w:pStyle w:val="P68B1DB1Normal108"/>
        <w:widowControl w:val="false"/>
        <w:spacing w:lineRule="auto" w:line="240" w:before="40" w:after="0"/>
        <w:ind w:left="0" w:right="0" w:hanging="0"/>
        <w:jc w:val="left"/>
        <w:rPr>
          <w:rFonts w:ascii="Calibri" w:hAnsi="Calibri"/>
          <w:b/>
          <w:b/>
          <w:i/>
          <w:i/>
          <w:color w:val="000000"/>
          <w:sz w:val="24"/>
        </w:rPr>
      </w:pPr>
      <w:r>
        <w:rPr/>
        <w:t xml:space="preserve">Rasprave i ideje na internetu i na licu mjesta </w:t>
      </w:r>
    </w:p>
    <w:p>
      <w:pPr>
        <w:pStyle w:val="P68B1DB1Normal118"/>
        <w:widowControl w:val="false"/>
        <w:spacing w:lineRule="auto" w:line="240" w:before="115" w:after="0"/>
        <w:ind w:left="0" w:right="0" w:hanging="0"/>
        <w:jc w:val="left"/>
        <w:rPr>
          <w:rFonts w:ascii="Calibri" w:hAnsi="Calibri"/>
          <w:i/>
          <w:i/>
          <w:color w:val="000000"/>
          <w:sz w:val="21"/>
        </w:rPr>
      </w:pPr>
      <w:r>
        <w:rPr/>
        <w:t xml:space="preserve">Ubrzajte automatizaciju u Europi tako da se roba koja trenutno dolazi iz Kine ponovno proizvodi ovdje. </w:t>
      </w:r>
    </w:p>
    <w:p>
      <w:pPr>
        <w:pStyle w:val="P68B1DB1Normal118"/>
        <w:widowControl w:val="false"/>
        <w:spacing w:lineRule="auto" w:line="240" w:before="85" w:after="0"/>
        <w:ind w:left="0" w:right="0" w:hanging="0"/>
        <w:jc w:val="left"/>
        <w:rPr/>
      </w:pPr>
      <w:r>
        <w:rPr/>
        <w:t xml:space="preserve">Uzmite revoluciju bitcoina i drugih kriptovaluta ozbiljno. Ljudi zainteresirani za to tretiraju se kao porezni prevaranti, dok je ova vrsta blockchain tehnologije budućnost. </w:t>
      </w:r>
    </w:p>
    <w:p>
      <w:pPr>
        <w:pStyle w:val="P68B1DB1Normal118"/>
        <w:widowControl w:val="false"/>
        <w:spacing w:lineRule="auto" w:line="240" w:before="87" w:after="0"/>
        <w:ind w:left="0" w:right="0" w:hanging="0"/>
        <w:jc w:val="left"/>
        <w:rPr/>
      </w:pPr>
      <w:r>
        <w:rPr/>
        <w:t xml:space="preserve">Dioničari nisu jedini igrači u europskom gospodarstvu. Ništa nije moguće bez zaposlenika.„”Europa mora učiniti više za osobe s invaliditetom. Teško im je danas pronaći odgovarajući posao. </w:t>
      </w:r>
    </w:p>
    <w:p>
      <w:pPr>
        <w:pStyle w:val="P68B1DB1Normal118"/>
        <w:widowControl w:val="false"/>
        <w:spacing w:lineRule="auto" w:line="240" w:before="85" w:after="0"/>
        <w:ind w:left="0" w:right="0" w:hanging="0"/>
        <w:jc w:val="left"/>
        <w:rPr/>
      </w:pPr>
      <w:r>
        <w:rPr/>
        <w:t xml:space="preserve">Mnoga su europska pravila složena i redovito se mijenjaju. Stoga je poduzećima teško uvoditi inovacije. </w:t>
      </w:r>
    </w:p>
    <w:p>
      <w:pPr>
        <w:pStyle w:val="P68B1DB1Normal118"/>
        <w:widowControl w:val="false"/>
        <w:spacing w:lineRule="auto" w:line="240" w:before="85" w:after="0"/>
        <w:ind w:left="0" w:right="0" w:hanging="0"/>
        <w:jc w:val="both"/>
        <w:rPr/>
      </w:pPr>
      <w:r>
        <w:rPr/>
        <w:t xml:space="preserve">U slučaju transformacije u mojoj tvrtki, moj lokalni izvođač mogao je početi davno. No prvo sam morao objaviti europski poziv na podnošenje ponuda. To je sramota. </w:t>
      </w:r>
    </w:p>
    <w:p>
      <w:pPr>
        <w:pStyle w:val="P68B1DB1Normal111"/>
        <w:widowControl w:val="false"/>
        <w:spacing w:lineRule="auto" w:line="240" w:before="85" w:after="0"/>
        <w:ind w:left="0" w:right="0" w:hanging="0"/>
        <w:jc w:val="both"/>
        <w:rPr>
          <w:rFonts w:ascii="Calibri" w:hAnsi="Calibri"/>
          <w:b/>
          <w:b/>
          <w:color w:val="000000"/>
          <w:sz w:val="22"/>
        </w:rPr>
      </w:pPr>
      <w:r>
        <w:rPr/>
        <w:t xml:space="preserve">Sudionici u internetskom dijalogu: „Zajedničko promišljanje o pitanju velikih poduzeća” </w:t>
      </w:r>
    </w:p>
    <w:p>
      <w:pPr>
        <w:pStyle w:val="P68B1DB1Normal104"/>
        <w:widowControl w:val="false"/>
        <w:spacing w:lineRule="auto" w:line="240" w:before="97" w:after="0"/>
        <w:ind w:left="0" w:right="0" w:hanging="0"/>
        <w:jc w:val="left"/>
        <w:rPr/>
      </w:pPr>
      <w:r>
        <w:rPr/>
        <w:t>Tijekom jednog od tematskih dijaloga na internetu pojavila se rasprava o sve većoj moći velikih poduzeća. Neki sudionici željeli bi da EU</w:t>
      </w:r>
      <w:r>
        <w:rPr/>
        <w:commentReference w:id="22"/>
      </w:r>
      <w:r>
        <w:rPr/>
        <w:t xml:space="preserve"> u tom pogledu poduzme snažnije mjere. Naime, neka poduzeća ponekad ostvaruju znatnu dobit na koju plaćaju malo poreza zahvaljujući sofisticiranim aranžmanima. Ostali sudionici pozvali su na razmatranje stvari u cjelini: ta poduzeća stvaraju visoku razinu zaposlenosti i koriste nacionalnom gospodarstvu. „Ne bi ih trebali loviti”, rekao je netko. Drugi sudionik smatrao je da je u svakom slučaju važno da države članice EU-a zajedno promisle o tom pitanju. Velika poduzeća trenutačno se mogu natjecati među zemljama. Zato moramo predstaviti ujedinjeniju frontu kao EU. </w:t>
      </w:r>
    </w:p>
    <w:p>
      <w:pPr>
        <w:pStyle w:val="P68B1DB1Normal111"/>
        <w:widowControl w:val="false"/>
        <w:spacing w:lineRule="auto" w:line="240" w:before="97" w:after="0"/>
        <w:ind w:left="0" w:right="0" w:hanging="0"/>
        <w:jc w:val="left"/>
        <w:rPr>
          <w:rFonts w:ascii="Calibri" w:hAnsi="Calibri"/>
          <w:b/>
          <w:b/>
          <w:color w:val="000000"/>
          <w:sz w:val="22"/>
        </w:rPr>
      </w:pPr>
      <w:r>
        <w:rPr/>
        <w:t xml:space="preserve">Poljoprivrednici koji uzimaju u obzir prirodu: „Utvrđivanje ciljeva, a ne kvota” </w:t>
      </w:r>
    </w:p>
    <w:p>
      <w:pPr>
        <w:pStyle w:val="P68B1DB1Normal104"/>
        <w:widowControl w:val="false"/>
        <w:spacing w:lineRule="auto" w:line="240" w:before="95" w:after="0"/>
        <w:ind w:left="0" w:right="0" w:hanging="0"/>
        <w:jc w:val="left"/>
        <w:rPr/>
      </w:pPr>
      <w:r>
        <w:rPr/>
        <w:t xml:space="preserve">BoerenNatuur je udruga poljoprivrednih grupa. Mala skupina članova raspravljala je, među ostalim, o pravilima EU-a za poljoprivrednike. S jedne strane, vjeruju da EU donosi mnogo pozitivnih stvari, kao što je jednostavnost izvoza u druge zemlje. S druge strane, smatraju da bi politika često mogla biti još eksplicitnija. „Ali svi već rade sve više i više u istom smjeru”, rekao je netko o tome. Konkretno, moguća su poboljšanja u postupcima: često su vrlo administrativne i dugotrajne. Prema mišljenju jednog sudionika, pravila ne bi trebala biti previše detaljna. Preferiraju jasne ciljeve, kao što je čista voda. Tada se možemo odlučiti kao rezultat širine jaraka. </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Normal"/>
        <w:widowControl w:val="false"/>
        <w:spacing w:lineRule="auto" w:line="240"/>
        <w:ind w:left="0" w:right="0" w:hanging="0"/>
        <w:jc w:val="left"/>
        <w:rPr>
          <w:rFonts w:ascii="Times New Roman" w:hAnsi="Times New Roman"/>
          <w:color w:val="000000"/>
          <w:sz w:val="24"/>
        </w:rPr>
      </w:pPr>
      <w:r>
        <w:rPr>
          <w:rFonts w:ascii="Times New Roman" w:hAnsi="Times New Roman"/>
          <w:color w:val="000000"/>
          <w:sz w:val="24"/>
        </w:rPr>
      </w:r>
      <w:r>
        <w:br w:type="page"/>
      </w:r>
    </w:p>
    <w:p>
      <w:pPr>
        <w:pStyle w:val="P68B1DB1Normal117"/>
        <w:widowControl w:val="false"/>
        <w:spacing w:lineRule="auto" w:line="240"/>
        <w:ind w:left="0" w:right="0" w:hanging="0"/>
        <w:jc w:val="left"/>
        <w:rPr>
          <w:rFonts w:ascii="Calibri" w:hAnsi="Calibri"/>
          <w:b/>
          <w:b/>
          <w:i/>
          <w:i/>
          <w:color w:val="000000"/>
          <w:sz w:val="28"/>
        </w:rPr>
      </w:pPr>
      <w:r>
        <w:rPr/>
        <w:t xml:space="preserve">Europska demokracija </w:t>
      </w:r>
    </w:p>
    <w:p>
      <w:pPr>
        <w:pStyle w:val="P68B1DB1Normal104"/>
        <w:widowControl w:val="false"/>
        <w:spacing w:lineRule="auto" w:line="240"/>
        <w:ind w:left="0" w:right="0" w:hanging="0"/>
        <w:jc w:val="left"/>
        <w:rPr/>
      </w:pPr>
      <w:r>
        <w:rPr/>
        <w:t xml:space="preserve">EU potiče Europljane da glasuju i želi ih uključiti u donošenje odluka i politike EU-a izvan izbornog razdoblja. EU također poduzima inicijative za jačanje demokracije, primjerice izradom akcijskog plana usmjerenog na slobodne i poštene izbore i slobodu medija. Kakva je to vizija Nizozemske? </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P68B1DB1Normal108"/>
        <w:widowControl w:val="false"/>
        <w:spacing w:lineRule="auto" w:line="240" w:before="15" w:after="0"/>
        <w:ind w:left="0" w:right="0" w:hanging="0"/>
        <w:jc w:val="left"/>
        <w:rPr>
          <w:rFonts w:ascii="Calibri" w:hAnsi="Calibri"/>
          <w:b/>
          <w:b/>
          <w:i/>
          <w:i/>
          <w:color w:val="000000"/>
          <w:sz w:val="24"/>
        </w:rPr>
      </w:pPr>
      <w:r>
        <w:rPr/>
        <w:t xml:space="preserve">Preporuke – Naša vizija europske demokracije </w:t>
      </w:r>
    </w:p>
    <w:p>
      <w:pPr>
        <w:pStyle w:val="P68B1DB1Normal69"/>
        <w:widowControl w:val="false"/>
        <w:spacing w:lineRule="auto" w:line="240"/>
        <w:ind w:left="0" w:right="0" w:hanging="0"/>
        <w:jc w:val="left"/>
        <w:rPr/>
      </w:pPr>
      <w:r>
        <w:rPr/>
        <w:t xml:space="preserve">60 % Nizozemaca smatra da je europska demokracija važno pitanje i da EU mora intervenirati u tom području. </w:t>
      </w:r>
    </w:p>
    <w:p>
      <w:pPr>
        <w:pStyle w:val="P68B1DB1Normal111"/>
        <w:widowControl w:val="false"/>
        <w:spacing w:lineRule="auto" w:line="240" w:before="13" w:after="0"/>
        <w:ind w:left="0" w:right="0" w:hanging="0"/>
        <w:jc w:val="left"/>
        <w:rPr>
          <w:rFonts w:ascii="Calibri" w:hAnsi="Calibri"/>
          <w:b/>
          <w:b/>
          <w:color w:val="000000"/>
          <w:sz w:val="22"/>
        </w:rPr>
      </w:pPr>
      <w:r>
        <w:rPr/>
        <w:t xml:space="preserve">1. Davanje boljeg pregleda Europe </w:t>
      </w:r>
    </w:p>
    <w:p>
      <w:pPr>
        <w:pStyle w:val="P68B1DB1Normal104"/>
        <w:widowControl w:val="false"/>
        <w:spacing w:lineRule="auto" w:line="240"/>
        <w:ind w:left="0" w:right="0" w:hanging="0"/>
        <w:jc w:val="left"/>
        <w:rPr/>
      </w:pPr>
      <w:r>
        <w:rPr/>
        <w:t xml:space="preserve">Nizozemci ističu da se Europa često pojavljuje u medijima u slučaju krize. S druge strane, imamo malo informacija o svakodnevnim odlukama. Kao građani, ne moramo znati sve, ali da bi se stvorilo dobro mišljenje, bilo bi dobro imati bolji pregled. Na primjer, bilo bi zanimljivo češće čuti stajališta drugih zemalja o EU-u. Mediji i obrazovanje mogu imati važnu ulogu u tom pogledu. No, mediji moraju ostati u mogućnosti donositi vlastite odluke. Zato što Nizozemci smatraju da je sloboda tiska vrlo važna u našoj demokraciji. </w:t>
      </w:r>
    </w:p>
    <w:p>
      <w:pPr>
        <w:pStyle w:val="P68B1DB1Normal113"/>
        <w:widowControl w:val="false"/>
        <w:spacing w:lineRule="auto" w:line="240" w:before="184" w:after="0"/>
        <w:ind w:left="0" w:right="0" w:hanging="0"/>
        <w:jc w:val="center"/>
        <w:rPr/>
      </w:pPr>
      <w:r>
        <w:rPr/>
        <w:t>„</w:t>
      </w:r>
      <w:r>
        <w:rPr/>
        <w:t xml:space="preserve">Većinom vremena čujemo samo o EU-u u slučaju krize. Zbog toga je osjećaj prema Europi i dalje negativan. </w:t>
      </w:r>
    </w:p>
    <w:p>
      <w:pPr>
        <w:pStyle w:val="P68B1DB1Normal111"/>
        <w:widowControl w:val="false"/>
        <w:spacing w:lineRule="auto" w:line="240" w:before="153" w:after="0"/>
        <w:ind w:left="0" w:right="0" w:hanging="0"/>
        <w:jc w:val="left"/>
        <w:rPr>
          <w:rFonts w:ascii="Calibri" w:hAnsi="Calibri"/>
          <w:b/>
          <w:b/>
          <w:color w:val="000000"/>
          <w:sz w:val="22"/>
        </w:rPr>
      </w:pPr>
      <w:r>
        <w:rPr/>
        <w:t xml:space="preserve">2. Pronađite nove načine za kontinuirano slušanje građana </w:t>
      </w:r>
    </w:p>
    <w:p>
      <w:pPr>
        <w:pStyle w:val="P68B1DB1Normal104"/>
        <w:widowControl w:val="false"/>
        <w:spacing w:lineRule="auto" w:line="240"/>
        <w:ind w:left="0" w:right="0" w:hanging="0"/>
        <w:jc w:val="left"/>
        <w:rPr/>
      </w:pPr>
      <w:r>
        <w:rPr/>
        <w:t xml:space="preserve">51 % Nizozemaca smatra da EU nije dovoljno svjesna onoga što se događa u društvu. Kako bi se ta situacija poboljšala, EU bi se trebao češće i po mogućnosti trajno uključiti u dijalog s građanima. Mnogi Nizozemci stoga smatraju da je Konferencija o budućnosti Europe dobra inicijativa. Referendumi također mogu biti vrijedan alat, ali Nizozemci imaju različita stajališta o tome. Za određene teme također je ponekad potrebno imati specijalizirano znanje. U svakom slučaju, razgovor s građanima ne bi trebao biti samo formalnost. Vjerujemo da je važno da nas shvate ozbiljno. </w:t>
      </w:r>
    </w:p>
    <w:p>
      <w:pPr>
        <w:pStyle w:val="P68B1DB1Normal111"/>
        <w:widowControl w:val="false"/>
        <w:spacing w:lineRule="auto" w:line="240" w:before="21" w:after="0"/>
        <w:ind w:left="0" w:right="0" w:hanging="0"/>
        <w:jc w:val="left"/>
        <w:rPr>
          <w:rFonts w:ascii="Calibri" w:hAnsi="Calibri"/>
          <w:b/>
          <w:b/>
          <w:color w:val="000000"/>
          <w:sz w:val="22"/>
        </w:rPr>
      </w:pPr>
      <w:r>
        <w:rPr/>
        <w:t xml:space="preserve">3. Veća transparentnost i jasnoća donesenih odluka </w:t>
      </w:r>
    </w:p>
    <w:p>
      <w:pPr>
        <w:pStyle w:val="P68B1DB1Normal104"/>
        <w:widowControl w:val="false"/>
        <w:spacing w:lineRule="auto" w:line="240"/>
        <w:ind w:left="0" w:right="0" w:hanging="0"/>
        <w:jc w:val="left"/>
        <w:rPr/>
      </w:pPr>
      <w:r>
        <w:rPr/>
        <w:t xml:space="preserve">Nizozemci ponekad smatraju Europu prilično kompliciranom. Nemaju svi isti stupanj osnovnog znanja. EU to mora više uzeti u obzir. Želimo da EU postane transparentniji i olakša njegovo ažuriranje. Nizozemska tijela također imaju ulogu u tom pogledu. Mnogi Nizozemci su zainteresirani za europske odluke, ali smatraju da su službeni kanali previše teško pronaći ili previše složeni. Osim toga, svatko ima različite interese i potrebe. Stoga bi bilo potrebno moći odabrati teme o kojima bismo željeli saznati više. Mladi su često zainteresirani za Europu, ali na svojim društvenim mrežama, na primjer, vide malo informacija o tome. </w:t>
      </w:r>
    </w:p>
    <w:p>
      <w:pPr>
        <w:pStyle w:val="P68B1DB1Normal113"/>
        <w:widowControl w:val="false"/>
        <w:spacing w:lineRule="auto" w:line="240" w:before="184" w:after="0"/>
        <w:ind w:left="0" w:right="0" w:hanging="0"/>
        <w:jc w:val="center"/>
        <w:rPr/>
      </w:pPr>
      <w:r>
        <w:rPr/>
        <w:t xml:space="preserve">Dok sam bio na odmoru u Mađarskoj, vidio sam veliki znak u blizini nove šumske plantaže u kojoj piše: „Ova plantaža bila je moguća zahvaljujući EU-u.” Iako sam skeptičan prema Europi, još uvijek sam ponosan. </w:t>
      </w:r>
    </w:p>
    <w:p>
      <w:pPr>
        <w:pStyle w:val="P68B1DB1Normal19"/>
        <w:widowControl w:val="false"/>
        <w:spacing w:lineRule="auto" w:line="240" w:before="155" w:after="0"/>
        <w:ind w:left="0" w:right="0" w:hanging="0"/>
        <w:jc w:val="left"/>
        <w:rPr>
          <w:rFonts w:ascii="Times New Roman" w:hAnsi="Times New Roman"/>
          <w:color w:val="000000"/>
          <w:sz w:val="24"/>
        </w:rPr>
      </w:pPr>
      <w:r>
        <w:rPr/>
        <w:t xml:space="preserve"> </w:t>
      </w:r>
    </w:p>
    <w:p>
      <w:pPr>
        <w:pStyle w:val="P68B1DB1Normal111"/>
        <w:widowControl w:val="false"/>
        <w:spacing w:lineRule="auto" w:line="240" w:before="172" w:after="0"/>
        <w:ind w:left="0" w:right="0" w:hanging="0"/>
        <w:jc w:val="left"/>
        <w:rPr>
          <w:rFonts w:ascii="Calibri" w:hAnsi="Calibri"/>
          <w:b/>
          <w:b/>
          <w:color w:val="000000"/>
          <w:sz w:val="22"/>
        </w:rPr>
      </w:pPr>
      <w:r>
        <w:rPr/>
        <w:t xml:space="preserve">4. Osiguravanje da se trnovita pitanja mogu brže riješiti </w:t>
      </w:r>
    </w:p>
    <w:p>
      <w:pPr>
        <w:pStyle w:val="P68B1DB1Normal104"/>
        <w:widowControl w:val="false"/>
        <w:spacing w:lineRule="auto" w:line="240"/>
        <w:ind w:left="0" w:right="0" w:hanging="0"/>
        <w:jc w:val="left"/>
        <w:rPr/>
      </w:pPr>
      <w:r>
        <w:rPr/>
        <w:t>Nizozemcima je teško razumjeti kako funkcionira europska demokracija, ali im se čini da je donošenje odluka u EU-u često vrlo sporo. Na europskim izborima vidimo prije svega saveze između</w:t>
      </w:r>
      <w:r>
        <w:rPr/>
        <w:commentReference w:id="23"/>
      </w:r>
      <w:r>
        <w:rPr/>
        <w:t xml:space="preserve"> nacionalnih stranaka. Mogu postojati i drugi načini za rješavanje europskih interesa. Oko trećine Nizozemaca vjeruje da bi na izborima za Europski parlament trebalo biti moguće glasati za strane kandidate. Otprilike jednak broj građana smatra da to ne bi trebalo biti moguće. Najvažnije je da se u dovoljnoj mjeri uzmu u obzir različiti interesi o kojima je riječ. U isto vrijeme, moguće je riješiti trnovita pitanja brže nego što je to danas slučaj. </w:t>
      </w:r>
    </w:p>
    <w:p>
      <w:pPr>
        <w:pStyle w:val="P68B1DB1Normal113"/>
        <w:widowControl w:val="false"/>
        <w:spacing w:lineRule="auto" w:line="240" w:before="201" w:after="0"/>
        <w:ind w:left="0" w:right="0" w:hanging="0"/>
        <w:jc w:val="center"/>
        <w:rPr/>
      </w:pPr>
      <w:r>
        <w:rPr/>
        <w:t xml:space="preserve">Na izborima bih volio da se mogu poistovjetiti s nekim i znati što on ili ona brani. To ne mora nužno biti sunarodnjak. </w:t>
      </w:r>
    </w:p>
    <w:p>
      <w:pPr>
        <w:pStyle w:val="P68B1DB1Normal108"/>
        <w:widowControl w:val="false"/>
        <w:spacing w:lineRule="auto" w:line="240" w:before="171" w:after="0"/>
        <w:ind w:left="0" w:right="0" w:hanging="0"/>
        <w:jc w:val="left"/>
        <w:rPr>
          <w:rFonts w:ascii="Calibri" w:hAnsi="Calibri"/>
          <w:b/>
          <w:b/>
          <w:i/>
          <w:i/>
          <w:color w:val="000000"/>
          <w:sz w:val="24"/>
        </w:rPr>
      </w:pPr>
      <w:r>
        <w:rPr/>
        <w:t xml:space="preserve">Rasprave i ideje na internetu i na licu mjesta </w:t>
      </w:r>
    </w:p>
    <w:p>
      <w:pPr>
        <w:pStyle w:val="P68B1DB1Normal118"/>
        <w:widowControl w:val="false"/>
        <w:spacing w:lineRule="auto" w:line="240" w:before="3" w:after="0"/>
        <w:ind w:left="0" w:right="0" w:hanging="0"/>
        <w:jc w:val="left"/>
        <w:rPr>
          <w:rFonts w:ascii="Calibri" w:hAnsi="Calibri"/>
          <w:i/>
          <w:i/>
          <w:color w:val="000000"/>
          <w:sz w:val="21"/>
        </w:rPr>
      </w:pPr>
      <w:r>
        <w:rPr/>
        <w:t xml:space="preserve">Uklonite moć veta zemalja. Većina mora odlučiti. </w:t>
      </w:r>
    </w:p>
    <w:p>
      <w:pPr>
        <w:pStyle w:val="Normal"/>
        <w:widowControl w:val="false"/>
        <w:spacing w:lineRule="auto" w:line="240" w:before="85" w:after="0"/>
        <w:ind w:left="0" w:right="0" w:hanging="0"/>
        <w:jc w:val="left"/>
        <w:rPr/>
      </w:pPr>
      <w:r>
        <w:rPr>
          <w:rFonts w:ascii="Calibri" w:hAnsi="Calibri"/>
          <w:i/>
          <w:color w:val="000000"/>
          <w:sz w:val="21"/>
        </w:rPr>
        <w:t xml:space="preserve">Za važne odluke, uspostaviti skupine za raspravu </w:t>
      </w:r>
      <w:commentRangeStart w:id="24"/>
      <w:r>
        <w:rPr>
          <w:rFonts w:ascii="Calibri" w:hAnsi="Calibri"/>
          <w:i/>
          <w:color w:val="000000"/>
          <w:sz w:val="21"/>
        </w:rPr>
        <w:t xml:space="preserve">sastavljene </w:t>
      </w:r>
      <w:r>
        <w:rPr>
          <w:rFonts w:ascii="Calibri" w:hAnsi="Calibri"/>
          <w:i/>
          <w:color w:val="000000"/>
          <w:sz w:val="21"/>
        </w:rPr>
      </w:r>
      <w:commentRangeEnd w:id="24"/>
      <w:r>
        <w:commentReference w:id="24"/>
      </w:r>
      <w:r>
        <w:rPr>
          <w:rFonts w:ascii="Calibri" w:hAnsi="Calibri"/>
          <w:i/>
          <w:color w:val="000000"/>
          <w:sz w:val="21"/>
        </w:rPr>
        <w:t>od građana, možda na (polu)obveznoj osnovi, kao što je učinjeno za porote u Sjedinjenim Američkim Državama.</w:t>
      </w:r>
    </w:p>
    <w:p>
      <w:pPr>
        <w:pStyle w:val="P68B1DB1Normal118"/>
        <w:widowControl w:val="false"/>
        <w:spacing w:lineRule="auto" w:line="240" w:before="85" w:after="0"/>
        <w:ind w:left="0" w:right="0" w:hanging="0"/>
        <w:jc w:val="left"/>
        <w:rPr/>
      </w:pPr>
      <w:r>
        <w:rPr/>
        <w:t>„</w:t>
      </w:r>
      <w:r>
        <w:rPr/>
        <w:t xml:space="preserve">Osigurajte da političari i dužnosnici EU-a redovito posjećuju zaleđe” i da ne ostanu potpuno zatvoreni u svom briselskom balonu. </w:t>
      </w:r>
    </w:p>
    <w:p>
      <w:pPr>
        <w:pStyle w:val="P68B1DB1Normal118"/>
        <w:widowControl w:val="false"/>
        <w:spacing w:lineRule="auto" w:line="240" w:before="85" w:after="0"/>
        <w:ind w:left="0" w:right="0" w:hanging="0"/>
        <w:jc w:val="left"/>
        <w:rPr/>
      </w:pPr>
      <w:r>
        <w:rPr/>
        <w:t xml:space="preserve">ZAMISAO: U stvari, TV vijesti trebaju posvetiti nekoliko minuta Europi u svakom od svojih izdanja. Ili bismo mogli pokrenuti dnevne ili tjedne novine posvećene Europi. </w:t>
      </w:r>
    </w:p>
    <w:p>
      <w:pPr>
        <w:pStyle w:val="P68B1DB1Normal118"/>
        <w:widowControl w:val="false"/>
        <w:spacing w:lineRule="auto" w:line="240" w:before="85" w:after="0"/>
        <w:ind w:left="0" w:right="0" w:hanging="0"/>
        <w:jc w:val="left"/>
        <w:rPr/>
      </w:pPr>
      <w:r>
        <w:rPr/>
        <w:t xml:space="preserve">ZAMISAO: Možda bi europski političari trebali češće sudjelovati u televizijskim programima. </w:t>
      </w:r>
    </w:p>
    <w:p>
      <w:pPr>
        <w:pStyle w:val="P68B1DB1Normal118"/>
        <w:widowControl w:val="false"/>
        <w:spacing w:lineRule="auto" w:line="240" w:before="85" w:after="0"/>
        <w:ind w:left="0" w:right="0" w:hanging="0"/>
        <w:jc w:val="left"/>
        <w:rPr/>
      </w:pPr>
      <w:r>
        <w:rPr/>
        <w:t xml:space="preserve">Kao mlada osoba gotovo nikad ništa nisam čitala o Europi. Međutim, znatiželjan sam znati više, ali bez potrebe da se previše truda dobiti informacije. </w:t>
      </w:r>
    </w:p>
    <w:p>
      <w:pPr>
        <w:pStyle w:val="P68B1DB1Normal111"/>
        <w:widowControl w:val="false"/>
        <w:spacing w:lineRule="auto" w:line="240" w:before="84" w:after="0"/>
        <w:ind w:left="0" w:right="0" w:hanging="0"/>
        <w:jc w:val="left"/>
        <w:rPr>
          <w:rFonts w:ascii="Calibri" w:hAnsi="Calibri"/>
          <w:b/>
          <w:b/>
          <w:color w:val="000000"/>
          <w:sz w:val="22"/>
        </w:rPr>
      </w:pPr>
      <w:r>
        <w:rPr/>
        <w:t xml:space="preserve">Mladi članovi Coalitie-Y u Utrechtu: rasprava o korištenju referenduma </w:t>
      </w:r>
    </w:p>
    <w:p>
      <w:pPr>
        <w:pStyle w:val="P68B1DB1Normal104"/>
        <w:widowControl w:val="false"/>
        <w:spacing w:lineRule="auto" w:line="240"/>
        <w:ind w:left="0" w:right="0" w:hanging="0"/>
        <w:jc w:val="left"/>
        <w:rPr/>
      </w:pPr>
      <w:r>
        <w:rPr/>
        <w:t xml:space="preserve">Članovi Coalitie-Y – suradnje između različitih organizacija mladih – održali su živu raspravu o korištenju referenduma. Protivnici su spomenuli rizik od rasprava u kojima je sve crno ili bijelo, dok su teme često mnogo složenije. Jedan od sudionika dalje je izjavio: Možemo glasati za EU i kandidirati se. Referendumi zapravo potkopavaju to načelo." Pristaše referenduma izjavile su kako smatraju korisnim da kreatori politika znaju što građani misle o određenoj temi: to bi moglo pomoći u pružanju smjernica. Referendumi bi također mogli pomoći u podizanju javne svijesti o EU-u u cjelini: koje su teme na dnevnom redu i koje odluke treba donijeti? </w:t>
      </w:r>
    </w:p>
    <w:p>
      <w:pPr>
        <w:pStyle w:val="P68B1DB1Normal111"/>
        <w:widowControl w:val="false"/>
        <w:spacing w:lineRule="auto" w:line="240" w:before="38" w:after="0"/>
        <w:ind w:left="0" w:right="0" w:hanging="0"/>
        <w:jc w:val="left"/>
        <w:rPr>
          <w:rFonts w:ascii="Calibri" w:hAnsi="Calibri"/>
          <w:b/>
          <w:b/>
          <w:color w:val="000000"/>
          <w:sz w:val="22"/>
        </w:rPr>
      </w:pPr>
      <w:r>
        <w:rPr/>
        <w:t xml:space="preserve">Socijalni volonteri: Potrebno je bolje međusobno razumijevanje među zemljama. </w:t>
      </w:r>
    </w:p>
    <w:p>
      <w:pPr>
        <w:pStyle w:val="Normal"/>
        <w:widowControl w:val="false"/>
        <w:spacing w:lineRule="auto" w:line="240"/>
        <w:ind w:left="0" w:right="0" w:hanging="0"/>
        <w:jc w:val="left"/>
        <w:rPr/>
      </w:pPr>
      <w:r>
        <w:rPr/>
        <w:t>Zaklada</w:t>
      </w:r>
      <w:r>
        <w:rPr>
          <w:rFonts w:ascii="Calibri" w:hAnsi="Calibri"/>
          <w:color w:val="000000"/>
          <w:sz w:val="21"/>
        </w:rPr>
        <w:t xml:space="preserve">Piëzo u Zoetermeeru sastoji se od volontera koji na različite načine djeluju u području društvenog sudjelovanja. Sudionici tematskog dijaloga izrazili su zabrinutost zbog sve većeg jaza u Europi. To su, na primjer, stajališta zemalja o LGBTIQ zajednici. Ako zemlje ne razumiju svoja stajališta, teško je surađivati. „Zbog toga je bitno bolje se upoznati”, rekao je jedan sudionik. Danas jednostavno ne znamo što ljudi misle u drugim zemljama. Ne razumijemo u dovoljnoj mjeri kulturu i kontekst naših zemalja. To je bitno ako želimo zajedno donositi dobre odluke. </w:t>
      </w:r>
      <w:r>
        <w:br w:type="page"/>
      </w:r>
    </w:p>
    <w:p>
      <w:pPr>
        <w:pStyle w:val="P68B1DB1Normal117"/>
        <w:spacing w:lineRule="auto" w:line="240"/>
        <w:ind w:left="0" w:right="0" w:hanging="0"/>
        <w:rPr>
          <w:rFonts w:ascii="Calibri" w:hAnsi="Calibri"/>
          <w:b/>
          <w:b/>
          <w:i/>
          <w:i/>
          <w:color w:val="000000"/>
          <w:sz w:val="28"/>
        </w:rPr>
      </w:pPr>
      <w:r>
        <w:rPr/>
        <w:t xml:space="preserve">Digitalna transformacija </w:t>
      </w:r>
    </w:p>
    <w:p>
      <w:pPr>
        <w:pStyle w:val="P68B1DB1Normal104"/>
        <w:widowControl w:val="false"/>
        <w:spacing w:lineRule="auto" w:line="240" w:before="62" w:after="0"/>
        <w:ind w:left="0" w:right="0" w:hanging="0"/>
        <w:jc w:val="left"/>
        <w:rPr/>
      </w:pPr>
      <w:r>
        <w:rPr/>
        <w:t xml:space="preserve">U virtualnom svijetu sve su veći zahtjevi za internetsku povezivost, sigurnost i privatnost. EU se u tom pogledu osjeća odgovornim i predan je osiguravanju da nitko ne bude zapostavljen u digitalnom društvu. Osim toga, EU ulaže u digitalna rješenja za društvene izazove. Kakva je to vizija Nizozemske? </w:t>
      </w:r>
    </w:p>
    <w:p>
      <w:pPr>
        <w:pStyle w:val="P68B1DB1Normal108"/>
        <w:widowControl w:val="false"/>
        <w:spacing w:lineRule="auto" w:line="240" w:before="57" w:after="0"/>
        <w:ind w:left="0" w:right="0" w:hanging="0"/>
        <w:jc w:val="left"/>
        <w:rPr>
          <w:rFonts w:ascii="Calibri" w:hAnsi="Calibri"/>
          <w:b/>
          <w:b/>
          <w:i/>
          <w:i/>
          <w:color w:val="000000"/>
          <w:sz w:val="24"/>
        </w:rPr>
      </w:pPr>
      <w:r>
        <w:rPr/>
        <w:t xml:space="preserve">Preporuke – Naš virtualni svjetonazor </w:t>
      </w:r>
    </w:p>
    <w:p>
      <w:pPr>
        <w:pStyle w:val="P68B1DB1Normal69"/>
        <w:widowControl w:val="false"/>
        <w:spacing w:lineRule="auto" w:line="240" w:before="65" w:after="0"/>
        <w:ind w:left="0" w:right="0" w:hanging="0"/>
        <w:jc w:val="left"/>
        <w:rPr/>
      </w:pPr>
      <w:r>
        <w:rPr/>
        <w:t xml:space="preserve">45 % Nizozemaca smatra da je virtualni svijet važna tema i da EU mora intervenirati u tom području. </w:t>
      </w:r>
    </w:p>
    <w:p>
      <w:pPr>
        <w:pStyle w:val="P68B1DB1Normal111"/>
        <w:widowControl w:val="false"/>
        <w:spacing w:lineRule="auto" w:line="240" w:before="47" w:after="0"/>
        <w:ind w:left="0" w:right="0" w:hanging="0"/>
        <w:jc w:val="left"/>
        <w:rPr>
          <w:rFonts w:ascii="Calibri" w:hAnsi="Calibri"/>
          <w:b/>
          <w:b/>
          <w:color w:val="000000"/>
          <w:sz w:val="22"/>
        </w:rPr>
      </w:pPr>
      <w:r>
        <w:rPr/>
        <w:t xml:space="preserve">1. Osiguravanje brzog, sigurnog i stabilnog interneta svugdje </w:t>
      </w:r>
    </w:p>
    <w:p>
      <w:pPr>
        <w:pStyle w:val="P68B1DB1Normal104"/>
        <w:widowControl w:val="false"/>
        <w:spacing w:lineRule="auto" w:line="240" w:before="49" w:after="0"/>
        <w:ind w:left="0" w:right="0" w:hanging="0"/>
        <w:jc w:val="left"/>
        <w:rPr/>
      </w:pPr>
      <w:r>
        <w:rPr/>
        <w:t xml:space="preserve">61 % Nizozemaca smatra da bi EU trebao osigurati da svaka osoba u Europi ima pristup brzom i stabilnom internetu. Svi vidimo da internet igra sve važniju ulogu u našim životima. Naša djeca odrastaju u digitalnom obrazovanju. A komunikacija se sve više odvija putem interneta, kako na nacionalnoj tako i na međunarodnoj razini. Ponekad smo zabrinuti zbog velike ovisnosti o internetu. Mnogi Nizozemci stoga smatraju da je EU u najboljem položaju da mu namijeni sredstva, pod uvjetom da se učinkovito koriste. Smatramo da je zaštita od kriminala na internetu najvažnije pitanje koje treba riješiti na europskoj razini. Međutim, pozornost treba posvetiti i borbi protiv internetskog kriminala na nacionalnoj razini. </w:t>
      </w:r>
    </w:p>
    <w:p>
      <w:pPr>
        <w:pStyle w:val="P68B1DB1Normal113"/>
        <w:widowControl w:val="false"/>
        <w:spacing w:lineRule="auto" w:line="240" w:before="54" w:after="0"/>
        <w:ind w:left="0" w:right="0" w:hanging="0"/>
        <w:jc w:val="center"/>
        <w:rPr/>
      </w:pPr>
      <w:r>
        <w:rPr/>
        <w:t xml:space="preserve">Ideja cyber napada na naš sustav zaštite voda čini da se osjećam ranjivo. </w:t>
      </w:r>
    </w:p>
    <w:p>
      <w:pPr>
        <w:pStyle w:val="P68B1DB1Normal111"/>
        <w:widowControl w:val="false"/>
        <w:spacing w:lineRule="auto" w:line="240" w:before="71" w:after="0"/>
        <w:ind w:left="0" w:right="0" w:hanging="0"/>
        <w:jc w:val="left"/>
        <w:rPr>
          <w:rFonts w:ascii="Calibri" w:hAnsi="Calibri"/>
          <w:b/>
          <w:b/>
          <w:color w:val="000000"/>
          <w:sz w:val="22"/>
        </w:rPr>
      </w:pPr>
      <w:r>
        <w:rPr/>
        <w:t xml:space="preserve">2. Utvrđivanje jasnih pravila i standarda za internetska poduzeća </w:t>
      </w:r>
    </w:p>
    <w:p>
      <w:pPr>
        <w:pStyle w:val="P68B1DB1Normal104"/>
        <w:widowControl w:val="false"/>
        <w:spacing w:lineRule="auto" w:line="240" w:before="49" w:after="0"/>
        <w:ind w:left="0" w:right="0" w:hanging="0"/>
        <w:jc w:val="left"/>
        <w:rPr/>
      </w:pPr>
      <w:r>
        <w:rPr/>
        <w:t xml:space="preserve">75 % Nizozemaca smatra da bi EU trebao osigurati da se kupnja na internetu može obavljati uz jednaku razinu sigurnosti u svim državama članicama EU-a. Svi kupujemo sve više i više u inozemstvu i na taj način dijelimo osjetljive osobne podatke. To se ponekad čini opasnim. Teško je utvrditi koje su internetske stranice vjerodostojne. Dobro je da EU razvija europska pravila i standarde privatnosti koje svatko može razumjeti. Moć velikih internetskih tvrtki također je redoviti izvor zabrinutosti za nas. Smatramo da je naša odgovornost da budemo oprezni u korištenju naših podataka. Međutim, također vjerujemo da EU može imati ulogu u tom pogledu. Države članice EU-a moraju surađivati kako bi se osiguralo da tvrtke poput Googlea i Facebooka nemaju previše moći. </w:t>
      </w:r>
    </w:p>
    <w:p>
      <w:pPr>
        <w:pStyle w:val="P68B1DB1Normal113"/>
        <w:widowControl w:val="false"/>
        <w:spacing w:lineRule="auto" w:line="240" w:before="54" w:after="0"/>
        <w:ind w:left="0" w:right="0" w:hanging="0"/>
        <w:jc w:val="center"/>
        <w:rPr/>
      </w:pPr>
      <w:r>
        <w:rPr/>
        <w:t xml:space="preserve">Suočeni s globalnim igračem kao što je Facebook, relativno smo siromašni kao mala zemlja. </w:t>
      </w:r>
    </w:p>
    <w:p>
      <w:pPr>
        <w:pStyle w:val="P68B1DB1Normal111"/>
        <w:widowControl w:val="false"/>
        <w:spacing w:lineRule="auto" w:line="240" w:before="71" w:after="0"/>
        <w:ind w:left="0" w:right="0" w:hanging="0"/>
        <w:jc w:val="left"/>
        <w:rPr/>
      </w:pPr>
      <w:r>
        <w:rPr/>
        <w:t xml:space="preserve">3. Dodavanje provedbe i praktičnih objašnjenja pravila o privatnosti </w:t>
      </w:r>
    </w:p>
    <w:p>
      <w:pPr>
        <w:pStyle w:val="Normal"/>
        <w:widowControl w:val="false"/>
        <w:spacing w:lineRule="auto" w:line="240" w:before="49" w:after="0"/>
        <w:ind w:left="0" w:right="0" w:hanging="0"/>
        <w:jc w:val="left"/>
        <w:rPr/>
      </w:pPr>
      <w:r>
        <w:rPr>
          <w:rFonts w:ascii="Calibri" w:hAnsi="Calibri"/>
          <w:color w:val="000000"/>
          <w:sz w:val="21"/>
        </w:rPr>
        <w:t xml:space="preserve">Uvođenjem Opće uredbe o zaštiti podataka (GDPR), Nizozemci znaju da sve zemlje moraju poštovati iste zakone i propise o privatnosti. Mislimo da je dobro biti u stanju računati na to, jer je privatnost važno pitanje. Međutim, neki Nizozemci smatraju da su pravila o privatnosti ponekad pretjerana ili nelogična. Osim toga, to zakonodavstvo može stvoriti puno posla za poduzetnike. Stoga smatramo da je potrebno posvetiti više pozornosti praktičnoj provedbi zakonodavstva o privatnosti: potpora i informiranje građana i poduzeća. Posebno smatramo da države članice imaju ulogu. Pitanja ili pitanja privatnosti najbolje rješavaju naša nacionalna tijela na našem jeziku. </w:t>
      </w:r>
      <w:r>
        <w:br w:type="page"/>
      </w:r>
    </w:p>
    <w:p>
      <w:pPr>
        <w:pStyle w:val="P68B1DB1Normal108"/>
        <w:spacing w:lineRule="auto" w:line="240"/>
        <w:ind w:left="0" w:right="0" w:hanging="0"/>
        <w:rPr>
          <w:rFonts w:ascii="Calibri" w:hAnsi="Calibri"/>
          <w:b/>
          <w:b/>
          <w:i/>
          <w:i/>
          <w:color w:val="000000"/>
          <w:sz w:val="24"/>
        </w:rPr>
      </w:pPr>
      <w:r>
        <w:rPr/>
        <w:t xml:space="preserve">Rasprave i ideje na internetu i na licu mjesta </w:t>
      </w:r>
    </w:p>
    <w:p>
      <w:pPr>
        <w:pStyle w:val="P68B1DB1Normal118"/>
        <w:widowControl w:val="false"/>
        <w:spacing w:lineRule="auto" w:line="240" w:before="120" w:after="0"/>
        <w:ind w:left="0" w:right="889" w:hanging="0"/>
        <w:jc w:val="left"/>
        <w:rPr/>
      </w:pPr>
      <w:r>
        <w:rPr/>
        <w:t xml:space="preserve">ZAMISAO: Postavite strože kriterije za programere i tvrtke zabranom opasnih programskih jezika. </w:t>
      </w:r>
    </w:p>
    <w:p>
      <w:pPr>
        <w:pStyle w:val="P68B1DB1Normal118"/>
        <w:widowControl w:val="false"/>
        <w:spacing w:lineRule="auto" w:line="240" w:before="87" w:after="0"/>
        <w:ind w:left="0" w:right="0" w:hanging="0"/>
        <w:jc w:val="left"/>
        <w:rPr>
          <w:rFonts w:ascii="Calibri" w:hAnsi="Calibri"/>
          <w:i/>
          <w:i/>
          <w:color w:val="000000"/>
          <w:sz w:val="21"/>
        </w:rPr>
      </w:pPr>
      <w:r>
        <w:rPr/>
        <w:t xml:space="preserve">Predložiti besplatan europski antivirusni softver za stvaranje europskog vatrozida. </w:t>
      </w:r>
    </w:p>
    <w:p>
      <w:pPr>
        <w:pStyle w:val="P68B1DB1Normal118"/>
        <w:widowControl w:val="false"/>
        <w:spacing w:lineRule="auto" w:line="240" w:before="85" w:after="0"/>
        <w:ind w:left="0" w:right="42" w:hanging="0"/>
        <w:jc w:val="left"/>
        <w:rPr/>
      </w:pPr>
      <w:r>
        <w:rPr/>
        <w:t xml:space="preserve">Kad prijeđem granicu u Njemačku, odjednom više nemam mrežu na svom mobilnom telefonu. To se više ne bi smjelo događati, zar ne? </w:t>
      </w:r>
    </w:p>
    <w:p>
      <w:pPr>
        <w:pStyle w:val="P68B1DB1Normal118"/>
        <w:widowControl w:val="false"/>
        <w:spacing w:lineRule="auto" w:line="240" w:before="85" w:after="0"/>
        <w:ind w:left="0" w:right="959" w:hanging="0"/>
        <w:jc w:val="left"/>
        <w:rPr/>
      </w:pPr>
      <w:r>
        <w:rPr/>
        <w:t xml:space="preserve">S našim iPhoneima možemo pratiti sva naša putovanja. Imamo i svoj dio odgovornosti. </w:t>
      </w:r>
    </w:p>
    <w:p>
      <w:pPr>
        <w:pStyle w:val="P68B1DB1Normal118"/>
        <w:widowControl w:val="false"/>
        <w:spacing w:lineRule="auto" w:line="240" w:before="83" w:after="0"/>
        <w:ind w:left="0" w:right="0" w:hanging="0"/>
        <w:jc w:val="left"/>
        <w:rPr/>
      </w:pPr>
      <w:r>
        <w:rPr/>
        <w:t xml:space="preserve">Nije prikladno ispuniti drugu vrstu obrasca o privatnosti u svakoj zemlji. </w:t>
      </w:r>
    </w:p>
    <w:p>
      <w:pPr>
        <w:pStyle w:val="P68B1DB1Normal118"/>
        <w:widowControl w:val="false"/>
        <w:spacing w:lineRule="auto" w:line="240" w:before="87" w:after="0"/>
        <w:ind w:left="0" w:right="0" w:hanging="0"/>
        <w:jc w:val="left"/>
        <w:rPr>
          <w:rFonts w:ascii="Calibri" w:hAnsi="Calibri"/>
          <w:i/>
          <w:i/>
          <w:color w:val="000000"/>
          <w:sz w:val="21"/>
        </w:rPr>
      </w:pPr>
      <w:r>
        <w:rPr/>
        <w:t xml:space="preserve">ZAMISAO: Trebamo uspostaviti europsku kiberpoliciju. To je očito nešto za EU. </w:t>
      </w:r>
    </w:p>
    <w:p>
      <w:pPr>
        <w:pStyle w:val="P68B1DB1Normal111"/>
        <w:widowControl w:val="false"/>
        <w:spacing w:lineRule="auto" w:line="240" w:before="84" w:after="0"/>
        <w:ind w:left="0" w:right="823" w:hanging="0"/>
        <w:jc w:val="left"/>
        <w:rPr/>
      </w:pPr>
      <w:r>
        <w:rPr/>
        <w:t xml:space="preserve">Sudionici u internetskom dijalogu: Imati kvalitetan pristup internetu svugdje je u našem vlastitom interesu. </w:t>
      </w:r>
    </w:p>
    <w:p>
      <w:pPr>
        <w:pStyle w:val="P68B1DB1Normal104"/>
        <w:widowControl w:val="false"/>
        <w:spacing w:lineRule="auto" w:line="240" w:before="97" w:after="0"/>
        <w:ind w:left="0" w:right="236" w:hanging="0"/>
        <w:jc w:val="left"/>
        <w:rPr/>
      </w:pPr>
      <w:r>
        <w:rPr/>
        <w:t xml:space="preserve">Tijekom jednog od tematskih dijaloga na internetu nastala je zanimljiva rasprava o ulozi EU-a u virtualnom svijetu. Svi sudionici složili su se da je dobro i važno imati dobru internetsku vezu u cijeloj Europi. No, je li na EU-u da se pozabavi tim pitanjem? Nekoliko sudionika navelo je da je to prvenstveno zadaća pojedinačnih država članica. Drugi sudionik naglasio je da je stabilan i kvalitetan internet u inozemstvu također sredstvo za Nizozemsku: Zarađujemo milijarde dolara od trgovine s drugim zemljama EU-a. Stoga je u našem interesu da te zemlje dobro funkcioniraju. </w:t>
      </w:r>
    </w:p>
    <w:p>
      <w:pPr>
        <w:pStyle w:val="P68B1DB1Normal111"/>
        <w:widowControl w:val="false"/>
        <w:spacing w:lineRule="auto" w:line="240" w:before="40" w:after="0"/>
        <w:ind w:left="0" w:right="0" w:hanging="0"/>
        <w:jc w:val="left"/>
        <w:rPr>
          <w:rFonts w:ascii="Calibri" w:hAnsi="Calibri"/>
          <w:b/>
          <w:b/>
          <w:color w:val="000000"/>
          <w:sz w:val="22"/>
        </w:rPr>
      </w:pPr>
      <w:r>
        <w:rPr/>
        <w:t xml:space="preserve">Studenti u Helmondu: Jednaka pravila i sankcije za kiberkriminalce </w:t>
      </w:r>
    </w:p>
    <w:p>
      <w:pPr>
        <w:pStyle w:val="Normal"/>
        <w:widowControl w:val="false"/>
        <w:spacing w:lineRule="auto" w:line="240" w:before="95" w:after="0"/>
        <w:ind w:left="0" w:right="32" w:hanging="0"/>
        <w:jc w:val="left"/>
        <w:rPr/>
      </w:pPr>
      <w:r>
        <w:rPr>
          <w:rFonts w:ascii="Calibri" w:hAnsi="Calibri"/>
          <w:color w:val="000000"/>
          <w:sz w:val="21"/>
        </w:rPr>
        <w:t xml:space="preserve">Na koledžu Dr. Knippenberg u Helmondu, studenti u dobi od 15 i 16 godina raspravljali su o problemu internetskog kriminala. Redovito su slušali vijesti. Na primjer, kada je došlo do curenja podataka u tvrtki. Ili kada zemlja poput Rusije ili Kine pokuša ukrasti podatke. Budući da kiberkriminalci često rade preko granica, smatra ih logičnim da europske zemlje surađuju. U tom kontekstu razmatraju razvoj pravila, ali i definiciju sankcija. Ako ruski cyberpirati pokušaju provaliti u naše domove, EU mora poduzeti snažne mjere kako bi ih spriječio. </w:t>
      </w:r>
      <w:r>
        <w:br w:type="page"/>
      </w:r>
    </w:p>
    <w:p>
      <w:pPr>
        <w:pStyle w:val="P68B1DB1Normal117"/>
        <w:spacing w:lineRule="auto" w:line="240"/>
        <w:ind w:left="0" w:right="0" w:hanging="0"/>
        <w:rPr>
          <w:rFonts w:ascii="Calibri" w:hAnsi="Calibri"/>
          <w:b/>
          <w:b/>
          <w:i/>
          <w:i/>
          <w:color w:val="000000"/>
          <w:sz w:val="28"/>
        </w:rPr>
      </w:pPr>
      <w:r>
        <w:rPr/>
        <w:t xml:space="preserve">Obrazovanje, kultura, mladi i sport </w:t>
      </w:r>
    </w:p>
    <w:p>
      <w:pPr>
        <w:pStyle w:val="P68B1DB1Normal104"/>
        <w:widowControl w:val="false"/>
        <w:spacing w:lineRule="auto" w:line="240" w:before="93" w:after="0"/>
        <w:ind w:left="0" w:right="0" w:hanging="0"/>
        <w:jc w:val="left"/>
        <w:rPr/>
      </w:pPr>
      <w:r>
        <w:rPr/>
        <w:t xml:space="preserve">Države članice EU-a izravno su odgovorne za obrazovanje, kulturu, mlade i sport. EU im može i želi pomoći u tom pogledu, primjerice promicanjem kvalitetnog obrazovanja, višejezičnosti, zaštite kulturne baštine i potpore kulturnom i sportskom sektoru. Kakva je to vizija Nizozemske? </w:t>
      </w:r>
    </w:p>
    <w:p>
      <w:pPr>
        <w:pStyle w:val="P68B1DB1Normal108"/>
        <w:widowControl w:val="false"/>
        <w:spacing w:lineRule="auto" w:line="240" w:before="90" w:after="0"/>
        <w:ind w:left="0" w:right="0" w:hanging="0"/>
        <w:jc w:val="left"/>
        <w:rPr>
          <w:rFonts w:ascii="Calibri" w:hAnsi="Calibri"/>
          <w:b/>
          <w:b/>
          <w:i/>
          <w:i/>
          <w:color w:val="000000"/>
          <w:sz w:val="24"/>
        </w:rPr>
      </w:pPr>
      <w:r>
        <w:rPr/>
        <w:t xml:space="preserve">Preporuke – Naša vizija obrazovanja, kulture, mladih i sporta </w:t>
      </w:r>
    </w:p>
    <w:p>
      <w:pPr>
        <w:pStyle w:val="P68B1DB1Normal69"/>
        <w:widowControl w:val="false"/>
        <w:spacing w:lineRule="auto" w:line="240" w:before="123" w:after="0"/>
        <w:ind w:left="0" w:right="0" w:hanging="0"/>
        <w:jc w:val="left"/>
        <w:rPr/>
      </w:pPr>
      <w:r>
        <w:rPr/>
        <w:t xml:space="preserve">45 % Nizozemaca smatra da je obrazovanje važno pitanje i da EU mora intervenirati u tom području. Za mlade, kulturu i sport ta brojka iznosi 39 %, 23 % i 19 %. </w:t>
      </w:r>
    </w:p>
    <w:p>
      <w:pPr>
        <w:pStyle w:val="P68B1DB1Normal69"/>
        <w:widowControl w:val="false"/>
        <w:spacing w:lineRule="auto" w:line="240"/>
        <w:ind w:left="0" w:right="0" w:hanging="0"/>
        <w:jc w:val="left"/>
        <w:rPr>
          <w:rFonts w:ascii="Calibri" w:hAnsi="Calibri"/>
          <w:b/>
          <w:b/>
          <w:color w:val="000000"/>
          <w:sz w:val="20"/>
        </w:rPr>
      </w:pPr>
      <w:r>
        <w:rPr/>
        <w:t xml:space="preserve"> </w:t>
      </w:r>
    </w:p>
    <w:p>
      <w:pPr>
        <w:pStyle w:val="P68B1DB1Normal111"/>
        <w:widowControl w:val="false"/>
        <w:spacing w:lineRule="auto" w:line="240" w:before="28" w:after="0"/>
        <w:ind w:left="0" w:right="0" w:hanging="0"/>
        <w:jc w:val="left"/>
        <w:rPr>
          <w:rFonts w:ascii="Calibri" w:hAnsi="Calibri"/>
          <w:b/>
          <w:b/>
          <w:color w:val="000000"/>
          <w:sz w:val="22"/>
        </w:rPr>
      </w:pPr>
      <w:r>
        <w:rPr/>
        <w:t xml:space="preserve">1. Poticanje studenata na inteligentno studiranje u inozemstvu </w:t>
      </w:r>
    </w:p>
    <w:p>
      <w:pPr>
        <w:pStyle w:val="P68B1DB1Normal104"/>
        <w:widowControl w:val="false"/>
        <w:spacing w:lineRule="auto" w:line="240"/>
        <w:ind w:left="0" w:right="0" w:hanging="0"/>
        <w:jc w:val="left"/>
        <w:rPr/>
      </w:pPr>
      <w:r>
        <w:rPr/>
        <w:t xml:space="preserve">Mnogi Nizozemci vjeruju da studiranje u inozemstvu ima pozitivan učinak na mlade. To pridonosi osobnom razvoju. Osim toga, studiranje u inozemstvu može pomoći Europljanima da se bolje razumiju. To također može doprinijeti boljoj integraciji. Mnogi Nizozemci stoga smatraju pozitivnim da postoji program Erasmus koji potiče studiranje u inozemstvu. Međutim, smatramo da bi EU također trebao nastaviti kritički rješavati to pitanje. U praksi, na primjer, čini se da međunarodni studenti uglavnom ostaju jedni s drugima i ne uče uvijek puno o zemlji u kojoj se nalaze. EU također mora spriječiti zemlje s nižom razinom znanja da „isprazne” jer će svi talenti studirati u inozemstvu. </w:t>
      </w:r>
    </w:p>
    <w:p>
      <w:pPr>
        <w:pStyle w:val="P68B1DB1Normal113"/>
        <w:widowControl w:val="false"/>
        <w:spacing w:lineRule="auto" w:line="240" w:before="167" w:after="0"/>
        <w:ind w:left="0" w:right="0" w:hanging="0"/>
        <w:jc w:val="center"/>
        <w:rPr/>
      </w:pPr>
      <w:r>
        <w:rPr/>
        <w:t>„</w:t>
      </w:r>
      <w:r>
        <w:rPr/>
        <w:t xml:space="preserve">Razvijati programe razmjene i na razini srednjeg strukovnog obrazovanja.” </w:t>
      </w:r>
    </w:p>
    <w:p>
      <w:pPr>
        <w:pStyle w:val="Normal"/>
        <w:widowControl w:val="false"/>
        <w:spacing w:lineRule="auto" w:line="240" w:before="136" w:after="0"/>
        <w:ind w:left="0" w:right="0" w:hanging="0"/>
        <w:jc w:val="left"/>
        <w:rPr/>
      </w:pPr>
      <w:r>
        <w:rPr>
          <w:rFonts w:ascii="Calibri" w:hAnsi="Calibri"/>
          <w:b/>
          <w:color w:val="000000"/>
        </w:rPr>
        <w:t>2. Omogućiti državama članicama da se usredotoče na teme kao što su kultura i sport</w:t>
      </w:r>
      <w:r>
        <w:rPr>
          <w:rFonts w:ascii="Cambria" w:hAnsi="Cambria"/>
          <w:color w:val="243F60"/>
          <w:sz w:val="24"/>
        </w:rPr>
        <w:t xml:space="preserve"> </w:t>
      </w:r>
    </w:p>
    <w:p>
      <w:pPr>
        <w:pStyle w:val="P68B1DB1Normal104"/>
        <w:widowControl w:val="false"/>
        <w:spacing w:lineRule="auto" w:line="240"/>
        <w:ind w:left="0" w:right="0" w:hanging="0"/>
        <w:jc w:val="left"/>
        <w:rPr/>
      </w:pPr>
      <w:r>
        <w:rPr/>
        <w:t xml:space="preserve">58 % Nizozemaca smatra da bi EU trebao bolje zaštititi kulturnu baštinu u Europi. Mislimo, na primjer, na hramove u Grčkoj. S druge strane, smatramo da je lokalna kultura prvenstveno odgovornost samih zemalja. Isto vrijedi, na primjer, za zlostavljanje u sportu. Smatramo da je to važno pitanje, ali ne i glavna misija EU-a. Europa nužno mora odrediti prioritete i potrebna su znatna financijska sredstva za druga pitanja. Ponekad možemo dati financijski doprinos, ali ponekad možemo surađivati i na druge načine, primjerice razmjenom znanja i ideja. </w:t>
      </w:r>
    </w:p>
    <w:p>
      <w:pPr>
        <w:pStyle w:val="P68B1DB1Normal113"/>
        <w:widowControl w:val="false"/>
        <w:spacing w:lineRule="auto" w:line="240" w:before="167" w:after="0"/>
        <w:ind w:left="0" w:right="0" w:hanging="0"/>
        <w:jc w:val="center"/>
        <w:rPr/>
      </w:pPr>
      <w:r>
        <w:rPr/>
        <w:t xml:space="preserve">Zaštita kulture leži u samim zemljama. Ali ako je svjetska baština zanemarena, onda mislim da EU mora intervenirati. </w:t>
      </w:r>
    </w:p>
    <w:p>
      <w:pPr>
        <w:pStyle w:val="P68B1DB1Normal111"/>
        <w:widowControl w:val="false"/>
        <w:spacing w:lineRule="auto" w:line="240" w:before="136" w:after="0"/>
        <w:ind w:left="0" w:right="0" w:hanging="0"/>
        <w:jc w:val="left"/>
        <w:rPr>
          <w:rFonts w:ascii="Calibri" w:hAnsi="Calibri"/>
          <w:b/>
          <w:b/>
          <w:color w:val="000000"/>
          <w:sz w:val="22"/>
        </w:rPr>
      </w:pPr>
      <w:r>
        <w:rPr/>
        <w:t xml:space="preserve">3. Osigurati da se Europljani bolje upoznaju i da se međusobno poštuju </w:t>
      </w:r>
    </w:p>
    <w:p>
      <w:pPr>
        <w:pStyle w:val="P68B1DB1Normal104"/>
        <w:widowControl w:val="false"/>
        <w:spacing w:lineRule="auto" w:line="240"/>
        <w:ind w:left="0" w:right="0" w:hanging="0"/>
        <w:jc w:val="left"/>
        <w:rPr/>
      </w:pPr>
      <w:r>
        <w:rPr/>
        <w:t xml:space="preserve">Nizozemci cijene kad drugi Europljani dobro govore engleski. To pojednostavljuje stvari kada smo u inozemstvu. A kada, na primjer, želimo komunicirati s radnicima migrantima u Nizozemskoj. U isto vrijeme, mnogi Nizozemci smatraju da je vrlo važno da i dalje govorimo i cijenimo vlastiti jezik. Stoga želimo da se poštuju i druge razlike unutar Europe. Bilo da je riječ o kulturi, obrazovanju ili sportu, svaka osoba mora se osjećati slobodno i moći biti sama. Razlike ponekad mogu uzrokovati napetosti, ali i čine europski kontinent bogatim. Mnogi Nizozemci smatraju da bi zemljama trebalo dati vremena da se upoznaju sa svojim navikama i idejama. </w:t>
      </w:r>
    </w:p>
    <w:p>
      <w:pPr>
        <w:pStyle w:val="P68B1DB1Normal113"/>
        <w:widowControl w:val="false"/>
        <w:spacing w:lineRule="auto" w:line="240" w:before="167" w:after="0"/>
        <w:ind w:left="0" w:right="0" w:hanging="0"/>
        <w:jc w:val="center"/>
        <w:rPr/>
      </w:pPr>
      <w:r>
        <w:rPr/>
        <w:t xml:space="preserve">Za mene je EU kao skupina prijatelja. Poštujemo naše razlike i mogu zatražiti pomoć ako mi trebaju. </w:t>
      </w:r>
    </w:p>
    <w:p>
      <w:pPr>
        <w:pStyle w:val="P68B1DB1Normal108"/>
        <w:widowControl w:val="false"/>
        <w:spacing w:lineRule="auto" w:line="240" w:before="135" w:after="0"/>
        <w:ind w:left="0" w:right="0" w:hanging="0"/>
        <w:jc w:val="left"/>
        <w:rPr>
          <w:rFonts w:ascii="Calibri" w:hAnsi="Calibri"/>
          <w:b/>
          <w:b/>
          <w:i/>
          <w:i/>
          <w:color w:val="000000"/>
          <w:sz w:val="24"/>
        </w:rPr>
      </w:pPr>
      <w:r>
        <w:rPr/>
        <w:t xml:space="preserve">Rasprave i ideje na internetu i na licu mjesta </w:t>
      </w:r>
    </w:p>
    <w:p>
      <w:pPr>
        <w:pStyle w:val="P68B1DB1Normal118"/>
        <w:widowControl w:val="false"/>
        <w:spacing w:lineRule="auto" w:line="240" w:before="120" w:after="0"/>
        <w:ind w:left="0" w:right="0" w:hanging="0"/>
        <w:jc w:val="left"/>
        <w:rPr/>
      </w:pPr>
      <w:r>
        <w:rPr/>
        <w:t xml:space="preserve">ZAMISAO: Osim lokalnog kurikuluma, trebalo bi uvesti zajednički europski kurikulum na svim razinama obrazovanja. </w:t>
      </w:r>
    </w:p>
    <w:p>
      <w:pPr>
        <w:pStyle w:val="P68B1DB1Normal118"/>
        <w:widowControl w:val="false"/>
        <w:spacing w:lineRule="auto" w:line="240" w:before="254" w:after="0"/>
        <w:ind w:left="0" w:right="0" w:hanging="0"/>
        <w:jc w:val="left"/>
        <w:rPr>
          <w:rFonts w:ascii="Calibri" w:hAnsi="Calibri"/>
          <w:i/>
          <w:i/>
          <w:color w:val="000000"/>
          <w:sz w:val="21"/>
        </w:rPr>
      </w:pPr>
      <w:r>
        <w:rPr/>
        <w:t xml:space="preserve">ZAMISAO: Osim prijestolnice kulture, trebali biste svake godine odabrati i glavni grad (ili zemlju) u području obrazovanja, mladih i sporta. </w:t>
      </w:r>
    </w:p>
    <w:p>
      <w:pPr>
        <w:pStyle w:val="P68B1DB1Normal118"/>
        <w:widowControl w:val="false"/>
        <w:spacing w:lineRule="auto" w:line="240" w:before="85" w:after="0"/>
        <w:ind w:left="0" w:right="0" w:hanging="0"/>
        <w:jc w:val="left"/>
        <w:rPr/>
      </w:pPr>
      <w:r>
        <w:rPr/>
        <w:t xml:space="preserve">Ono što nas ujedinjuje u EU-u upravo je činjenica da svi imamo svoju nacionalnu kulturu. I stoga se ne može okupiti pod zastavom jedne kulture. </w:t>
      </w:r>
    </w:p>
    <w:p>
      <w:pPr>
        <w:pStyle w:val="P68B1DB1Normal118"/>
        <w:widowControl w:val="false"/>
        <w:spacing w:lineRule="auto" w:line="240" w:before="87" w:after="0"/>
        <w:ind w:left="0" w:right="0" w:hanging="0"/>
        <w:jc w:val="left"/>
        <w:rPr>
          <w:rFonts w:ascii="Calibri" w:hAnsi="Calibri"/>
          <w:i/>
          <w:i/>
          <w:color w:val="000000"/>
          <w:sz w:val="21"/>
        </w:rPr>
      </w:pPr>
      <w:r>
        <w:rPr/>
        <w:t xml:space="preserve">Umjesto da istaknemo negativne stvari, bolje je pokušati promovirati sport. </w:t>
      </w:r>
    </w:p>
    <w:p>
      <w:pPr>
        <w:pStyle w:val="P68B1DB1Normal118"/>
        <w:widowControl w:val="false"/>
        <w:spacing w:lineRule="auto" w:line="240" w:before="85" w:after="0"/>
        <w:ind w:left="0" w:right="0" w:hanging="0"/>
        <w:jc w:val="left"/>
        <w:rPr/>
      </w:pPr>
      <w:r>
        <w:rPr/>
        <w:t xml:space="preserve">Ja sam integriran ovdje, plaćam porez, ali jesam i ostajem Latinska Amerikanka. Volim svoj jezik, glazbu i hranu. Nije riječ o Europi. </w:t>
      </w:r>
    </w:p>
    <w:p>
      <w:pPr>
        <w:pStyle w:val="P68B1DB1Normal118"/>
        <w:widowControl w:val="false"/>
        <w:spacing w:lineRule="auto" w:line="240" w:before="87" w:after="0"/>
        <w:ind w:left="0" w:right="0" w:hanging="0"/>
        <w:jc w:val="left"/>
        <w:rPr>
          <w:rFonts w:ascii="Calibri" w:hAnsi="Calibri"/>
          <w:i/>
          <w:i/>
          <w:color w:val="000000"/>
          <w:sz w:val="21"/>
        </w:rPr>
      </w:pPr>
      <w:r>
        <w:rPr/>
        <w:t xml:space="preserve">Previše govorimo o gospodarstvu u Europi. I premalo dobrobiti. </w:t>
      </w:r>
    </w:p>
    <w:p>
      <w:pPr>
        <w:pStyle w:val="P68B1DB1Normal111"/>
        <w:widowControl w:val="false"/>
        <w:spacing w:lineRule="auto" w:line="240" w:before="84" w:after="0"/>
        <w:ind w:left="0" w:right="0" w:hanging="0"/>
        <w:jc w:val="left"/>
        <w:rPr>
          <w:rFonts w:ascii="Calibri" w:hAnsi="Calibri"/>
          <w:b/>
          <w:b/>
          <w:color w:val="000000"/>
          <w:sz w:val="22"/>
        </w:rPr>
      </w:pPr>
      <w:r>
        <w:rPr/>
        <w:t xml:space="preserve">Studenti Sveučilišta u Leidenu: Jezik je važan, ali mora ostati slobodan izbor. </w:t>
      </w:r>
    </w:p>
    <w:p>
      <w:pPr>
        <w:pStyle w:val="P68B1DB1Normal104"/>
        <w:widowControl w:val="false"/>
        <w:spacing w:lineRule="auto" w:line="240" w:before="100" w:after="0"/>
        <w:ind w:left="0" w:right="0" w:hanging="0"/>
        <w:jc w:val="left"/>
        <w:rPr/>
      </w:pPr>
      <w:r>
        <w:rPr/>
        <w:t xml:space="preserve">Na Sveučilištu Leiden, studenti povijesti razgovarali su jedni s drugima. Oni smatraju da je važno da ljudi govore nekoliko jezika. Smatraju da je svladavanje nekoliko jezika izvrsno za njegov osobni razvoj i dobro za trgovinu i političke odnose unutar EU-a. Međutim, oni vjeruju da bi jezici trebali biti ponuđeni u školi, a ne biti obvezni. Oni također vjeruju da drugi jezik ne mora nužno biti europski jezik. „Ako živite u istočnoj Europi i odlučite naučiti ruski, to je vaše pravo”, rekao je jedan od sudionika. </w:t>
      </w:r>
    </w:p>
    <w:p>
      <w:pPr>
        <w:pStyle w:val="P68B1DB1Normal110"/>
        <w:widowControl w:val="false"/>
        <w:spacing w:lineRule="auto" w:line="240" w:before="223" w:after="0"/>
        <w:ind w:left="0" w:right="0" w:hanging="0"/>
        <w:jc w:val="left"/>
        <w:rPr/>
      </w:pPr>
      <w:r>
        <w:rPr>
          <w:b/>
        </w:rPr>
        <w:t xml:space="preserve">Turska zajednica Schiedam: </w:t>
      </w:r>
      <w:r>
        <w:rPr>
          <w:sz w:val="21"/>
        </w:rPr>
        <w:t xml:space="preserve">U Zakladi Hakder u Schiedamu lokalna turska zajednica razgovarala je o važnosti pravednih mogućnosti zapošljavanja za sve. Svi sudionici složili su se da bi EU trebao obvezati poduzeća da mladima s ograničenim izgledima ponude pripravništva ili radna mjesta. Naveli su da je osobito mladim migrantima teško pronaći pripravništvo ili posao. Ponekad se čak ni ne usuđuju otići liječniku opće prakse jer se boje da će morati sami platiti posjet. Da ne spominjem da se usuđujem prijaviti se za stažiranje ili posao", rekao je jedan od sudionika. „Poduzeća moraju biti pažljivija, a EU ih može potaknuti da to učine.” </w:t>
      </w:r>
    </w:p>
    <w:p>
      <w:pPr>
        <w:pStyle w:val="Normal"/>
        <w:spacing w:lineRule="auto" w:line="240"/>
        <w:ind w:left="0" w:right="0" w:hanging="0"/>
        <w:rPr/>
      </w:pPr>
      <w:r>
        <w:rPr/>
      </w:r>
    </w:p>
    <w:p>
      <w:pPr>
        <w:pStyle w:val="Normal"/>
        <w:spacing w:lineRule="auto" w:line="240"/>
        <w:ind w:left="0" w:right="0" w:hanging="0"/>
        <w:rPr/>
      </w:pPr>
      <w:r>
        <w:rPr/>
      </w:r>
      <w:r>
        <w:br w:type="page"/>
      </w:r>
    </w:p>
    <w:p>
      <w:pPr>
        <w:pStyle w:val="P68B1DB1Normal18"/>
        <w:spacing w:lineRule="auto" w:line="240"/>
        <w:ind w:left="0" w:right="0" w:hanging="0"/>
        <w:rPr/>
      </w:pPr>
      <w:r>
        <w:rPr>
          <w:b/>
          <w:i/>
          <w:color w:val="000000"/>
        </w:rPr>
        <w:t>Opis metodologije upotrijebljene u anketi</w:t>
      </w:r>
      <w:r>
        <w:rPr>
          <w:color w:val="365F91"/>
        </w:rPr>
        <w:t xml:space="preserve"> </w:t>
      </w:r>
    </w:p>
    <w:p>
      <w:pPr>
        <w:pStyle w:val="P68B1DB1Normal104"/>
        <w:widowControl w:val="false"/>
        <w:spacing w:lineRule="auto" w:line="240" w:before="137" w:after="0"/>
        <w:ind w:left="0" w:right="0" w:hanging="0"/>
        <w:jc w:val="left"/>
        <w:rPr/>
      </w:pPr>
      <w:r>
        <w:rPr/>
        <w:t xml:space="preserve">Istraživanje „Vizija Europe” sastoji se od različitih oblika povezanih dijaloga kako bi se prikupila stajališta i ideje nizozemskih građana o budućnosti Europe i EU-a. U ovom se poglavlju opisuje metodologija koja se upotrebljava kako bi se osiguralo da su povezani oblici dijaloga u skladu sa smjernicama za nacionalne panele građana i građanki u kontekstu Konferencije o budućnosti Europe. </w:t>
      </w:r>
    </w:p>
    <w:p>
      <w:pPr>
        <w:pStyle w:val="P68B1DB1Normal110"/>
        <w:widowControl w:val="false"/>
        <w:spacing w:lineRule="auto" w:line="240" w:before="236" w:after="0"/>
        <w:ind w:left="0" w:right="0" w:hanging="0"/>
        <w:jc w:val="both"/>
        <w:rPr/>
      </w:pPr>
      <w:r>
        <w:rPr>
          <w:b/>
          <w:i/>
          <w:sz w:val="24"/>
        </w:rPr>
        <w:t xml:space="preserve">Osmišljavanje povezanih oblika dijaloga </w:t>
      </w:r>
      <w:r>
        <w:rPr>
          <w:sz w:val="21"/>
        </w:rPr>
        <w:t xml:space="preserve">Koristi se sljedeći oblici dijaloga: </w:t>
      </w:r>
    </w:p>
    <w:p>
      <w:pPr>
        <w:pStyle w:val="P68B1DB1Normal119"/>
        <w:widowControl w:val="false"/>
        <w:spacing w:lineRule="auto" w:line="240" w:before="236" w:after="0"/>
        <w:ind w:left="0" w:right="0" w:hanging="0"/>
        <w:jc w:val="both"/>
        <w:rPr/>
      </w:pPr>
      <w:r>
        <w:rPr>
          <w:rFonts w:ascii="Calibri" w:hAnsi="Calibri"/>
        </w:rPr>
        <w:t>4.</w:t>
      </w:r>
      <w:r>
        <w:rPr/>
        <w:t xml:space="preserve"> </w:t>
      </w:r>
      <w:r>
        <w:rPr>
          <w:rFonts w:ascii="Calibri" w:hAnsi="Calibri"/>
        </w:rPr>
        <w:t>Anketiranje panela</w:t>
      </w:r>
    </w:p>
    <w:p>
      <w:pPr>
        <w:pStyle w:val="P68B1DB1Normal104"/>
        <w:widowControl w:val="false"/>
        <w:spacing w:lineRule="auto" w:line="240"/>
        <w:ind w:left="0" w:right="0" w:hanging="0"/>
        <w:jc w:val="left"/>
        <w:rPr>
          <w:rFonts w:ascii="Calibri" w:hAnsi="Calibri"/>
          <w:color w:val="000000"/>
          <w:sz w:val="21"/>
        </w:rPr>
      </w:pPr>
      <w:r>
        <w:rPr/>
        <w:t xml:space="preserve">Istraživanje reprezentativnog uzorka nizozemske populacije. </w:t>
      </w:r>
    </w:p>
    <w:p>
      <w:pPr>
        <w:pStyle w:val="P68B1DB1Normal119"/>
        <w:widowControl w:val="false"/>
        <w:spacing w:lineRule="auto" w:line="240"/>
        <w:ind w:left="0" w:right="0" w:hanging="0"/>
        <w:jc w:val="left"/>
        <w:rPr/>
      </w:pPr>
      <w:r>
        <w:rPr>
          <w:rFonts w:ascii="Calibri" w:hAnsi="Calibri"/>
        </w:rPr>
        <w:t>5.</w:t>
      </w:r>
      <w:r>
        <w:rPr/>
        <w:t xml:space="preserve"> </w:t>
      </w:r>
      <w:r>
        <w:rPr>
          <w:rFonts w:ascii="Calibri" w:hAnsi="Calibri"/>
        </w:rPr>
        <w:t>Internetski tematski dijalozi za produbljivanje</w:t>
      </w:r>
    </w:p>
    <w:p>
      <w:pPr>
        <w:pStyle w:val="P68B1DB1Normal104"/>
        <w:widowControl w:val="false"/>
        <w:spacing w:lineRule="auto" w:line="240"/>
        <w:ind w:left="0" w:right="0" w:hanging="0"/>
        <w:jc w:val="left"/>
        <w:rPr/>
      </w:pPr>
      <w:r>
        <w:rPr/>
        <w:t xml:space="preserve">Dijalozi se svaki put organiziraju sa skupinom Nizozemaca s ciljem produbljivanja zaključaka prvog privremenog izvješća „Naša vizija za Europu” (8. listopada 2021.) u kojem se daje početni pregled rezultata i komplementarna pitanja. </w:t>
      </w:r>
    </w:p>
    <w:p>
      <w:pPr>
        <w:pStyle w:val="P68B1DB1Normal119"/>
        <w:widowControl w:val="false"/>
        <w:spacing w:lineRule="auto" w:line="240"/>
        <w:ind w:left="0" w:right="0" w:hanging="0"/>
        <w:jc w:val="left"/>
        <w:rPr/>
      </w:pPr>
      <w:r>
        <w:rPr>
          <w:rFonts w:ascii="Calibri" w:hAnsi="Calibri"/>
        </w:rPr>
        <w:t>6.</w:t>
      </w:r>
      <w:r>
        <w:rPr/>
        <w:t xml:space="preserve"> </w:t>
      </w:r>
      <w:r>
        <w:rPr>
          <w:rFonts w:ascii="Calibri" w:hAnsi="Calibri"/>
        </w:rPr>
        <w:t>Dijalog s posebnim skupinama</w:t>
      </w:r>
    </w:p>
    <w:p>
      <w:pPr>
        <w:pStyle w:val="P68B1DB1Normal104"/>
        <w:widowControl w:val="false"/>
        <w:spacing w:lineRule="auto" w:line="240"/>
        <w:ind w:left="0" w:right="0" w:hanging="0"/>
        <w:jc w:val="left"/>
        <w:rPr>
          <w:rFonts w:ascii="Calibri" w:hAnsi="Calibri"/>
          <w:color w:val="000000"/>
          <w:sz w:val="21"/>
        </w:rPr>
      </w:pPr>
      <w:r>
        <w:rPr/>
        <w:t xml:space="preserve">Sastanci s Nizozemcima koji nisu navikli sudjelovati u anketama i panelima (internetski). </w:t>
      </w:r>
    </w:p>
    <w:p>
      <w:pPr>
        <w:pStyle w:val="P68B1DB1Normal119"/>
        <w:widowControl w:val="false"/>
        <w:spacing w:lineRule="auto" w:line="240"/>
        <w:ind w:left="0" w:right="0" w:hanging="0"/>
        <w:jc w:val="left"/>
        <w:rPr/>
      </w:pPr>
      <w:r>
        <w:rPr>
          <w:rFonts w:ascii="Calibri" w:hAnsi="Calibri"/>
        </w:rPr>
        <w:t>7.</w:t>
      </w:r>
      <w:r>
        <w:rPr/>
        <w:t xml:space="preserve"> </w:t>
      </w:r>
      <w:r>
        <w:rPr>
          <w:rFonts w:ascii="Calibri" w:hAnsi="Calibri"/>
        </w:rPr>
        <w:t>Dijalog s mladima</w:t>
      </w:r>
    </w:p>
    <w:p>
      <w:pPr>
        <w:pStyle w:val="P68B1DB1Normal104"/>
        <w:widowControl w:val="false"/>
        <w:spacing w:lineRule="auto" w:line="240"/>
        <w:ind w:left="0" w:right="0" w:hanging="0"/>
        <w:jc w:val="left"/>
        <w:rPr>
          <w:rFonts w:ascii="Calibri" w:hAnsi="Calibri"/>
          <w:color w:val="000000"/>
          <w:sz w:val="21"/>
        </w:rPr>
      </w:pPr>
      <w:r>
        <w:rPr/>
        <w:t xml:space="preserve">Sastanci usmjereni na najrelevantnije europske teme za mlade. </w:t>
      </w:r>
    </w:p>
    <w:p>
      <w:pPr>
        <w:pStyle w:val="Normal"/>
        <w:widowControl w:val="false"/>
        <w:spacing w:lineRule="auto" w:line="240"/>
        <w:ind w:left="0" w:right="0" w:hanging="0"/>
        <w:jc w:val="left"/>
        <w:rPr/>
      </w:pPr>
      <w:r>
        <w:rPr>
          <w:rFonts w:ascii="Calibri" w:hAnsi="Calibri"/>
          <w:b/>
          <w:color w:val="000000"/>
          <w:sz w:val="21"/>
        </w:rPr>
        <w:t>8.</w:t>
      </w:r>
      <w:r>
        <w:rPr>
          <w:b/>
          <w:color w:val="000000"/>
          <w:sz w:val="21"/>
        </w:rPr>
        <w:t xml:space="preserve"> </w:t>
      </w:r>
      <w:r>
        <w:rPr>
          <w:rFonts w:ascii="Calibri" w:hAnsi="Calibri"/>
          <w:b/>
          <w:color w:val="000000"/>
          <w:sz w:val="21"/>
        </w:rPr>
        <w:t>Javna anketa na internetu: Upitnik i „Swipen naar de toekomst” (</w:t>
      </w:r>
      <w:commentRangeStart w:id="25"/>
      <w:r>
        <w:rPr>
          <w:rFonts w:ascii="Calibri" w:hAnsi="Calibri"/>
          <w:b/>
          <w:color w:val="000000"/>
          <w:sz w:val="21"/>
        </w:rPr>
        <w:t xml:space="preserve">Swiper </w:t>
      </w:r>
      <w:r>
        <w:rPr>
          <w:rFonts w:ascii="Calibri" w:hAnsi="Calibri"/>
          <w:b/>
          <w:color w:val="000000"/>
          <w:sz w:val="21"/>
        </w:rPr>
      </w:r>
      <w:commentRangeEnd w:id="25"/>
      <w:r>
        <w:commentReference w:id="25"/>
      </w:r>
      <w:r>
        <w:rPr>
          <w:rFonts w:ascii="Calibri" w:hAnsi="Calibri"/>
          <w:b/>
          <w:color w:val="000000"/>
          <w:sz w:val="21"/>
        </w:rPr>
        <w:t xml:space="preserve">to the future) </w:t>
      </w:r>
    </w:p>
    <w:p>
      <w:pPr>
        <w:pStyle w:val="P68B1DB1Normal104"/>
        <w:widowControl w:val="false"/>
        <w:spacing w:lineRule="auto" w:line="240"/>
        <w:ind w:left="0" w:right="0" w:hanging="0"/>
        <w:jc w:val="left"/>
        <w:rPr/>
      </w:pPr>
      <w:r>
        <w:rPr/>
        <w:t xml:space="preserve">Upitnik panela mogli bi ispuniti i svi Nizozemci, uključujući one koji borave u inozemstvu. Upitnik je bio dostupan od 1. rujna 2021. do 14. studenoga 2021. Osim toga, u istom je razdoblju svaki Nizozemac mogao sudjelovati u akciji „Swipen naar de toekomst” (Swiper toekomst), internetskom alatu s 20 zahtjeva. </w:t>
      </w:r>
    </w:p>
    <w:p>
      <w:pPr>
        <w:pStyle w:val="P68B1DB1Normal108"/>
        <w:widowControl w:val="false"/>
        <w:spacing w:lineRule="auto" w:line="240" w:before="229" w:after="0"/>
        <w:ind w:left="0" w:right="0" w:hanging="0"/>
        <w:jc w:val="left"/>
        <w:rPr>
          <w:rFonts w:ascii="Calibri" w:hAnsi="Calibri"/>
          <w:b/>
          <w:b/>
          <w:i/>
          <w:i/>
          <w:color w:val="000000"/>
          <w:sz w:val="24"/>
        </w:rPr>
      </w:pPr>
      <w:r>
        <w:rPr/>
        <w:t xml:space="preserve">1. Anketiranje panela </w:t>
      </w:r>
    </w:p>
    <w:p>
      <w:pPr>
        <w:pStyle w:val="P68B1DB1Normal104"/>
        <w:widowControl w:val="false"/>
        <w:spacing w:lineRule="auto" w:line="240" w:before="118" w:after="0"/>
        <w:ind w:left="0" w:right="0" w:hanging="0"/>
        <w:jc w:val="left"/>
        <w:rPr/>
      </w:pPr>
      <w:r>
        <w:rPr/>
        <w:t xml:space="preserve">Nizozemski dijalog s građanima „Vizija Europe” započeo je 1. rujna panel-istraživanjem. U ovom opisu metodologije ankete ukratko objašnjavamo osmišljavanje i provedbu ove ankete panelu. </w:t>
      </w:r>
    </w:p>
    <w:p>
      <w:pPr>
        <w:pStyle w:val="P68B1DB1Normal107"/>
        <w:widowControl w:val="false"/>
        <w:spacing w:lineRule="auto" w:line="240" w:before="43" w:after="0"/>
        <w:ind w:left="0" w:right="0" w:hanging="0"/>
        <w:jc w:val="left"/>
        <w:rPr>
          <w:rFonts w:ascii="Calibri" w:hAnsi="Calibri"/>
          <w:i/>
          <w:i/>
          <w:color w:val="000000"/>
          <w:sz w:val="24"/>
        </w:rPr>
      </w:pPr>
      <w:r>
        <w:rPr/>
        <w:t xml:space="preserve">Ciljana i ciljana populacija </w:t>
      </w:r>
    </w:p>
    <w:p>
      <w:pPr>
        <w:pStyle w:val="Normal"/>
        <w:widowControl w:val="false"/>
        <w:spacing w:lineRule="auto" w:line="240" w:before="123" w:after="0"/>
        <w:ind w:left="0" w:right="0" w:hanging="0"/>
        <w:jc w:val="left"/>
        <w:rPr/>
      </w:pPr>
      <w:r>
        <w:rPr>
          <w:rFonts w:ascii="Calibri" w:hAnsi="Calibri"/>
          <w:color w:val="000000"/>
          <w:sz w:val="21"/>
        </w:rPr>
        <w:t>Anketa „Vizija Europe” započela je internetskim upitnikom o tome kako Nizozemci vide budućnost Europe. Upitnik je podnesen predstavničkom povjerenstvu, a otvoren je i za sve Nizozemce (uključujući one koji borave u inozemstvu). Osim toga, svaka je osoba mogla sudjelovati u akciji „Swipen naar de toekomst”</w:t>
      </w:r>
      <w:commentRangeStart w:id="26"/>
      <w:r>
        <w:rPr>
          <w:rFonts w:ascii="Calibri" w:hAnsi="Calibri"/>
          <w:color w:val="000000"/>
          <w:sz w:val="21"/>
        </w:rPr>
        <w:t>(</w:t>
      </w:r>
      <w:r>
        <w:rPr>
          <w:rFonts w:ascii="Calibri" w:hAnsi="Calibri"/>
          <w:color w:val="000000"/>
          <w:sz w:val="21"/>
        </w:rPr>
      </w:r>
      <w:commentRangeEnd w:id="26"/>
      <w:r>
        <w:commentReference w:id="26"/>
      </w:r>
      <w:r>
        <w:rPr>
          <w:rFonts w:ascii="Calibri" w:hAnsi="Calibri"/>
          <w:color w:val="000000"/>
          <w:sz w:val="21"/>
        </w:rPr>
        <w:t xml:space="preserve"> Swiper to the future), internetskom alatu s 20 zahtjeva. Rezultati panel-istraživanja uključivali su nekoliko tematskih dijaloga organiziranih kao nastavak procesa dijaloga s građanima „Vizija Europe”.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pPr>
      <w:r>
        <w:rPr/>
        <w:t xml:space="preserve">Ciljna populacija anketnog panela uključuje sve Nizozemce u dobi od 18 ili više godina koji su bili registrirani kao stanovnici u registru stanovništva u vrijeme početka terenskog rada. Prema navodima nizozemskog Državnog zavoda za statistiku (Centraal Bureau voor de Statistiek – CBS), ta je ciljna skupina od 1. siječnja 2021. imala 14.190 874 osobe. Donja granica od 18 godina odgovara izbornoj većini. Mi to zovemo populacijom anketnog povjerenstva. </w:t>
      </w:r>
    </w:p>
    <w:p>
      <w:pPr>
        <w:pStyle w:val="Normal"/>
        <w:widowControl w:val="false"/>
        <w:spacing w:lineRule="auto" w:line="240" w:before="1" w:after="0"/>
        <w:ind w:left="0" w:right="0" w:hanging="0"/>
        <w:jc w:val="left"/>
        <w:rPr>
          <w:rFonts w:ascii="Calibri" w:hAnsi="Calibri"/>
          <w:color w:val="000000"/>
          <w:sz w:val="21"/>
        </w:rPr>
      </w:pPr>
      <w:r>
        <w:rPr>
          <w:rFonts w:ascii="Calibri" w:hAnsi="Calibri"/>
          <w:color w:val="000000"/>
          <w:sz w:val="21"/>
        </w:rPr>
      </w:r>
      <w:r>
        <w:br w:type="page"/>
      </w:r>
    </w:p>
    <w:p>
      <w:pPr>
        <w:pStyle w:val="P68B1DB1Normal107"/>
        <w:spacing w:lineRule="auto" w:line="240"/>
        <w:ind w:left="0" w:right="0" w:hanging="0"/>
        <w:rPr>
          <w:rFonts w:ascii="Calibri" w:hAnsi="Calibri"/>
          <w:i/>
          <w:i/>
          <w:color w:val="000000"/>
          <w:sz w:val="24"/>
        </w:rPr>
      </w:pPr>
      <w:r>
        <w:rPr/>
        <w:t xml:space="preserve">Terenski rad </w:t>
      </w:r>
    </w:p>
    <w:p>
      <w:pPr>
        <w:pStyle w:val="P68B1DB1Normal104"/>
        <w:widowControl w:val="false"/>
        <w:spacing w:lineRule="auto" w:line="240" w:before="127" w:after="0"/>
        <w:ind w:left="0" w:right="0" w:hanging="0"/>
        <w:jc w:val="left"/>
        <w:rPr/>
      </w:pPr>
      <w:r>
        <w:rPr/>
        <w:t xml:space="preserve">Panel od više od 100.000 sudionika iz cijele zemlje (ISO certificiran, Research Keurmerk groep, Nederlandse marktonderzoek Associatie) korišten je za dobivanje digitalne slike „Medium Dutch”. Sudionici su se uključili u anketno povjerenstvo kako bi redovito iznosili svoja stajališta o širokom rasponu tema. Osim svoje intrinzične motivacije za doprinos, plaćaju se za odgovaranje na upitnike. Nekoliko znanstvenih studija pokazuje da ispitanici koji primaju naknadu za ispunjavanje upitnika ne daju znatno različite odgovore (izvor: Utječe li upotreba poticaja istraživanja na kvalitetu podataka?Cole, J. S., Sarraf, S.A., Wang, X., 2015.).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pPr>
      <w:r>
        <w:rPr/>
        <w:t xml:space="preserve">Terenski rad započeo je 11. kolovoza 2021. i završio 19. rujna 2021. Za implementaciju je korištena samo jedna metoda prikupljanja podataka, tj. internetsko istraživanje. Članovi anketnog povjerenstva primili su poruku e-pošte s osobnom poveznicom na internetski upitnik. Nakon dva tjedna sudionici panela primili su podsjetnik. Pozivi na sudjelovanje poslani su u serijama i stratificirani (osiguravanjem jednake raspodjele podskupina) dok se ne dosegne potreban broj ispitanika. </w:t>
      </w:r>
    </w:p>
    <w:p>
      <w:pPr>
        <w:pStyle w:val="P68B1DB1Normal107"/>
        <w:widowControl w:val="false"/>
        <w:spacing w:lineRule="auto" w:line="240" w:before="42" w:after="0"/>
        <w:ind w:left="0" w:right="0" w:hanging="0"/>
        <w:jc w:val="left"/>
        <w:rPr>
          <w:rFonts w:ascii="Calibri" w:hAnsi="Calibri"/>
          <w:i/>
          <w:i/>
          <w:color w:val="000000"/>
          <w:sz w:val="24"/>
        </w:rPr>
      </w:pPr>
      <w:r>
        <w:rPr/>
        <w:t xml:space="preserve">Uzorkovanje i distribucija </w:t>
      </w:r>
    </w:p>
    <w:p>
      <w:pPr>
        <w:pStyle w:val="P68B1DB1Normal104"/>
        <w:widowControl w:val="false"/>
        <w:spacing w:lineRule="auto" w:line="240" w:before="123" w:after="0"/>
        <w:ind w:left="0" w:right="0" w:hanging="0"/>
        <w:jc w:val="left"/>
        <w:rPr/>
      </w:pPr>
      <w:r>
        <w:rPr/>
        <w:t xml:space="preserve">Izrada ankete temelji se na načelu da najmanje 3600 ispitanika mora sudjelovati u anketi kako bi se osigurala dobra statistička pouzdanost. Osim toga, taj broj omogućuje dobru raspodjelu među različitim općim karakteristikama stanovništva. Ne postoji samo jedna vrsta Nizozemaca. Stoga smo unaprijed osigurali da se uzorak dobro raspodjeljuje na više značajki. Nizozemska je relativno mala zemlja, ali mišljenja se mogu razlikovati po regijama. Položaj i važnost koja se pridaje temama mogu (djelomično) odrediti regija u kojoj živite. Na primjer, ljudi koji žive u ruralnim područjima mogu razumjeti temu kao što je sigurnost drugačije od onih u urbanim područjima. Istraživanje nizozemskog Ureda za socijalno i kulturno planiranje također pokazuje da osobe s višom razinom studija češće podržavaju EU od osoba s nižom razinom studija te da mladi više podržavaju EU od starijih osoba (izvor: Wat willen Nederlanders van de Europese Unie?Nizozemski socijalni i kulturni ured, Haag, 2019.).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pPr>
      <w:r>
        <w:rPr/>
        <w:t xml:space="preserve">Zbog toga smo prethodno razmjerno dodijelili sljedeće tri značajke kako bismo osigurali reprezentativnost uzorka: (1) boravište u regijama COROP-a, (2) dob i (3) razina obrazovanja. Raspodjela uzorka također je prikazana prema sljedećim općim karakteristikama: rod, podrijetlo, glavno zanimanje, politička orijentacija. </w:t>
      </w:r>
    </w:p>
    <w:p>
      <w:pPr>
        <w:pStyle w:val="P68B1DB1Normal104"/>
        <w:widowControl w:val="false"/>
        <w:spacing w:lineRule="auto" w:line="240" w:before="1" w:after="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Regije COROP-a razvijene su na temelju načela čvorišta („srce” s područjem privlačnosti ili regionalnom funkcijom) na temelju protoka ljudi koji putuju na posao. Priznaje se nekoliko kršenja načela čvorišta kako bi regije slijedile pokrajinske granice. Nakon reorganizacije općina izvan granica COROP-a, raspodjela je prilagođena (izvor: Nizozemski državni zavod za statistiku). U regijama COROP-a osigurali smo dobru raspodjelu među dobnim skupinama sa sljedećom raščlambom: u dobi od 18 do 34 godine, 35 – 54, 55 – 75 godina i stariji od 75 godina.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pPr>
      <w:r>
        <w:rPr/>
        <w:t xml:space="preserve">Naposljetku, osigurali smo reprezentativnu raspodjelu obrazovnih razina. U uzorku raspodjela ispitanika odgovara raspodjeli najviše razine obrazovanja na nacionalnoj razini, što je kako slijedi: </w:t>
      </w:r>
    </w:p>
    <w:p>
      <w:pPr>
        <w:pStyle w:val="Normal"/>
        <w:widowControl w:val="false"/>
        <w:spacing w:lineRule="auto" w:line="240" w:before="1" w:after="0"/>
        <w:ind w:left="0" w:right="0" w:hanging="0"/>
        <w:jc w:val="left"/>
        <w:rPr>
          <w:rFonts w:ascii="Calibri" w:hAnsi="Calibri"/>
          <w:color w:val="000000"/>
          <w:sz w:val="21"/>
        </w:rPr>
      </w:pPr>
      <w:r>
        <w:rPr>
          <w:rFonts w:ascii="Calibri" w:hAnsi="Calibri"/>
          <w:color w:val="000000"/>
          <w:sz w:val="21"/>
        </w:rPr>
      </w:r>
      <w:r>
        <w:br w:type="page"/>
      </w:r>
    </w:p>
    <w:p>
      <w:pPr>
        <w:pStyle w:val="P68B1DB1Normal120"/>
        <w:spacing w:lineRule="auto" w:line="240"/>
        <w:ind w:left="0" w:right="0" w:hanging="0"/>
        <w:rPr>
          <w:rFonts w:ascii="Calibri" w:hAnsi="Calibri"/>
          <w:b/>
          <w:b/>
          <w:color w:val="000000"/>
          <w:sz w:val="21"/>
        </w:rPr>
      </w:pPr>
      <w:r>
        <w:rPr/>
        <w:t xml:space="preserve">Najviša razina obrazovanja </w:t>
      </w:r>
    </w:p>
    <w:tbl>
      <w:tblPr>
        <w:tblW w:w="9180"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7649"/>
        <w:gridCol w:w="1530"/>
      </w:tblGrid>
      <w:tr>
        <w:trPr>
          <w:trHeight w:val="1031" w:hRule="atLeast"/>
        </w:trPr>
        <w:tc>
          <w:tcPr>
            <w:tcW w:w="76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Niska cijena: osnovnoškolsko, pripremno strukovno obrazovanje, 1. do 3. razred općeg višeg srednjoškolskog obrazovanja/predsveučilišnog obrazovanja, razina srednjoškolskog strukovnog obrazovanja 1</w:t>
            </w:r>
          </w:p>
        </w:tc>
        <w:tc>
          <w:tcPr>
            <w:tcW w:w="153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32,1 %</w:t>
            </w:r>
          </w:p>
        </w:tc>
      </w:tr>
      <w:tr>
        <w:trPr>
          <w:trHeight w:val="1031" w:hRule="atLeast"/>
        </w:trPr>
        <w:tc>
          <w:tcPr>
            <w:tcW w:w="76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Međusektorski: opće srednjoškolsko obrazovanje/predsveučilišno obrazovanje, srednjoškolsko strukovno obrazovanje od 2. do 4. stupnja</w:t>
            </w:r>
          </w:p>
        </w:tc>
        <w:tc>
          <w:tcPr>
            <w:tcW w:w="153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44,6 %</w:t>
            </w:r>
          </w:p>
        </w:tc>
      </w:tr>
      <w:tr>
        <w:trPr>
          <w:trHeight w:val="551" w:hRule="atLeast"/>
        </w:trPr>
        <w:tc>
          <w:tcPr>
            <w:tcW w:w="76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Visoka vrijednost: visoko strukovno obrazovanje ili sveučilišno obrazovanje</w:t>
            </w:r>
          </w:p>
        </w:tc>
        <w:tc>
          <w:tcPr>
            <w:tcW w:w="153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22,9 %</w:t>
            </w:r>
          </w:p>
        </w:tc>
      </w:tr>
      <w:tr>
        <w:trPr>
          <w:trHeight w:val="536" w:hRule="atLeast"/>
        </w:trPr>
        <w:tc>
          <w:tcPr>
            <w:tcW w:w="76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Nepoznato</w:t>
            </w:r>
          </w:p>
        </w:tc>
        <w:tc>
          <w:tcPr>
            <w:tcW w:w="153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0,4 %</w:t>
            </w:r>
          </w:p>
        </w:tc>
      </w:tr>
    </w:tbl>
    <w:p>
      <w:pPr>
        <w:pStyle w:val="Normal"/>
        <w:spacing w:lineRule="auto" w:line="240"/>
        <w:ind w:left="0" w:right="0" w:hanging="0"/>
        <w:rPr/>
      </w:pPr>
      <w:r>
        <w:rPr/>
      </w:r>
    </w:p>
    <w:p>
      <w:pPr>
        <w:pStyle w:val="P68B1DB1Normal107"/>
        <w:spacing w:lineRule="auto" w:line="240"/>
        <w:ind w:left="0" w:right="0" w:hanging="0"/>
        <w:rPr>
          <w:rFonts w:ascii="Calibri" w:hAnsi="Calibri"/>
          <w:i/>
          <w:i/>
          <w:color w:val="000000"/>
          <w:sz w:val="24"/>
        </w:rPr>
      </w:pPr>
      <w:r>
        <w:rPr/>
        <w:t xml:space="preserve">Stopa odgovora </w:t>
      </w:r>
    </w:p>
    <w:p>
      <w:pPr>
        <w:pStyle w:val="P68B1DB1Normal104"/>
        <w:widowControl w:val="false"/>
        <w:spacing w:lineRule="exact" w:line="283" w:before="87" w:after="0"/>
        <w:ind w:left="0" w:right="368" w:hanging="0"/>
        <w:jc w:val="left"/>
        <w:rPr/>
      </w:pPr>
      <w:r>
        <w:rPr/>
        <w:t xml:space="preserve">U anketi je sudjelovalo ukupno 4.086 osoba po panelu. Stoga je postignut cilj od 3 600 potpuno ispunjenih upitnika. </w:t>
      </w:r>
    </w:p>
    <w:tbl>
      <w:tblPr>
        <w:tblW w:w="9638" w:type="dxa"/>
        <w:jc w:val="left"/>
        <w:tblInd w:w="0" w:type="dxa"/>
        <w:tblBorders/>
        <w:tblCellMar>
          <w:top w:w="28" w:type="dxa"/>
          <w:left w:w="28" w:type="dxa"/>
          <w:bottom w:w="28" w:type="dxa"/>
          <w:right w:w="28" w:type="dxa"/>
        </w:tblCellMar>
      </w:tblPr>
      <w:tblGrid>
        <w:gridCol w:w="4016"/>
        <w:gridCol w:w="1348"/>
        <w:gridCol w:w="1348"/>
        <w:gridCol w:w="1574"/>
        <w:gridCol w:w="1352"/>
      </w:tblGrid>
      <w:tr>
        <w:trPr>
          <w:trHeight w:val="356" w:hRule="atLeast"/>
        </w:trPr>
        <w:tc>
          <w:tcPr>
            <w:tcW w:w="4016" w:type="dxa"/>
            <w:tcBorders/>
            <w:shd w:fill="auto" w:val="clear"/>
            <w:vAlign w:val="bottom"/>
          </w:tcPr>
          <w:p>
            <w:pPr>
              <w:pStyle w:val="P68B1DB1Contenudetableau122"/>
              <w:spacing w:before="57" w:after="57"/>
              <w:jc w:val="left"/>
              <w:rPr>
                <w:b/>
                <w:b/>
                <w:color w:val="000000"/>
              </w:rPr>
            </w:pPr>
            <w:r>
              <w:rPr/>
              <w:t>Odgovori regija i dobi COROP-a</w:t>
            </w:r>
          </w:p>
        </w:tc>
        <w:tc>
          <w:tcPr>
            <w:tcW w:w="1348" w:type="dxa"/>
            <w:tcBorders/>
            <w:shd w:fill="auto" w:val="clear"/>
            <w:vAlign w:val="bottom"/>
          </w:tcPr>
          <w:p>
            <w:pPr>
              <w:pStyle w:val="P68B1DB1Contenudetableau122"/>
              <w:spacing w:before="57" w:after="57"/>
              <w:jc w:val="left"/>
              <w:rPr>
                <w:b/>
                <w:b/>
                <w:color w:val="000000"/>
              </w:rPr>
            </w:pPr>
            <w:r>
              <w:rPr/>
              <w:t>Od 18 do 34 godine</w:t>
            </w:r>
          </w:p>
        </w:tc>
        <w:tc>
          <w:tcPr>
            <w:tcW w:w="1348" w:type="dxa"/>
            <w:tcBorders/>
            <w:shd w:fill="auto" w:val="clear"/>
            <w:vAlign w:val="bottom"/>
          </w:tcPr>
          <w:p>
            <w:pPr>
              <w:pStyle w:val="P68B1DB1Contenudetableau122"/>
              <w:spacing w:before="57" w:after="57"/>
              <w:jc w:val="left"/>
              <w:rPr>
                <w:b/>
                <w:b/>
                <w:color w:val="000000"/>
              </w:rPr>
            </w:pPr>
            <w:r>
              <w:rPr/>
              <w:t>Od 35 do 54 godine</w:t>
            </w:r>
          </w:p>
        </w:tc>
        <w:tc>
          <w:tcPr>
            <w:tcW w:w="1574" w:type="dxa"/>
            <w:tcBorders/>
            <w:shd w:fill="auto" w:val="clear"/>
            <w:vAlign w:val="bottom"/>
          </w:tcPr>
          <w:p>
            <w:pPr>
              <w:pStyle w:val="P68B1DB1Contenudetableau122"/>
              <w:spacing w:before="57" w:after="57"/>
              <w:jc w:val="left"/>
              <w:rPr>
                <w:b/>
                <w:b/>
                <w:color w:val="000000"/>
              </w:rPr>
            </w:pPr>
            <w:r>
              <w:rPr/>
              <w:t>Od 55 do 75 godina</w:t>
            </w:r>
          </w:p>
        </w:tc>
        <w:tc>
          <w:tcPr>
            <w:tcW w:w="1352" w:type="dxa"/>
            <w:tcBorders/>
            <w:shd w:fill="auto" w:val="clear"/>
            <w:vAlign w:val="bottom"/>
          </w:tcPr>
          <w:p>
            <w:pPr>
              <w:pStyle w:val="P68B1DB1Contenudetableau122"/>
              <w:spacing w:before="57" w:after="57"/>
              <w:jc w:val="left"/>
              <w:rPr>
                <w:b/>
                <w:b/>
                <w:color w:val="000000"/>
              </w:rPr>
            </w:pPr>
            <w:r>
              <w:rPr/>
              <w:t xml:space="preserve"> </w:t>
            </w:r>
            <w:r>
              <w:rPr/>
              <w:t>više od 75 godina</w:t>
            </w:r>
          </w:p>
        </w:tc>
      </w:tr>
      <w:tr>
        <w:trPr>
          <w:trHeight w:val="536"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Sjeverni Drenthe</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Jugoistočno od Drenthea</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Jugozapadno od Drenthea</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Flevoland</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29</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33</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28</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Sjeverni Friesland</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20</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25</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Jugoistočno od Frieslanda</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Jugozapadno od Frieslanda</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Achterhoek</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27</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34</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Arnhem/Nijmegen</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52</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53</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55</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15</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Veluwe</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44</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48</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51</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Jugozapad od Gelderlanda</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16</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18</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20</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Veliki Delfzijl</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Istočni Groningen</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Ostatak Groningena</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36</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26</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28</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Središnji Limburg</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21</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Sjeverni Limburg</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20</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23</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Južni Limburg </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38</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40</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52</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w:t>
            </w:r>
          </w:p>
        </w:tc>
      </w:tr>
      <w:tr>
        <w:trPr>
          <w:trHeight w:val="506"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Središte sjevernog Brabanta</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34</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35</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35</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r>
    </w:tbl>
    <w:p>
      <w:pPr>
        <w:pStyle w:val="Normal"/>
        <w:spacing w:lineRule="auto" w:line="240"/>
        <w:ind w:left="0" w:right="0" w:hanging="0"/>
        <w:rPr/>
      </w:pPr>
      <w:r>
        <w:rPr/>
      </w:r>
    </w:p>
    <w:tbl>
      <w:tblPr>
        <w:tblW w:w="9638" w:type="dxa"/>
        <w:jc w:val="left"/>
        <w:tblInd w:w="0" w:type="dxa"/>
        <w:tblBorders/>
        <w:tblCellMar>
          <w:top w:w="28" w:type="dxa"/>
          <w:left w:w="28" w:type="dxa"/>
          <w:bottom w:w="28" w:type="dxa"/>
          <w:right w:w="28" w:type="dxa"/>
        </w:tblCellMar>
      </w:tblPr>
      <w:tblGrid>
        <w:gridCol w:w="4106"/>
        <w:gridCol w:w="1393"/>
        <w:gridCol w:w="1393"/>
        <w:gridCol w:w="1370"/>
        <w:gridCol w:w="1376"/>
      </w:tblGrid>
      <w:tr>
        <w:trPr>
          <w:trHeight w:val="356" w:hRule="atLeast"/>
        </w:trPr>
        <w:tc>
          <w:tcPr>
            <w:tcW w:w="4106" w:type="dxa"/>
            <w:tcBorders/>
            <w:shd w:fill="auto" w:val="clear"/>
            <w:vAlign w:val="bottom"/>
          </w:tcPr>
          <w:p>
            <w:pPr>
              <w:pStyle w:val="P68B1DB1Contenudetableau122"/>
              <w:spacing w:before="57" w:after="57"/>
              <w:jc w:val="left"/>
              <w:rPr>
                <w:b/>
                <w:b/>
                <w:color w:val="000000"/>
              </w:rPr>
            </w:pPr>
            <w:r>
              <w:rPr/>
              <w:t xml:space="preserve">Odgovori regija i dobi COROP-a </w:t>
            </w:r>
          </w:p>
        </w:tc>
        <w:tc>
          <w:tcPr>
            <w:tcW w:w="1393" w:type="dxa"/>
            <w:tcBorders/>
            <w:shd w:fill="auto" w:val="clear"/>
            <w:vAlign w:val="bottom"/>
          </w:tcPr>
          <w:p>
            <w:pPr>
              <w:pStyle w:val="P68B1DB1Contenudetableau122"/>
              <w:spacing w:before="57" w:after="57"/>
              <w:jc w:val="left"/>
              <w:rPr>
                <w:b/>
                <w:b/>
                <w:color w:val="000000"/>
              </w:rPr>
            </w:pPr>
            <w:r>
              <w:rPr/>
              <w:t>Od 18 do 34 godine</w:t>
            </w:r>
          </w:p>
        </w:tc>
        <w:tc>
          <w:tcPr>
            <w:tcW w:w="1393" w:type="dxa"/>
            <w:tcBorders/>
            <w:shd w:fill="auto" w:val="clear"/>
            <w:vAlign w:val="bottom"/>
          </w:tcPr>
          <w:p>
            <w:pPr>
              <w:pStyle w:val="P68B1DB1Contenudetableau122"/>
              <w:spacing w:before="57" w:after="57"/>
              <w:jc w:val="left"/>
              <w:rPr>
                <w:b/>
                <w:b/>
                <w:color w:val="000000"/>
              </w:rPr>
            </w:pPr>
            <w:r>
              <w:rPr/>
              <w:t>Od 35 do 54 godine</w:t>
            </w:r>
          </w:p>
        </w:tc>
        <w:tc>
          <w:tcPr>
            <w:tcW w:w="1370" w:type="dxa"/>
            <w:tcBorders/>
            <w:shd w:fill="auto" w:val="clear"/>
            <w:vAlign w:val="bottom"/>
          </w:tcPr>
          <w:p>
            <w:pPr>
              <w:pStyle w:val="P68B1DB1Contenudetableau122"/>
              <w:spacing w:before="57" w:after="57"/>
              <w:jc w:val="left"/>
              <w:rPr>
                <w:b/>
                <w:b/>
                <w:color w:val="000000"/>
              </w:rPr>
            </w:pPr>
            <w:r>
              <w:rPr/>
              <w:t>Od 55 do 75 godina</w:t>
            </w:r>
          </w:p>
        </w:tc>
        <w:tc>
          <w:tcPr>
            <w:tcW w:w="1376" w:type="dxa"/>
            <w:tcBorders/>
            <w:shd w:fill="auto" w:val="clear"/>
            <w:vAlign w:val="bottom"/>
          </w:tcPr>
          <w:p>
            <w:pPr>
              <w:pStyle w:val="P68B1DB1Contenudetableau122"/>
              <w:spacing w:before="57" w:after="57"/>
              <w:jc w:val="left"/>
              <w:rPr>
                <w:b/>
                <w:b/>
                <w:color w:val="000000"/>
              </w:rPr>
            </w:pPr>
            <w:r>
              <w:rPr/>
              <w:t>više od 75 godina</w:t>
            </w:r>
          </w:p>
        </w:tc>
      </w:tr>
      <w:tr>
        <w:trPr>
          <w:trHeight w:val="536"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Sjeveroistočno od sjevernog Brabanta</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41</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43</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51</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Zapadno od Brabanta</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40</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47</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15</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Jugoistok sjevernog Brabanta</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55</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56</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58</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18</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Haarlem aglomeracija</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18</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18</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Alkmaar i okolica</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19</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Veliki Amsterdam</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116</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104</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88</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23</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Gooi i Vechtstreek</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21</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IJmond</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15</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Vrh sjeverne Nizozemske</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27</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30</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9</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Regija Zaan</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Sjeverni Overijssel</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25</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28</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25</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Twente</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41</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44</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46</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Jugozapadno od Overijssela</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Utrecht</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96</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100</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27</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Ostatak Zeelanda</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16</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21</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23</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Zeeland Flandrija</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Aglomeracija Leidena i regija žarulja</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30</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31</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31</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Aglomeracija Haaga</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63</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70</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57</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18</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Delft i Westland</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19</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15</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15</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Veliki Rijnmond</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103</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107</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99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31</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Istočno od južne Nizozemske</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24</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25</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r>
      <w:tr>
        <w:trPr>
          <w:trHeight w:val="506"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Jugoistok južne Nizozemske</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24</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26</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26</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9</w:t>
            </w:r>
          </w:p>
        </w:tc>
      </w:tr>
    </w:tbl>
    <w:p>
      <w:pPr>
        <w:pStyle w:val="Normal"/>
        <w:spacing w:lineRule="auto" w:line="240"/>
        <w:ind w:left="0" w:right="0" w:hanging="0"/>
        <w:rPr/>
      </w:pPr>
      <w:r>
        <w:rPr/>
      </w:r>
    </w:p>
    <w:p>
      <w:pPr>
        <w:pStyle w:val="P68B1DB1Normal120"/>
        <w:spacing w:lineRule="auto" w:line="240"/>
        <w:ind w:left="0" w:right="0" w:hanging="0"/>
        <w:rPr>
          <w:rFonts w:ascii="Calibri" w:hAnsi="Calibri"/>
          <w:b/>
          <w:b/>
          <w:color w:val="000000"/>
          <w:sz w:val="21"/>
        </w:rPr>
      </w:pPr>
      <w:r>
        <w:rPr/>
        <w:t xml:space="preserve">Odgovori prema razini obrazovanja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5937"/>
        <w:gridCol w:w="1863"/>
        <w:gridCol w:w="1838"/>
      </w:tblGrid>
      <w:tr>
        <w:trPr>
          <w:trHeight w:val="551" w:hRule="atLeast"/>
        </w:trPr>
        <w:tc>
          <w:tcPr>
            <w:tcW w:w="593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Nisko</w:t>
            </w:r>
          </w:p>
        </w:tc>
        <w:tc>
          <w:tcPr>
            <w:tcW w:w="18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1382</w:t>
            </w:r>
          </w:p>
        </w:tc>
        <w:tc>
          <w:tcPr>
            <w:tcW w:w="183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34 %</w:t>
            </w:r>
          </w:p>
        </w:tc>
      </w:tr>
      <w:tr>
        <w:trPr>
          <w:trHeight w:val="551" w:hRule="atLeast"/>
        </w:trPr>
        <w:tc>
          <w:tcPr>
            <w:tcW w:w="593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Posrednik</w:t>
            </w:r>
          </w:p>
        </w:tc>
        <w:tc>
          <w:tcPr>
            <w:tcW w:w="18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1747</w:t>
            </w:r>
          </w:p>
        </w:tc>
        <w:tc>
          <w:tcPr>
            <w:tcW w:w="183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43 %</w:t>
            </w:r>
          </w:p>
        </w:tc>
      </w:tr>
      <w:tr>
        <w:trPr>
          <w:trHeight w:val="551" w:hRule="atLeast"/>
        </w:trPr>
        <w:tc>
          <w:tcPr>
            <w:tcW w:w="593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Visoka</w:t>
            </w:r>
          </w:p>
        </w:tc>
        <w:tc>
          <w:tcPr>
            <w:tcW w:w="18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915</w:t>
            </w:r>
          </w:p>
        </w:tc>
        <w:tc>
          <w:tcPr>
            <w:tcW w:w="183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22 %</w:t>
            </w:r>
          </w:p>
        </w:tc>
      </w:tr>
      <w:tr>
        <w:trPr>
          <w:trHeight w:val="536" w:hRule="atLeast"/>
        </w:trPr>
        <w:tc>
          <w:tcPr>
            <w:tcW w:w="593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Nepoznato</w:t>
            </w:r>
          </w:p>
        </w:tc>
        <w:tc>
          <w:tcPr>
            <w:tcW w:w="18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42</w:t>
            </w:r>
          </w:p>
        </w:tc>
        <w:tc>
          <w:tcPr>
            <w:tcW w:w="183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bl>
    <w:p>
      <w:pPr>
        <w:pStyle w:val="Normal"/>
        <w:spacing w:lineRule="auto" w:line="240"/>
        <w:ind w:left="0" w:right="0" w:hanging="0"/>
        <w:rPr/>
      </w:pPr>
      <w:r>
        <w:rPr/>
      </w:r>
    </w:p>
    <w:p>
      <w:pPr>
        <w:pStyle w:val="P68B1DB1Normal107"/>
        <w:spacing w:lineRule="auto" w:line="240"/>
        <w:ind w:left="0" w:right="0" w:hanging="0"/>
        <w:rPr>
          <w:rFonts w:ascii="Calibri" w:hAnsi="Calibri"/>
          <w:i/>
          <w:i/>
          <w:color w:val="000000"/>
          <w:sz w:val="24"/>
        </w:rPr>
      </w:pPr>
      <w:r>
        <w:rPr/>
        <w:t xml:space="preserve">Pouzdanost i reprezentativnost </w:t>
      </w:r>
    </w:p>
    <w:p>
      <w:pPr>
        <w:pStyle w:val="P68B1DB1Normal104"/>
        <w:widowControl w:val="false"/>
        <w:spacing w:lineRule="auto" w:line="240" w:before="87" w:after="0"/>
        <w:ind w:left="0" w:right="0" w:hanging="0"/>
        <w:jc w:val="left"/>
        <w:rPr/>
      </w:pPr>
      <w:r>
        <w:rPr/>
        <w:t xml:space="preserve">Broj ispitanika od 4 086 omogućuje iznošenje opažanja za cijelu populaciju s razinom pouzdanosti od 95 % i dopuštenom pogreškom od 1,53 %. Razina pouzdanosti i dopuštena pogreška rezultata određuju se prema veličini uzorka. Što je veći uzorak, to se rezultati mogu ekstrapolirati na cijelu populaciju.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Razina pouzdanosti definira se kao 1 (100 %) umanjena za razinu značenja. Uobičajeno je da se temelji na razini od 5 % značenja. Riječ je o 95 %-tnoj razini povjerenja. Drugim riječima, ako bi se istraživanje ponovilo na isti način i pod istim uvjetima, rezultati bi bili isti u 95 % slučajeva. </w:t>
      </w:r>
    </w:p>
    <w:p>
      <w:pPr>
        <w:pStyle w:val="P68B1DB1Normal104"/>
        <w:widowControl w:val="false"/>
        <w:spacing w:lineRule="auto" w:line="240"/>
        <w:ind w:left="0" w:right="0" w:hanging="0"/>
        <w:jc w:val="left"/>
        <w:rPr/>
      </w:pPr>
      <w:r>
        <w:rPr/>
        <w:t xml:space="preserve">Točnost (izražena dopuštenom pogreškom) označava raspon vrijednosti unutar kojih se nalazi stvarna vrijednost u populaciji. Drugim riječima: koja bi bila najveća razlika između rezultata uzorka i rezultata koji bi se dobili od populacije u cjelini? Dopuštena pogreška od 1,53 % znači da stvarna vrijednost unutar ukupne populacije može biti 1,53 % veća ili niža od vrijednosti uzorka. Na primjer, ako anketa uzorka ljudi pokazuje da 50 % ispitanika određenu temu smatra važnom, stvarni postotak je 1,53 % veći ili niži od tih 50 %, tj. između 48,47 i 51,53 %. Najveća dopuštena pogreška od 5 % uobičajena je i općenito prihvaćena u kvantitativnim studijama (statistika). </w:t>
      </w:r>
    </w:p>
    <w:p>
      <w:pPr>
        <w:pStyle w:val="P68B1DB1Normal104"/>
        <w:widowControl w:val="false"/>
        <w:spacing w:lineRule="auto" w:line="240"/>
        <w:ind w:left="0" w:right="0" w:hanging="0"/>
        <w:jc w:val="left"/>
        <w:rPr/>
      </w:pPr>
      <w:r>
        <w:rPr/>
        <w:t xml:space="preserve">Osim pouzdanosti, važna je reprezentativnost uzorka. Budući da su pozivi na sudjelovanje poslani u serijama i stratificirani, rezultati su reprezentativni u pogledu karakteristika regije COROP i dobnih skupina po regiji COROP-a. Odgovori su reprezentativni i sa stajališta razine obrazovanja u usporedbi s najvišim stupnjem obrazovanja postignutim na nacionalnoj razini. </w:t>
      </w:r>
    </w:p>
    <w:p>
      <w:pPr>
        <w:pStyle w:val="P68B1DB1Normal107"/>
        <w:widowControl w:val="false"/>
        <w:spacing w:lineRule="auto" w:line="240"/>
        <w:ind w:left="0" w:right="0" w:hanging="0"/>
        <w:jc w:val="left"/>
        <w:rPr>
          <w:rFonts w:ascii="Calibri" w:hAnsi="Calibri"/>
          <w:i/>
          <w:i/>
          <w:color w:val="000000"/>
          <w:sz w:val="24"/>
        </w:rPr>
      </w:pPr>
      <w:r>
        <w:rPr/>
        <w:t xml:space="preserve">Ostale opće značajke </w:t>
      </w:r>
    </w:p>
    <w:p>
      <w:pPr>
        <w:pStyle w:val="P68B1DB1Normal104"/>
        <w:widowControl w:val="false"/>
        <w:spacing w:lineRule="auto" w:line="240" w:before="5" w:after="0"/>
        <w:ind w:left="0" w:right="0" w:hanging="0"/>
        <w:jc w:val="left"/>
        <w:rPr/>
      </w:pPr>
      <w:r>
        <w:rPr/>
        <w:t xml:space="preserve">Panel je postavio nekoliko dodatnih kontekstualnih pitanja sudionicima ankete. To uključuje rod, položaj u EU-u, podrijetlo, glavnu okupaciju i političku stranku za koju bi osoba glasala u slučaju izbora. </w:t>
      </w:r>
    </w:p>
    <w:p>
      <w:pPr>
        <w:pStyle w:val="P68B1DB1Normal104"/>
        <w:widowControl w:val="false"/>
        <w:spacing w:lineRule="auto" w:line="240"/>
        <w:ind w:left="0" w:right="0" w:hanging="0"/>
        <w:jc w:val="left"/>
        <w:rPr/>
      </w:pPr>
      <w:r>
        <w:rPr/>
        <w:t xml:space="preserve">49 % ispitanika su muškarci, 50 % žene, a 1 % ne odgovara na to pitanje. </w:t>
      </w:r>
    </w:p>
    <w:p>
      <w:pPr>
        <w:pStyle w:val="Normal"/>
        <w:widowControl w:val="false"/>
        <w:spacing w:lineRule="auto" w:line="240"/>
        <w:ind w:left="0" w:right="0" w:hanging="0"/>
        <w:jc w:val="left"/>
        <w:rPr/>
      </w:pPr>
      <w:r>
        <w:rPr>
          <w:rFonts w:ascii="Calibri" w:hAnsi="Calibri"/>
          <w:color w:val="000000"/>
          <w:sz w:val="21"/>
        </w:rPr>
        <w:t xml:space="preserve">51 % ispitanika smatra da je dobro da Nizozemska bude članica EU-a, 13 % smatra da je to loša stvar, a 36 % je neutralno ili nemaju mišljenje. </w:t>
      </w:r>
      <w:r>
        <w:br w:type="page"/>
      </w:r>
    </w:p>
    <w:p>
      <w:pPr>
        <w:pStyle w:val="P68B1DB1Normal104"/>
        <w:spacing w:lineRule="auto" w:line="240"/>
        <w:ind w:left="0" w:right="0" w:hanging="0"/>
        <w:rPr/>
      </w:pPr>
      <w:r>
        <w:rPr/>
        <w:t xml:space="preserve">95 % ispitanika rođeno je u Nizozemskoj. 89 % ispitanika navelo je da su oba roditelja rođena u Nizozemskoj. 5 % rođeno je kod roditelja rođenih u inozemstvu. </w:t>
      </w:r>
    </w:p>
    <w:p>
      <w:pPr>
        <w:pStyle w:val="P68B1DB1Normal104"/>
        <w:widowControl w:val="false"/>
        <w:spacing w:lineRule="exact" w:line="339"/>
        <w:ind w:left="0" w:right="0" w:hanging="0"/>
        <w:jc w:val="left"/>
        <w:rPr>
          <w:rFonts w:ascii="Calibri" w:hAnsi="Calibri"/>
          <w:color w:val="000000"/>
          <w:sz w:val="21"/>
        </w:rPr>
      </w:pPr>
      <w:r>
        <w:rPr/>
        <w:t xml:space="preserve"> </w:t>
      </w:r>
    </w:p>
    <w:p>
      <w:pPr>
        <w:pStyle w:val="P68B1DB1Normal107"/>
        <w:widowControl w:val="false"/>
        <w:spacing w:lineRule="exact" w:line="375" w:before="33" w:after="0"/>
        <w:ind w:left="1" w:right="0" w:hanging="0"/>
        <w:jc w:val="left"/>
        <w:rPr>
          <w:rFonts w:ascii="Calibri" w:hAnsi="Calibri"/>
          <w:i/>
          <w:i/>
          <w:color w:val="000000"/>
          <w:sz w:val="24"/>
        </w:rPr>
      </w:pPr>
      <w:r>
        <w:rPr/>
        <w:t xml:space="preserve">Trenutačna politička orijentacija ispitanika </w:t>
      </w:r>
    </w:p>
    <w:p>
      <w:pPr>
        <w:pStyle w:val="P68B1DB1Normal120"/>
        <w:widowControl w:val="false"/>
        <w:spacing w:lineRule="exact" w:line="352" w:before="34" w:after="0"/>
        <w:ind w:left="63" w:right="0" w:hanging="0"/>
        <w:jc w:val="left"/>
        <w:rPr>
          <w:rFonts w:ascii="Calibri" w:hAnsi="Calibri"/>
          <w:b/>
          <w:b/>
          <w:color w:val="000000"/>
          <w:sz w:val="21"/>
        </w:rPr>
      </w:pPr>
      <w:r>
        <w:rPr/>
        <w:t xml:space="preserve">Zabava </w:t>
        <w:tab/>
        <w:tab/>
        <w:tab/>
        <w:tab/>
        <w:tab/>
        <w:tab/>
        <w:tab/>
        <w:tab/>
        <w:tab/>
        <w:tab/>
        <w:t>%</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6149"/>
        <w:gridCol w:w="3488"/>
      </w:tblGrid>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VVD (Narodna stranka za slobodu i demokraciju)</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PVV (stranka slobode)</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SP (socijalistička stranka)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D66 (Demokrati 66)</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CDA (kršćanski demokratski poziv)</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PvdA (Radna stranka)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Partij voor de Dieren (Životinjska stranka)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GroenLinks (Zelena ljevica)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ChristenUnie (Kršćanska unija)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JA21</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BoerBurgerBeweging (Farmer-građanski pokret)</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Forum demokrata (Forum za demokraciju)</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GSP (Reformirana politička stranka)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Volt</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DENK</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Groep Van Haga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BIJ1</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Fractie Den Haan</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0 %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Ostali</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Glasanje bijelaca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Radije ne odgovaram</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13 %</w:t>
            </w:r>
          </w:p>
        </w:tc>
      </w:tr>
      <w:tr>
        <w:trPr>
          <w:trHeight w:val="566"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Ne glasam</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5 %</w:t>
            </w:r>
          </w:p>
        </w:tc>
      </w:tr>
    </w:tbl>
    <w:p>
      <w:pPr>
        <w:pStyle w:val="P68B1DB1Normal107"/>
        <w:spacing w:lineRule="auto" w:line="240"/>
        <w:ind w:left="0" w:right="0" w:hanging="0"/>
        <w:rPr>
          <w:rFonts w:ascii="Calibri" w:hAnsi="Calibri"/>
          <w:i/>
          <w:i/>
          <w:color w:val="000000"/>
          <w:sz w:val="24"/>
        </w:rPr>
      </w:pPr>
      <w:r>
        <w:rPr/>
        <w:t xml:space="preserve">Koja je trenutačno vaša glavna djelatnost? </w:t>
      </w:r>
    </w:p>
    <w:p>
      <w:pPr>
        <w:pStyle w:val="Normal"/>
        <w:spacing w:lineRule="auto" w:line="240"/>
        <w:ind w:left="0" w:right="0" w:hanging="0"/>
        <w:rPr/>
      </w:pPr>
      <w:r>
        <w:rPr/>
      </w:r>
    </w:p>
    <w:tbl>
      <w:tblPr>
        <w:tblW w:w="9638" w:type="dxa"/>
        <w:jc w:val="left"/>
        <w:tblInd w:w="0" w:type="dxa"/>
        <w:tblBorders/>
        <w:tblCellMar>
          <w:top w:w="28" w:type="dxa"/>
          <w:left w:w="28" w:type="dxa"/>
          <w:bottom w:w="28" w:type="dxa"/>
          <w:right w:w="28" w:type="dxa"/>
        </w:tblCellMar>
      </w:tblPr>
      <w:tblGrid>
        <w:gridCol w:w="6123"/>
        <w:gridCol w:w="3514"/>
      </w:tblGrid>
      <w:tr>
        <w:trPr>
          <w:trHeight w:val="356" w:hRule="atLeast"/>
        </w:trPr>
        <w:tc>
          <w:tcPr>
            <w:tcW w:w="6123" w:type="dxa"/>
            <w:tcBorders/>
            <w:shd w:fill="auto" w:val="clear"/>
            <w:vAlign w:val="bottom"/>
          </w:tcPr>
          <w:p>
            <w:pPr>
              <w:pStyle w:val="P68B1DB1Contenudetableau122"/>
              <w:spacing w:before="57" w:after="57"/>
              <w:jc w:val="left"/>
              <w:rPr>
                <w:b/>
                <w:b/>
                <w:color w:val="000000"/>
              </w:rPr>
            </w:pPr>
            <w:r>
              <w:rPr/>
              <w:t xml:space="preserve">Zanimanje </w:t>
            </w:r>
          </w:p>
        </w:tc>
        <w:tc>
          <w:tcPr>
            <w:tcW w:w="3514" w:type="dxa"/>
            <w:tcBorders/>
            <w:shd w:fill="auto" w:val="clear"/>
            <w:vAlign w:val="bottom"/>
          </w:tcPr>
          <w:p>
            <w:pPr>
              <w:pStyle w:val="P68B1DB1Contenudetableau122"/>
              <w:spacing w:before="57" w:after="57"/>
              <w:jc w:val="left"/>
              <w:rPr>
                <w:b/>
                <w:b/>
                <w:color w:val="000000"/>
              </w:rPr>
            </w:pPr>
            <w:r>
              <w:rPr/>
              <w:t>%</w:t>
            </w:r>
          </w:p>
        </w:tc>
      </w:tr>
      <w:tr>
        <w:trPr>
          <w:trHeight w:val="536"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Student/student</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Zaposlenik na nepuno radno vrijeme</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16 %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Zaposlenik s punim radnim vremenom</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31 %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Neovisni izvođač radova</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Osoba kod kuće</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Tražitelj posla</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Dragovoljac</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Nesposobnost za rad</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U mirovini</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27 %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Ostali</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r>
        <w:trPr>
          <w:trHeight w:val="506"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Radije ne odgovaram</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bl>
    <w:p>
      <w:pPr>
        <w:pStyle w:val="Normal"/>
        <w:spacing w:lineRule="auto" w:line="240"/>
        <w:ind w:left="0" w:right="0" w:hanging="0"/>
        <w:rPr/>
      </w:pPr>
      <w:r>
        <w:rPr/>
      </w:r>
    </w:p>
    <w:p>
      <w:pPr>
        <w:pStyle w:val="P68B1DB1Normal34"/>
        <w:spacing w:lineRule="auto" w:line="240"/>
        <w:ind w:left="0" w:right="0" w:hanging="0"/>
        <w:rPr/>
      </w:pPr>
      <w:r>
        <w:rPr>
          <w:rFonts w:ascii="Calibri" w:hAnsi="Calibri"/>
          <w:i/>
        </w:rPr>
        <w:t>Upitnik</w:t>
      </w:r>
      <w:r>
        <w:rPr>
          <w:rFonts w:ascii="Times New Roman" w:hAnsi="Times New Roman"/>
        </w:rPr>
        <w:t xml:space="preserve"> </w:t>
      </w:r>
    </w:p>
    <w:p>
      <w:pPr>
        <w:pStyle w:val="P68B1DB1Normal104"/>
        <w:widowControl w:val="false"/>
        <w:spacing w:lineRule="auto" w:line="240" w:before="79" w:after="0"/>
        <w:ind w:left="0" w:right="0" w:hanging="0"/>
        <w:jc w:val="left"/>
        <w:rPr/>
      </w:pPr>
      <w:r>
        <w:rPr/>
        <w:t xml:space="preserve">Upitnik i ovo izvješće pripremila je neovisna vanjska organizacija na zahtjev Ministarstva vanjskih poslova. Upitnik predstavlja modularnu strukturu i uključuje sljedeće blokove pitanja, u skladu s temama utvrđenima za Konferenciju o budućnosti Europe: Važne teme i uloga Europe </w:t>
      </w:r>
    </w:p>
    <w:p>
      <w:pPr>
        <w:pStyle w:val="P68B1DB1Normal104"/>
        <w:widowControl w:val="false"/>
        <w:spacing w:lineRule="auto" w:line="240" w:before="1" w:after="0"/>
        <w:ind w:left="0" w:right="0" w:hanging="0"/>
        <w:jc w:val="left"/>
        <w:rPr>
          <w:rFonts w:ascii="Calibri" w:hAnsi="Calibri"/>
          <w:color w:val="000000"/>
          <w:sz w:val="21"/>
        </w:rPr>
      </w:pPr>
      <w:r>
        <w:rPr/>
        <w:t xml:space="preserve">Klimatske promjene i okoliš </w:t>
      </w:r>
    </w:p>
    <w:p>
      <w:pPr>
        <w:pStyle w:val="P68B1DB1Normal104"/>
        <w:widowControl w:val="false"/>
        <w:spacing w:lineRule="auto" w:line="240"/>
        <w:ind w:left="0" w:right="0" w:hanging="0"/>
        <w:jc w:val="left"/>
        <w:rPr>
          <w:rFonts w:ascii="Calibri" w:hAnsi="Calibri"/>
          <w:color w:val="000000"/>
          <w:sz w:val="21"/>
        </w:rPr>
      </w:pPr>
      <w:r>
        <w:rPr/>
        <w:t xml:space="preserve">Zdravlje </w:t>
      </w:r>
    </w:p>
    <w:p>
      <w:pPr>
        <w:pStyle w:val="P68B1DB1Normal104"/>
        <w:widowControl w:val="false"/>
        <w:spacing w:lineRule="auto" w:line="240" w:before="1" w:after="0"/>
        <w:ind w:left="0" w:right="0" w:hanging="0"/>
        <w:jc w:val="left"/>
        <w:rPr>
          <w:rFonts w:ascii="Calibri" w:hAnsi="Calibri"/>
          <w:color w:val="000000"/>
          <w:sz w:val="21"/>
        </w:rPr>
      </w:pPr>
      <w:r>
        <w:rPr/>
        <w:t xml:space="preserve">Gospodarstvo i zapošljavanje </w:t>
      </w:r>
    </w:p>
    <w:p>
      <w:pPr>
        <w:pStyle w:val="P68B1DB1Normal104"/>
        <w:widowControl w:val="false"/>
        <w:spacing w:lineRule="auto" w:line="240"/>
        <w:ind w:left="0" w:right="0" w:hanging="0"/>
        <w:jc w:val="left"/>
        <w:rPr>
          <w:rFonts w:ascii="Calibri" w:hAnsi="Calibri"/>
          <w:color w:val="000000"/>
          <w:sz w:val="21"/>
        </w:rPr>
      </w:pPr>
      <w:r>
        <w:rPr/>
        <w:t xml:space="preserve">Uloga Europske unije u svijetu </w:t>
      </w:r>
    </w:p>
    <w:p>
      <w:pPr>
        <w:pStyle w:val="P68B1DB1Normal104"/>
        <w:widowControl w:val="false"/>
        <w:spacing w:lineRule="auto" w:line="240" w:before="1" w:after="0"/>
        <w:ind w:left="0" w:right="0" w:hanging="0"/>
        <w:jc w:val="left"/>
        <w:rPr>
          <w:rFonts w:ascii="Calibri" w:hAnsi="Calibri"/>
          <w:color w:val="000000"/>
          <w:sz w:val="21"/>
        </w:rPr>
      </w:pPr>
      <w:r>
        <w:rPr/>
        <w:t xml:space="preserve">Sigurnost i vladavina prava </w:t>
      </w:r>
    </w:p>
    <w:p>
      <w:pPr>
        <w:pStyle w:val="P68B1DB1Normal104"/>
        <w:widowControl w:val="false"/>
        <w:spacing w:lineRule="auto" w:line="240"/>
        <w:ind w:left="0" w:right="0" w:hanging="0"/>
        <w:jc w:val="left"/>
        <w:rPr>
          <w:rFonts w:ascii="Calibri" w:hAnsi="Calibri"/>
          <w:color w:val="000000"/>
          <w:sz w:val="21"/>
        </w:rPr>
      </w:pPr>
      <w:r>
        <w:rPr/>
        <w:t xml:space="preserve">Virtualni svijet </w:t>
      </w:r>
    </w:p>
    <w:p>
      <w:pPr>
        <w:pStyle w:val="P68B1DB1Normal104"/>
        <w:widowControl w:val="false"/>
        <w:spacing w:lineRule="auto" w:line="240" w:before="1" w:after="0"/>
        <w:ind w:left="0" w:right="0" w:hanging="0"/>
        <w:jc w:val="left"/>
        <w:rPr>
          <w:rFonts w:ascii="Calibri" w:hAnsi="Calibri"/>
          <w:color w:val="000000"/>
          <w:sz w:val="21"/>
        </w:rPr>
      </w:pPr>
      <w:r>
        <w:rPr/>
        <w:t xml:space="preserve">Europska demokracija </w:t>
      </w:r>
    </w:p>
    <w:p>
      <w:pPr>
        <w:pStyle w:val="P68B1DB1Normal104"/>
        <w:widowControl w:val="false"/>
        <w:spacing w:lineRule="auto" w:line="240"/>
        <w:ind w:left="0" w:right="0" w:hanging="0"/>
        <w:jc w:val="left"/>
        <w:rPr>
          <w:rFonts w:ascii="Calibri" w:hAnsi="Calibri"/>
          <w:color w:val="000000"/>
          <w:sz w:val="21"/>
        </w:rPr>
      </w:pPr>
      <w:r>
        <w:rPr/>
        <w:t xml:space="preserve">Migracije i izbjeglice </w:t>
      </w:r>
    </w:p>
    <w:p>
      <w:pPr>
        <w:pStyle w:val="P68B1DB1Normal104"/>
        <w:widowControl w:val="false"/>
        <w:spacing w:lineRule="auto" w:line="240" w:before="1" w:after="0"/>
        <w:ind w:left="0" w:right="0" w:hanging="0"/>
        <w:jc w:val="left"/>
        <w:rPr>
          <w:rFonts w:ascii="Calibri" w:hAnsi="Calibri"/>
          <w:color w:val="000000"/>
          <w:sz w:val="21"/>
        </w:rPr>
      </w:pPr>
      <w:r>
        <w:rPr/>
        <w:t xml:space="preserve">Obrazovanje/kultura/mladi/sport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pPr>
      <w:r>
        <w:rPr/>
        <w:t xml:space="preserve">Tijekom pripreme upitnika velika pozornost posvećena je kvaliteti, pouzdanosti i valjanosti pitanja. Zbog toga je zatražena neutralna, nevođena formulacija pitanja, tvrdnji i opcija odgovora te je provjereno da su pitanja formulirana razumljivim jezikom (razina B1).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before="1" w:after="0"/>
        <w:ind w:left="0" w:right="0" w:hanging="0"/>
        <w:jc w:val="left"/>
        <w:rPr/>
      </w:pPr>
      <w:r>
        <w:rPr>
          <w:rFonts w:ascii="Calibri" w:hAnsi="Calibri"/>
          <w:color w:val="000000"/>
          <w:sz w:val="21"/>
        </w:rPr>
        <w:t xml:space="preserve">Upitnik je podvrgnut testovima kvalitete putem intervjua licem u lice sa sudionicima testa koji pripadaju ciljnoj skupini. To nam je omogućilo da proučimo kako različite vrste ispitanika razumiju pitanja. Ako se činilo da pitanje predstavlja pretjerano veliko (previše složeno) kognitivno opterećenje, bilo je prikladno. </w:t>
      </w:r>
      <w:r>
        <w:br w:type="page"/>
      </w:r>
    </w:p>
    <w:p>
      <w:pPr>
        <w:pStyle w:val="P68B1DB1Normal107"/>
        <w:spacing w:lineRule="auto" w:line="240"/>
        <w:ind w:left="0" w:right="0" w:hanging="0"/>
        <w:rPr>
          <w:rFonts w:ascii="Calibri" w:hAnsi="Calibri"/>
          <w:i/>
          <w:i/>
          <w:color w:val="000000"/>
          <w:sz w:val="24"/>
        </w:rPr>
      </w:pPr>
      <w:r>
        <w:rPr/>
        <w:t xml:space="preserve">Metode analize </w:t>
      </w:r>
    </w:p>
    <w:p>
      <w:pPr>
        <w:pStyle w:val="P68B1DB1Normal104"/>
        <w:widowControl w:val="false"/>
        <w:spacing w:lineRule="auto" w:line="240" w:before="127" w:after="0"/>
        <w:ind w:left="0" w:right="0" w:hanging="0"/>
        <w:jc w:val="left"/>
        <w:rPr>
          <w:rFonts w:ascii="Calibri" w:hAnsi="Calibri"/>
          <w:color w:val="000000"/>
          <w:sz w:val="21"/>
        </w:rPr>
      </w:pPr>
      <w:r>
        <w:rPr/>
        <w:t xml:space="preserve">U ovom istraživanju korištene su dvije metode analize: </w:t>
      </w:r>
    </w:p>
    <w:p>
      <w:pPr>
        <w:pStyle w:val="P68B1DB1Normal111"/>
        <w:widowControl w:val="false"/>
        <w:spacing w:lineRule="auto" w:line="240" w:before="38" w:after="0"/>
        <w:ind w:left="0" w:right="0" w:hanging="0"/>
        <w:jc w:val="left"/>
        <w:rPr>
          <w:rFonts w:ascii="Calibri" w:hAnsi="Calibri"/>
          <w:b/>
          <w:b/>
          <w:color w:val="000000"/>
          <w:sz w:val="22"/>
        </w:rPr>
      </w:pPr>
      <w:r>
        <w:rPr/>
        <w:t xml:space="preserve">Univarijalne analize </w:t>
      </w:r>
    </w:p>
    <w:p>
      <w:pPr>
        <w:pStyle w:val="P68B1DB1Normal104"/>
        <w:widowControl w:val="false"/>
        <w:spacing w:lineRule="auto" w:line="240" w:before="97" w:after="0"/>
        <w:ind w:left="0" w:right="0" w:hanging="0"/>
        <w:jc w:val="left"/>
        <w:rPr/>
      </w:pPr>
      <w:r>
        <w:rPr/>
        <w:t xml:space="preserve">Za opisivanje varijabli ankete upotrebljavaju se deskriptivne statistike. U ovom istraživanju koriste se frekvencije i prosjeci. </w:t>
      </w:r>
    </w:p>
    <w:p>
      <w:pPr>
        <w:pStyle w:val="P68B1DB1Normal111"/>
        <w:widowControl w:val="false"/>
        <w:spacing w:lineRule="auto" w:line="240" w:before="41" w:after="0"/>
        <w:ind w:left="0" w:right="0" w:hanging="0"/>
        <w:jc w:val="left"/>
        <w:rPr>
          <w:rFonts w:ascii="Calibri" w:hAnsi="Calibri"/>
          <w:b/>
          <w:b/>
          <w:color w:val="000000"/>
          <w:sz w:val="22"/>
        </w:rPr>
      </w:pPr>
      <w:r>
        <w:rPr/>
        <w:t xml:space="preserve">Bivarijatne analize </w:t>
      </w:r>
    </w:p>
    <w:p>
      <w:pPr>
        <w:pStyle w:val="P68B1DB1Normal104"/>
        <w:widowControl w:val="false"/>
        <w:spacing w:lineRule="auto" w:line="240" w:before="95" w:after="0"/>
        <w:ind w:left="0" w:right="0" w:hanging="0"/>
        <w:jc w:val="left"/>
        <w:rPr/>
      </w:pPr>
      <w:r>
        <w:rPr/>
        <w:t xml:space="preserve">Bivarijatne analize omogućuju ispitivanje odnosa između dviju varijabli, u ovom slučaju odnosa između važnosti različitih tema i pitanja treba li Unija intervenirati u tom području i opće značajke dobi. Provedena je revizija kako bi se utvrdilo jesu li različite dobne skupine pridavale različitu važnost određenoj temi i postoje li različita stajališta o tome u kojoj bi mjeri to trebalo uključiti EU. </w:t>
      </w:r>
    </w:p>
    <w:p>
      <w:pPr>
        <w:pStyle w:val="P68B1DB1Normal107"/>
        <w:widowControl w:val="false"/>
        <w:spacing w:lineRule="auto" w:line="240" w:before="43" w:after="0"/>
        <w:ind w:left="0" w:right="0" w:hanging="0"/>
        <w:jc w:val="left"/>
        <w:rPr>
          <w:rFonts w:ascii="Calibri" w:hAnsi="Calibri"/>
          <w:i/>
          <w:i/>
          <w:color w:val="000000"/>
          <w:sz w:val="24"/>
        </w:rPr>
      </w:pPr>
      <w:r>
        <w:rPr/>
        <w:t xml:space="preserve">Objavljivanje informacija i cjelovitost </w:t>
      </w:r>
    </w:p>
    <w:p>
      <w:pPr>
        <w:pStyle w:val="P68B1DB1Normal104"/>
        <w:widowControl w:val="false"/>
        <w:spacing w:lineRule="auto" w:line="240" w:before="123" w:after="0"/>
        <w:ind w:left="0" w:right="0" w:hanging="0"/>
        <w:jc w:val="left"/>
        <w:rPr/>
      </w:pPr>
      <w:r>
        <w:rPr/>
        <w:t xml:space="preserve">Ovo izvješće uključuje (vizualni) prikaz rezultata svih pitanja koja su postavljena ispitanicima anketnog povjerenstva. Za neka pitanja ispitanik je dobio priliku dati „otvorene” (tj. ne unaprijed određene) odgovore. Otvoreni odgovori zatim su kategorizirani i uključeni u publikaciju. Ideje koje ispitanici dijele u besplatnim komentarima upotrebljavaju se za doprinos raznim tematskim dijalozima organiziranima kao nastavak procesa dijaloga s građanima „Vizija Europe”. </w:t>
      </w:r>
    </w:p>
    <w:p>
      <w:pPr>
        <w:pStyle w:val="P68B1DB1Normal108"/>
        <w:widowControl w:val="false"/>
        <w:spacing w:lineRule="auto" w:line="240" w:before="35" w:after="0"/>
        <w:ind w:left="0" w:right="0" w:hanging="0"/>
        <w:jc w:val="left"/>
        <w:rPr>
          <w:rFonts w:ascii="Calibri" w:hAnsi="Calibri"/>
          <w:b/>
          <w:b/>
          <w:i/>
          <w:i/>
          <w:color w:val="000000"/>
          <w:sz w:val="24"/>
        </w:rPr>
      </w:pPr>
      <w:r>
        <w:rPr/>
        <w:t xml:space="preserve">2. Internetski tematski dijalozi za produbljivanje </w:t>
      </w:r>
    </w:p>
    <w:p>
      <w:pPr>
        <w:pStyle w:val="P68B1DB1Normal104"/>
        <w:widowControl w:val="false"/>
        <w:spacing w:lineRule="auto" w:line="240" w:before="17" w:after="0"/>
        <w:ind w:left="0" w:right="0" w:hanging="0"/>
        <w:jc w:val="left"/>
        <w:rPr/>
      </w:pPr>
      <w:r>
        <w:rPr/>
        <w:t xml:space="preserve">Teme u središtu konferencije o budućnosti Europe produbljene su putem osam tematskih dijaloga na internetu. Svrha tih dijaloga bila je otkriti razloge izraženih mišljenja, kao i motive i osjećaje iza njih. Koje su uočene zabrinutosti i mogućnosti? Rasprave su također omogućile sudionicima da iznesu prijedloge i ideje o tim temama, kao i da postave pitanja koja nisu dio konferencije, ali su im i dalje važna. </w:t>
      </w:r>
    </w:p>
    <w:p>
      <w:pPr>
        <w:pStyle w:val="P68B1DB1Normal24"/>
        <w:widowControl w:val="false"/>
        <w:spacing w:lineRule="auto" w:line="240" w:before="2" w:after="0"/>
        <w:ind w:left="0" w:right="0" w:hanging="0"/>
        <w:jc w:val="left"/>
        <w:rPr>
          <w:rFonts w:ascii="Times New Roman" w:hAnsi="Times New Roman"/>
          <w:color w:val="000000"/>
          <w:sz w:val="22"/>
        </w:rPr>
      </w:pPr>
      <w:r>
        <w:rPr/>
        <w:t xml:space="preserve"> </w:t>
      </w:r>
    </w:p>
    <w:p>
      <w:pPr>
        <w:pStyle w:val="P68B1DB1Normal104"/>
        <w:widowControl w:val="false"/>
        <w:spacing w:lineRule="auto" w:line="240" w:before="8" w:after="0"/>
        <w:ind w:left="0" w:right="0" w:hanging="0"/>
        <w:jc w:val="left"/>
        <w:rPr/>
      </w:pPr>
      <w:r>
        <w:rPr/>
        <w:t xml:space="preserve">Tematski dijalozi održani su 12. i 14. listopada te od 9. do 11. studenoga. U listopadu su organizirana četiri tematska dijaloga na internetu o temama „Ekonomija” i „Demokracija”. U studenome su održana četiri tematska dijaloga na internetu o temama „klima” i „EU u svijetu”. U prosjeku je na svakoj raspravi sudjelovalo 29 osoba (231 ukupno). Sudionici su zaposleni među članovima povjerenstva (vidjeti točku 1.) i putem društvenih medija. </w:t>
      </w:r>
    </w:p>
    <w:p>
      <w:pPr>
        <w:pStyle w:val="P68B1DB1Normal19"/>
        <w:widowControl w:val="false"/>
        <w:spacing w:lineRule="auto" w:line="240" w:before="1" w:after="0"/>
        <w:ind w:left="0" w:right="0" w:hanging="0"/>
        <w:jc w:val="left"/>
        <w:rPr>
          <w:rFonts w:ascii="Times New Roman" w:hAnsi="Times New Roman"/>
          <w:color w:val="000000"/>
          <w:sz w:val="24"/>
        </w:rPr>
      </w:pPr>
      <w:r>
        <w:rPr/>
        <w:t xml:space="preserve"> </w:t>
      </w:r>
    </w:p>
    <w:p>
      <w:pPr>
        <w:pStyle w:val="P68B1DB1Normal108"/>
        <w:widowControl w:val="false"/>
        <w:spacing w:lineRule="auto" w:line="240" w:before="3" w:after="0"/>
        <w:ind w:left="0" w:right="0" w:hanging="0"/>
        <w:jc w:val="left"/>
        <w:rPr>
          <w:rFonts w:ascii="Calibri" w:hAnsi="Calibri"/>
          <w:b/>
          <w:b/>
          <w:i/>
          <w:i/>
          <w:color w:val="000000"/>
          <w:sz w:val="24"/>
        </w:rPr>
      </w:pPr>
      <w:r>
        <w:rPr/>
        <w:t xml:space="preserve">3. Dijalog s posebnim skupinama </w:t>
      </w:r>
    </w:p>
    <w:p>
      <w:pPr>
        <w:pStyle w:val="P68B1DB1Normal104"/>
        <w:widowControl w:val="false"/>
        <w:spacing w:lineRule="auto" w:line="240" w:before="12" w:after="0"/>
        <w:ind w:left="0" w:right="0" w:hanging="0"/>
        <w:jc w:val="left"/>
        <w:rPr/>
      </w:pPr>
      <w:r>
        <w:rPr/>
        <w:t xml:space="preserve">Poznato je da su neke nizozemske skupine manje navikle sudjelovati u anketama i panelima (online). Kako bi se dobila reprezentativna slika „glasa Nizozemske”, važno je da ti građani također mogu izraziti svoje ideje i mišljenja. Zbog toga smo organizirali i niz dijaloga na licu mjesta za anketu „Vizija Europe”. Mišljenja i ideje koje smo mogli prikupiti upotrijebljeni su kao osnova (među ostalim) za formuliranje preporuka. </w:t>
      </w:r>
    </w:p>
    <w:p>
      <w:pPr>
        <w:pStyle w:val="P68B1DB1Normal24"/>
        <w:widowControl w:val="false"/>
        <w:spacing w:lineRule="auto" w:line="240" w:before="4" w:after="0"/>
        <w:ind w:left="0" w:right="0" w:hanging="0"/>
        <w:jc w:val="left"/>
        <w:rPr>
          <w:rFonts w:ascii="Times New Roman" w:hAnsi="Times New Roman"/>
          <w:color w:val="000000"/>
          <w:sz w:val="22"/>
        </w:rPr>
      </w:pPr>
      <w:r>
        <w:rPr/>
        <w:t xml:space="preserve"> </w:t>
      </w:r>
    </w:p>
    <w:p>
      <w:pPr>
        <w:pStyle w:val="Normal"/>
        <w:spacing w:lineRule="auto" w:line="240"/>
        <w:ind w:left="0" w:right="0" w:hanging="0"/>
        <w:rPr/>
      </w:pPr>
      <w:r>
        <w:rPr/>
      </w:r>
      <w:r>
        <w:br w:type="page"/>
      </w:r>
    </w:p>
    <w:p>
      <w:pPr>
        <w:pStyle w:val="P68B1DB1Normal107"/>
        <w:spacing w:lineRule="auto" w:line="240"/>
        <w:ind w:left="0" w:right="0" w:hanging="0"/>
        <w:rPr>
          <w:rFonts w:ascii="Calibri" w:hAnsi="Calibri"/>
          <w:i/>
          <w:i/>
          <w:color w:val="000000"/>
          <w:sz w:val="24"/>
        </w:rPr>
      </w:pPr>
      <w:r>
        <w:rPr/>
        <w:t xml:space="preserve">Ciljne skupine </w:t>
      </w:r>
    </w:p>
    <w:p>
      <w:pPr>
        <w:pStyle w:val="P68B1DB1Normal110"/>
        <w:widowControl w:val="false"/>
        <w:spacing w:lineRule="auto" w:line="240" w:before="22" w:after="0"/>
        <w:ind w:left="0" w:right="0" w:hanging="0"/>
        <w:jc w:val="left"/>
        <w:rPr/>
      </w:pPr>
      <w:r>
        <w:rPr>
          <w:sz w:val="21"/>
        </w:rPr>
        <w:t xml:space="preserve">Ciljne skupine do kojih je teško doći ne mogu se nedvosmisleno definirati. Studije i iskustva omogućuju nam da znamo da Nizozemci </w:t>
      </w:r>
      <w:r>
        <w:rPr>
          <w:b/>
          <w:sz w:val="21"/>
        </w:rPr>
        <w:t>ne-zapadnog podrijetla</w:t>
      </w:r>
      <w:r>
        <w:rPr>
          <w:sz w:val="21"/>
        </w:rPr>
        <w:t>znatno manje sudjeluju u istragama i raspravama. Budući da to predstavlja veliku skupinu (14 % nizozemskog</w:t>
      </w:r>
      <w:r>
        <w:rPr>
          <w:position w:val="6"/>
          <w:sz w:val="14"/>
        </w:rPr>
        <w:t>1</w:t>
      </w:r>
      <w:r>
        <w:rPr>
          <w:sz w:val="21"/>
        </w:rPr>
        <w:t xml:space="preserve">), odabrani su za sudjelovanje u dijalogu „Vizija Europe”. Isto obrazloženje slijedilo je i u pogledu </w:t>
      </w:r>
      <w:r>
        <w:rPr>
          <w:b/>
          <w:sz w:val="21"/>
        </w:rPr>
        <w:t>osoba s malo obrazovanja</w:t>
      </w:r>
      <w:r>
        <w:rPr>
          <w:sz w:val="21"/>
        </w:rPr>
        <w:t>. To je također velika skupina (2,5 milijuna nizozemskih</w:t>
      </w:r>
      <w:r>
        <w:rPr>
          <w:position w:val="6"/>
          <w:sz w:val="14"/>
        </w:rPr>
        <w:t>2</w:t>
      </w:r>
      <w:r>
        <w:rPr>
          <w:sz w:val="21"/>
        </w:rPr>
        <w:t xml:space="preserve">), koja se djelomično preklapa s migrantskom skupinom (39 %). Naposljetku, održan je dijalog sa skupinom ljudi koji se rijetko nalaze u anketama i raspravama, </w:t>
      </w:r>
      <w:r>
        <w:rPr>
          <w:b/>
          <w:sz w:val="21"/>
        </w:rPr>
        <w:t>koji su kritični prema Europi, ali za koje Europa ima važnu ulogu u profesionalnoj sferi.</w:t>
      </w:r>
      <w:r>
        <w:rPr>
          <w:sz w:val="21"/>
        </w:rPr>
        <w:t xml:space="preserve"> Odabrani su poduzetnici iz poljoprivrednog sektora. </w:t>
      </w:r>
    </w:p>
    <w:p>
      <w:pPr>
        <w:pStyle w:val="P68B1DB1Normal104"/>
        <w:widowControl w:val="false"/>
        <w:spacing w:lineRule="auto" w:line="240" w:before="13" w:after="0"/>
        <w:ind w:left="0" w:right="0" w:hanging="0"/>
        <w:jc w:val="left"/>
        <w:rPr>
          <w:rFonts w:ascii="Calibri" w:hAnsi="Calibri"/>
          <w:color w:val="000000"/>
          <w:sz w:val="21"/>
        </w:rPr>
      </w:pPr>
      <w:r>
        <w:rPr/>
        <w:t xml:space="preserve"> </w:t>
      </w:r>
    </w:p>
    <w:p>
      <w:pPr>
        <w:pStyle w:val="P68B1DB1Normal104"/>
        <w:widowControl w:val="false"/>
        <w:spacing w:lineRule="auto" w:line="240" w:before="15" w:after="0"/>
        <w:ind w:left="0" w:right="0" w:hanging="0"/>
        <w:jc w:val="left"/>
        <w:rPr/>
      </w:pPr>
      <w:r>
        <w:rPr/>
        <w:t xml:space="preserve">Prethodno navedenim skupinama pristupile su organizacije čiji su članovi, kao što su organizacije migranata, udruge za zagovaranje i strukovne organizacije. Budući da smo ograničili broj dijaloga na osam, nismo mogli biti potpuno „iscrpni”. To čini izbor sudionika donekle proizvoljnim. Kako bismo donijeli taj izbor, uzeli smo u obzir i entuzijazam za sudjelovanje i pomoć u mobilizaciji njihove baze, kao i praktična pitanja kao što je dostupnost prema datumima i lokaciji. </w:t>
      </w:r>
    </w:p>
    <w:p>
      <w:pPr>
        <w:pStyle w:val="P68B1DB1Normal104"/>
        <w:widowControl w:val="false"/>
        <w:spacing w:lineRule="auto" w:line="240" w:before="13" w:after="0"/>
        <w:ind w:left="0" w:right="0" w:hanging="0"/>
        <w:jc w:val="left"/>
        <w:rPr>
          <w:rFonts w:ascii="Calibri" w:hAnsi="Calibri"/>
          <w:color w:val="000000"/>
          <w:sz w:val="21"/>
        </w:rPr>
      </w:pPr>
      <w:r>
        <w:rPr/>
        <w:t xml:space="preserve"> </w:t>
      </w:r>
    </w:p>
    <w:p>
      <w:pPr>
        <w:pStyle w:val="P68B1DB1Normal104"/>
        <w:widowControl w:val="false"/>
        <w:spacing w:lineRule="auto" w:line="240" w:before="15" w:after="0"/>
        <w:ind w:left="0" w:right="0" w:hanging="0"/>
        <w:jc w:val="left"/>
        <w:rPr>
          <w:rFonts w:ascii="Calibri" w:hAnsi="Calibri"/>
          <w:color w:val="000000"/>
          <w:sz w:val="21"/>
        </w:rPr>
      </w:pPr>
      <w:r>
        <w:rPr/>
        <w:t xml:space="preserve">Održani su dijalozi na licu mjesta s članovima sljedećih organizacija: </w:t>
      </w:r>
    </w:p>
    <w:p>
      <w:pPr>
        <w:pStyle w:val="P68B1DB1Normal105"/>
        <w:widowControl w:val="false"/>
        <w:spacing w:lineRule="auto" w:line="240" w:before="19" w:after="0"/>
        <w:ind w:left="0" w:right="0" w:hanging="0"/>
        <w:jc w:val="left"/>
        <w:rPr/>
      </w:pPr>
      <w:r>
        <w:rPr>
          <w:rFonts w:ascii="Verdana" w:hAnsi="Verdana"/>
        </w:rPr>
        <w:t>•</w:t>
      </w:r>
      <w:r>
        <w:rPr/>
        <w:t xml:space="preserve"> </w:t>
      </w:r>
      <w:r>
        <w:rPr>
          <w:rFonts w:ascii="Calibri" w:hAnsi="Calibri"/>
        </w:rPr>
        <w:t xml:space="preserve">Zaklada Hakder, Alevi zajednica, Schiedam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Zaklada Asha, hinduistička zajednica, Utrecht (dvije rasprave)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Piëzo, organizacija civilnog društva, Zoetermeer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Taal doet Meer, organizacija za niskoobrazovane osobe, Utrecht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BoerenNatuur, udruga poljoprivrednih grupa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Marokkanen Dialoog Overvecht, marokanska zajednica, Utrecht </w:t>
      </w:r>
    </w:p>
    <w:p>
      <w:pPr>
        <w:pStyle w:val="P68B1DB1Normal105"/>
        <w:widowControl w:val="false"/>
        <w:spacing w:lineRule="auto" w:line="240"/>
        <w:ind w:left="0" w:right="0" w:hanging="0"/>
        <w:jc w:val="left"/>
        <w:rPr/>
      </w:pPr>
      <w:r>
        <w:rPr>
          <w:rFonts w:ascii="Verdana" w:hAnsi="Verdana"/>
        </w:rPr>
        <w:t>Žene</w:t>
      </w:r>
      <w:r>
        <w:rPr/>
        <w:t xml:space="preserve"> </w:t>
      </w:r>
      <w:r>
        <w:rPr>
          <w:rFonts w:ascii="Calibri" w:hAnsi="Calibri"/>
        </w:rPr>
        <w:t xml:space="preserve">za slobodu, organizacija za zagovaranje žena migrantskog podrijetla, Haag </w:t>
      </w:r>
    </w:p>
    <w:p>
      <w:pPr>
        <w:pStyle w:val="P68B1DB1Normal104"/>
        <w:widowControl w:val="false"/>
        <w:spacing w:lineRule="auto" w:line="240" w:before="12" w:after="0"/>
        <w:ind w:left="0" w:right="0" w:hanging="0"/>
        <w:jc w:val="left"/>
        <w:rPr>
          <w:rFonts w:ascii="Calibri" w:hAnsi="Calibri"/>
          <w:color w:val="000000"/>
          <w:sz w:val="21"/>
        </w:rPr>
      </w:pPr>
      <w:r>
        <w:rPr/>
        <w:t xml:space="preserve"> </w:t>
      </w:r>
    </w:p>
    <w:p>
      <w:pPr>
        <w:pStyle w:val="P68B1DB1Normal104"/>
        <w:widowControl w:val="false"/>
        <w:spacing w:lineRule="auto" w:line="240" w:before="101" w:after="0"/>
        <w:ind w:left="0" w:right="0" w:hanging="0"/>
        <w:jc w:val="left"/>
        <w:rPr>
          <w:rFonts w:ascii="Calibri" w:hAnsi="Calibri"/>
          <w:color w:val="000000"/>
          <w:sz w:val="21"/>
        </w:rPr>
      </w:pPr>
      <w:r>
        <w:rPr/>
        <w:t xml:space="preserve">Na tim sastancima sudjelovalo je ukupno 110 osoba. </w:t>
      </w:r>
    </w:p>
    <w:p>
      <w:pPr>
        <w:pStyle w:val="P68B1DB1Normal19"/>
        <w:widowControl w:val="false"/>
        <w:spacing w:lineRule="auto" w:line="240" w:before="90" w:after="0"/>
        <w:ind w:left="0" w:right="0" w:hanging="0"/>
        <w:jc w:val="left"/>
        <w:rPr>
          <w:rFonts w:ascii="Times New Roman" w:hAnsi="Times New Roman"/>
          <w:color w:val="000000"/>
          <w:sz w:val="24"/>
        </w:rPr>
      </w:pPr>
      <w:r>
        <w:rPr/>
        <w:t xml:space="preserve"> </w:t>
      </w:r>
    </w:p>
    <w:p>
      <w:pPr>
        <w:pStyle w:val="P68B1DB1Normal108"/>
        <w:widowControl w:val="false"/>
        <w:spacing w:lineRule="auto" w:line="240" w:before="339" w:after="0"/>
        <w:ind w:left="0" w:right="0" w:hanging="0"/>
        <w:jc w:val="left"/>
        <w:rPr>
          <w:rFonts w:ascii="Calibri" w:hAnsi="Calibri"/>
          <w:b/>
          <w:b/>
          <w:i/>
          <w:i/>
          <w:color w:val="000000"/>
          <w:sz w:val="24"/>
        </w:rPr>
      </w:pPr>
      <w:r>
        <w:rPr/>
        <w:t xml:space="preserve">4. Dijalog s mladima </w:t>
      </w:r>
    </w:p>
    <w:p>
      <w:pPr>
        <w:pStyle w:val="P68B1DB1Normal104"/>
        <w:widowControl w:val="false"/>
        <w:spacing w:lineRule="auto" w:line="240" w:before="118" w:after="0"/>
        <w:ind w:left="0" w:right="0" w:hanging="0"/>
        <w:jc w:val="both"/>
        <w:rPr/>
      </w:pPr>
      <w:r>
        <w:rPr/>
        <w:t xml:space="preserve">Mladi su prioritetna ciljna skupina konferencije o budućnosti Europe. Kako bi se aktivno potaknulo njihovo sudjelovanje u dijalogu s građanima „Vizija Europe” te kako bi se mišljenja i ideje te skupine dobro saslušali, organizirano je pet fizičkih sastanaka za raspravu posebno za mlade. Šesti planirani sastanak s mladima nije se mogao održati zbog mjera ograničavanja povezanih s koronavirusom. </w:t>
      </w:r>
    </w:p>
    <w:p>
      <w:pPr>
        <w:pStyle w:val="P68B1DB1Normal104"/>
        <w:widowControl w:val="false"/>
        <w:spacing w:lineRule="auto" w:line="240" w:before="1" w:after="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both"/>
        <w:rPr>
          <w:rFonts w:ascii="Calibri" w:hAnsi="Calibri"/>
          <w:color w:val="000000"/>
          <w:sz w:val="21"/>
        </w:rPr>
      </w:pPr>
      <w:r>
        <w:rPr/>
        <w:t xml:space="preserve">Sastanci su održani u sljedećim institucijama: </w:t>
      </w:r>
    </w:p>
    <w:p>
      <w:pPr>
        <w:pStyle w:val="P68B1DB1Normal104"/>
        <w:widowControl w:val="false"/>
        <w:spacing w:lineRule="auto" w:line="240"/>
        <w:ind w:left="0" w:right="0" w:hanging="0"/>
        <w:jc w:val="both"/>
        <w:rPr>
          <w:rFonts w:ascii="Calibri" w:hAnsi="Calibri"/>
          <w:color w:val="000000"/>
          <w:sz w:val="21"/>
        </w:rPr>
      </w:pPr>
      <w:r>
        <w:rPr/>
        <w:t xml:space="preserve">Udruga studenata povijesti, Sveučilište u Leidenu </w:t>
      </w:r>
    </w:p>
    <w:p>
      <w:pPr>
        <w:pStyle w:val="P68B1DB1Normal104"/>
        <w:widowControl w:val="false"/>
        <w:spacing w:lineRule="auto" w:line="240"/>
        <w:ind w:left="0" w:right="0" w:hanging="0"/>
        <w:jc w:val="both"/>
        <w:rPr>
          <w:rFonts w:ascii="Calibri" w:hAnsi="Calibri"/>
          <w:color w:val="000000"/>
          <w:sz w:val="21"/>
        </w:rPr>
      </w:pPr>
      <w:r>
        <w:rPr/>
        <w:t xml:space="preserve">Dr. Knippenberg College, Srednja škola, Helmond </w:t>
      </w:r>
    </w:p>
    <w:p>
      <w:pPr>
        <w:pStyle w:val="P68B1DB1Normal104"/>
        <w:widowControl w:val="false"/>
        <w:spacing w:lineRule="auto" w:line="240" w:before="1" w:after="0"/>
        <w:ind w:left="0" w:right="0" w:hanging="0"/>
        <w:jc w:val="left"/>
        <w:rPr>
          <w:rFonts w:ascii="Calibri" w:hAnsi="Calibri"/>
          <w:color w:val="000000"/>
          <w:sz w:val="21"/>
        </w:rPr>
      </w:pPr>
      <w:r>
        <w:rPr/>
        <w:t xml:space="preserve">Coalitie-Y, Platforma za mlade Gospodarskog i socijalnog vijeća </w:t>
      </w:r>
    </w:p>
    <w:p>
      <w:pPr>
        <w:pStyle w:val="P68B1DB1Normal104"/>
        <w:widowControl w:val="false"/>
        <w:spacing w:lineRule="auto" w:line="240"/>
        <w:ind w:left="0" w:right="0" w:hanging="0"/>
        <w:jc w:val="left"/>
        <w:rPr>
          <w:rFonts w:ascii="Calibri" w:hAnsi="Calibri"/>
          <w:color w:val="000000"/>
          <w:sz w:val="21"/>
        </w:rPr>
      </w:pPr>
      <w:r>
        <w:rPr/>
        <w:t xml:space="preserve">Graafschap College, Strukovno srednje obrazovanje, Doetinchem </w:t>
      </w:r>
    </w:p>
    <w:p>
      <w:pPr>
        <w:pStyle w:val="P68B1DB1Normal104"/>
        <w:widowControl w:val="false"/>
        <w:spacing w:lineRule="auto" w:line="240" w:before="1" w:after="0"/>
        <w:ind w:left="0" w:right="0" w:hanging="0"/>
        <w:jc w:val="left"/>
        <w:rPr>
          <w:rFonts w:ascii="Calibri" w:hAnsi="Calibri"/>
          <w:color w:val="000000"/>
          <w:sz w:val="21"/>
        </w:rPr>
      </w:pPr>
      <w:r>
        <w:rPr/>
        <w:t xml:space="preserve">CSG Jan Arentsz, srednjoškolsko obrazovanje s naglaskom na tehnološkim temama, Alkmaar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before="1" w:after="0"/>
        <w:ind w:left="0" w:right="0" w:hanging="0"/>
        <w:jc w:val="left"/>
        <w:rPr>
          <w:rFonts w:ascii="Calibri" w:hAnsi="Calibri"/>
          <w:color w:val="000000"/>
          <w:sz w:val="21"/>
        </w:rPr>
      </w:pPr>
      <w:r>
        <w:rPr>
          <w:rFonts w:ascii="Calibri" w:hAnsi="Calibri"/>
          <w:color w:val="000000"/>
          <w:sz w:val="21"/>
        </w:rPr>
        <w:t xml:space="preserve">Ukupno 95 mladih sudjelovalo je u raspravama. </w:t>
      </w:r>
      <w:r>
        <w:br w:type="page"/>
      </w:r>
    </w:p>
    <w:p>
      <w:pPr>
        <w:pStyle w:val="P68B1DB1Normal107"/>
        <w:spacing w:lineRule="auto" w:line="240"/>
        <w:ind w:left="0" w:right="0" w:hanging="0"/>
        <w:rPr>
          <w:rFonts w:ascii="Calibri" w:hAnsi="Calibri"/>
          <w:i/>
          <w:i/>
          <w:color w:val="000000"/>
          <w:sz w:val="24"/>
        </w:rPr>
      </w:pPr>
      <w:r>
        <w:rPr/>
        <w:t xml:space="preserve">Korištene tehnike održavanja </w:t>
      </w:r>
    </w:p>
    <w:p>
      <w:pPr>
        <w:pStyle w:val="P68B1DB1Normal104"/>
        <w:widowControl w:val="false"/>
        <w:spacing w:lineRule="auto" w:line="240" w:before="10" w:after="0"/>
        <w:ind w:left="0" w:right="0" w:hanging="0"/>
        <w:jc w:val="left"/>
        <w:rPr/>
      </w:pPr>
      <w:r>
        <w:rPr/>
        <w:t xml:space="preserve">Internetski tematski dijalozi, dijalozi s posebnim skupinama i dijalozi s mladima vođeni su takozvanom „sokratskom” metodom intervjua. Ova se metoda koristi već dugi niz godina na Dan dijaloga, gdje ljudi diljem Nizozemske komuniciraju o pitanjima koja na njih utječu. U kontekstu Sokratove metode održavanja moderator uzima u obzir sljedeća načela: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5"/>
        <w:widowControl w:val="false"/>
        <w:spacing w:lineRule="auto" w:line="240" w:before="7" w:after="0"/>
        <w:ind w:left="0" w:right="0" w:hanging="0"/>
        <w:jc w:val="left"/>
        <w:rPr/>
      </w:pPr>
      <w:r>
        <w:rPr>
          <w:rFonts w:ascii="Verdana" w:hAnsi="Verdana"/>
        </w:rPr>
        <w:t>Neka</w:t>
      </w:r>
      <w:r>
        <w:rPr/>
        <w:t xml:space="preserve"> drugi ispriča svoju priču </w:t>
      </w:r>
      <w:r>
        <w:rPr>
          <w:rFonts w:ascii="Calibri" w:hAnsi="Calibri"/>
        </w:rPr>
        <w:t xml:space="preserve"> </w:t>
      </w:r>
    </w:p>
    <w:p>
      <w:pPr>
        <w:pStyle w:val="P68B1DB1Normal105"/>
        <w:widowControl w:val="false"/>
        <w:spacing w:lineRule="auto" w:line="240" w:before="2" w:after="0"/>
        <w:ind w:left="0" w:right="0" w:hanging="0"/>
        <w:jc w:val="left"/>
        <w:rPr/>
      </w:pPr>
      <w:r>
        <w:rPr>
          <w:rFonts w:ascii="Verdana" w:hAnsi="Verdana"/>
        </w:rPr>
        <w:t>Ne</w:t>
      </w:r>
      <w:r>
        <w:rPr/>
        <w:t xml:space="preserve"> </w:t>
      </w:r>
      <w:r>
        <w:rPr>
          <w:rFonts w:ascii="Calibri" w:hAnsi="Calibri"/>
        </w:rPr>
        <w:t>odgovaraj odmah drugom pričom</w:t>
      </w:r>
      <w:r>
        <w:rPr/>
        <w:t>.</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Tretirajte se s poštovanjem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Govoriti o vlastitoj točki gledišta („nalazim” umjesto „reći”)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Zatražiti dodatna objašnjenja ako su izražena stajališta ograničena na općenitost </w:t>
      </w:r>
    </w:p>
    <w:p>
      <w:pPr>
        <w:pStyle w:val="P68B1DB1Normal105"/>
        <w:widowControl w:val="false"/>
        <w:spacing w:lineRule="auto" w:line="240" w:before="2" w:after="0"/>
        <w:ind w:left="0" w:right="0" w:hanging="0"/>
        <w:jc w:val="left"/>
        <w:rPr/>
      </w:pPr>
      <w:r>
        <w:rPr>
          <w:rFonts w:ascii="Verdana" w:hAnsi="Verdana"/>
        </w:rPr>
        <w:t>Izbjegavajte</w:t>
      </w:r>
      <w:r>
        <w:rPr/>
        <w:t xml:space="preserve"> </w:t>
      </w:r>
      <w:r>
        <w:rPr>
          <w:rFonts w:ascii="Calibri" w:hAnsi="Calibri"/>
        </w:rPr>
        <w:t xml:space="preserve">prosudbu i analizirajte ih </w:t>
      </w:r>
    </w:p>
    <w:p>
      <w:pPr>
        <w:pStyle w:val="P68B1DB1Normal105"/>
        <w:widowControl w:val="false"/>
        <w:spacing w:lineRule="auto" w:line="240" w:before="5" w:after="0"/>
        <w:ind w:left="0" w:right="0" w:hanging="0"/>
        <w:jc w:val="left"/>
        <w:rPr/>
      </w:pPr>
      <w:r>
        <w:rPr>
          <w:rFonts w:ascii="Verdana" w:hAnsi="Verdana"/>
        </w:rPr>
        <w:t>Dajte</w:t>
      </w:r>
      <w:r>
        <w:rPr/>
        <w:t xml:space="preserve"> </w:t>
      </w:r>
      <w:r>
        <w:rPr>
          <w:rFonts w:ascii="Calibri" w:hAnsi="Calibri"/>
        </w:rPr>
        <w:t xml:space="preserve">trenutke tišine ako ljudi trebaju razmišljati na trenutak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Tijekom dijaloga koristi se sljedeći ritam: razlika – konvergencija – razlika. Načelo je da prvo morate razlikovati (izravno izraziti individualne osjećaje i mišljenja), prije nego što se možete konvergirati (razgovarati moguće putove), a zatim se na kraju ponovno razilaziti (na primjer, prikupiti pojedinačne preporuke). Iskustvo i teorija pokazuju da ovaj ritam osigurava optimalan tijek dijaloga. </w:t>
      </w:r>
    </w:p>
    <w:p>
      <w:pPr>
        <w:pStyle w:val="P68B1DB1Normal104"/>
        <w:widowControl w:val="false"/>
        <w:spacing w:lineRule="auto" w:line="240" w:before="1" w:after="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rFonts w:ascii="Calibri" w:hAnsi="Calibri"/>
          <w:color w:val="000000"/>
          <w:sz w:val="21"/>
        </w:rPr>
      </w:pPr>
      <w:r>
        <w:rPr/>
        <w:t xml:space="preserve">Sve dijaloge vodili su profesionalni voditelji. </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P68B1DB1Normal108"/>
        <w:widowControl w:val="false"/>
        <w:spacing w:lineRule="auto" w:line="240" w:before="229" w:after="0"/>
        <w:ind w:left="0" w:right="0" w:hanging="0"/>
        <w:jc w:val="both"/>
        <w:rPr/>
      </w:pPr>
      <w:r>
        <w:rPr/>
        <w:t>5. Javna anketa na internetu: Upitnik i „Swipen naar de toekomst” (Swiper to the future)</w:t>
      </w:r>
    </w:p>
    <w:p>
      <w:pPr>
        <w:pStyle w:val="P68B1DB1Normal104"/>
        <w:widowControl w:val="false"/>
        <w:spacing w:lineRule="auto" w:line="240" w:before="229" w:after="0"/>
        <w:ind w:left="0" w:right="0" w:hanging="0"/>
        <w:jc w:val="both"/>
        <w:rPr/>
      </w:pPr>
      <w:r>
        <w:rPr/>
        <w:t xml:space="preserve">Upitnik panela bio je otvoren i za sve Nizozemce, uključujući one koji borave u inozemstvu. Upitnik je bio dostupan od 1. rujna 2021. do 14. studenoga 2021. Osim toga, u istom je razdoblju svaki Nizozemac mogao sudjelovati u akciji „Swipen naar de toekomst” (Swiper toekomst), internetskom alatu s 20 zahtjeva. </w:t>
      </w:r>
    </w:p>
    <w:p>
      <w:pPr>
        <w:pStyle w:val="P68B1DB1Normal107"/>
        <w:widowControl w:val="false"/>
        <w:spacing w:lineRule="auto" w:line="240" w:before="41" w:after="0"/>
        <w:ind w:left="0" w:right="0" w:hanging="0"/>
        <w:jc w:val="left"/>
        <w:rPr>
          <w:rFonts w:ascii="Calibri" w:hAnsi="Calibri"/>
          <w:i/>
          <w:i/>
          <w:color w:val="000000"/>
          <w:sz w:val="24"/>
        </w:rPr>
      </w:pPr>
      <w:r>
        <w:rPr/>
        <w:t xml:space="preserve">Odgovori i korištenje </w:t>
      </w:r>
    </w:p>
    <w:p>
      <w:pPr>
        <w:pStyle w:val="P68B1DB1Normal104"/>
        <w:widowControl w:val="false"/>
        <w:spacing w:lineRule="auto" w:line="240" w:before="7" w:after="0"/>
        <w:ind w:left="0" w:right="0" w:hanging="0"/>
        <w:jc w:val="left"/>
        <w:rPr/>
      </w:pPr>
      <w:r>
        <w:rPr/>
        <w:t xml:space="preserve">Upitnik je ispunilo ukupno 1.967 sudionika, a 6.968 je do kraja alata za skeniranje zaslona. Upitnik i alat za skeniranje zaslona bili su otvoreni svima: nisu postojali preduvjeti ili kriteriji odabira za sudjelovanje. U upitniku je bilo moguće ispuniti pitanja (nije bilo obveznih pitanja) kako bi se povećala stopa odgovora. Sudionici su odabrali „Ne želim odgovoriti” mnogo češće nego u anketi reprezentativnog panela. </w:t>
      </w:r>
    </w:p>
    <w:p>
      <w:pPr>
        <w:pStyle w:val="P68B1DB1Normal104"/>
        <w:widowControl w:val="false"/>
        <w:spacing w:lineRule="auto" w:line="240"/>
        <w:ind w:left="0" w:right="0" w:hanging="0"/>
        <w:jc w:val="left"/>
        <w:rPr/>
      </w:pPr>
      <w:r>
        <w:rPr/>
        <w:t xml:space="preserve">Opća obilježja sudionika u otvorenom upitniku i alatu za skeniranje zaslona u nekoliko se aspekata razlikuju od značajki sudionika u reprezentativnom panelu. Za razliku od panel ankete, rezultati otvorenog upitnika i alata za skeniranje zaslona nisu reprezentativni. Rezultati otvorene internetske ankete upotrijebljeni su kao dopuna anketi panela. Oni daju pregled osjećaja i ideja koje kruže u Nizozemskoj. Prijedlozi za poboljšanje navedeni u poljima za unos upotrijebljeni su u odjeljku „Diskusije i ideje na internetu i na licu mjesta”. Alat za skeniranje zaslona korišten je za bolje razumijevanje nekih osjećaja koji kruže u Nizozemskoj. Ti su rezultati uzeti u obzir pri pripremi preporuka. Zbog zahtjeva reprezentativnosti, rezultati ispitnog postupka pokrenutog na internetu ograničeni su uzeti u obzir u ovom izvješću. </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Normal"/>
        <w:widowControl w:val="false"/>
        <w:spacing w:lineRule="auto" w:line="240"/>
        <w:ind w:left="0" w:right="0" w:hanging="0"/>
        <w:jc w:val="left"/>
        <w:rPr/>
      </w:pPr>
      <w:r>
        <w:rPr>
          <w:rFonts w:ascii="Calibri" w:hAnsi="Calibri"/>
          <w:color w:val="000000"/>
          <w:sz w:val="21"/>
        </w:rPr>
        <w:t xml:space="preserve">Ovo izvješće objavljuje Ministarstvo vanjskih poslova. </w:t>
      </w:r>
      <w:hyperlink r:id="rId119">
        <w:r>
          <w:rPr>
            <w:rStyle w:val="LienInternet"/>
          </w:rPr>
          <w:t>www.kijkopeuropa.nl</w:t>
        </w:r>
      </w:hyperlink>
      <w:r>
        <w:rPr>
          <w:rFonts w:ascii="Calibri" w:hAnsi="Calibri"/>
          <w:color w:val="000000"/>
          <w:sz w:val="21"/>
        </w:rPr>
        <w:t xml:space="preserve"> </w:t>
      </w:r>
      <w:r>
        <w:rPr/>
        <w:t xml:space="preserve"> </w:t>
      </w:r>
      <w:r>
        <w:br w:type="page"/>
      </w:r>
    </w:p>
    <w:p>
      <w:pPr>
        <w:pStyle w:val="Normal"/>
        <w:spacing w:lineRule="auto" w:line="240"/>
        <w:ind w:left="0" w:right="0" w:hanging="0"/>
        <w:rPr/>
      </w:pPr>
      <w:r>
        <w:rPr/>
        <w:drawing>
          <wp:anchor behindDoc="0" distT="0" distB="0" distL="0" distR="0" simplePos="0" locked="0" layoutInCell="1" allowOverlap="1" relativeHeight="49">
            <wp:simplePos x="0" y="0"/>
            <wp:positionH relativeFrom="column">
              <wp:align>center</wp:align>
            </wp:positionH>
            <wp:positionV relativeFrom="paragraph">
              <wp:posOffset>635</wp:posOffset>
            </wp:positionV>
            <wp:extent cx="3114040" cy="2009775"/>
            <wp:effectExtent l="0" t="0" r="0" b="0"/>
            <wp:wrapTopAndBottom/>
            <wp:docPr id="110" name="Slika 4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Slika 47" descr=""/>
                    <pic:cNvPicPr>
                      <a:picLocks noChangeAspect="1" noChangeArrowheads="1"/>
                    </pic:cNvPicPr>
                  </pic:nvPicPr>
                  <pic:blipFill>
                    <a:blip r:embed="rId120"/>
                    <a:stretch>
                      <a:fillRect/>
                    </a:stretch>
                  </pic:blipFill>
                  <pic:spPr bwMode="auto">
                    <a:xfrm>
                      <a:off x="0" y="0"/>
                      <a:ext cx="3114040" cy="2009775"/>
                    </a:xfrm>
                    <a:prstGeom prst="rect">
                      <a:avLst/>
                    </a:prstGeom>
                  </pic:spPr>
                </pic:pic>
              </a:graphicData>
            </a:graphic>
          </wp:anchor>
        </w:drawing>
      </w:r>
    </w:p>
    <w:p>
      <w:pPr>
        <w:pStyle w:val="P68B1DB1Normal123"/>
        <w:spacing w:lineRule="auto" w:line="240"/>
        <w:ind w:left="0" w:right="0" w:hanging="0"/>
        <w:rPr>
          <w:rFonts w:ascii="Calibri" w:hAnsi="Calibri"/>
          <w:color w:val="000000"/>
          <w:sz w:val="32"/>
        </w:rPr>
      </w:pPr>
      <w:r>
        <w:rPr/>
        <w:t xml:space="preserve">Nacionalna vlada Nizozemske </w:t>
      </w:r>
    </w:p>
    <w:p>
      <w:pPr>
        <w:pStyle w:val="P68B1DB1Normal124"/>
        <w:widowControl w:val="false"/>
        <w:spacing w:lineRule="exact" w:line="1199" w:before="278" w:after="0"/>
        <w:ind w:left="0" w:right="0" w:hanging="0"/>
        <w:jc w:val="left"/>
        <w:rPr>
          <w:rFonts w:ascii="Calibri" w:hAnsi="Calibri"/>
          <w:b/>
          <w:b/>
          <w:color w:val="0070C0"/>
          <w:sz w:val="72"/>
        </w:rPr>
      </w:pPr>
      <w:r>
        <w:rPr/>
        <w:t xml:space="preserve">Naša vizija Europe </w:t>
      </w:r>
    </w:p>
    <w:p>
      <w:pPr>
        <w:pStyle w:val="Titre4"/>
        <w:numPr>
          <w:ilvl w:val="3"/>
          <w:numId w:val="2"/>
        </w:numPr>
        <w:rPr/>
      </w:pPr>
      <w:bookmarkStart w:id="237" w:name="__RefHeading___Toc298386_1346298689"/>
      <w:bookmarkEnd w:id="237"/>
      <w:r>
        <w:rPr/>
        <w:t>Izvješće iz siječnja 2022.</w:t>
      </w:r>
    </w:p>
    <w:p>
      <w:pPr>
        <w:pStyle w:val="P68B1DB1Normal20"/>
        <w:widowControl w:val="false"/>
        <w:spacing w:lineRule="auto" w:line="240" w:before="105" w:after="0"/>
        <w:ind w:left="0" w:right="0" w:hanging="0"/>
        <w:jc w:val="left"/>
        <w:rPr>
          <w:rFonts w:ascii="Calibri" w:hAnsi="Calibri"/>
          <w:color w:val="000000"/>
          <w:sz w:val="24"/>
        </w:rPr>
      </w:pPr>
      <w:r>
        <w:rPr/>
        <w:t xml:space="preserve">Mišljenja, ideje i preporuke </w:t>
      </w:r>
    </w:p>
    <w:p>
      <w:pPr>
        <w:pStyle w:val="P68B1DB1Normal104"/>
        <w:widowControl w:val="false"/>
        <w:spacing w:lineRule="auto" w:line="240" w:before="116" w:after="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rFonts w:ascii="Calibri" w:hAnsi="Calibri"/>
          <w:color w:val="000000"/>
          <w:sz w:val="21"/>
        </w:rPr>
      </w:pPr>
      <w:r>
        <w:rPr/>
        <w:t xml:space="preserve"> </w:t>
      </w:r>
    </w:p>
    <w:p>
      <w:pPr>
        <w:pStyle w:val="P68B1DB1Normal120"/>
        <w:widowControl w:val="false"/>
        <w:spacing w:lineRule="auto" w:line="240"/>
        <w:ind w:left="0" w:right="0" w:hanging="0"/>
        <w:jc w:val="left"/>
        <w:rPr>
          <w:rFonts w:ascii="Calibri" w:hAnsi="Calibri"/>
          <w:b/>
          <w:b/>
          <w:color w:val="000000"/>
          <w:sz w:val="21"/>
        </w:rPr>
      </w:pPr>
      <w:r>
        <w:rPr/>
        <w:t xml:space="preserve">Teme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Klimatske promjene i okoliš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Migracija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Zdravlje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EU u svijetu </w:t>
      </w:r>
    </w:p>
    <w:p>
      <w:pPr>
        <w:pStyle w:val="P68B1DB1Normal105"/>
        <w:widowControl w:val="false"/>
        <w:spacing w:lineRule="auto" w:line="240" w:before="7" w:after="0"/>
        <w:ind w:left="0" w:right="0" w:hanging="0"/>
        <w:jc w:val="left"/>
        <w:rPr/>
      </w:pPr>
      <w:r>
        <w:rPr>
          <w:rFonts w:ascii="Verdana" w:hAnsi="Verdana"/>
        </w:rPr>
        <w:t>♪ •</w:t>
      </w:r>
      <w:r>
        <w:rPr/>
        <w:t xml:space="preserve">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14. siječnja 2022. </w:t>
      </w:r>
    </w:p>
    <w:p>
      <w:pPr>
        <w:pStyle w:val="P68B1DB1Normal105"/>
        <w:widowControl w:val="false"/>
        <w:spacing w:lineRule="auto" w:line="240" w:before="5" w:after="0"/>
        <w:ind w:left="0" w:right="0" w:hanging="0"/>
        <w:jc w:val="left"/>
        <w:rPr/>
      </w:pPr>
      <w:r>
        <w:rPr>
          <w:rFonts w:ascii="Verdana" w:hAnsi="Verdana"/>
        </w:rPr>
        <w:t>♪ •</w:t>
      </w:r>
      <w:r>
        <w:rPr/>
        <w:t xml:space="preserve">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Ovaj je dokument prijevod izvješća naslovljenog „Elze kijk op Europa; Meningen, ideeën en Aanbevelingen”(„Naša vizija Europe: mišljenja, ideje i preporuke”, koja je objavljena na nizozemskom jeziku 14. siječnja 2022. na www.kijkopeuropa.nl. Ovaj prijevod je pojednostavljena verzija izvješća u kojem je izvorni prikaz (ilustracije i drugi grafički elementi) izmijenjen u svrhu prevođenja. </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Normal"/>
        <w:spacing w:lineRule="auto" w:line="240"/>
        <w:ind w:left="0" w:right="0" w:hanging="0"/>
        <w:rPr/>
      </w:pPr>
      <w:r>
        <w:rPr/>
      </w:r>
      <w:r>
        <w:br w:type="page"/>
      </w:r>
    </w:p>
    <w:p>
      <w:pPr>
        <w:pStyle w:val="P68B1DB1Normal125"/>
        <w:spacing w:lineRule="auto" w:line="240"/>
        <w:ind w:left="0" w:right="0" w:hanging="0"/>
        <w:rPr>
          <w:rFonts w:ascii="Calibri" w:hAnsi="Calibri"/>
          <w:b/>
          <w:b/>
          <w:color w:val="0070C0"/>
          <w:sz w:val="32"/>
        </w:rPr>
      </w:pPr>
      <w:r>
        <w:rPr/>
        <w:t xml:space="preserve">Naša vizija... </w:t>
      </w:r>
    </w:p>
    <w:p>
      <w:pPr>
        <w:pStyle w:val="P68B1DB1Normal126"/>
        <w:widowControl w:val="false"/>
        <w:spacing w:lineRule="auto" w:line="240" w:before="101" w:after="0"/>
        <w:ind w:left="0" w:right="0" w:hanging="0"/>
        <w:jc w:val="left"/>
        <w:rPr>
          <w:rFonts w:ascii="Calibri" w:hAnsi="Calibri"/>
          <w:color w:val="0070C0"/>
          <w:sz w:val="24"/>
        </w:rPr>
      </w:pPr>
      <w:r>
        <w:rPr/>
        <w:t xml:space="preserve">Sažetak izvješća: sve preporuke ukratko </w:t>
      </w:r>
    </w:p>
    <w:p>
      <w:pPr>
        <w:pStyle w:val="P68B1DB1Normal104"/>
        <w:widowControl w:val="false"/>
        <w:spacing w:lineRule="auto" w:line="240" w:before="109" w:after="0"/>
        <w:ind w:left="0" w:right="0" w:hanging="0"/>
        <w:jc w:val="both"/>
        <w:rPr/>
      </w:pPr>
      <w:r>
        <w:rPr/>
        <w:t xml:space="preserve">Kroz dijalog s građanima organiziran na temu „Vizija Europe” prikupili smo stajališta i ideje nizozemskih građana o budućnosti Europe. To je rezultiralo sljedećim preporukama Europskoj uniji za posljednje četiri teme (od ukupno devet utvrđenih tema). </w:t>
      </w:r>
    </w:p>
    <w:p>
      <w:pPr>
        <w:pStyle w:val="P68B1DB1Normal126"/>
        <w:widowControl w:val="false"/>
        <w:spacing w:lineRule="auto" w:line="240" w:before="108" w:after="0"/>
        <w:ind w:left="0" w:right="0" w:hanging="0"/>
        <w:jc w:val="left"/>
        <w:rPr>
          <w:rFonts w:ascii="Calibri" w:hAnsi="Calibri"/>
          <w:color w:val="0070C0"/>
          <w:sz w:val="24"/>
        </w:rPr>
      </w:pPr>
      <w:r>
        <w:rPr/>
        <w:t xml:space="preserve">Klimatske promjene i okoliš </w:t>
      </w:r>
    </w:p>
    <w:p>
      <w:pPr>
        <w:pStyle w:val="P68B1DB1Normal119"/>
        <w:widowControl w:val="false"/>
        <w:spacing w:lineRule="auto" w:line="240" w:before="103" w:after="0"/>
        <w:ind w:left="0" w:right="0" w:hanging="0"/>
        <w:jc w:val="left"/>
        <w:rPr/>
      </w:pPr>
      <w:r>
        <w:rPr>
          <w:rFonts w:ascii="Calibri" w:hAnsi="Calibri"/>
        </w:rPr>
        <w:t>1.</w:t>
      </w:r>
      <w:r>
        <w:rPr/>
        <w:t xml:space="preserve"> </w:t>
      </w:r>
      <w:r>
        <w:rPr>
          <w:rFonts w:ascii="Calibri" w:hAnsi="Calibri"/>
        </w:rPr>
        <w:t>Odabrati jasan smjer europskog pristupa klimatskim promjenama</w:t>
      </w:r>
    </w:p>
    <w:p>
      <w:pPr>
        <w:pStyle w:val="P68B1DB1Normal119"/>
        <w:widowControl w:val="false"/>
        <w:spacing w:lineRule="auto" w:line="240"/>
        <w:ind w:left="0" w:right="0" w:hanging="0"/>
        <w:jc w:val="left"/>
        <w:rPr/>
      </w:pPr>
      <w:r>
        <w:rPr>
          <w:rFonts w:ascii="Calibri" w:hAnsi="Calibri"/>
        </w:rPr>
        <w:t>2.</w:t>
      </w:r>
      <w:r>
        <w:rPr/>
        <w:t xml:space="preserve"> </w:t>
      </w:r>
      <w:r>
        <w:rPr>
          <w:rFonts w:ascii="Calibri" w:hAnsi="Calibri"/>
        </w:rPr>
        <w:t>Osigurati bolju suradnju zemalja i poduzeća kako bi se pronašla ciljana rješenja 3.</w:t>
      </w:r>
      <w:r>
        <w:rPr/>
        <w:t xml:space="preserve"> </w:t>
      </w:r>
      <w:r>
        <w:rPr>
          <w:rFonts w:ascii="Calibri" w:hAnsi="Calibri"/>
        </w:rPr>
        <w:t>Stvoriti sustav CO2 koji je pravedan i izvediv u praksi</w:t>
      </w:r>
    </w:p>
    <w:p>
      <w:pPr>
        <w:pStyle w:val="P68B1DB1Normal119"/>
        <w:widowControl w:val="false"/>
        <w:spacing w:lineRule="auto" w:line="240"/>
        <w:ind w:left="0" w:right="0" w:hanging="0"/>
        <w:jc w:val="left"/>
        <w:rPr/>
      </w:pPr>
      <w:r>
        <w:rPr>
          <w:rFonts w:ascii="Calibri" w:hAnsi="Calibri"/>
        </w:rPr>
        <w:t>4.</w:t>
      </w:r>
      <w:r>
        <w:rPr/>
        <w:t xml:space="preserve"> </w:t>
      </w:r>
      <w:r>
        <w:rPr>
          <w:rFonts w:ascii="Calibri" w:hAnsi="Calibri"/>
        </w:rPr>
        <w:t>Jasnije i pozitivnije komunicirati o klimatskom pristupu</w:t>
      </w:r>
    </w:p>
    <w:p>
      <w:pPr>
        <w:pStyle w:val="P68B1DB1Normal104"/>
        <w:widowControl w:val="false"/>
        <w:spacing w:lineRule="auto" w:line="240" w:before="93" w:after="0"/>
        <w:ind w:left="0" w:right="0" w:hanging="0"/>
        <w:jc w:val="left"/>
        <w:rPr/>
      </w:pPr>
      <w:r>
        <w:rPr/>
        <w:t xml:space="preserve">Nizozemska smatra da EU mora imati vodeću ulogu u borbi protiv klimatskih promjena. Države članice moraju imati mogućnost donošenja vlastitih odluka, ali ipak moraju surađivati kako bi postigle iste ciljeve. Umjesto da upućuju jedni na druge, države članice EU-a trebale bi posvetiti više energije razmjeni znanja i pronalaženju zajedničkih rješenja. Sustav oporezivanja emisija CO2 može biti učinkovit, ali mora biti pravedan, praktičan i jasan. Nizozemska u pravilu smatra da bi EU trebao učinkovitije i pozitivnije komunicirati o klimatskim pitanjima. </w:t>
      </w:r>
    </w:p>
    <w:p>
      <w:pPr>
        <w:pStyle w:val="P68B1DB1Normal126"/>
        <w:widowControl w:val="false"/>
        <w:spacing w:lineRule="auto" w:line="240" w:before="108" w:after="0"/>
        <w:ind w:left="0" w:right="0" w:hanging="0"/>
        <w:jc w:val="left"/>
        <w:rPr>
          <w:rFonts w:ascii="Calibri" w:hAnsi="Calibri"/>
          <w:color w:val="0070C0"/>
          <w:sz w:val="24"/>
        </w:rPr>
      </w:pPr>
      <w:r>
        <w:rPr/>
        <w:t xml:space="preserve">Migracije </w:t>
      </w:r>
    </w:p>
    <w:p>
      <w:pPr>
        <w:pStyle w:val="P68B1DB1Normal119"/>
        <w:widowControl w:val="false"/>
        <w:spacing w:lineRule="auto" w:line="240" w:before="105" w:after="0"/>
        <w:ind w:left="0" w:right="0" w:hanging="0"/>
        <w:jc w:val="left"/>
        <w:rPr/>
      </w:pPr>
      <w:r>
        <w:rPr>
          <w:rFonts w:ascii="Calibri" w:hAnsi="Calibri"/>
        </w:rPr>
        <w:t>1.</w:t>
      </w:r>
      <w:r>
        <w:rPr/>
        <w:t xml:space="preserve"> </w:t>
      </w:r>
      <w:r>
        <w:rPr>
          <w:rFonts w:ascii="Calibri" w:hAnsi="Calibri"/>
        </w:rPr>
        <w:t>Spriječiti da rasprave o pitanju izbjeglica postanu manje nijansirane</w:t>
      </w:r>
    </w:p>
    <w:p>
      <w:pPr>
        <w:pStyle w:val="P68B1DB1Normal119"/>
        <w:widowControl w:val="false"/>
        <w:spacing w:lineRule="auto" w:line="240"/>
        <w:ind w:left="0" w:right="0" w:hanging="0"/>
        <w:jc w:val="left"/>
        <w:rPr/>
      </w:pPr>
      <w:r>
        <w:rPr>
          <w:rFonts w:ascii="Calibri" w:hAnsi="Calibri"/>
        </w:rPr>
        <w:t>2.</w:t>
      </w:r>
      <w:r>
        <w:rPr/>
        <w:t xml:space="preserve"> </w:t>
      </w:r>
      <w:r>
        <w:rPr>
          <w:rFonts w:ascii="Calibri" w:hAnsi="Calibri"/>
        </w:rPr>
        <w:t>Definiranje pravedne i praktične raspodjele izbjeglica</w:t>
      </w:r>
    </w:p>
    <w:p>
      <w:pPr>
        <w:pStyle w:val="P68B1DB1Normal119"/>
        <w:widowControl w:val="false"/>
        <w:spacing w:lineRule="auto" w:line="240"/>
        <w:ind w:left="0" w:right="0" w:hanging="0"/>
        <w:jc w:val="left"/>
        <w:rPr/>
      </w:pPr>
      <w:r>
        <w:rPr>
          <w:rFonts w:ascii="Calibri" w:hAnsi="Calibri"/>
        </w:rPr>
        <w:t>3.</w:t>
      </w:r>
      <w:r>
        <w:rPr/>
        <w:t xml:space="preserve"> </w:t>
      </w:r>
      <w:r>
        <w:rPr>
          <w:rFonts w:ascii="Calibri" w:hAnsi="Calibri"/>
        </w:rPr>
        <w:t>Iskorištavanje znanja i iskustva stečenog kako bi se pomoglo regijama iz kojih dolaze izbjeglice</w:t>
      </w:r>
    </w:p>
    <w:p>
      <w:pPr>
        <w:pStyle w:val="P68B1DB1Normal104"/>
        <w:widowControl w:val="false"/>
        <w:spacing w:lineRule="auto" w:line="240"/>
        <w:ind w:left="0" w:right="0" w:hanging="0"/>
        <w:jc w:val="left"/>
        <w:rPr/>
      </w:pPr>
      <w:r>
        <w:rPr/>
        <w:t xml:space="preserve">Nizozemci vjeruju da je važno razlikovati ljude koji bježe iz opasnih područja od ekonomskih izbjeglica. Rasprave o migracijama i integraciji često nemaju nijansu. Kako bi se postigla pravedna raspodjela izbjeglica u Europi, potrebno je unutar EU-a dogovoriti jasne kriterije kojima se uzimaju u obzir i države članice i osobe koje su pobjegle. Naposljetku, Nizozemska predlaže da EU pruži potporu regijama iz kojih izbjeglice dolaze ne samo financijski, već i znanjem. </w:t>
      </w:r>
    </w:p>
    <w:p>
      <w:pPr>
        <w:pStyle w:val="P68B1DB1Normal126"/>
        <w:widowControl w:val="false"/>
        <w:spacing w:lineRule="auto" w:line="240" w:before="108" w:after="0"/>
        <w:ind w:left="0" w:right="0" w:hanging="0"/>
        <w:jc w:val="left"/>
        <w:rPr>
          <w:rFonts w:ascii="Calibri" w:hAnsi="Calibri"/>
          <w:color w:val="0070C0"/>
          <w:sz w:val="24"/>
        </w:rPr>
      </w:pPr>
      <w:r>
        <w:rPr/>
        <w:t xml:space="preserve">Zdravlje </w:t>
      </w:r>
    </w:p>
    <w:p>
      <w:pPr>
        <w:pStyle w:val="P68B1DB1Normal119"/>
        <w:widowControl w:val="false"/>
        <w:spacing w:lineRule="auto" w:line="240" w:before="103" w:after="0"/>
        <w:ind w:left="0" w:right="0" w:hanging="0"/>
        <w:jc w:val="left"/>
        <w:rPr/>
      </w:pPr>
      <w:r>
        <w:rPr>
          <w:rFonts w:ascii="Calibri" w:hAnsi="Calibri"/>
        </w:rPr>
        <w:t>1.</w:t>
      </w:r>
      <w:r>
        <w:rPr/>
        <w:t xml:space="preserve"> </w:t>
      </w:r>
      <w:r>
        <w:rPr>
          <w:rFonts w:ascii="Calibri" w:hAnsi="Calibri"/>
        </w:rPr>
        <w:t>Imati bolju kontrolu nad upravljanjem pandemijom</w:t>
      </w:r>
    </w:p>
    <w:p>
      <w:pPr>
        <w:pStyle w:val="P68B1DB1Normal119"/>
        <w:widowControl w:val="false"/>
        <w:spacing w:lineRule="auto" w:line="240"/>
        <w:ind w:left="0" w:right="0" w:hanging="0"/>
        <w:jc w:val="left"/>
        <w:rPr/>
      </w:pPr>
      <w:r>
        <w:rPr>
          <w:rFonts w:ascii="Calibri" w:hAnsi="Calibri"/>
        </w:rPr>
        <w:t>2.</w:t>
      </w:r>
      <w:r>
        <w:rPr/>
        <w:t xml:space="preserve"> </w:t>
      </w:r>
      <w:r>
        <w:rPr>
          <w:rFonts w:ascii="Calibri" w:hAnsi="Calibri"/>
        </w:rPr>
        <w:t>Osigurati dostupnost cjenovno pristupačnih i pouzdanih lijekova za sve</w:t>
      </w:r>
    </w:p>
    <w:p>
      <w:pPr>
        <w:pStyle w:val="P68B1DB1Normal119"/>
        <w:widowControl w:val="false"/>
        <w:spacing w:lineRule="auto" w:line="240"/>
        <w:ind w:left="0" w:right="0" w:hanging="0"/>
        <w:jc w:val="left"/>
        <w:rPr/>
      </w:pPr>
      <w:r>
        <w:rPr>
          <w:rFonts w:ascii="Calibri" w:hAnsi="Calibri"/>
        </w:rPr>
        <w:t>3.</w:t>
      </w:r>
      <w:r>
        <w:rPr/>
        <w:t xml:space="preserve"> </w:t>
      </w:r>
      <w:r>
        <w:rPr>
          <w:rFonts w:ascii="Calibri" w:hAnsi="Calibri"/>
        </w:rPr>
        <w:t>Zemlje se moraju usredotočiti na poboljšanje svojih zdravstvenih sustava i učiniti ga pravednijim.</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Normal"/>
        <w:widowControl w:val="false"/>
        <w:spacing w:lineRule="auto" w:line="240"/>
        <w:ind w:left="0" w:right="0" w:hanging="0"/>
        <w:jc w:val="both"/>
        <w:rPr/>
      </w:pPr>
      <w:r>
        <w:rPr/>
        <w:t>Nizozemska</w:t>
      </w:r>
      <w:r>
        <w:rPr>
          <w:rFonts w:ascii="Calibri" w:hAnsi="Calibri"/>
          <w:color w:val="000000"/>
          <w:sz w:val="21"/>
        </w:rPr>
        <w:t xml:space="preserve">smatra da države članice EU-a moraju više surađivati u borbi protiv pandemije. Način na koji se rješava kriza uzrokovana koronavirusom ponekad stvara zbrku. Pravila bi trebala biti dosljednija jedni s drugima, a da ne moraju biti svugdje ista. Kad je riječ o cjepivima ili lijekovima, Nizozemska želi da cijene ostanu što je moguće niže, ali se žele osloniti na kvalitetnu i odgovornu proizvodnju. Osim toga, vjerujemo da je važno da velike tvrtke ne zloupotrebljavaju svoju moć i vjerujemo da zdravstvena zaštita mora i dalje biti na nacionalnoj razini. </w:t>
      </w:r>
      <w:r>
        <w:br w:type="page"/>
      </w:r>
    </w:p>
    <w:p>
      <w:pPr>
        <w:pStyle w:val="P68B1DB1Normal126"/>
        <w:widowControl w:val="false"/>
        <w:spacing w:lineRule="auto" w:line="240"/>
        <w:ind w:left="0" w:right="0" w:hanging="0"/>
        <w:jc w:val="left"/>
        <w:rPr>
          <w:rFonts w:ascii="Calibri" w:hAnsi="Calibri"/>
          <w:color w:val="0070C0"/>
          <w:sz w:val="24"/>
        </w:rPr>
      </w:pPr>
      <w:r>
        <w:rPr/>
        <w:t xml:space="preserve">Uloga EU-a u svijetu </w:t>
      </w:r>
    </w:p>
    <w:p>
      <w:pPr>
        <w:pStyle w:val="P68B1DB1Normal119"/>
        <w:widowControl w:val="false"/>
        <w:spacing w:lineRule="auto" w:line="240" w:before="112" w:after="0"/>
        <w:ind w:left="0" w:right="0" w:hanging="0"/>
        <w:jc w:val="left"/>
        <w:rPr/>
      </w:pPr>
      <w:r>
        <w:rPr>
          <w:rFonts w:ascii="Calibri" w:hAnsi="Calibri"/>
        </w:rPr>
        <w:t>1.</w:t>
      </w:r>
      <w:r>
        <w:rPr/>
        <w:t xml:space="preserve"> </w:t>
      </w:r>
      <w:r>
        <w:rPr>
          <w:rFonts w:ascii="Calibri" w:hAnsi="Calibri"/>
        </w:rPr>
        <w:t>Iskorištavanje snage EU-a u ključnim međunarodnim temama uglavnom</w:t>
      </w:r>
    </w:p>
    <w:p>
      <w:pPr>
        <w:pStyle w:val="P68B1DB1Normal119"/>
        <w:widowControl w:val="false"/>
        <w:spacing w:lineRule="auto" w:line="240" w:before="112" w:after="0"/>
        <w:ind w:left="0" w:right="0" w:hanging="0"/>
        <w:jc w:val="left"/>
        <w:rPr/>
      </w:pPr>
      <w:r>
        <w:rPr>
          <w:rFonts w:ascii="Calibri" w:hAnsi="Calibri"/>
        </w:rPr>
        <w:t>2.</w:t>
      </w:r>
      <w:r>
        <w:rPr/>
        <w:t xml:space="preserve"> </w:t>
      </w:r>
      <w:r>
        <w:rPr>
          <w:rFonts w:ascii="Calibri" w:hAnsi="Calibri"/>
        </w:rPr>
        <w:t>Unutar i izvan Europe birajte suradnju, a ne borbu</w:t>
      </w:r>
    </w:p>
    <w:p>
      <w:pPr>
        <w:pStyle w:val="P68B1DB1Normal119"/>
        <w:widowControl w:val="false"/>
        <w:spacing w:lineRule="auto" w:line="240" w:before="112" w:after="0"/>
        <w:ind w:left="0" w:right="0" w:hanging="0"/>
        <w:jc w:val="left"/>
        <w:rPr/>
      </w:pPr>
      <w:r>
        <w:rPr>
          <w:rFonts w:ascii="Calibri" w:hAnsi="Calibri"/>
        </w:rPr>
        <w:t>3.</w:t>
      </w:r>
      <w:r>
        <w:rPr/>
        <w:t xml:space="preserve"> </w:t>
      </w:r>
      <w:r>
        <w:rPr>
          <w:rFonts w:ascii="Calibri" w:hAnsi="Calibri"/>
        </w:rPr>
        <w:t>Pružanje, na promišljen način, pomoći u slučaju sukoba</w:t>
      </w:r>
    </w:p>
    <w:p>
      <w:pPr>
        <w:pStyle w:val="P68B1DB1Normal104"/>
        <w:widowControl w:val="false"/>
        <w:spacing w:lineRule="auto" w:line="240" w:before="84" w:after="0"/>
        <w:ind w:left="0" w:right="0" w:hanging="0"/>
        <w:jc w:val="left"/>
        <w:rPr/>
      </w:pPr>
      <w:r>
        <w:rPr/>
        <w:t xml:space="preserve">Nizozemska smatra da bi se europska suradnja trebala prvenstveno usredotočiti na glavne zajedničke interese. Suradnja EU-a s trećim zemljama također mora biti dio tog pristupa. Osim klimatskih promjena i pandemije koronavirusa, one uključuju, na primjer, međunarodnu sigurnost i zaštitu europskog gospodarstva od nepoštenih trgovačkih praksi. U Europi i izvan nje, Nizozemci preferiraju suradnju. Što se tiče pristupa sukobima, uvijek je bolje riješiti ih bez pribjegavanja nasilju. </w:t>
      </w:r>
    </w:p>
    <w:p>
      <w:pPr>
        <w:pStyle w:val="P68B1DB1Normal125"/>
        <w:widowControl w:val="false"/>
        <w:spacing w:lineRule="auto" w:line="240" w:before="96" w:after="0"/>
        <w:ind w:left="0" w:right="0" w:hanging="0"/>
        <w:jc w:val="left"/>
        <w:rPr>
          <w:rFonts w:ascii="Calibri" w:hAnsi="Calibri"/>
          <w:b/>
          <w:b/>
          <w:color w:val="0070C0"/>
          <w:sz w:val="32"/>
        </w:rPr>
      </w:pPr>
      <w:r>
        <w:rPr/>
        <w:t xml:space="preserve">Uvod </w:t>
      </w:r>
    </w:p>
    <w:p>
      <w:pPr>
        <w:pStyle w:val="P68B1DB1Normal104"/>
        <w:widowControl w:val="false"/>
        <w:spacing w:lineRule="auto" w:line="240" w:before="183" w:after="0"/>
        <w:ind w:left="0" w:right="0" w:hanging="0"/>
        <w:jc w:val="left"/>
        <w:rPr/>
      </w:pPr>
      <w:r>
        <w:rPr/>
        <w:t xml:space="preserve">Dijalog s građanima „Vizija Europe”, održan od 1. rujna do sredine studenoga, omogućio je svim Nizozemcima da izraze svoja mišljenja i ideje o budućnosti Europe. Nizozemska Europskoj uniji (EU) predstavlja preporuke na kojima se dijalog temelji, kao i iznesene ideje i stajališta. U ovom izvješću Sud se bavi posljednje četiri teme (od ukupno devet utvrđenih tema). Prvih pet tema već je razmotreno u izvješću objavljenom 3. prosinca 2021. </w:t>
      </w:r>
    </w:p>
    <w:p>
      <w:pPr>
        <w:pStyle w:val="P68B1DB1Normal126"/>
        <w:widowControl w:val="false"/>
        <w:spacing w:lineRule="auto" w:line="240" w:before="79" w:after="0"/>
        <w:ind w:left="0" w:right="0" w:hanging="0"/>
        <w:jc w:val="left"/>
        <w:rPr>
          <w:rFonts w:ascii="Calibri" w:hAnsi="Calibri"/>
          <w:color w:val="0070C0"/>
          <w:sz w:val="24"/>
        </w:rPr>
      </w:pPr>
      <w:r>
        <w:rPr/>
        <w:t xml:space="preserve">O viziji Europe </w:t>
      </w:r>
    </w:p>
    <w:p>
      <w:pPr>
        <w:pStyle w:val="P68B1DB1Normal104"/>
        <w:widowControl w:val="false"/>
        <w:spacing w:lineRule="auto" w:line="240" w:before="78" w:after="0"/>
        <w:ind w:left="0" w:right="0" w:hanging="0"/>
        <w:jc w:val="left"/>
        <w:rPr/>
      </w:pPr>
      <w:r>
        <w:rPr/>
        <w:t xml:space="preserve">Europska unija želi da njezini građani dijele mišljenje o Europi. Zato EU organizira Konferenciju o budućnosti Europe. Mišljenja i ideje građana diljem Europske unije potom će se uključiti u planove za budućnost Europe. Nizozemska je u sklopu konferencije organizirala dijalog s građanima „Vizija Europe” na nacionalnoj razini. </w:t>
      </w:r>
    </w:p>
    <w:p>
      <w:pPr>
        <w:pStyle w:val="P68B1DB1Normal104"/>
        <w:widowControl w:val="false"/>
        <w:spacing w:lineRule="auto" w:line="240"/>
        <w:ind w:left="0" w:right="0" w:hanging="0"/>
        <w:jc w:val="left"/>
        <w:rPr/>
      </w:pPr>
      <w:r>
        <w:rPr/>
        <w:t xml:space="preserve">Dijalog o viziji Europe započeo je 1. rujna internetskim prikupljanjem mišljenja i ideja anketom reprezentativnog panela. Kako bi se produbili prvi rezultati panel ankete i dale konkretne preporuke, Sud je organizirao tematske dijaloge na internetu. Svatko tko želi sudjelovati može sudjelovati. Putovali smo i po zemlji kako bismo održali razgovore s mladima i drugim skupinama (teško ih je doprijeti).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1"/>
        <w:widowControl w:val="false"/>
        <w:spacing w:lineRule="auto" w:line="240"/>
        <w:ind w:left="0" w:right="0" w:hanging="0"/>
        <w:jc w:val="left"/>
        <w:rPr/>
      </w:pPr>
      <w:r>
        <w:rPr/>
        <w:t xml:space="preserve">Od školske djece, učenika strukovnih srednjih škola i učenika do ministra, poljoprivrednika i migranata </w:t>
      </w:r>
    </w:p>
    <w:p>
      <w:pPr>
        <w:pStyle w:val="P68B1DB1Normal104"/>
        <w:widowControl w:val="false"/>
        <w:spacing w:lineRule="auto" w:line="240" w:before="91" w:after="0"/>
        <w:ind w:left="0" w:right="0" w:hanging="0"/>
        <w:jc w:val="both"/>
        <w:rPr/>
      </w:pPr>
      <w:r>
        <w:rPr/>
        <w:t xml:space="preserve">U listopadu i studenome održano je ukupno osam tematskih dijaloga na internetu, u prosjeku 30 sudionika po sastanku. Organizirali smo i tematski dijalog na internetu i sedam tematskih dijaloga na licu mjesta s različitim skupinama nizozemskih građana. Razgovarali smo s turskom zajednicom u Schiedamu i pozvani su volonteri Zaklade Piëzo u Zoetermeer. Posljednji put ministar vanjskih poslova Ben Knapen također je bio nazočan na kraju dijaloga. Ministar je sa sudionicima razgovarao o dijalogu i izraženim stajalištima o budućnosti Europe. Na kraju smo organizirali šest sastanaka s različitim skupinama mladih. Na primjer, bili smo dobrodošli u srednju školu u Helmondu, strukovnu srednju školu u Doetinchemu i Sveučilište u Leidenu. </w:t>
      </w:r>
    </w:p>
    <w:p>
      <w:pPr>
        <w:pStyle w:val="P68B1DB1Normal113"/>
        <w:widowControl w:val="false"/>
        <w:spacing w:lineRule="auto" w:line="240" w:before="160" w:after="0"/>
        <w:ind w:left="0" w:right="0" w:hanging="0"/>
        <w:jc w:val="center"/>
        <w:rPr/>
      </w:pPr>
      <w:r>
        <w:rPr/>
        <w:t xml:space="preserve">To je budućnost naše djece. Zato mislim da je važno sudjelovati. </w:t>
      </w:r>
    </w:p>
    <w:p>
      <w:pPr>
        <w:pStyle w:val="P68B1DB1Normal104"/>
        <w:widowControl w:val="false"/>
        <w:spacing w:lineRule="auto" w:line="240" w:before="127" w:after="0"/>
        <w:ind w:left="0" w:right="0" w:hanging="0"/>
        <w:jc w:val="left"/>
        <w:rPr>
          <w:rFonts w:ascii="Calibri" w:hAnsi="Calibri"/>
          <w:color w:val="000000"/>
          <w:sz w:val="21"/>
        </w:rPr>
      </w:pPr>
      <w:r>
        <w:rPr/>
        <w:t xml:space="preserve">Sudionik u tematskom dijalogu </w:t>
      </w:r>
    </w:p>
    <w:p>
      <w:pPr>
        <w:pStyle w:val="Normal"/>
        <w:widowControl w:val="false"/>
        <w:spacing w:lineRule="auto" w:line="240" w:before="92" w:after="0"/>
        <w:ind w:left="0" w:right="0" w:hanging="0"/>
        <w:jc w:val="left"/>
        <w:rPr>
          <w:rFonts w:ascii="Times New Roman" w:hAnsi="Times New Roman"/>
          <w:color w:val="000000"/>
          <w:sz w:val="24"/>
        </w:rPr>
      </w:pPr>
      <w:r>
        <w:rPr>
          <w:rFonts w:ascii="Times New Roman" w:hAnsi="Times New Roman"/>
          <w:color w:val="000000"/>
          <w:sz w:val="24"/>
        </w:rPr>
      </w:r>
      <w:r>
        <w:br w:type="page"/>
      </w:r>
    </w:p>
    <w:p>
      <w:pPr>
        <w:pStyle w:val="P68B1DB1Normal126"/>
        <w:widowControl w:val="false"/>
        <w:spacing w:lineRule="auto" w:line="240"/>
        <w:ind w:left="0" w:right="0" w:hanging="0"/>
        <w:jc w:val="left"/>
        <w:rPr>
          <w:rFonts w:ascii="Calibri" w:hAnsi="Calibri"/>
          <w:color w:val="0070C0"/>
          <w:sz w:val="24"/>
        </w:rPr>
      </w:pPr>
      <w:r>
        <w:rPr/>
        <w:t xml:space="preserve">O ovom izvješću </w:t>
      </w:r>
    </w:p>
    <w:p>
      <w:pPr>
        <w:pStyle w:val="P68B1DB1Normal104"/>
        <w:widowControl w:val="false"/>
        <w:spacing w:lineRule="auto" w:line="240" w:before="88" w:after="0"/>
        <w:ind w:left="0" w:right="0" w:hanging="0"/>
        <w:jc w:val="left"/>
        <w:rPr/>
      </w:pPr>
      <w:r>
        <w:rPr/>
        <w:t xml:space="preserve">Na temelju ideja i mišljenja koje smo prikupili posljednjih mjeseci sastavili smo niz preporuka koje nizozemski građani daju Europskoj uniji. Tijekom rasprava među nizozemskim građanima održane su zanimljive razmjene mišljenja te su napravljene inovativne ideje i prijedlozi. Neke od tih ideja i prijedloga uključene su u ovo izvješće. Stoga je sadržaj ovog izvješća glas Nizozemske: naša vizija Europe. </w:t>
      </w:r>
    </w:p>
    <w:p>
      <w:pPr>
        <w:pStyle w:val="P68B1DB1Normal104"/>
        <w:widowControl w:val="false"/>
        <w:spacing w:lineRule="auto" w:line="240" w:before="1" w:after="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Kao što postoje razlike u stajalištima između zemalja i europskih građana, ni u Nizozemskoj se ne slažemo uvijek jedni s drugima. Ove razlike u stavovima, upravo, su vrijedne: to je važno obilježje demokracije. Preporuke se temelje na najčešće izraženim idejama i mišljenjima sudionika ankete Vision of Europe. Također opisujemo zabrinutosti, ideje i osjećaje koji mogu biti manje rašireni, ali koji su nam privukli pozornost tijekom dijaloga i online ankete. </w:t>
      </w:r>
    </w:p>
    <w:p>
      <w:pPr>
        <w:pStyle w:val="P68B1DB1Normal113"/>
        <w:widowControl w:val="false"/>
        <w:spacing w:lineRule="auto" w:line="240" w:before="181" w:after="0"/>
        <w:ind w:left="0" w:right="0" w:hanging="0"/>
        <w:jc w:val="center"/>
        <w:rPr/>
      </w:pPr>
      <w:r>
        <w:rPr/>
        <w:t xml:space="preserve">Uživao sam u tome što sam mogao iznijeti svoje mišljenje o temama koje smatram važnima. I imao sam osjećaj slušanja. </w:t>
      </w:r>
    </w:p>
    <w:p>
      <w:pPr>
        <w:pStyle w:val="P68B1DB1Normal104"/>
        <w:widowControl w:val="false"/>
        <w:spacing w:lineRule="auto" w:line="240" w:before="300" w:after="0"/>
        <w:ind w:left="0" w:right="0" w:hanging="0"/>
        <w:jc w:val="left"/>
        <w:rPr>
          <w:rFonts w:ascii="Calibri" w:hAnsi="Calibri"/>
          <w:color w:val="000000"/>
          <w:sz w:val="21"/>
        </w:rPr>
      </w:pPr>
      <w:r>
        <w:rPr/>
        <w:t xml:space="preserve">Sudionik u tematskom dijalogu </w:t>
      </w:r>
    </w:p>
    <w:p>
      <w:pPr>
        <w:pStyle w:val="P68B1DB1Normal104"/>
        <w:widowControl w:val="false"/>
        <w:spacing w:lineRule="auto" w:line="240"/>
        <w:ind w:left="0" w:right="0" w:hanging="0"/>
        <w:jc w:val="left"/>
        <w:rPr/>
      </w:pPr>
      <w:r>
        <w:rPr/>
        <w:t xml:space="preserve">Za Konferenciju o budućnosti Europe utvrđeno je devet tema. Te su teme također u središtu dijaloga o viziji Europe s nizozemskim građanima. Sud je u listopadu objavio privremeno izvješće s početnim pregledom rezultata i komplementarnim pitanjima na temelju ankete panela. Početkom prosinca objavljeno je novo izvješće u kojem su iznesena mišljenja, ideje i preporuke o prvih pet tema. U ovom se izvješću obrađuju preostale četiri teme.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1"/>
        <w:widowControl w:val="false"/>
        <w:spacing w:lineRule="auto" w:line="240"/>
        <w:ind w:left="0" w:right="0" w:hanging="0"/>
        <w:jc w:val="left"/>
        <w:rPr>
          <w:rFonts w:ascii="Calibri" w:hAnsi="Calibri"/>
          <w:b/>
          <w:b/>
          <w:color w:val="000000"/>
          <w:sz w:val="22"/>
        </w:rPr>
      </w:pPr>
      <w:r>
        <w:rPr/>
        <w:t xml:space="preserve">Prethodno izvješće – prosinac 2021. </w:t>
      </w:r>
    </w:p>
    <w:p>
      <w:pPr>
        <w:pStyle w:val="P68B1DB1Normal104"/>
        <w:widowControl w:val="false"/>
        <w:spacing w:lineRule="auto" w:line="240"/>
        <w:ind w:left="0" w:right="0" w:hanging="0"/>
        <w:jc w:val="left"/>
        <w:rPr>
          <w:rFonts w:ascii="Calibri" w:hAnsi="Calibri"/>
          <w:color w:val="000000"/>
          <w:sz w:val="21"/>
        </w:rPr>
      </w:pPr>
      <w:r>
        <w:rPr/>
        <w:t xml:space="preserve">Vrijednosti i prava, vladavina prava i sigurnost </w:t>
      </w:r>
    </w:p>
    <w:p>
      <w:pPr>
        <w:pStyle w:val="P68B1DB1Normal104"/>
        <w:widowControl w:val="false"/>
        <w:spacing w:lineRule="auto" w:line="240"/>
        <w:ind w:left="0" w:right="0" w:hanging="0"/>
        <w:jc w:val="left"/>
        <w:rPr/>
      </w:pPr>
      <w:r>
        <w:rPr/>
        <w:t xml:space="preserve">Snažnije gospodarstvo, socijalna pravda i zapošljavanje Europska demokracija </w:t>
      </w:r>
    </w:p>
    <w:p>
      <w:pPr>
        <w:pStyle w:val="P68B1DB1Normal104"/>
        <w:widowControl w:val="false"/>
        <w:spacing w:lineRule="auto" w:line="240"/>
        <w:ind w:left="0" w:right="0" w:hanging="0"/>
        <w:jc w:val="left"/>
        <w:rPr>
          <w:rFonts w:ascii="Calibri" w:hAnsi="Calibri"/>
          <w:color w:val="000000"/>
          <w:sz w:val="21"/>
        </w:rPr>
      </w:pPr>
      <w:r>
        <w:rPr/>
        <w:t xml:space="preserve">Digitalna transformacija </w:t>
      </w:r>
    </w:p>
    <w:p>
      <w:pPr>
        <w:pStyle w:val="P68B1DB1Normal104"/>
        <w:widowControl w:val="false"/>
        <w:spacing w:lineRule="auto" w:line="240"/>
        <w:ind w:left="0" w:right="0" w:hanging="0"/>
        <w:jc w:val="left"/>
        <w:rPr>
          <w:rFonts w:ascii="Calibri" w:hAnsi="Calibri"/>
          <w:color w:val="000000"/>
          <w:sz w:val="21"/>
        </w:rPr>
      </w:pPr>
      <w:r>
        <w:rPr/>
        <w:t xml:space="preserve">Obrazovanje, kultura, mladi i sport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1"/>
        <w:widowControl w:val="false"/>
        <w:spacing w:lineRule="auto" w:line="240"/>
        <w:ind w:left="0" w:right="0" w:hanging="0"/>
        <w:jc w:val="left"/>
        <w:rPr/>
      </w:pPr>
      <w:r>
        <w:rPr/>
        <w:t>Tekuće izvješće – siječanj 2022.</w:t>
      </w:r>
    </w:p>
    <w:p>
      <w:pPr>
        <w:pStyle w:val="P68B1DB1Normal104"/>
        <w:widowControl w:val="false"/>
        <w:spacing w:lineRule="auto" w:line="240"/>
        <w:ind w:left="0" w:right="0" w:hanging="0"/>
        <w:jc w:val="left"/>
        <w:rPr/>
      </w:pPr>
      <w:r>
        <w:rPr/>
        <w:t xml:space="preserve">Klimatske promjene i okoliš </w:t>
      </w:r>
    </w:p>
    <w:p>
      <w:pPr>
        <w:pStyle w:val="P68B1DB1Normal104"/>
        <w:widowControl w:val="false"/>
        <w:spacing w:lineRule="auto" w:line="240"/>
        <w:ind w:left="0" w:right="0" w:hanging="0"/>
        <w:jc w:val="left"/>
        <w:rPr>
          <w:rFonts w:ascii="Calibri" w:hAnsi="Calibri"/>
          <w:color w:val="000000"/>
          <w:sz w:val="21"/>
        </w:rPr>
      </w:pPr>
      <w:r>
        <w:rPr/>
        <w:t xml:space="preserve">Migracije </w:t>
      </w:r>
    </w:p>
    <w:p>
      <w:pPr>
        <w:pStyle w:val="P68B1DB1Normal104"/>
        <w:widowControl w:val="false"/>
        <w:spacing w:lineRule="auto" w:line="240"/>
        <w:ind w:left="0" w:right="0" w:hanging="0"/>
        <w:jc w:val="left"/>
        <w:rPr>
          <w:rFonts w:ascii="Calibri" w:hAnsi="Calibri"/>
          <w:color w:val="000000"/>
          <w:sz w:val="21"/>
        </w:rPr>
      </w:pPr>
      <w:r>
        <w:rPr/>
        <w:t xml:space="preserve">Zdravlje </w:t>
      </w:r>
    </w:p>
    <w:p>
      <w:pPr>
        <w:pStyle w:val="P68B1DB1Normal104"/>
        <w:widowControl w:val="false"/>
        <w:spacing w:lineRule="auto" w:line="240"/>
        <w:ind w:left="0" w:right="0" w:hanging="0"/>
        <w:jc w:val="left"/>
        <w:rPr>
          <w:rFonts w:ascii="Calibri" w:hAnsi="Calibri"/>
          <w:color w:val="000000"/>
          <w:sz w:val="21"/>
        </w:rPr>
      </w:pPr>
      <w:r>
        <w:rPr/>
        <w:t xml:space="preserve">EU u svijetu </w:t>
      </w:r>
    </w:p>
    <w:p>
      <w:pPr>
        <w:pStyle w:val="P68B1DB1Normal126"/>
        <w:widowControl w:val="false"/>
        <w:spacing w:lineRule="auto" w:line="240" w:before="105" w:after="0"/>
        <w:ind w:left="0" w:right="0" w:hanging="0"/>
        <w:jc w:val="left"/>
        <w:rPr>
          <w:rFonts w:ascii="Calibri" w:hAnsi="Calibri"/>
          <w:color w:val="0070C0"/>
          <w:sz w:val="24"/>
        </w:rPr>
      </w:pPr>
      <w:r>
        <w:rPr/>
        <w:t xml:space="preserve">Sljedeći koraci </w:t>
      </w:r>
    </w:p>
    <w:p>
      <w:pPr>
        <w:pStyle w:val="Normal"/>
        <w:widowControl w:val="false"/>
        <w:spacing w:lineRule="auto" w:line="240" w:before="107" w:after="0"/>
        <w:ind w:left="0" w:right="0" w:hanging="0"/>
        <w:jc w:val="left"/>
        <w:rPr/>
      </w:pPr>
      <w:r>
        <w:rPr>
          <w:rFonts w:ascii="Calibri" w:hAnsi="Calibri"/>
          <w:color w:val="000000"/>
          <w:sz w:val="21"/>
        </w:rPr>
        <w:t xml:space="preserve">Konferencija o budućnosti Europe objedinjuje ideje, mišljenja i preporuke svih građana EU-a. Sastanci će biti posvećeni ne samo rezultatima svih dijaloga s građanima na nacionalnoj razini, nego i rezultatima drugih inicijativa pokrenutih u kontekstu konferencije. Na primjer, tu su i paneli europskih građana, a svi građani EU-a (uključujući nizozemske građane) mogu pristupiti europskoj digitalnoj platformi. </w:t>
      </w:r>
      <w:r>
        <w:br w:type="page"/>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P68B1DB1Normal113"/>
        <w:widowControl w:val="false"/>
        <w:spacing w:lineRule="auto" w:line="240"/>
        <w:ind w:left="0" w:right="0" w:hanging="0"/>
        <w:jc w:val="center"/>
        <w:rPr/>
      </w:pPr>
      <w:r>
        <w:rPr/>
        <w:t>„</w:t>
      </w:r>
      <w:r>
        <w:rPr/>
        <w:t xml:space="preserve">Nadam se da će čelnici EU-a uzeti u obzir moje mišljenje. I to će im pomoći da donesu prave odluke. </w:t>
      </w:r>
    </w:p>
    <w:p>
      <w:pPr>
        <w:pStyle w:val="P68B1DB1Normal104"/>
        <w:widowControl w:val="false"/>
        <w:spacing w:lineRule="auto" w:line="240" w:before="300" w:after="0"/>
        <w:ind w:left="0" w:right="0" w:hanging="0"/>
        <w:jc w:val="left"/>
        <w:rPr>
          <w:rFonts w:ascii="Calibri" w:hAnsi="Calibri"/>
          <w:color w:val="000000"/>
          <w:sz w:val="21"/>
        </w:rPr>
      </w:pPr>
      <w:r>
        <w:rPr/>
        <w:t xml:space="preserve">Sudionik u tematskom dijalogu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Konferencija će završiti u proljeće 2022. Nizozemska će zatim sastaviti završno izvješće o dijalogu s građanima: kompilacija ovog izvješća i prethodnog izvješća, uključujući preporuke za svih devet tema. Nakon konferencije, predsjedniku Konferencije dat će se preporuke: predsjednici Europskog parlamenta, Vijeća ministara i Europske komisije. Obvezali su se istražiti načine i načine provedbe preporuka. Za nizozemsku vladu rezultati su također vrijedan doprinos razvoju europskih politika Nizozemske.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ind w:left="0" w:right="0" w:hanging="0"/>
        <w:jc w:val="left"/>
        <w:rPr>
          <w:rFonts w:ascii="Calibri" w:hAnsi="Calibri"/>
          <w:color w:val="000000"/>
          <w:sz w:val="21"/>
        </w:rPr>
      </w:pPr>
      <w:r>
        <w:rPr>
          <w:rFonts w:ascii="Calibri" w:hAnsi="Calibri"/>
          <w:color w:val="000000"/>
          <w:sz w:val="21"/>
        </w:rPr>
        <w:t xml:space="preserve">Ukratko, postupak do proljeća 2022. organizirat će se na sljedeći način: </w:t>
      </w:r>
      <w:r>
        <w:br w:type="page"/>
      </w:r>
    </w:p>
    <w:p>
      <w:pPr>
        <w:pStyle w:val="P68B1DB1Normal127"/>
        <w:widowControl w:val="false"/>
        <w:spacing w:lineRule="auto" w:line="240" w:before="0" w:after="0"/>
        <w:ind w:left="0" w:right="0" w:hanging="0"/>
        <w:jc w:val="left"/>
        <w:rPr/>
      </w:pPr>
      <w:r>
        <w:rPr>
          <w:color w:val="0070C0"/>
          <w:sz w:val="24"/>
        </w:rPr>
        <w:t>Kronologija</w:t>
      </w:r>
      <w:r>
        <w:rPr>
          <w:color w:val="365F91"/>
          <w:sz w:val="28"/>
        </w:rPr>
        <w:t xml:space="preserve"> </w:t>
      </w:r>
    </w:p>
    <w:p>
      <w:pPr>
        <w:pStyle w:val="P68B1DB1Normal35"/>
        <w:widowControl w:val="false"/>
        <w:spacing w:lineRule="auto" w:line="240" w:before="0" w:after="0"/>
        <w:ind w:left="24" w:right="0" w:hanging="0"/>
        <w:jc w:val="left"/>
        <w:rPr/>
      </w:pPr>
      <w:r>
        <w:rPr>
          <w:rFonts w:ascii="Times New Roman" w:hAnsi="Times New Roman"/>
          <w:sz w:val="24"/>
        </w:rPr>
        <w:t xml:space="preserve"> </w:t>
      </w:r>
      <w:r>
        <w:rPr>
          <w:rFonts w:ascii="Calibri" w:hAnsi="Calibri"/>
          <w:position w:val="2"/>
          <w:sz w:val="21"/>
        </w:rPr>
        <w:t>Vizija Europe</w:t>
      </w:r>
    </w:p>
    <w:tbl>
      <w:tblPr>
        <w:tblW w:w="9645"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146"/>
        <w:gridCol w:w="355"/>
        <w:gridCol w:w="416"/>
        <w:gridCol w:w="915"/>
        <w:gridCol w:w="41"/>
        <w:gridCol w:w="512"/>
        <w:gridCol w:w="292"/>
        <w:gridCol w:w="443"/>
        <w:gridCol w:w="657"/>
        <w:gridCol w:w="854"/>
        <w:gridCol w:w="1"/>
        <w:gridCol w:w="706"/>
        <w:gridCol w:w="1"/>
        <w:gridCol w:w="853"/>
        <w:gridCol w:w="1"/>
        <w:gridCol w:w="852"/>
        <w:gridCol w:w="913"/>
        <w:gridCol w:w="340"/>
        <w:gridCol w:w="1346"/>
      </w:tblGrid>
      <w:tr>
        <w:trPr>
          <w:trHeight w:val="1151"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1. rujna</w:t>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12. listopada</w:t>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22. i 23. listopada</w:t>
            </w:r>
          </w:p>
        </w:tc>
        <w:tc>
          <w:tcPr>
            <w:tcW w:w="5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15. studenog</w:t>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3. prosinca</w:t>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14. siječnja</w:t>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21./22. siječnja</w:t>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Veljača</w:t>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18./19. veljače</w:t>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11. – 12. ožujka</w:t>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22./24. travnja</w:t>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r>
      <w:tr>
        <w:trPr>
          <w:trHeight w:val="521" w:hRule="atLeast"/>
        </w:trPr>
        <w:tc>
          <w:tcPr>
            <w:tcW w:w="2385" w:type="dxa"/>
            <w:gridSpan w:val="6"/>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Prikupljanje ideja na internetu</w:t>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r>
      <w:tr>
        <w:trPr>
          <w:trHeight w:val="506"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884" w:type="dxa"/>
            <w:gridSpan w:val="4"/>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Tematski dijalozi</w:t>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r>
      <w:tr>
        <w:trPr>
          <w:trHeight w:val="1902"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Međurezultati (srednje izvješće)</w:t>
            </w:r>
          </w:p>
        </w:tc>
        <w:tc>
          <w:tcPr>
            <w:tcW w:w="5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Privremeno izvješće o „ekonomiji” i „demokraciji”</w:t>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Privremeno izvješće o klimi i EU-u u svijetu</w:t>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Završno izvješće „Naša vizija za Europu”</w:t>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r>
      <w:tr>
        <w:trPr>
          <w:trHeight w:val="506"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ŠTO JE TO? </w:t>
            </w:r>
          </w:p>
        </w:tc>
        <w:tc>
          <w:tcPr>
            <w:tcW w:w="5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ŠTO JE TO? </w:t>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ŠTO JE TO? </w:t>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ŠTO JE TO? </w:t>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ŠTO JE TO? </w:t>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r>
      <w:tr>
        <w:trPr>
          <w:trHeight w:val="1879"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Sastanak Konferencije</w:t>
            </w:r>
          </w:p>
        </w:tc>
        <w:tc>
          <w:tcPr>
            <w:tcW w:w="5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Sastanak Konferencije</w:t>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 xml:space="preserve">Sastanak sa </w:t>
              <w:br/>
              <w:t>konferencija</w:t>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(možda) sastanak konferencije</w:t>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Završni događaj konferencije</w:t>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 </w:t>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 xml:space="preserve">Preporuke za predsjednike </w:t>
            </w:r>
          </w:p>
          <w:p>
            <w:pPr>
              <w:pStyle w:val="P68B1DB1Contenudetableau128"/>
              <w:spacing w:before="57" w:after="57"/>
              <w:jc w:val="left"/>
              <w:rPr>
                <w:color w:val="000000"/>
                <w:sz w:val="14"/>
              </w:rPr>
            </w:pPr>
            <w:r>
              <w:rPr/>
              <w:t xml:space="preserve">• </w:t>
            </w:r>
            <w:r>
              <w:rPr/>
              <w:t xml:space="preserve">Europski parlament </w:t>
              <w:br/>
              <w:t xml:space="preserve">• Europska komisija </w:t>
              <w:br/>
              <w:t>• Vijeće ministara</w:t>
            </w:r>
          </w:p>
        </w:tc>
      </w:tr>
      <w:tr>
        <w:trPr>
          <w:trHeight w:val="491"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5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 </w:t>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 </w:t>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 </w:t>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r>
      <w:tr>
        <w:trPr>
          <w:trHeight w:val="506" w:hRule="atLeast"/>
        </w:trPr>
        <w:tc>
          <w:tcPr>
            <w:tcW w:w="1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35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0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6967" w:type="dxa"/>
            <w:gridSpan w:val="1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Više mišljenja i ideja o budućnosti Europe:</w:t>
            </w:r>
          </w:p>
        </w:tc>
      </w:tr>
      <w:tr>
        <w:trPr>
          <w:trHeight w:val="941" w:hRule="atLeast"/>
        </w:trPr>
        <w:tc>
          <w:tcPr>
            <w:tcW w:w="91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Dijalozi s građanima</w:t>
            </w:r>
          </w:p>
        </w:tc>
        <w:tc>
          <w:tcPr>
            <w:tcW w:w="91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5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512"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Europski paneli građana i građanki</w:t>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3451" w:type="dxa"/>
            <w:gridSpan w:val="4"/>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Europska digitalna platforma (također za nizozemske građane)</w:t>
            </w:r>
          </w:p>
        </w:tc>
      </w:tr>
    </w:tbl>
    <w:p>
      <w:pPr>
        <w:pStyle w:val="Normal"/>
        <w:widowControl w:val="false"/>
        <w:spacing w:lineRule="auto" w:line="240"/>
        <w:ind w:left="0" w:right="0" w:hanging="0"/>
        <w:jc w:val="left"/>
        <w:rPr>
          <w:rFonts w:ascii="Times New Roman" w:hAnsi="Times New Roman"/>
          <w:color w:val="000000"/>
          <w:sz w:val="24"/>
        </w:rPr>
      </w:pPr>
      <w:r>
        <w:rPr>
          <w:rFonts w:ascii="Times New Roman" w:hAnsi="Times New Roman"/>
          <w:color w:val="000000"/>
          <w:sz w:val="24"/>
        </w:rPr>
      </w:r>
    </w:p>
    <w:p>
      <w:pPr>
        <w:pStyle w:val="P68B1DB1Normal126"/>
        <w:widowControl w:val="false"/>
        <w:spacing w:lineRule="auto" w:line="240"/>
        <w:ind w:left="0" w:right="0" w:hanging="0"/>
        <w:jc w:val="left"/>
        <w:rPr>
          <w:rFonts w:ascii="Calibri" w:hAnsi="Calibri"/>
          <w:color w:val="0070C0"/>
          <w:sz w:val="24"/>
        </w:rPr>
      </w:pPr>
      <w:r>
        <w:rPr/>
        <w:t xml:space="preserve">Objašnjenja za lakše čitanje </w:t>
      </w:r>
    </w:p>
    <w:p>
      <w:pPr>
        <w:pStyle w:val="P68B1DB1Normal104"/>
        <w:widowControl w:val="false"/>
        <w:spacing w:lineRule="exact" w:line="281" w:before="116" w:after="0"/>
        <w:ind w:left="0" w:right="772" w:hanging="0"/>
        <w:jc w:val="left"/>
        <w:rPr/>
      </w:pPr>
      <w:r>
        <w:rPr/>
        <w:t xml:space="preserve">U ovom smo izvješću raspravljali o četiri teme. Za svaku temu uključili smo uzastopno: </w:t>
      </w:r>
    </w:p>
    <w:p>
      <w:pPr>
        <w:pStyle w:val="P68B1DB1Normal104"/>
        <w:widowControl w:val="false"/>
        <w:spacing w:lineRule="exact" w:line="339" w:before="1" w:after="0"/>
        <w:ind w:left="0" w:right="0" w:hanging="0"/>
        <w:jc w:val="left"/>
        <w:rPr>
          <w:rFonts w:ascii="Calibri" w:hAnsi="Calibri"/>
          <w:color w:val="000000"/>
          <w:sz w:val="21"/>
        </w:rPr>
      </w:pPr>
      <w:r>
        <w:rPr/>
        <w:t xml:space="preserve">preporuke koje se temelje na svim aspektima dijaloga s građanima; </w:t>
      </w:r>
    </w:p>
    <w:p>
      <w:pPr>
        <w:pStyle w:val="P68B1DB1Normal104"/>
        <w:widowControl w:val="false"/>
        <w:spacing w:lineRule="exact" w:line="283"/>
        <w:ind w:left="0" w:right="137" w:hanging="0"/>
        <w:jc w:val="left"/>
        <w:rPr/>
      </w:pPr>
      <w:r>
        <w:rPr/>
        <w:t xml:space="preserve">rasprave i ideje na internetu i na licu mjesta: pregled mišljenja, ideja i stajališta razmijenjenih (na internetu i uz fizičku prisutnost) tijekom tematskih dijaloga. </w:t>
      </w:r>
    </w:p>
    <w:p>
      <w:pPr>
        <w:pStyle w:val="P68B1DB1Normal104"/>
        <w:widowControl w:val="false"/>
        <w:spacing w:lineRule="exact" w:line="339"/>
        <w:ind w:left="0" w:right="0" w:hanging="0"/>
        <w:jc w:val="left"/>
        <w:rPr>
          <w:rFonts w:ascii="Calibri" w:hAnsi="Calibri"/>
          <w:color w:val="000000"/>
          <w:sz w:val="21"/>
        </w:rPr>
      </w:pPr>
      <w:r>
        <w:rPr/>
        <w:t xml:space="preserve"> </w:t>
      </w:r>
    </w:p>
    <w:p>
      <w:pPr>
        <w:pStyle w:val="Normal"/>
        <w:widowControl w:val="false"/>
        <w:spacing w:lineRule="exact" w:line="339" w:before="1" w:after="0"/>
        <w:ind w:left="0" w:right="0" w:hanging="0"/>
        <w:jc w:val="left"/>
        <w:rPr>
          <w:rFonts w:ascii="Calibri" w:hAnsi="Calibri"/>
          <w:color w:val="000000"/>
          <w:sz w:val="21"/>
        </w:rPr>
      </w:pPr>
      <w:r>
        <w:rPr>
          <w:rFonts w:ascii="Calibri" w:hAnsi="Calibri"/>
          <w:color w:val="000000"/>
          <w:sz w:val="21"/>
        </w:rPr>
        <w:t xml:space="preserve">Opis metodologije upotrijebljene u anketi nalazi se na kraju ovog izvješća. </w:t>
      </w:r>
      <w:r>
        <w:br w:type="page"/>
      </w:r>
    </w:p>
    <w:p>
      <w:pPr>
        <w:pStyle w:val="P68B1DB1Normal125"/>
        <w:widowControl w:val="false"/>
        <w:spacing w:lineRule="auto" w:line="240"/>
        <w:ind w:left="0" w:right="0" w:hanging="0"/>
        <w:jc w:val="left"/>
        <w:rPr>
          <w:rFonts w:ascii="Calibri" w:hAnsi="Calibri"/>
          <w:b/>
          <w:b/>
          <w:color w:val="0070C0"/>
          <w:sz w:val="32"/>
        </w:rPr>
      </w:pPr>
      <w:r>
        <w:rPr/>
        <w:t xml:space="preserve">Klimatske promjene i okoliš </w:t>
      </w:r>
    </w:p>
    <w:p>
      <w:pPr>
        <w:pStyle w:val="P68B1DB1Normal126"/>
        <w:widowControl w:val="false"/>
        <w:spacing w:lineRule="auto" w:line="240" w:before="48" w:after="0"/>
        <w:ind w:left="0" w:right="0" w:hanging="0"/>
        <w:jc w:val="left"/>
        <w:rPr>
          <w:rFonts w:ascii="Calibri" w:hAnsi="Calibri"/>
          <w:color w:val="0070C0"/>
          <w:sz w:val="24"/>
        </w:rPr>
      </w:pPr>
      <w:r>
        <w:rPr/>
        <w:t xml:space="preserve">Preporuke – naša vizija za klimatske promjene i okoliš </w:t>
      </w:r>
    </w:p>
    <w:p>
      <w:pPr>
        <w:pStyle w:val="P68B1DB1Normal120"/>
        <w:widowControl w:val="false"/>
        <w:spacing w:lineRule="auto" w:line="240" w:before="61" w:after="0"/>
        <w:ind w:left="0" w:right="0" w:hanging="0"/>
        <w:jc w:val="left"/>
        <w:rPr/>
      </w:pPr>
      <w:r>
        <w:rPr/>
        <w:t xml:space="preserve">71 % Nizozemaca smatra da su klimatske promjene i okoliš važno pitanje i da EU mora intervenirati u tom području. </w:t>
      </w:r>
    </w:p>
    <w:p>
      <w:pPr>
        <w:pStyle w:val="P68B1DB1Normal110"/>
        <w:widowControl w:val="false"/>
        <w:spacing w:lineRule="auto" w:line="240" w:before="57" w:after="0"/>
        <w:ind w:left="0" w:right="0" w:hanging="0"/>
        <w:jc w:val="left"/>
        <w:rPr/>
      </w:pPr>
      <w:r>
        <w:rPr>
          <w:b/>
        </w:rPr>
        <w:t xml:space="preserve">1. </w:t>
      </w:r>
      <w:r>
        <w:rPr>
          <w:sz w:val="21"/>
        </w:rPr>
        <w:t xml:space="preserve">68 % Nizozemaca smatra da EU mora imati vodeću ulogu u borbi protiv klimatskih promjena. Globalno zatopljenje je problem i nijedna zemlja ga ne može riješiti sama. Čak i ako se Nizozemci ne slažu oko klimatskih promjena, vjerujemo da EU ionako mora imati jasniju viziju budućnosti. Unatoč zelenom planu trenutačno vidimo da države članice često nisu usklađene. Iako zemlje moraju moći i dalje donositi vlastite odluke, one ipak moraju surađivati kako bi postigle iste ciljeve. Također vjerujemo da, kao građani, imamo i vlastiti dio odgovornosti, na primjer u pogledu prilagodbe naših potrošačkih navika. </w:t>
      </w:r>
    </w:p>
    <w:p>
      <w:pPr>
        <w:pStyle w:val="P68B1DB1Normal113"/>
        <w:widowControl w:val="false"/>
        <w:spacing w:lineRule="auto" w:line="240" w:before="135" w:after="0"/>
        <w:ind w:left="0" w:right="0" w:hanging="0"/>
        <w:jc w:val="center"/>
        <w:rPr/>
      </w:pPr>
      <w:r>
        <w:rPr/>
        <w:t xml:space="preserve">Nizozemska želi napustiti prirodni plin, dok se u Njemačkoj upravo potiče da ga koristi. Ponekad to nije razumjeti ništa. </w:t>
      </w:r>
    </w:p>
    <w:p>
      <w:pPr>
        <w:pStyle w:val="P68B1DB1Normal111"/>
        <w:widowControl w:val="false"/>
        <w:spacing w:lineRule="auto" w:line="240" w:before="109" w:after="0"/>
        <w:ind w:left="0" w:right="0" w:hanging="0"/>
        <w:jc w:val="left"/>
        <w:rPr/>
      </w:pPr>
      <w:r>
        <w:rPr/>
        <w:t xml:space="preserve">2. Osigurati tješnju suradnju zemalja i poduzeća u pronalaženju ciljanih rješenja </w:t>
      </w:r>
    </w:p>
    <w:p>
      <w:pPr>
        <w:pStyle w:val="P68B1DB1Normal104"/>
        <w:widowControl w:val="false"/>
        <w:spacing w:lineRule="auto" w:line="240"/>
        <w:ind w:left="0" w:right="0" w:hanging="0"/>
        <w:jc w:val="left"/>
        <w:rPr/>
      </w:pPr>
      <w:r>
        <w:rPr/>
        <w:t xml:space="preserve">Kada je riječ o klimatskim promjenama i okolišu, Nizozemci smatraju da zemlje često upiru prstom. Naglasak je često na razlikama, primjerice između siromašnih i bogatih zemalja unutar EU-a. Ili između visoko industrijaliziranih ili slabo industrijaliziranih zemalja. Radije ćemo pokušati postići dogovor. Na primjer, slične tvrtke u različitim zemljama mogle bi razmjenjivati znanje i zajednički razmišljati o rješenjima. Da se to učini, siromašnije zemlje mogle bi biti više uključene u pristup klimatskim promjenama. Mogli bi sudjelovati u razmatranju i iskoristiti zajednička rješenja. </w:t>
      </w:r>
    </w:p>
    <w:p>
      <w:pPr>
        <w:pStyle w:val="P68B1DB1Normal113"/>
        <w:widowControl w:val="false"/>
        <w:spacing w:lineRule="auto" w:line="240" w:before="143" w:after="0"/>
        <w:ind w:left="0" w:right="0" w:hanging="0"/>
        <w:jc w:val="center"/>
        <w:rPr/>
      </w:pPr>
      <w:r>
        <w:rPr/>
        <w:t xml:space="preserve">Pristup klimatskim promjenama ne bi trebao biti utrka, već suradnja. </w:t>
      </w:r>
    </w:p>
    <w:p>
      <w:pPr>
        <w:pStyle w:val="P68B1DB1Normal111"/>
        <w:widowControl w:val="false"/>
        <w:spacing w:lineRule="auto" w:line="240" w:before="107" w:after="0"/>
        <w:ind w:left="0" w:right="0" w:hanging="0"/>
        <w:jc w:val="left"/>
        <w:rPr>
          <w:rFonts w:ascii="Calibri" w:hAnsi="Calibri"/>
          <w:b/>
          <w:b/>
          <w:color w:val="000000"/>
          <w:sz w:val="22"/>
        </w:rPr>
      </w:pPr>
      <w:r>
        <w:rPr/>
        <w:t xml:space="preserve">3. Stvoriti sustav CO2 koji je pravedan i izvediv u praksi </w:t>
      </w:r>
    </w:p>
    <w:p>
      <w:pPr>
        <w:pStyle w:val="P68B1DB1Normal104"/>
        <w:widowControl w:val="false"/>
        <w:spacing w:lineRule="auto" w:line="240"/>
        <w:ind w:left="0" w:right="0" w:hanging="0"/>
        <w:jc w:val="left"/>
        <w:rPr/>
      </w:pPr>
      <w:r>
        <w:rPr/>
        <w:t xml:space="preserve">U pristupu EU-a klimatskim promjenama velika se pozornost posvećuje smanjenju emisija CO2. Nizozemska smatra da postoji potreba za boljim sustavom u tu svrhu, kojim bi se omogućilo pravedno oporezivanje proizvođača i potrošača. Nizozemci su podijeljeni oko toga imaju li zemlje s najviše stanovnika pravo emitirati više CO2. Neke zemlje, na primjer, imaju vrlo zagađujuću industriju. S druge strane, druge zemlje imaju brojne mogućnosti za proizvodnju zelene energije. Te razlike treba uzeti u obzir. Bez da to postane previše složeno, jer sustav mora biti razumljiv svima. </w:t>
      </w:r>
    </w:p>
    <w:p>
      <w:pPr>
        <w:pStyle w:val="P68B1DB1Normal129"/>
        <w:widowControl w:val="false"/>
        <w:spacing w:lineRule="auto" w:line="240" w:before="135" w:after="0"/>
        <w:ind w:left="0" w:right="0" w:hanging="0"/>
        <w:jc w:val="center"/>
        <w:rPr/>
      </w:pPr>
      <w:r>
        <w:rPr>
          <w:sz w:val="26"/>
        </w:rPr>
        <w:t>Industrijalizirane zemlje izvoze mnogo. Moraju li stoga sami snositi porez na</w:t>
      </w:r>
      <w:r>
        <w:rPr>
          <w:position w:val="0"/>
          <w:sz w:val="17"/>
        </w:rPr>
        <w:t>CO2</w:t>
      </w:r>
      <w:r>
        <w:rPr>
          <w:sz w:val="26"/>
        </w:rPr>
        <w:t xml:space="preserve">? Po mom mišljenju, potrošač bi također trebao platiti. </w:t>
      </w:r>
    </w:p>
    <w:p>
      <w:pPr>
        <w:pStyle w:val="P68B1DB1Normal120"/>
        <w:widowControl w:val="false"/>
        <w:spacing w:lineRule="auto" w:line="240" w:before="107" w:after="0"/>
        <w:ind w:left="0" w:right="0" w:hanging="0"/>
        <w:jc w:val="left"/>
        <w:rPr>
          <w:rFonts w:ascii="Calibri" w:hAnsi="Calibri"/>
          <w:b/>
          <w:b/>
          <w:color w:val="000000"/>
          <w:sz w:val="21"/>
        </w:rPr>
      </w:pPr>
      <w:r>
        <w:rPr/>
        <w:t xml:space="preserve"> </w:t>
      </w:r>
    </w:p>
    <w:p>
      <w:pPr>
        <w:pStyle w:val="P68B1DB1Normal110"/>
        <w:widowControl w:val="false"/>
        <w:spacing w:lineRule="auto" w:line="240"/>
        <w:ind w:left="0" w:right="0" w:hanging="0"/>
        <w:jc w:val="both"/>
        <w:rPr/>
      </w:pPr>
      <w:r>
        <w:rPr>
          <w:b/>
        </w:rPr>
        <w:t xml:space="preserve">4. Komunicirajte na jasniji i pozitivniji način o klimatskom pristupu </w:t>
      </w:r>
      <w:r>
        <w:rPr>
          <w:sz w:val="21"/>
        </w:rPr>
        <w:t xml:space="preserve">Nizozemci čuju mnogo o klimatskim promjenama i puno čitaju o tome. Međutim, to ostaje apstraktna i složena tema za mnoge ljude. Često se doživljava kao nešto što košta puno novca, dok pristup klimatskim promjenama također stvara prilike. Razmišljamo, primjerice, o poticanju lokalne proizvodnje hrane i razvoju novih i održivih tehnologija. EU bi taj aspekt mogao češće i učinkovitije razotkriti. Također smatramo da bi šefovi vlada država članica sami mogli poslužiti kao bolji primjer. Na primjer, manje putovanje – primjerice između Bruxellesa i Strasbourga – i češće sastajanje na internetu moglo bi doprinijeti podupiranju održivosti. </w:t>
      </w:r>
    </w:p>
    <w:p>
      <w:pPr>
        <w:pStyle w:val="P68B1DB1Normal113"/>
        <w:widowControl w:val="false"/>
        <w:spacing w:lineRule="auto" w:line="240" w:before="61" w:after="0"/>
        <w:ind w:left="0" w:right="0" w:hanging="0"/>
        <w:jc w:val="center"/>
        <w:rPr/>
      </w:pPr>
      <w:r>
        <w:rPr/>
        <w:t xml:space="preserve">Održivost se i dalje prečesto doživljava kao trošak. To treba promatrati kao priliku, a ne kao prijetnju. </w:t>
      </w:r>
    </w:p>
    <w:p>
      <w:pPr>
        <w:pStyle w:val="P68B1DB1Normal126"/>
        <w:widowControl w:val="false"/>
        <w:spacing w:lineRule="auto" w:line="240" w:before="129" w:after="0"/>
        <w:ind w:left="0" w:right="0" w:hanging="0"/>
        <w:jc w:val="left"/>
        <w:rPr>
          <w:rFonts w:ascii="Calibri" w:hAnsi="Calibri"/>
          <w:color w:val="0070C0"/>
          <w:sz w:val="24"/>
        </w:rPr>
      </w:pPr>
      <w:r>
        <w:rPr/>
        <w:t xml:space="preserve">Rasprave i ideje na internetu i na licu mjesta </w:t>
      </w:r>
    </w:p>
    <w:p>
      <w:pPr>
        <w:pStyle w:val="P68B1DB1Normal129"/>
        <w:widowControl w:val="false"/>
        <w:spacing w:lineRule="auto" w:line="240" w:before="78" w:after="0"/>
        <w:ind w:left="0" w:right="0" w:hanging="0"/>
        <w:jc w:val="left"/>
        <w:rPr/>
      </w:pPr>
      <w:r>
        <w:rPr>
          <w:sz w:val="21"/>
        </w:rPr>
        <w:t>Emisije CO2 ne bismo trebali</w:t>
      </w:r>
      <w:r>
        <w:rPr>
          <w:position w:val="0"/>
          <w:sz w:val="14"/>
        </w:rPr>
        <w:t>smatrati</w:t>
      </w:r>
      <w:r>
        <w:rPr>
          <w:sz w:val="21"/>
        </w:rPr>
        <w:t xml:space="preserve"> pravom, već nespretnom posljedicom. </w:t>
      </w:r>
    </w:p>
    <w:p>
      <w:pPr>
        <w:pStyle w:val="P68B1DB1Normal104"/>
        <w:widowControl w:val="false"/>
        <w:spacing w:lineRule="auto" w:line="240" w:before="87" w:after="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pPr>
      <w:r>
        <w:rPr/>
        <w:t xml:space="preserve">Imam dojam da u Europi provodimo više vremena o klimatskim promjenama nego o poduzimanju stvarnih mjera za njihovo rješavanje.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pPr>
      <w:r>
        <w:rPr/>
        <w:t xml:space="preserve">Stroža klimatska pravila u konačnici bi se također mogla pokazati korisnima za nas. Kao kontinent koji se bavi trgovinom, moramo pokušati vidjeti prilike u tom području.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rFonts w:ascii="Calibri" w:hAnsi="Calibri"/>
          <w:i/>
          <w:i/>
          <w:color w:val="000000"/>
          <w:sz w:val="21"/>
        </w:rPr>
      </w:pPr>
      <w:r>
        <w:rPr/>
        <w:t xml:space="preserve">Jedva čekamo na druge kontinente. Nemamo vremena čekati.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ZAMISAO:</w:t>
      </w:r>
      <w:r>
        <w:rPr>
          <w:i/>
        </w:rPr>
        <w:t xml:space="preserve"> Zemlje financijski nagrađuju ako dokažu da se njihova priroda i bioraznolikost povećavaju. </w:t>
      </w:r>
    </w:p>
    <w:p>
      <w:pPr>
        <w:pStyle w:val="P68B1DB1Normal118"/>
        <w:widowControl w:val="false"/>
        <w:spacing w:lineRule="auto" w:line="240"/>
        <w:ind w:left="0" w:right="0" w:hanging="0"/>
        <w:jc w:val="left"/>
        <w:rPr>
          <w:rFonts w:ascii="Calibri" w:hAnsi="Calibri"/>
          <w:i/>
          <w:i/>
          <w:color w:val="000000"/>
          <w:sz w:val="21"/>
        </w:rPr>
      </w:pPr>
      <w:r>
        <w:rPr/>
        <w:t xml:space="preserve"> </w:t>
      </w:r>
    </w:p>
    <w:p>
      <w:pPr>
        <w:pStyle w:val="P68B1DB1Normal104"/>
        <w:widowControl w:val="false"/>
        <w:spacing w:lineRule="auto" w:line="240"/>
        <w:ind w:left="0" w:right="0" w:hanging="0"/>
        <w:jc w:val="left"/>
        <w:rPr/>
      </w:pPr>
      <w:r>
        <w:rPr/>
        <w:t>ZAMISAO:</w:t>
      </w:r>
      <w:r>
        <w:rPr>
          <w:i/>
        </w:rPr>
        <w:t xml:space="preserve"> „Poticanje turizma pogodnog za prirodu u siromašnim regijama EU-a.”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pPr>
      <w:r>
        <w:rPr/>
        <w:t xml:space="preserve">Doetinchem Strukturni srednjoškolci: Udaljena putovanja moraju ostati dostupna svima.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Teza da bi letovi unutar EU trebali postati skuplji dostavljena je studentima Graafschap Collegea u Doetinchemu. Neki studenti su se složili da će skuplje ulaznice potaknuti ljude da traže jeftinije alternative. Osim toga, naglašeno je da bi EU tada trebao osigurati ekološki prihvatljivije opcije, kao što su bolje željezničke veze. Ostali sudionici naveli su da se ne slažu s višim cijenama zrakoplovnih karata. „Bogati ljudi su ti koji danas najviše putuju i moći će to lako platiti”, rekao je jedan sudionik. Visoke cijene ih neće spriječiti da putuju. Dok će daleki praznici postati nemogući za „obične” građane. </w:t>
      </w:r>
    </w:p>
    <w:p>
      <w:pPr>
        <w:pStyle w:val="P68B1DB1Normal118"/>
        <w:widowControl w:val="false"/>
        <w:spacing w:lineRule="auto" w:line="240"/>
        <w:ind w:left="0" w:right="0" w:hanging="0"/>
        <w:jc w:val="left"/>
        <w:rPr/>
      </w:pPr>
      <w:r>
        <w:rPr/>
        <w:t xml:space="preserve">Poljoprivrednici pogodni za prirodu: „EU bi mogao doprinijeti širenju znanja o održivim rješenjima.”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rFonts w:ascii="Calibri" w:hAnsi="Calibri"/>
          <w:color w:val="000000"/>
          <w:sz w:val="21"/>
        </w:rPr>
      </w:pPr>
      <w:r>
        <w:rPr/>
        <w:t xml:space="preserve">BoerenNatuur je udruga skupina poljoprivrednika. Tijekom tematskog dijaloga razgovor je bio usmjeren na klimatske promjene i okoliš. </w:t>
      </w:r>
    </w:p>
    <w:p>
      <w:pPr>
        <w:pStyle w:val="Normal"/>
        <w:widowControl w:val="false"/>
        <w:spacing w:lineRule="auto" w:line="240"/>
        <w:ind w:left="0" w:right="0" w:hanging="0"/>
        <w:jc w:val="left"/>
        <w:rPr/>
      </w:pPr>
      <w:r>
        <w:rPr>
          <w:rFonts w:ascii="Calibri" w:hAnsi="Calibri"/>
          <w:color w:val="000000"/>
          <w:sz w:val="21"/>
        </w:rPr>
        <w:t>Prema mišljenju sudionika, vjerojatno će se poboljšati primjena zakonodavstva i propisa EU-a u različitim zemljama. Kao primjer naveden je dosje o dušiku. U zakonodavstvu EU-a navodi se samo da se prirodno područje „ne može pogoršati”. No, u južnoj Europi taj se pojam tumači drugačije nego u Nizozemskoj." Većina prisutnih slaže se da Europa mora imati vodeću ulogu u borbi protiv klimatskih promjena. I ne smijemo biti zadovoljni govorom, moramo postići rezultate. Pogotovo kroz razmjenu znanja, poljoprivrednici vjeruju. U agrarnom sektoru radimo na rješenjima za</w:t>
      </w:r>
      <w:r>
        <w:rPr>
          <w:rFonts w:ascii="Calibri" w:hAnsi="Calibri"/>
          <w:color w:val="000000"/>
          <w:sz w:val="21"/>
        </w:rPr>
        <w:commentReference w:id="27"/>
      </w:r>
      <w:r>
        <w:rPr>
          <w:rFonts w:ascii="Calibri" w:hAnsi="Calibri"/>
          <w:color w:val="000000"/>
          <w:sz w:val="21"/>
        </w:rPr>
        <w:t xml:space="preserve"> postizanje čišće poljoprivrede. EU mora pomoći u brzom širenju znanja u tom području.” </w:t>
      </w:r>
      <w:r>
        <w:br w:type="page"/>
      </w:r>
    </w:p>
    <w:p>
      <w:pPr>
        <w:pStyle w:val="P68B1DB1Normal127"/>
        <w:widowControl w:val="false"/>
        <w:spacing w:lineRule="auto" w:line="240"/>
        <w:ind w:left="0" w:right="0" w:hanging="0"/>
        <w:jc w:val="left"/>
        <w:rPr/>
      </w:pPr>
      <w:r>
        <w:rPr>
          <w:b/>
          <w:color w:val="0070C0"/>
          <w:sz w:val="32"/>
        </w:rPr>
        <w:t>Migracije</w:t>
      </w:r>
      <w:r>
        <w:rPr>
          <w:color w:val="365F91"/>
          <w:sz w:val="28"/>
        </w:rPr>
        <w:t xml:space="preserve"> </w:t>
      </w:r>
      <w:r>
        <w:rPr>
          <w:color w:val="0070C0"/>
          <w:sz w:val="21"/>
        </w:rPr>
        <w:t xml:space="preserve">(migracije i izbjeglice) </w:t>
      </w:r>
    </w:p>
    <w:p>
      <w:pPr>
        <w:pStyle w:val="P68B1DB1Normal20"/>
        <w:widowControl w:val="false"/>
        <w:spacing w:lineRule="auto" w:line="240"/>
        <w:ind w:left="0" w:right="0" w:hanging="0"/>
        <w:jc w:val="left"/>
        <w:rPr>
          <w:rFonts w:ascii="Calibri" w:hAnsi="Calibri"/>
          <w:color w:val="000000"/>
          <w:sz w:val="24"/>
        </w:rPr>
      </w:pPr>
      <w:r>
        <w:rPr/>
        <w:t xml:space="preserve"> </w:t>
      </w:r>
    </w:p>
    <w:p>
      <w:pPr>
        <w:pStyle w:val="P68B1DB1Normal104"/>
        <w:widowControl w:val="false"/>
        <w:spacing w:lineRule="auto" w:line="240"/>
        <w:ind w:left="0" w:right="0" w:hanging="0"/>
        <w:jc w:val="left"/>
        <w:rPr/>
      </w:pPr>
      <w:r>
        <w:rPr/>
        <w:t xml:space="preserve">Granice između država članica EU-a otvorene su. Stoga se unutar EU-a provodi suradnja u pogledu, primjerice, upravljanja vanjskim granicama i borbe protiv krijumčarenja migranata. Raspravlja se i o pravednoj raspodjeli izbjeglica među različitim državama članicama EU-a. Kakav je stav Nizozemske o tome? </w:t>
      </w:r>
    </w:p>
    <w:p>
      <w:pPr>
        <w:pStyle w:val="P68B1DB1Normal126"/>
        <w:widowControl w:val="false"/>
        <w:spacing w:lineRule="auto" w:line="240" w:before="93" w:after="0"/>
        <w:ind w:left="0" w:right="0" w:hanging="0"/>
        <w:jc w:val="left"/>
        <w:rPr>
          <w:rFonts w:ascii="Calibri" w:hAnsi="Calibri"/>
          <w:color w:val="0070C0"/>
          <w:sz w:val="24"/>
        </w:rPr>
      </w:pPr>
      <w:r>
        <w:rPr/>
        <w:t xml:space="preserve">Preporuke – naša vizija o migracijama i izbjeglicama </w:t>
      </w:r>
    </w:p>
    <w:p>
      <w:pPr>
        <w:pStyle w:val="P68B1DB1Normal120"/>
        <w:widowControl w:val="false"/>
        <w:spacing w:lineRule="auto" w:line="240" w:before="90" w:after="0"/>
        <w:ind w:left="0" w:right="0" w:hanging="0"/>
        <w:jc w:val="left"/>
        <w:rPr/>
      </w:pPr>
      <w:r>
        <w:rPr/>
        <w:t xml:space="preserve">65 % Nizozemaca smatra da su migracije i izbjeglice važno pitanje i da EU mora intervenirati u tom području. </w:t>
      </w:r>
    </w:p>
    <w:p>
      <w:pPr>
        <w:pStyle w:val="P68B1DB1Normal111"/>
        <w:widowControl w:val="false"/>
        <w:spacing w:lineRule="auto" w:line="240" w:before="83" w:after="0"/>
        <w:ind w:left="0" w:right="0" w:hanging="0"/>
        <w:jc w:val="left"/>
        <w:rPr>
          <w:rFonts w:ascii="Calibri" w:hAnsi="Calibri"/>
          <w:b/>
          <w:b/>
          <w:color w:val="000000"/>
          <w:sz w:val="22"/>
        </w:rPr>
      </w:pPr>
      <w:r>
        <w:rPr/>
        <w:t xml:space="preserve">1. Izbjegavajte da su rasprave o pitanju izbjeglica premale nijansirane </w:t>
      </w:r>
    </w:p>
    <w:p>
      <w:pPr>
        <w:pStyle w:val="P68B1DB1Normal104"/>
        <w:widowControl w:val="false"/>
        <w:spacing w:lineRule="auto" w:line="240"/>
        <w:ind w:left="0" w:right="0" w:hanging="0"/>
        <w:jc w:val="left"/>
        <w:rPr/>
      </w:pPr>
      <w:r>
        <w:rPr/>
        <w:t xml:space="preserve">70 % Nizozemaca smatra da europske vanjske granice trebaju biti bolje zaštićene. Od toga 72 posto također misli da to znači vraćanje više izbjeglica u nesigurne zemlje. Nizozemci vjeruju da više pažnje treba posvetiti razlozima zbog kojih ljudi bježe iz nesigurne zemlje. Ti su razlozi ponekad povezani s klimatskim promjenama, ponekad i s ratovima. Ti se konteksti često spominju samo na ograničen način u raspravi o pitanju izbjeglica. Dodana vrijednost koju te izbjeglice donose nekoj zemlji također se rijetko rješava. Naposljetku, smatramo da EU mora jasnije razlikovati osobe iz nesigurnih regija koje se pojavljuju na granicama i gospodarske izbjeglice. Ukratko, smatramo da rasprave o migracijama i izbjeglicama općenito nemaju kontekst i nijanse. Europski političari mogli bi popraviti tu situaciju postavljanjem primjera. </w:t>
      </w:r>
    </w:p>
    <w:p>
      <w:pPr>
        <w:pStyle w:val="P68B1DB1Normal113"/>
        <w:widowControl w:val="false"/>
        <w:spacing w:lineRule="auto" w:line="240" w:before="173" w:after="0"/>
        <w:ind w:left="0" w:right="0" w:hanging="0"/>
        <w:jc w:val="center"/>
        <w:rPr/>
      </w:pPr>
      <w:r>
        <w:rPr/>
        <w:t xml:space="preserve">Izbjeglice moramo prije svega smatrati svojim sugrađanima. Jer gotovo nitko neće napustiti osobu u nevolji. </w:t>
      </w:r>
    </w:p>
    <w:p>
      <w:pPr>
        <w:pStyle w:val="P68B1DB1Normal111"/>
        <w:widowControl w:val="false"/>
        <w:spacing w:lineRule="auto" w:line="240" w:before="138" w:after="0"/>
        <w:ind w:left="0" w:right="0" w:hanging="0"/>
        <w:jc w:val="left"/>
        <w:rPr>
          <w:rFonts w:ascii="Calibri" w:hAnsi="Calibri"/>
          <w:b/>
          <w:b/>
          <w:color w:val="000000"/>
          <w:sz w:val="22"/>
        </w:rPr>
      </w:pPr>
      <w:r>
        <w:rPr/>
        <w:t xml:space="preserve">2. Definiranje što je pravedna i praktična raspodjela izbjeglica </w:t>
      </w:r>
    </w:p>
    <w:p>
      <w:pPr>
        <w:pStyle w:val="P68B1DB1Normal104"/>
        <w:widowControl w:val="false"/>
        <w:spacing w:lineRule="auto" w:line="240"/>
        <w:ind w:left="0" w:right="0" w:hanging="0"/>
        <w:jc w:val="both"/>
        <w:rPr/>
      </w:pPr>
      <w:r>
        <w:rPr/>
        <w:t xml:space="preserve">Europska imigracijska služba trebala bi osigurati pravednu raspodjelu izbjeglica među državama članicama EU-a. Nizozemska također smatra da bi trebalo utvrditi jasne kriterije za utvrđivanje pravedne raspodjele. Dobar socijalni sustav može, primjerice, učiniti zemlju privlačnu izbjeglicama, ali su i drugi čimbenici važni i za izbjeglice i za dotičnu zemlju. U Nizozemskoj se suočavamo s nedostatkom stambenog prostora, dok neke zemlje ili sektori jednostavno trebaju više radnika migranata. Smatramo da je važno da EU to uzme u obzir pri raspodjeli izbjeglica. Jasni mehanizmi ne samo da jamče transparentnost, već i manje sporova, što je u konačnici u interesu svih. </w:t>
      </w:r>
    </w:p>
    <w:p>
      <w:pPr>
        <w:pStyle w:val="P68B1DB1Normal113"/>
        <w:widowControl w:val="false"/>
        <w:spacing w:lineRule="auto" w:line="240" w:before="173" w:after="0"/>
        <w:ind w:left="0" w:right="0" w:hanging="0"/>
        <w:jc w:val="center"/>
        <w:rPr/>
      </w:pPr>
      <w:r>
        <w:rPr/>
        <w:t xml:space="preserve">Izbjeglice također moraju moći izraziti svoje talente u odredišnoj zemlji. </w:t>
      </w:r>
    </w:p>
    <w:p>
      <w:pPr>
        <w:pStyle w:val="P68B1DB1Normal111"/>
        <w:widowControl w:val="false"/>
        <w:spacing w:lineRule="auto" w:line="240" w:before="136" w:after="0"/>
        <w:ind w:left="0" w:right="0" w:hanging="0"/>
        <w:jc w:val="left"/>
        <w:rPr>
          <w:rFonts w:ascii="Calibri" w:hAnsi="Calibri"/>
          <w:b/>
          <w:b/>
          <w:color w:val="000000"/>
          <w:sz w:val="22"/>
        </w:rPr>
      </w:pPr>
      <w:r>
        <w:rPr/>
        <w:t xml:space="preserve">3. Nadovezujući se na znanje i iskustvo stečeno za pomoć izbjegličkim regijama podrijetla </w:t>
      </w:r>
    </w:p>
    <w:p>
      <w:pPr>
        <w:pStyle w:val="P68B1DB1Normal104"/>
        <w:widowControl w:val="false"/>
        <w:spacing w:lineRule="auto" w:line="240" w:before="86" w:after="0"/>
        <w:ind w:left="0" w:right="0" w:hanging="0"/>
        <w:jc w:val="left"/>
        <w:rPr/>
      </w:pPr>
      <w:r>
        <w:rPr/>
        <w:t xml:space="preserve">67 % Nizozemaca smatra da EU treba dodatno pomoći nesigurnim regijama kako bi se zaustavio priljev izbjeglica. Svjesni smo da izbjeglice ne napuštaju svoju zemlju jednostavnim izborom. Stoga moramo razmotriti uzroke, kao što su klimatske promjene ili sukobi, koji regije čine nesigurnima ili neodrživima. EU može pomoći izbjegličkim regijama ne samo financijskom potporom, već i znanjem. U Nizozemskoj, na primjer, imamo jake vještine u poljoprivredi. Modernim poljoprivrednim tehnikama možemo pomoći drugim zemljama da se bolje nose sa sušama i salinizacijom. A ljudi koji su se sklonili u Europu mogu pohađati obuku u nekoj europskoj zemlji, a zatim pomoći svojoj zemlji podrijetla.  </w:t>
      </w:r>
    </w:p>
    <w:p>
      <w:pPr>
        <w:pStyle w:val="P68B1DB1Normal104"/>
        <w:widowControl w:val="false"/>
        <w:spacing w:lineRule="auto" w:line="240" w:before="94" w:after="0"/>
        <w:ind w:left="0" w:right="0" w:hanging="0"/>
        <w:jc w:val="left"/>
        <w:rPr>
          <w:rFonts w:ascii="Calibri" w:hAnsi="Calibri"/>
          <w:color w:val="000000"/>
          <w:sz w:val="21"/>
        </w:rPr>
      </w:pPr>
      <w:r>
        <w:rPr/>
        <w:t xml:space="preserve"> </w:t>
      </w:r>
    </w:p>
    <w:p>
      <w:pPr>
        <w:pStyle w:val="Normal"/>
        <w:widowControl w:val="false"/>
        <w:spacing w:lineRule="auto" w:line="240"/>
        <w:ind w:left="0" w:right="0" w:hanging="0"/>
        <w:jc w:val="left"/>
        <w:rPr>
          <w:rFonts w:ascii="Times New Roman" w:hAnsi="Times New Roman"/>
          <w:color w:val="000000"/>
          <w:sz w:val="24"/>
        </w:rPr>
      </w:pPr>
      <w:r>
        <w:rPr>
          <w:rFonts w:ascii="Times New Roman" w:hAnsi="Times New Roman"/>
          <w:color w:val="000000"/>
          <w:sz w:val="24"/>
        </w:rPr>
      </w:r>
      <w:r>
        <w:br w:type="page"/>
      </w:r>
    </w:p>
    <w:p>
      <w:pPr>
        <w:pStyle w:val="P68B1DB1Normal126"/>
        <w:widowControl w:val="false"/>
        <w:spacing w:lineRule="auto" w:line="240"/>
        <w:ind w:left="0" w:right="0" w:hanging="0"/>
        <w:jc w:val="left"/>
        <w:rPr>
          <w:rFonts w:ascii="Calibri" w:hAnsi="Calibri"/>
          <w:color w:val="0070C0"/>
          <w:sz w:val="24"/>
        </w:rPr>
      </w:pPr>
      <w:r>
        <w:rPr/>
        <w:t xml:space="preserve">Rasprave i ideje na internetu i na licu mjesta </w:t>
      </w:r>
    </w:p>
    <w:p>
      <w:pPr>
        <w:pStyle w:val="P68B1DB1Normal118"/>
        <w:widowControl w:val="false"/>
        <w:spacing w:lineRule="auto" w:line="240" w:before="85" w:after="0"/>
        <w:ind w:left="0" w:right="0" w:hanging="0"/>
        <w:jc w:val="left"/>
        <w:rPr/>
      </w:pPr>
      <w:r>
        <w:rPr/>
        <w:t>„</w:t>
      </w:r>
      <w:r>
        <w:rPr/>
        <w:t xml:space="preserve">EU mora uspostaviti brže postupke azila. Dakle, bit će više mjesta za ljude kojima je to stvarno potrebno. </w:t>
      </w:r>
    </w:p>
    <w:p>
      <w:pPr>
        <w:pStyle w:val="P68B1DB1Normal118"/>
        <w:widowControl w:val="false"/>
        <w:spacing w:lineRule="auto" w:line="240"/>
        <w:ind w:left="0" w:right="0" w:hanging="0"/>
        <w:jc w:val="left"/>
        <w:rPr/>
      </w:pPr>
      <w:r>
        <w:rPr/>
        <w:t xml:space="preserve">Znam mnogo mladih ljudi oko mene koji žele kupiti kuću, ali koji ne nalaze ništa pristupačno, dok se izbjeglice vide kako nude smještaj. Teško mi je prihvatiti. </w:t>
      </w:r>
    </w:p>
    <w:p>
      <w:pPr>
        <w:pStyle w:val="P68B1DB1Normal118"/>
        <w:widowControl w:val="false"/>
        <w:spacing w:lineRule="auto" w:line="240"/>
        <w:ind w:left="0" w:right="0" w:hanging="0"/>
        <w:jc w:val="left"/>
        <w:rPr/>
      </w:pPr>
      <w:r>
        <w:rPr/>
        <w:t xml:space="preserve">Klimatske promjene i dalje će dovesti do raseljavanja stanovništva. Ne možemo zaustaviti ove tokove, ali vjerojatno ih možemo bolje regulirati. </w:t>
      </w:r>
    </w:p>
    <w:p>
      <w:pPr>
        <w:pStyle w:val="P68B1DB1Normal118"/>
        <w:widowControl w:val="false"/>
        <w:spacing w:lineRule="auto" w:line="240"/>
        <w:ind w:left="0" w:right="0" w:hanging="0"/>
        <w:jc w:val="left"/>
        <w:rPr/>
      </w:pPr>
      <w:r>
        <w:rPr/>
        <w:t xml:space="preserve">Živim u Betuweu. Tijekom sezone krušaka i jabuka, jednostavno trebamo puno radnika migranata. </w:t>
      </w:r>
    </w:p>
    <w:p>
      <w:pPr>
        <w:pStyle w:val="P68B1DB1Normal118"/>
        <w:widowControl w:val="false"/>
        <w:spacing w:lineRule="auto" w:line="240"/>
        <w:ind w:left="0" w:right="0" w:hanging="0"/>
        <w:jc w:val="left"/>
        <w:rPr/>
      </w:pPr>
      <w:r>
        <w:rPr/>
        <w:t xml:space="preserve">Nesigurne regije nisu ni za što nesigurne, javna tijela često su nepouzdana. Kako ćemo znati gdje ide naša pomoć i novac? </w:t>
      </w:r>
    </w:p>
    <w:p>
      <w:pPr>
        <w:pStyle w:val="P68B1DB1Normal104"/>
        <w:widowControl w:val="false"/>
        <w:spacing w:lineRule="auto" w:line="240"/>
        <w:ind w:left="0" w:right="0" w:hanging="0"/>
        <w:jc w:val="left"/>
        <w:rPr/>
      </w:pPr>
      <w:r>
        <w:rPr/>
        <w:t xml:space="preserve">ZAMISAO: </w:t>
      </w:r>
      <w:r>
        <w:rPr>
          <w:i/>
        </w:rPr>
        <w:t>Razmotriti i lokalne strategije, kao što su sudjelovanje građana u lokalnom prihvatu izbjeglica i financiranje lokalnih integracijskih inicijativa.</w:t>
      </w:r>
    </w:p>
    <w:p>
      <w:pPr>
        <w:pStyle w:val="P68B1DB1Normal104"/>
        <w:widowControl w:val="false"/>
        <w:spacing w:lineRule="auto" w:line="240"/>
        <w:ind w:left="0" w:right="0" w:hanging="0"/>
        <w:jc w:val="left"/>
        <w:rPr/>
      </w:pPr>
      <w:r>
        <w:rPr/>
        <w:t>ZAMISAO:</w:t>
      </w:r>
      <w:r>
        <w:rPr>
          <w:i/>
        </w:rPr>
        <w:t xml:space="preserve"> Postavite mini-kuće u gradovima u kojima bi izbjeglice mogle živjeti po dolasku. Time bi se ublažio pritisak na tržište nekretnina i povećala javna potpora za prihvat tih osoba. </w:t>
      </w:r>
    </w:p>
    <w:p>
      <w:pPr>
        <w:pStyle w:val="P68B1DB1Normal118"/>
        <w:widowControl w:val="false"/>
        <w:spacing w:lineRule="auto" w:line="240"/>
        <w:ind w:left="0" w:right="0" w:hanging="0"/>
        <w:jc w:val="left"/>
        <w:rPr/>
      </w:pPr>
      <w:r>
        <w:rPr/>
        <w:t xml:space="preserve">Volonteri koji su sami bili izbjeglice: U Europi se ljudi često klone jedni od drugih.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Taal Doet Meer je volonterska organizacija koja osigurava da novi Allophone stanovnici Utrechta mogu sudjelovati u društvu. Tematski dijalog s tom organizacijom bio je usmjeren ne samo na migracije, nego i prije svega na integraciju. Nekoliko sudionika stiglo je u Nizozemsku kao izbjeglice, uključujući jednog iz Sirije. Nakon sedam godina, još uvijek se ne osjećam Nizozemcem. Također nisam našao posao, iako sam dobio magisterij. Primjećujem da su europske zemlje prvenstveno zabrinute za sebe i nisu vrlo otvorene prema drugim zemljama i kulturama." Drugi sudionik napomenuo je da Europljani često ostaju udaljeni jedni od drugih. Većina ljudi je sama; svatko ostaje u svom kutu. Vidim, sa svoje strane, da jedan mora razgovarati jedni s drugima i da se može učiti jedni od drugih.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pPr>
      <w:r>
        <w:rPr/>
        <w:t xml:space="preserve">Mladi iz Nacionalnog vijeća mladih: Ti bi trebao pustiti ljude u samo ako se možete pobrinuti za njih. </w:t>
      </w:r>
    </w:p>
    <w:p>
      <w:pPr>
        <w:pStyle w:val="P68B1DB1Normal104"/>
        <w:widowControl w:val="false"/>
        <w:spacing w:lineRule="auto" w:line="240"/>
        <w:ind w:left="0" w:right="0" w:hanging="0"/>
        <w:jc w:val="both"/>
        <w:rPr/>
      </w:pPr>
      <w:r>
        <w:rPr/>
        <w:t xml:space="preserve">U Utrechtu su članovi različitih radnih skupina Nacionalnog vijeća mladih (CNJ) održali raspravu. Sudionici (u dobi od 16 do 23 godine) vjeruju da se pri raspodjeli izbjeglica u Europi mora uzeti u obzir nekoliko aspekata, kao što su broj stanovnika, veličina zemlje, blagostanje i broj centara za tražitelje azila. „Izbjeglicama bi trebalo dopustiti ulazak u zemlju samo ako se o njima može brinuti”, rekao je jedan od njih. </w:t>
      </w:r>
    </w:p>
    <w:p>
      <w:pPr>
        <w:pStyle w:val="Normal"/>
        <w:widowControl w:val="false"/>
        <w:spacing w:lineRule="auto" w:line="240"/>
        <w:ind w:left="0" w:right="0" w:hanging="0"/>
        <w:jc w:val="left"/>
        <w:rPr/>
      </w:pPr>
      <w:r>
        <w:rPr>
          <w:rFonts w:ascii="Calibri" w:hAnsi="Calibri"/>
          <w:color w:val="000000"/>
          <w:sz w:val="21"/>
        </w:rPr>
        <w:t xml:space="preserve">Mladi također smatraju da moraju postojati posljedice kada zemlje ne ispune svoje obveze u pogledu prihvata izbjeglica. Oni, na primjer, moraju biti kažnjeni. „I izbjeglice također trebaju imati pravo glasa o tome gdje će ići”, rekao je netko. Na primjer, ako već imaju obitelj negdje, ne možemo ih poslati negdje drugdje. </w:t>
      </w:r>
      <w:r>
        <w:br w:type="page"/>
      </w:r>
    </w:p>
    <w:p>
      <w:pPr>
        <w:pStyle w:val="P68B1DB1Normal125"/>
        <w:widowControl w:val="false"/>
        <w:spacing w:lineRule="auto" w:line="240"/>
        <w:ind w:left="0" w:right="0" w:hanging="0"/>
        <w:jc w:val="left"/>
        <w:rPr>
          <w:rFonts w:ascii="Calibri" w:hAnsi="Calibri"/>
          <w:b/>
          <w:b/>
          <w:color w:val="0070C0"/>
          <w:sz w:val="32"/>
        </w:rPr>
      </w:pPr>
      <w:r>
        <w:rPr/>
        <w:t xml:space="preserve">Zdravlje </w:t>
      </w:r>
    </w:p>
    <w:p>
      <w:pPr>
        <w:pStyle w:val="P68B1DB1Normal130"/>
        <w:widowControl w:val="false"/>
        <w:spacing w:lineRule="auto" w:line="240"/>
        <w:ind w:left="0" w:right="0" w:hanging="0"/>
        <w:jc w:val="left"/>
        <w:rPr>
          <w:rFonts w:ascii="Calibri" w:hAnsi="Calibri"/>
          <w:color w:val="0070C0"/>
          <w:sz w:val="21"/>
        </w:rPr>
      </w:pPr>
      <w:r>
        <w:rPr/>
        <w:t xml:space="preserve">(Zdravstvena skrb) </w:t>
      </w:r>
    </w:p>
    <w:p>
      <w:pPr>
        <w:pStyle w:val="P68B1DB1Normal104"/>
        <w:widowControl w:val="false"/>
        <w:spacing w:lineRule="auto" w:line="240"/>
        <w:ind w:left="0" w:right="0" w:hanging="0"/>
        <w:jc w:val="left"/>
        <w:rPr/>
      </w:pPr>
      <w:r>
        <w:rPr/>
        <w:t xml:space="preserve">Iako je zdravstvena skrb prvenstveno u nadležnosti pojedinačnih zemalja, može se poduprijeti i ojačati politikama EU-a, primjerice kao odgovor na pandemiju bolesti COVID-19 ili druge (buduće) zdravstvene krize ili u partnerskom istraživanju o ozbiljnim bolestima. Kakav je stav Nizozemske o tome? </w:t>
      </w:r>
    </w:p>
    <w:p>
      <w:pPr>
        <w:pStyle w:val="P68B1DB1Normal126"/>
        <w:widowControl w:val="false"/>
        <w:spacing w:lineRule="auto" w:line="240" w:before="14" w:after="0"/>
        <w:ind w:left="0" w:right="0" w:hanging="0"/>
        <w:jc w:val="left"/>
        <w:rPr>
          <w:rFonts w:ascii="Calibri" w:hAnsi="Calibri"/>
          <w:color w:val="0070C0"/>
          <w:sz w:val="24"/>
        </w:rPr>
      </w:pPr>
      <w:r>
        <w:rPr/>
        <w:t xml:space="preserve">Preporuke – Naša vizija zdravstvene zaštite </w:t>
      </w:r>
    </w:p>
    <w:p>
      <w:pPr>
        <w:pStyle w:val="P68B1DB1Normal120"/>
        <w:widowControl w:val="false"/>
        <w:spacing w:lineRule="auto" w:line="240"/>
        <w:ind w:left="0" w:right="0" w:hanging="0"/>
        <w:jc w:val="left"/>
        <w:rPr/>
      </w:pPr>
      <w:r>
        <w:rPr/>
        <w:t xml:space="preserve">64 % Nizozemaca smatra da je zdravstvena skrb važno pitanje i da EU mora intervenirati u tom području. </w:t>
      </w:r>
    </w:p>
    <w:p>
      <w:pPr>
        <w:pStyle w:val="P68B1DB1Normal111"/>
        <w:widowControl w:val="false"/>
        <w:spacing w:lineRule="auto" w:line="240" w:before="2" w:after="0"/>
        <w:ind w:left="0" w:right="0" w:hanging="0"/>
        <w:jc w:val="left"/>
        <w:rPr>
          <w:rFonts w:ascii="Calibri" w:hAnsi="Calibri"/>
          <w:b/>
          <w:b/>
          <w:color w:val="000000"/>
          <w:sz w:val="22"/>
        </w:rPr>
      </w:pPr>
      <w:r>
        <w:rPr/>
        <w:t xml:space="preserve">1. Imati bolju kontrolu nad upravljanjem pandemijom </w:t>
      </w:r>
    </w:p>
    <w:p>
      <w:pPr>
        <w:pStyle w:val="P68B1DB1Normal104"/>
        <w:widowControl w:val="false"/>
        <w:spacing w:lineRule="auto" w:line="240"/>
        <w:ind w:left="0" w:right="0" w:hanging="0"/>
        <w:jc w:val="left"/>
        <w:rPr/>
      </w:pPr>
      <w:r>
        <w:rPr/>
        <w:t xml:space="preserve">83 % Nizozemaca smatra da zemlje EU-a trebaju više surađivati kako bi spriječile širenje zarazne bolesti diljem svijeta. Jer virus ne poznaje granice. To se može vidjeti tijekom aktualne pandemije. Politike unutar EU-a ponekad su zbunjene. To nije dobro za pridržavanje pravila. Smatramo da pravila za borbu protiv širenja virusa u Europi moraju biti bolje koordinirana, a da pritom nisu nužno svugdje ista. Mora postojati prostor za lokalne izbore. Ne samo zato što se broj kontaminacija može razlikovati, već i zato što u Europi postoje različite kulture. Neke mjere bolje funkcioniraju u nekim zemljama nego u drugima. </w:t>
      </w:r>
    </w:p>
    <w:p>
      <w:pPr>
        <w:pStyle w:val="P68B1DB1Normal113"/>
        <w:widowControl w:val="false"/>
        <w:spacing w:lineRule="auto" w:line="240" w:before="164" w:after="0"/>
        <w:ind w:left="0" w:right="0" w:hanging="0"/>
        <w:jc w:val="center"/>
        <w:rPr/>
      </w:pPr>
      <w:r>
        <w:rPr/>
        <w:t xml:space="preserve">Živim u Nizozemskoj, na granici s Njemačkom. Razne mjere koje su dvije zemlje donijele za borbu protiv koronavirusa izluđuju me. </w:t>
      </w:r>
    </w:p>
    <w:p>
      <w:pPr>
        <w:pStyle w:val="Normal"/>
        <w:widowControl w:val="false"/>
        <w:spacing w:lineRule="auto" w:line="240" w:before="158" w:after="0"/>
        <w:ind w:left="0" w:right="0" w:hanging="0"/>
        <w:jc w:val="left"/>
        <w:rPr/>
      </w:pPr>
      <w:r>
        <w:rPr>
          <w:rFonts w:ascii="Cambria" w:hAnsi="Cambria"/>
          <w:color w:val="243F60"/>
          <w:sz w:val="24"/>
        </w:rPr>
        <w:t xml:space="preserve">2. </w:t>
      </w:r>
      <w:r>
        <w:rPr>
          <w:rFonts w:ascii="Calibri" w:hAnsi="Calibri"/>
          <w:b/>
          <w:color w:val="000000"/>
        </w:rPr>
        <w:t>Osigurati dostupnost cjenovno pristupačnih i pouzdanih lijekova za sve</w:t>
      </w:r>
      <w:r>
        <w:rPr>
          <w:rFonts w:ascii="Cambria" w:hAnsi="Cambria"/>
          <w:color w:val="243F60"/>
          <w:sz w:val="24"/>
        </w:rPr>
        <w:t xml:space="preserve"> </w:t>
      </w:r>
    </w:p>
    <w:p>
      <w:pPr>
        <w:pStyle w:val="P68B1DB1Normal104"/>
        <w:widowControl w:val="false"/>
        <w:spacing w:lineRule="auto" w:line="240"/>
        <w:ind w:left="0" w:right="0" w:hanging="0"/>
        <w:jc w:val="left"/>
        <w:rPr/>
      </w:pPr>
      <w:r>
        <w:rPr/>
        <w:t xml:space="preserve">71 % Nizozemaca smatra da EU mora osigurati da nam je potrebno manje trećih zemalja za razvoj, proizvodnju i isporuku lijekova. Ali ako to znači čekati duže lijekove, mišljenja su podijeljena. Nizozemci vjeruju da je proizvodnja i distribucija lijekova složeno pitanje. S jedne strane, troškovi zdravstvene skrbi u Nizozemskoj naglo rastu, stoga smatramo da je važno zadržati ih na najnižoj mogućoj razini. S druge strane, želimo biti u mogućnosti vjerovati drogama, čak i kada dolaze izdaleka. Ne samo da moraju biti kvalitetne, već moraju biti proizvedene na održiv i etički odgovoran način. Općenito, vjerujemo da važni lijekovi moraju biti dostupni svima, pa i u siromašnijim zemljama. </w:t>
      </w:r>
    </w:p>
    <w:p>
      <w:pPr>
        <w:pStyle w:val="P68B1DB1Normal113"/>
        <w:widowControl w:val="false"/>
        <w:spacing w:lineRule="auto" w:line="240" w:before="167" w:after="0"/>
        <w:ind w:left="0" w:right="0" w:hanging="0"/>
        <w:jc w:val="both"/>
        <w:rPr/>
      </w:pPr>
      <w:r>
        <w:rPr/>
        <w:t>Troškovi zdravstvene skrbi već su nedostupni. Dakle, također moramo pokušati kupiti nove lijekove po najnižoj mogućoj cijeni.</w:t>
      </w:r>
      <w:r>
        <w:rPr>
          <w:b/>
        </w:rPr>
        <w:t xml:space="preserve"> </w:t>
      </w:r>
    </w:p>
    <w:p>
      <w:pPr>
        <w:pStyle w:val="P68B1DB1Normal111"/>
        <w:widowControl w:val="false"/>
        <w:spacing w:lineRule="auto" w:line="240" w:before="131" w:after="0"/>
        <w:ind w:left="0" w:right="0" w:hanging="0"/>
        <w:jc w:val="left"/>
        <w:rPr/>
      </w:pPr>
      <w:r>
        <w:rPr/>
        <w:t xml:space="preserve">3. Zemlje se moraju usredotočiti na poboljšanje svojih zdravstvenih sustava i učiniti ga pravednijim. </w:t>
      </w:r>
    </w:p>
    <w:p>
      <w:pPr>
        <w:pStyle w:val="P68B1DB1Normal104"/>
        <w:widowControl w:val="false"/>
        <w:spacing w:lineRule="auto" w:line="240" w:before="85" w:after="0"/>
        <w:ind w:left="0" w:right="0" w:hanging="0"/>
        <w:jc w:val="left"/>
        <w:rPr/>
      </w:pPr>
      <w:r>
        <w:rPr/>
        <w:t xml:space="preserve">Nizozemska mnogo brine o zdravstvenoj skrbi, a ta zabrinutost nadilazi posljedice pandemije bolesti COVID-19. Znamo, na primjer, probleme sa strukturnim kapacitetima u bolnicama. Neki Nizozemci nemaju povjerenja u učinke tržišnih sila u zdravstvenom sektoru. Razumijemo da farmaceutske tvrtke trebaju nadoknaditi svoja ulaganja i da fondovi zdravstvenog osiguranja žele jeftinu zdravstvenu skrb, ali velike tvrtke ne bi smjele zloupotrijebiti svoju moć. EU bi u tom pogledu trebao donijeti pravila. Također smatramo da je zdravstvena skrb prije svega nacionalno pitanje. Zemlje bolje znaju koji su problemi i prioriteti na lokalnoj razini. Međutim, smatramo da je važno da europske zemlje mogu učiti jedna od druge kako bi poboljšale zdravstvenu skrb. </w:t>
      </w:r>
    </w:p>
    <w:p>
      <w:pPr>
        <w:pStyle w:val="P68B1DB1Normal104"/>
        <w:widowControl w:val="false"/>
        <w:spacing w:lineRule="auto" w:line="240" w:before="94" w:after="0"/>
        <w:ind w:left="0" w:right="0" w:hanging="0"/>
        <w:jc w:val="left"/>
        <w:rPr>
          <w:rFonts w:ascii="Calibri" w:hAnsi="Calibri"/>
          <w:color w:val="000000"/>
          <w:sz w:val="21"/>
        </w:rPr>
      </w:pPr>
      <w:r>
        <w:rPr/>
        <w:t xml:space="preserve"> </w:t>
      </w:r>
    </w:p>
    <w:p>
      <w:pPr>
        <w:pStyle w:val="P68B1DB1Normal126"/>
        <w:widowControl w:val="false"/>
        <w:spacing w:lineRule="auto" w:line="240"/>
        <w:ind w:left="0" w:right="0" w:hanging="0"/>
        <w:jc w:val="left"/>
        <w:rPr>
          <w:rFonts w:ascii="Calibri" w:hAnsi="Calibri"/>
          <w:color w:val="0070C0"/>
          <w:sz w:val="24"/>
        </w:rPr>
      </w:pPr>
      <w:r>
        <w:rPr/>
        <w:t xml:space="preserve">Rasprave i ideje na internetu i na licu mjesta </w:t>
      </w:r>
    </w:p>
    <w:p>
      <w:pPr>
        <w:pStyle w:val="P68B1DB1Normal118"/>
        <w:widowControl w:val="false"/>
        <w:spacing w:lineRule="auto" w:line="240" w:before="95" w:after="0"/>
        <w:ind w:left="0" w:right="0" w:hanging="0"/>
        <w:jc w:val="left"/>
        <w:rPr/>
      </w:pPr>
      <w:r>
        <w:rPr/>
        <w:t xml:space="preserve">Što se tiče dostupnosti lijekova u Europi, mogli bismo biti i malo ekonomičniji. Danas ga previše bacamo. </w:t>
      </w:r>
    </w:p>
    <w:p>
      <w:pPr>
        <w:pStyle w:val="P68B1DB1Normal104"/>
        <w:widowControl w:val="false"/>
        <w:spacing w:lineRule="auto" w:line="240" w:before="104" w:after="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pPr>
      <w:r>
        <w:rPr/>
        <w:t xml:space="preserve">Vrlo je dobro da je Njemačka primila pacijente iz Nizozemske koji boluju od bolesti COVID-19. Želim vidjeti više takve solidarnosti u Europi.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rFonts w:ascii="Calibri" w:hAnsi="Calibri"/>
          <w:i/>
          <w:i/>
          <w:color w:val="000000"/>
          <w:sz w:val="21"/>
        </w:rPr>
      </w:pPr>
      <w:r>
        <w:rPr/>
        <w:t xml:space="preserve">Gdje god živite u EU-u i jeste li bogati ili siromašni, svatko ima pravo na kvalitetnu skrb.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pPr>
      <w:r>
        <w:rPr/>
        <w:t xml:space="preserve">Kada kupujete lijekove, morate uzeti u obzir ne samo troškove, već i etiku. To, na primjer, znači da se dječji rad ne bi trebao koristiti.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ZAMISAO:</w:t>
      </w:r>
      <w:r>
        <w:rPr>
          <w:i/>
        </w:rPr>
        <w:t xml:space="preserve"> „Poboljšanje zdravlja Europljana osiguravanjem da su pod manjim stresom. Na primjer, smanjiti trajanje radnog tjedna.” </w:t>
      </w:r>
    </w:p>
    <w:p>
      <w:pPr>
        <w:pStyle w:val="P68B1DB1Normal118"/>
        <w:widowControl w:val="false"/>
        <w:spacing w:lineRule="auto" w:line="240"/>
        <w:ind w:left="0" w:right="0" w:hanging="0"/>
        <w:jc w:val="left"/>
        <w:rPr>
          <w:rFonts w:ascii="Calibri" w:hAnsi="Calibri"/>
          <w:i/>
          <w:i/>
          <w:color w:val="000000"/>
          <w:sz w:val="21"/>
        </w:rPr>
      </w:pPr>
      <w:r>
        <w:rPr/>
        <w:t xml:space="preserve"> </w:t>
      </w:r>
    </w:p>
    <w:p>
      <w:pPr>
        <w:pStyle w:val="P68B1DB1Normal104"/>
        <w:widowControl w:val="false"/>
        <w:spacing w:lineRule="auto" w:line="240"/>
        <w:ind w:left="0" w:right="0" w:hanging="0"/>
        <w:jc w:val="left"/>
        <w:rPr/>
      </w:pPr>
      <w:r>
        <w:rPr/>
        <w:t>ZAMISAO:</w:t>
      </w:r>
      <w:r>
        <w:rPr>
          <w:i/>
        </w:rPr>
        <w:t xml:space="preserve"> Omogućavanje mladima da donose zdravije odluke kroz ozbiljne igre proširene stvarnosti.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rFonts w:ascii="Calibri" w:hAnsi="Calibri"/>
          <w:i/>
          <w:i/>
          <w:color w:val="000000"/>
          <w:sz w:val="21"/>
        </w:rPr>
      </w:pPr>
      <w:r>
        <w:rPr/>
        <w:t xml:space="preserve">Stanovnika Utrechta marokanskog podrijetla: Zdravlje može imati određenu cijenu.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Zaklada „Marokkaans Dialoog Overvecht” (MDO) (Moroccan dijalog u Overvechtu) posvećena je sudjelovanju marokanske zajednice u okrugu Overvecht u Utrechtu. U tu svrhu potiče dijalog u susjedstvu i stoga se bori protiv nejednakosti. Sudionici tematskog dijaloga u okviru vizije Europe smatraju da je europska suradnja vrlo korisna. Međutim, neki smatraju da je Nizozemska ponekad previše ovisna o drugim zemljama. Upravljanje krizom uzrokovanom bolešću COVID-19 navedeno je kao primjer u tom pogledu. Prema mišljenju sudionika, brojna savjetovanja u Europi dovela su do toga da je Nizozemska prekasno počela cijepiti protiv bolesti COVID-19. „Možda će to koštati više ako Nizozemska želi sama odlučiti više”, rekao je netko. Ali radi se o zdravlju, to može koštati malo više.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pPr>
      <w:r>
        <w:rPr/>
        <w:t xml:space="preserve">Od Helmondovih studenata: Bolje je učiti inteligentno jedni od drugih nego slijediti isti pristup.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both"/>
        <w:rPr/>
      </w:pPr>
      <w:r>
        <w:rPr/>
        <w:t xml:space="preserve">Na koledžu dr. Knippenberg u Helmondu studenti u dobi od oko 16 godina raspravljali su o europskom upravljanju pandemijom bolesti COVID-19. Neki smatraju da su države članice EU-a trebale zajednički definirati program cijepljenja. Većina sudionika smatrala je da zemlje same imaju bolju predodžbu o tome što je potrebno i što funkcionira. Oni su stoga bolje sposobni, prema njima, odlučiti što je ispravno za stanovništvo. Oni bolje znaju, na primjer, koji sektori prvo trebaju cijepljenje, a koji mogu čekati. „Prirodno je vrlo dobro da se zemlje međusobno savjetuju”, rekao je jedan od studenata. Ako mnoge zemlje imaju svoj pristup, mogu promatrati što druge rade i učiti jedni od drugih. </w:t>
      </w:r>
    </w:p>
    <w:p>
      <w:pPr>
        <w:pStyle w:val="Normal"/>
        <w:widowControl w:val="false"/>
        <w:spacing w:lineRule="auto" w:line="240"/>
        <w:ind w:left="0" w:right="0" w:hanging="0"/>
        <w:jc w:val="left"/>
        <w:rPr>
          <w:rFonts w:ascii="Calibri" w:hAnsi="Calibri"/>
          <w:color w:val="000000"/>
          <w:sz w:val="21"/>
        </w:rPr>
      </w:pPr>
      <w:r>
        <w:rPr>
          <w:rFonts w:ascii="Calibri" w:hAnsi="Calibri"/>
          <w:color w:val="000000"/>
          <w:sz w:val="21"/>
        </w:rPr>
      </w:r>
      <w:r>
        <w:br w:type="page"/>
      </w:r>
    </w:p>
    <w:p>
      <w:pPr>
        <w:pStyle w:val="P68B1DB1Normal125"/>
        <w:widowControl w:val="false"/>
        <w:spacing w:lineRule="auto" w:line="240"/>
        <w:ind w:left="0" w:right="0" w:hanging="0"/>
        <w:jc w:val="left"/>
        <w:rPr>
          <w:rFonts w:ascii="Calibri" w:hAnsi="Calibri"/>
          <w:b/>
          <w:b/>
          <w:color w:val="0070C0"/>
          <w:sz w:val="32"/>
        </w:rPr>
      </w:pPr>
      <w:r>
        <w:rPr/>
        <w:t xml:space="preserve">Uloga EU-a u svijetu </w:t>
      </w:r>
    </w:p>
    <w:p>
      <w:pPr>
        <w:pStyle w:val="P68B1DB1Normal104"/>
        <w:widowControl w:val="false"/>
        <w:spacing w:lineRule="auto" w:line="240" w:before="126" w:after="0"/>
        <w:ind w:left="0" w:right="0" w:hanging="0"/>
        <w:jc w:val="left"/>
        <w:rPr/>
      </w:pPr>
      <w:r>
        <w:rPr/>
        <w:t xml:space="preserve">Svijet se suočava s velikim izazovima. EU je uvjeren da se pitanja kao što su klimatske promjene i pandemije mogu rješavati samo putem globalne suradnje. EU želi izraziti svoj glas na svjetskoj sceni u tom pogledu, na primjer, uz SAD i Kinu. Kakav je stav Nizozemske o tome? </w:t>
      </w:r>
    </w:p>
    <w:p>
      <w:pPr>
        <w:pStyle w:val="P68B1DB1Normal126"/>
        <w:widowControl w:val="false"/>
        <w:spacing w:lineRule="auto" w:line="240" w:before="125" w:after="0"/>
        <w:ind w:left="0" w:right="0" w:hanging="0"/>
        <w:jc w:val="left"/>
        <w:rPr>
          <w:rFonts w:ascii="Calibri" w:hAnsi="Calibri"/>
          <w:color w:val="0070C0"/>
          <w:sz w:val="24"/>
        </w:rPr>
      </w:pPr>
      <w:r>
        <w:rPr/>
        <w:t xml:space="preserve">Preporuke – Naša vizija uloge EU-a u svijetu </w:t>
      </w:r>
    </w:p>
    <w:p>
      <w:pPr>
        <w:pStyle w:val="P68B1DB1Normal120"/>
        <w:widowControl w:val="false"/>
        <w:spacing w:lineRule="auto" w:line="240" w:before="126" w:after="0"/>
        <w:ind w:left="0" w:right="0" w:hanging="0"/>
        <w:jc w:val="left"/>
        <w:rPr>
          <w:rFonts w:ascii="Calibri" w:hAnsi="Calibri"/>
          <w:b/>
          <w:b/>
          <w:color w:val="000000"/>
          <w:sz w:val="21"/>
        </w:rPr>
      </w:pPr>
      <w:r>
        <w:rPr/>
        <w:t xml:space="preserve">56 % Nizozemaca smatra da je uloga EU-a u svijetu važna tema i da EU mora intervenirati u tom području. </w:t>
      </w:r>
    </w:p>
    <w:p>
      <w:pPr>
        <w:pStyle w:val="P68B1DB1Normal111"/>
        <w:widowControl w:val="false"/>
        <w:spacing w:lineRule="auto" w:line="240" w:before="112" w:after="0"/>
        <w:ind w:left="0" w:right="0" w:hanging="0"/>
        <w:jc w:val="left"/>
        <w:rPr>
          <w:rFonts w:ascii="Calibri" w:hAnsi="Calibri"/>
          <w:b/>
          <w:b/>
          <w:color w:val="000000"/>
          <w:sz w:val="22"/>
        </w:rPr>
      </w:pPr>
      <w:r>
        <w:rPr/>
        <w:t xml:space="preserve">1. Iskorištavanje moći EU-a uglavnom u kontekstu glavnih međunarodnih tema </w:t>
      </w:r>
    </w:p>
    <w:p>
      <w:pPr>
        <w:pStyle w:val="P68B1DB1Normal104"/>
        <w:widowControl w:val="false"/>
        <w:spacing w:lineRule="auto" w:line="240"/>
        <w:ind w:left="0" w:right="0" w:hanging="0"/>
        <w:jc w:val="left"/>
        <w:rPr/>
      </w:pPr>
      <w:r>
        <w:rPr/>
        <w:t xml:space="preserve">Činjenica da je njegovo stvaranje pridonijelo Europljanima koji žive u miru više od 75 godina mnogi Nizozemci smatraju glavnom dodanom vrijednošću EU-a. Nizozemska također vjeruje da je moć EU-a u zajedničkom upravljanju velikim međunarodnim izazovima. Razmišljamo, primjerice, o klimatskim promjenama, pandemiji bolesti COVID-19 i izbjegličkoj krizi. Države članice EU-a također mogu imati veći utjecaj na treće zemlje kolektivnim sklapanjem međunarodnih sporazuma EU-a. Vjerujemo da je naša zemlja premala da bi napravila razliku samo u tim područjima. Međutim, Nizozemci žele da Nizozemska i dalje donosi vlastite odluke na temelju vlastite kulture i interesa. Suradnja u Europi stoga također mora osigurati učinkovitost i političku moć prije svega. </w:t>
      </w:r>
    </w:p>
    <w:p>
      <w:pPr>
        <w:pStyle w:val="P68B1DB1Normal113"/>
        <w:widowControl w:val="false"/>
        <w:spacing w:lineRule="auto" w:line="240" w:before="200" w:after="0"/>
        <w:ind w:left="0" w:right="0" w:hanging="0"/>
        <w:jc w:val="center"/>
        <w:rPr/>
      </w:pPr>
      <w:r>
        <w:rPr/>
        <w:t xml:space="preserve">Lakše je sklapati sporazume o suradnji unutar EU-a nego kao izolirana zemlja. </w:t>
      </w:r>
    </w:p>
    <w:p>
      <w:pPr>
        <w:pStyle w:val="P68B1DB1Normal111"/>
        <w:widowControl w:val="false"/>
        <w:spacing w:lineRule="auto" w:line="240" w:before="174" w:after="0"/>
        <w:ind w:left="0" w:right="0" w:hanging="0"/>
        <w:jc w:val="left"/>
        <w:rPr>
          <w:rFonts w:ascii="Calibri" w:hAnsi="Calibri"/>
          <w:b/>
          <w:b/>
          <w:color w:val="000000"/>
          <w:sz w:val="22"/>
        </w:rPr>
      </w:pPr>
      <w:r>
        <w:rPr/>
        <w:t xml:space="preserve">2. Unutar i izvan Europe birajte suradnju, a ne borbu </w:t>
      </w:r>
    </w:p>
    <w:p>
      <w:pPr>
        <w:pStyle w:val="P68B1DB1Normal104"/>
        <w:widowControl w:val="false"/>
        <w:spacing w:lineRule="auto" w:line="240" w:before="1" w:after="0"/>
        <w:ind w:left="0" w:right="0" w:hanging="0"/>
        <w:jc w:val="left"/>
        <w:rPr/>
      </w:pPr>
      <w:r>
        <w:rPr/>
        <w:t xml:space="preserve">66 posto Nizozemaca smatra da EU mora formirati jači blok protiv drugih međunarodnih blokova. Svjedoci smo slabljenja ravnoteže u svijetu. Zemlje poput Kine i Rusije stalno proširuju svoju moć u različitim područjima. To nas puno brine. EU stoga mora posvetiti veću pozornost, primjerice, međunarodnoj sigurnosti i zaštiti europskog gospodarstva od nepoštenih trgovačkih praksi. Smatramo da je u tom pogledu važno da se države članice bolje i brže koordiniraju. To će nam omogućiti da se naš glas jasnije čuje. Činjenica da smo zajedno jači kao europske zemlje ne znači da želimo ići u sukob. Također želimo, koliko je to moguće, dobru suradnju s trećim zemljama. </w:t>
      </w:r>
    </w:p>
    <w:p>
      <w:pPr>
        <w:pStyle w:val="P68B1DB1Normal113"/>
        <w:widowControl w:val="false"/>
        <w:spacing w:lineRule="auto" w:line="240" w:before="200" w:after="0"/>
        <w:ind w:left="0" w:right="0" w:hanging="0"/>
        <w:jc w:val="center"/>
        <w:rPr/>
      </w:pPr>
      <w:r>
        <w:rPr/>
        <w:t>„</w:t>
      </w:r>
      <w:r>
        <w:rPr/>
        <w:t xml:space="preserve">Smanjenje unutarnjih sporova i sukoba povećat će ugled i moć utjecaja EU-a na svjetskoj sceni.” </w:t>
      </w:r>
    </w:p>
    <w:p>
      <w:pPr>
        <w:pStyle w:val="P68B1DB1Normal111"/>
        <w:widowControl w:val="false"/>
        <w:spacing w:lineRule="auto" w:line="240" w:before="174" w:after="0"/>
        <w:ind w:left="0" w:right="0" w:hanging="0"/>
        <w:jc w:val="left"/>
        <w:rPr>
          <w:rFonts w:ascii="Calibri" w:hAnsi="Calibri"/>
          <w:b/>
          <w:b/>
          <w:color w:val="000000"/>
          <w:sz w:val="22"/>
        </w:rPr>
      </w:pPr>
      <w:r>
        <w:rPr/>
        <w:t xml:space="preserve">3. Pružanje, na promišljen način, pomoći u slučaju sukoba </w:t>
      </w:r>
    </w:p>
    <w:p>
      <w:pPr>
        <w:pStyle w:val="Normal"/>
        <w:widowControl w:val="false"/>
        <w:spacing w:lineRule="auto" w:line="240"/>
        <w:ind w:left="0" w:right="0" w:hanging="0"/>
        <w:jc w:val="left"/>
        <w:rPr/>
      </w:pPr>
      <w:r>
        <w:rPr>
          <w:rFonts w:ascii="Calibri" w:hAnsi="Calibri"/>
          <w:color w:val="000000"/>
          <w:sz w:val="21"/>
        </w:rPr>
        <w:t xml:space="preserve">Kao dio jačanja uloge EU-a u međunarodnoj areni, 50 % Nizozemaca smatra da je pristup sukobima u svijetu važna tema. Najbolji način reagiranja na sukobe je, prema njima, teško odrediti. Povijest je pokazala da vojna intervencija u zemlji nije uvijek korisna. To može, primjerice, dovesti do nepredviđenih visokih troškova i stvoriti dodatne izbjegličke tokove. S obzirom na taj lokalni utjecaj, zemlje bi trebale same odlučiti hoće li sudjelovati u ratu. Općenito nas zanima pojačana suradnja među europskim vojskama: smatramo da je važno da se Europa može dobro braniti. Ali uvijek radije rješavamo sukobe bez pribjegavanja nasilju. </w:t>
      </w:r>
      <w:r>
        <w:br w:type="page"/>
      </w:r>
    </w:p>
    <w:p>
      <w:pPr>
        <w:pStyle w:val="P68B1DB1Normal113"/>
        <w:widowControl w:val="false"/>
        <w:spacing w:lineRule="auto" w:line="240"/>
        <w:ind w:left="0" w:right="0" w:hanging="0"/>
        <w:jc w:val="left"/>
        <w:rPr/>
      </w:pPr>
      <w:r>
        <w:rPr/>
        <w:t xml:space="preserve">Tijekom evakuacije Afganistana, svaka je zemlja djelovala u svom kutku. Još uvijek smo mogli učiniti bolje, zar ne? </w:t>
      </w:r>
    </w:p>
    <w:p>
      <w:pPr>
        <w:pStyle w:val="P68B1DB1Normal126"/>
        <w:widowControl w:val="false"/>
        <w:spacing w:lineRule="auto" w:line="240" w:before="85" w:after="0"/>
        <w:ind w:left="0" w:right="0" w:hanging="0"/>
        <w:jc w:val="left"/>
        <w:rPr>
          <w:rFonts w:ascii="Calibri" w:hAnsi="Calibri"/>
          <w:color w:val="0070C0"/>
          <w:sz w:val="24"/>
        </w:rPr>
      </w:pPr>
      <w:r>
        <w:rPr/>
        <w:t xml:space="preserve">Rasprave i ideje na internetu i na licu mjesta </w:t>
      </w:r>
    </w:p>
    <w:p>
      <w:pPr>
        <w:pStyle w:val="P68B1DB1Normal118"/>
        <w:widowControl w:val="false"/>
        <w:spacing w:lineRule="auto" w:line="240" w:before="78" w:after="0"/>
        <w:ind w:left="0" w:right="0" w:hanging="0"/>
        <w:jc w:val="left"/>
        <w:rPr>
          <w:rFonts w:ascii="Calibri" w:hAnsi="Calibri"/>
          <w:i/>
          <w:i/>
          <w:color w:val="000000"/>
          <w:sz w:val="21"/>
        </w:rPr>
      </w:pPr>
      <w:r>
        <w:rPr/>
        <w:t xml:space="preserve">EU prvo mora uspostaviti red u svojim poslovima prije nego što se suoči s drugima. </w:t>
      </w:r>
    </w:p>
    <w:p>
      <w:pPr>
        <w:pStyle w:val="P68B1DB1Normal118"/>
        <w:widowControl w:val="false"/>
        <w:spacing w:lineRule="auto" w:line="240" w:before="87" w:after="0"/>
        <w:ind w:left="0" w:right="0" w:hanging="0"/>
        <w:jc w:val="left"/>
        <w:rPr>
          <w:rFonts w:ascii="Calibri" w:hAnsi="Calibri"/>
          <w:i/>
          <w:i/>
          <w:color w:val="000000"/>
          <w:sz w:val="21"/>
        </w:rPr>
      </w:pPr>
      <w:r>
        <w:rPr/>
        <w:t xml:space="preserve"> </w:t>
      </w:r>
    </w:p>
    <w:p>
      <w:pPr>
        <w:pStyle w:val="P68B1DB1Normal118"/>
        <w:widowControl w:val="false"/>
        <w:spacing w:lineRule="auto" w:line="240"/>
        <w:ind w:left="0" w:right="0" w:hanging="0"/>
        <w:jc w:val="left"/>
        <w:rPr>
          <w:rFonts w:ascii="Calibri" w:hAnsi="Calibri"/>
          <w:i/>
          <w:i/>
          <w:color w:val="000000"/>
          <w:sz w:val="21"/>
        </w:rPr>
      </w:pPr>
      <w:r>
        <w:rPr/>
        <w:t xml:space="preserve">Masovnom kupnjom kineskih proizvoda kao Europljani, podržavamo samu Kinu. </w:t>
      </w:r>
    </w:p>
    <w:p>
      <w:pPr>
        <w:pStyle w:val="P68B1DB1Normal118"/>
        <w:widowControl w:val="false"/>
        <w:spacing w:lineRule="auto" w:line="240"/>
        <w:ind w:left="0" w:right="0" w:hanging="0"/>
        <w:jc w:val="left"/>
        <w:rPr>
          <w:rFonts w:ascii="Calibri" w:hAnsi="Calibri"/>
          <w:i/>
          <w:i/>
          <w:color w:val="000000"/>
          <w:sz w:val="21"/>
        </w:rPr>
      </w:pPr>
      <w:r>
        <w:rPr/>
        <w:t xml:space="preserve"> </w:t>
      </w:r>
    </w:p>
    <w:p>
      <w:pPr>
        <w:pStyle w:val="P68B1DB1Normal118"/>
        <w:widowControl w:val="false"/>
        <w:spacing w:lineRule="auto" w:line="240"/>
        <w:ind w:left="0" w:right="0" w:hanging="0"/>
        <w:jc w:val="left"/>
        <w:rPr>
          <w:rFonts w:ascii="Calibri" w:hAnsi="Calibri"/>
          <w:i/>
          <w:i/>
          <w:color w:val="000000"/>
          <w:sz w:val="21"/>
        </w:rPr>
      </w:pPr>
      <w:r>
        <w:rPr/>
        <w:t xml:space="preserve">Sjedinjene Države i dalje igraju vrlo važnu ulogu u obrani Europe. </w:t>
      </w:r>
    </w:p>
    <w:p>
      <w:pPr>
        <w:pStyle w:val="P68B1DB1Normal118"/>
        <w:widowControl w:val="false"/>
        <w:spacing w:lineRule="auto" w:line="240"/>
        <w:ind w:left="0" w:right="0" w:hanging="0"/>
        <w:jc w:val="left"/>
        <w:rPr>
          <w:rFonts w:ascii="Calibri" w:hAnsi="Calibri"/>
          <w:i/>
          <w:i/>
          <w:color w:val="000000"/>
          <w:sz w:val="21"/>
        </w:rPr>
      </w:pPr>
      <w:r>
        <w:rPr/>
        <w:t xml:space="preserve"> </w:t>
      </w:r>
    </w:p>
    <w:p>
      <w:pPr>
        <w:pStyle w:val="P68B1DB1Normal118"/>
        <w:widowControl w:val="false"/>
        <w:spacing w:lineRule="auto" w:line="240"/>
        <w:ind w:left="0" w:right="0" w:hanging="0"/>
        <w:jc w:val="left"/>
        <w:rPr/>
      </w:pPr>
      <w:r>
        <w:rPr/>
        <w:t xml:space="preserve">Biti članom EU-a znači i sjediti za pregovaračkim stolom. To omogućuje raspravu o važnim odlukama.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pPr>
      <w:r>
        <w:rPr/>
        <w:t xml:space="preserve">EU se mora prestati doživljavati kao izolirani subjekt, jer to nije. To je udruženje europskih država članica i trebalo bi se ponašati kao takvo.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ZAMISAO:</w:t>
      </w:r>
      <w:r>
        <w:rPr>
          <w:i/>
        </w:rPr>
        <w:t xml:space="preserve"> Kao i redovna globalna konferencija o klimi, trebalo bi održati i konferenciju o ljudskim pravima.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ZAMISAO: </w:t>
      </w:r>
      <w:r>
        <w:rPr>
          <w:i/>
        </w:rPr>
        <w:t>„Učiniti europske vojske učinkovitijima, primjerice većom uporabom zajedničke nabave opreme.”</w:t>
      </w:r>
      <w:r>
        <w:rPr/>
        <w:t xml:space="preserve">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rFonts w:ascii="Calibri" w:hAnsi="Calibri"/>
          <w:i/>
          <w:i/>
          <w:color w:val="000000"/>
          <w:sz w:val="21"/>
        </w:rPr>
      </w:pPr>
      <w:r>
        <w:rPr/>
        <w:t xml:space="preserve">Nizozemsko-marokanske žene: Promicanje ljudskih prava.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ind w:left="0" w:right="0" w:hanging="0"/>
        <w:jc w:val="left"/>
        <w:rPr/>
      </w:pPr>
      <w:r>
        <w:rPr>
          <w:rFonts w:ascii="Calibri" w:hAnsi="Calibri"/>
          <w:color w:val="000000"/>
          <w:sz w:val="21"/>
        </w:rPr>
        <w:t>„</w:t>
      </w:r>
      <w:commentRangeStart w:id="28"/>
      <w:r>
        <w:rPr>
          <w:rFonts w:ascii="Calibri" w:hAnsi="Calibri"/>
          <w:color w:val="000000"/>
          <w:sz w:val="21"/>
        </w:rPr>
        <w:t>Žene za</w:t>
      </w:r>
      <w:r>
        <w:rPr>
          <w:rFonts w:ascii="Calibri" w:hAnsi="Calibri"/>
          <w:color w:val="000000"/>
          <w:sz w:val="21"/>
        </w:rPr>
      </w:r>
      <w:commentRangeEnd w:id="28"/>
      <w:r>
        <w:commentReference w:id="28"/>
      </w:r>
      <w:r>
        <w:rPr>
          <w:rFonts w:ascii="Calibri" w:hAnsi="Calibri"/>
          <w:color w:val="000000"/>
          <w:sz w:val="21"/>
        </w:rPr>
        <w:t xml:space="preserve">slobodu” nizozemska je zaklada koja se bori protiv prisilnih brakova, seksualnog ugnjetavanja i financijskog zlostavljanja djevojčica i žena bikulturnog podrijetla. U suradnji s ovom zakladom organiziran je sastanak s grupom nizozemsko-marokanskih žena. Sudionici vjeruju da je EU trenutačno previše ovisan o Rusiji i Kini. „Smatramo da se EU općenito ne usuđuje ništa predložiti zbog straha od sankcija”, rekao je jedan od njih. Proizvodnja lijekova, koja često može biti mnogo jeftinija, navodi se kao primjer. „U slučaju sukoba, Kina može zatvoriti slavinu, a mi nećemo imati ništa”, rekao je jedan sudionik. Također je postavljeno pitanje ljudskih prava. „Svi se ponašamo kao da smatramo da je to vrlo važno, ali zatvaramo pogled na ono što Kina radi s Ujgurima”, kaže netko.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rFonts w:ascii="Calibri" w:hAnsi="Calibri"/>
          <w:i/>
          <w:i/>
          <w:color w:val="000000"/>
          <w:sz w:val="21"/>
        </w:rPr>
      </w:pPr>
      <w:r>
        <w:rPr/>
        <w:t xml:space="preserve">Studenti iz Tehnazije Alkmaar: Nema zajedničke vojske.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ind w:left="0" w:right="0" w:hanging="0"/>
        <w:jc w:val="left"/>
        <w:rPr/>
      </w:pPr>
      <w:r>
        <w:rPr>
          <w:rFonts w:ascii="Calibri" w:hAnsi="Calibri"/>
          <w:color w:val="000000"/>
          <w:sz w:val="21"/>
        </w:rPr>
        <w:t xml:space="preserve">U svom tematskom dijalogu, studenti Technasium Jan Arentz u Alkmaaru raspravljali su o prednostima i nedostacima zajedničke europske vojske. Sudionici su izjavili da to ne podržavaju. Kada se neka država članica EU-a svađa s trećom zemljom, trebali bismo moći automatski sudjelovati u ratu. Mislim da zemlje moraju biti u stanju samostalno odlučivati", rekao je netko. Razgovaralo se i o mogućnosti Trećeg svjetskog rata. Ova mogućnost se ne smatra vrlo velikom od strane studenata, ali oni misle da ako dođemo tamo, rješenje bi se ipak moglo brzo pronaći. Vojska također može dobro surađivati. Prema mojem mišljenju, nema potrebe za postojanjem europske vojske. </w:t>
      </w:r>
      <w:r>
        <w:br w:type="page"/>
      </w:r>
    </w:p>
    <w:p>
      <w:pPr>
        <w:pStyle w:val="P68B1DB1Normal125"/>
        <w:widowControl w:val="false"/>
        <w:spacing w:lineRule="auto" w:line="240"/>
        <w:ind w:left="0" w:right="0" w:hanging="0"/>
        <w:jc w:val="left"/>
        <w:rPr>
          <w:rFonts w:ascii="Calibri" w:hAnsi="Calibri"/>
          <w:b/>
          <w:b/>
          <w:color w:val="0070C0"/>
          <w:sz w:val="32"/>
        </w:rPr>
      </w:pPr>
      <w:r>
        <w:rPr/>
        <w:t xml:space="preserve">Metodologija korištena u anketi </w:t>
      </w:r>
    </w:p>
    <w:p>
      <w:pPr>
        <w:pStyle w:val="P68B1DB1Normal104"/>
        <w:widowControl w:val="false"/>
        <w:spacing w:lineRule="auto" w:line="240" w:before="150" w:after="0"/>
        <w:ind w:left="0" w:right="0" w:hanging="0"/>
        <w:jc w:val="left"/>
        <w:rPr/>
      </w:pPr>
      <w:r>
        <w:rPr/>
        <w:t xml:space="preserve">Vizija Europe sastoji se od različitih oblika međusobno povezanih dijaloga koji prikupljaju stajališta i ideje nizozemskih građana o budućnosti Europe i EU-a. U ovom se poglavlju opisuje kako se ti blisko povezani dijalozi vode u skladu sa smjernicama koje se primjenjuju na nacionalne panele građana i građanki u kontekstu Konferencije o budućnosti Europe. </w:t>
      </w:r>
    </w:p>
    <w:p>
      <w:pPr>
        <w:pStyle w:val="P68B1DB1Normal126"/>
        <w:widowControl w:val="false"/>
        <w:spacing w:lineRule="auto" w:line="240" w:before="43" w:after="0"/>
        <w:ind w:left="0" w:right="0" w:hanging="0"/>
        <w:jc w:val="left"/>
        <w:rPr>
          <w:rFonts w:ascii="Calibri" w:hAnsi="Calibri"/>
          <w:color w:val="0070C0"/>
          <w:sz w:val="24"/>
        </w:rPr>
      </w:pPr>
      <w:r>
        <w:rPr/>
        <w:t xml:space="preserve">Struktura blisko povezanih dijaloga </w:t>
      </w:r>
    </w:p>
    <w:p>
      <w:pPr>
        <w:pStyle w:val="P68B1DB1Normal104"/>
        <w:widowControl w:val="false"/>
        <w:spacing w:lineRule="auto" w:line="240" w:before="114" w:after="0"/>
        <w:ind w:left="0" w:right="0" w:hanging="0"/>
        <w:jc w:val="left"/>
        <w:rPr>
          <w:rFonts w:ascii="Calibri" w:hAnsi="Calibri"/>
          <w:color w:val="000000"/>
          <w:sz w:val="21"/>
        </w:rPr>
      </w:pPr>
      <w:r>
        <w:rPr/>
        <w:t xml:space="preserve">Organizirani su sljedeći oblici dijaloga: </w:t>
      </w:r>
    </w:p>
    <w:p>
      <w:pPr>
        <w:pStyle w:val="P68B1DB1Normal119"/>
        <w:widowControl w:val="false"/>
        <w:spacing w:lineRule="auto" w:line="240"/>
        <w:ind w:left="0" w:right="0" w:hanging="0"/>
        <w:jc w:val="left"/>
        <w:rPr/>
      </w:pPr>
      <w:r>
        <w:rPr>
          <w:rFonts w:ascii="Calibri" w:hAnsi="Calibri"/>
        </w:rPr>
        <w:t>6.</w:t>
      </w:r>
      <w:r>
        <w:rPr/>
        <w:t xml:space="preserve"> </w:t>
      </w:r>
      <w:r>
        <w:rPr>
          <w:rFonts w:ascii="Calibri" w:hAnsi="Calibri"/>
        </w:rPr>
        <w:t>Anketiranje panela</w:t>
      </w:r>
    </w:p>
    <w:p>
      <w:pPr>
        <w:pStyle w:val="P68B1DB1Normal104"/>
        <w:widowControl w:val="false"/>
        <w:spacing w:lineRule="auto" w:line="240"/>
        <w:ind w:left="0" w:right="0" w:hanging="0"/>
        <w:jc w:val="left"/>
        <w:rPr>
          <w:rFonts w:ascii="Calibri" w:hAnsi="Calibri"/>
          <w:color w:val="000000"/>
          <w:sz w:val="21"/>
        </w:rPr>
      </w:pPr>
      <w:r>
        <w:rPr/>
        <w:t xml:space="preserve">Internetsko istraživanje reprezentativnog dijela nizozemskog stanovništva. </w:t>
      </w:r>
    </w:p>
    <w:p>
      <w:pPr>
        <w:pStyle w:val="P68B1DB1Normal119"/>
        <w:widowControl w:val="false"/>
        <w:spacing w:lineRule="auto" w:line="240"/>
        <w:ind w:left="0" w:right="0" w:hanging="0"/>
        <w:jc w:val="left"/>
        <w:rPr/>
      </w:pPr>
      <w:r>
        <w:rPr>
          <w:rFonts w:ascii="Calibri" w:hAnsi="Calibri"/>
        </w:rPr>
        <w:t>7.</w:t>
      </w:r>
      <w:r>
        <w:rPr/>
        <w:t xml:space="preserve"> </w:t>
      </w:r>
      <w:r>
        <w:rPr>
          <w:rFonts w:ascii="Calibri" w:hAnsi="Calibri"/>
        </w:rPr>
        <w:t>Internetski tematski dijalozi za produbljivanje</w:t>
      </w:r>
    </w:p>
    <w:p>
      <w:pPr>
        <w:pStyle w:val="P68B1DB1Normal104"/>
        <w:widowControl w:val="false"/>
        <w:spacing w:lineRule="auto" w:line="240"/>
        <w:ind w:left="0" w:right="0" w:hanging="0"/>
        <w:jc w:val="left"/>
        <w:rPr/>
      </w:pPr>
      <w:r>
        <w:rPr/>
        <w:t xml:space="preserve">Dijalozi u kojima su rezultati prvog privremenog izvješća „Naša vizija za Europu: mišljenja, ideje i preporuke” (8. listopada 2021.) detaljno se raspravlja sa skupinom Nizozemaca. </w:t>
      </w:r>
    </w:p>
    <w:p>
      <w:pPr>
        <w:pStyle w:val="P68B1DB1Normal119"/>
        <w:widowControl w:val="false"/>
        <w:spacing w:lineRule="auto" w:line="240"/>
        <w:ind w:left="0" w:right="0" w:hanging="0"/>
        <w:jc w:val="left"/>
        <w:rPr/>
      </w:pPr>
      <w:r>
        <w:rPr>
          <w:rFonts w:ascii="Calibri" w:hAnsi="Calibri"/>
        </w:rPr>
        <w:t>8.</w:t>
      </w:r>
      <w:r>
        <w:rPr/>
        <w:t xml:space="preserve"> </w:t>
      </w:r>
      <w:r>
        <w:rPr>
          <w:rFonts w:ascii="Calibri" w:hAnsi="Calibri"/>
        </w:rPr>
        <w:t>Dijalog s posebnim skupinama</w:t>
      </w:r>
    </w:p>
    <w:p>
      <w:pPr>
        <w:pStyle w:val="P68B1DB1Normal104"/>
        <w:widowControl w:val="false"/>
        <w:spacing w:lineRule="auto" w:line="240"/>
        <w:ind w:left="0" w:right="0" w:hanging="0"/>
        <w:jc w:val="left"/>
        <w:rPr>
          <w:rFonts w:ascii="Calibri" w:hAnsi="Calibri"/>
          <w:color w:val="000000"/>
          <w:sz w:val="21"/>
        </w:rPr>
      </w:pPr>
      <w:r>
        <w:rPr/>
        <w:t xml:space="preserve">Sastanci s nizozemskim građanima koji nisu navikli sudjelovati u anketama ili panelima (online). </w:t>
      </w:r>
    </w:p>
    <w:p>
      <w:pPr>
        <w:pStyle w:val="P68B1DB1Normal119"/>
        <w:widowControl w:val="false"/>
        <w:spacing w:lineRule="auto" w:line="240"/>
        <w:ind w:left="0" w:right="0" w:hanging="0"/>
        <w:jc w:val="left"/>
        <w:rPr/>
      </w:pPr>
      <w:r>
        <w:rPr>
          <w:rFonts w:ascii="Calibri" w:hAnsi="Calibri"/>
        </w:rPr>
        <w:t>9.</w:t>
      </w:r>
      <w:r>
        <w:rPr/>
        <w:t xml:space="preserve"> </w:t>
      </w:r>
      <w:r>
        <w:rPr>
          <w:rFonts w:ascii="Calibri" w:hAnsi="Calibri"/>
        </w:rPr>
        <w:t>Dijalog s mladima</w:t>
      </w:r>
    </w:p>
    <w:p>
      <w:pPr>
        <w:pStyle w:val="P68B1DB1Normal104"/>
        <w:widowControl w:val="false"/>
        <w:spacing w:lineRule="auto" w:line="240"/>
        <w:ind w:left="0" w:right="0" w:hanging="0"/>
        <w:jc w:val="left"/>
        <w:rPr>
          <w:rFonts w:ascii="Calibri" w:hAnsi="Calibri"/>
          <w:color w:val="000000"/>
          <w:sz w:val="21"/>
        </w:rPr>
      </w:pPr>
      <w:r>
        <w:rPr/>
        <w:t xml:space="preserve">Sastanci na kojima se raspravlja o europskim temama koje su najrelevantnije za te mlade. </w:t>
      </w:r>
    </w:p>
    <w:p>
      <w:pPr>
        <w:pStyle w:val="Normal"/>
        <w:widowControl w:val="false"/>
        <w:spacing w:lineRule="auto" w:line="240"/>
        <w:ind w:left="0" w:right="0" w:hanging="0"/>
        <w:jc w:val="left"/>
        <w:rPr/>
      </w:pPr>
      <w:r>
        <w:rPr>
          <w:rFonts w:ascii="Calibri" w:hAnsi="Calibri"/>
          <w:b/>
          <w:color w:val="000000"/>
          <w:sz w:val="21"/>
        </w:rPr>
        <w:t>10.</w:t>
      </w:r>
      <w:r>
        <w:rPr>
          <w:b/>
          <w:color w:val="000000"/>
          <w:sz w:val="21"/>
        </w:rPr>
        <w:t xml:space="preserve"> </w:t>
      </w:r>
      <w:r>
        <w:rPr>
          <w:rFonts w:ascii="Calibri" w:hAnsi="Calibri"/>
          <w:b/>
          <w:color w:val="000000"/>
          <w:sz w:val="21"/>
        </w:rPr>
        <w:t>Javna anketa na internetu: Upitnik i „Swipen naar de toekomst” (</w:t>
      </w:r>
      <w:commentRangeStart w:id="29"/>
      <w:r>
        <w:rPr>
          <w:rFonts w:ascii="Calibri" w:hAnsi="Calibri"/>
          <w:b/>
          <w:color w:val="000000"/>
          <w:sz w:val="21"/>
        </w:rPr>
        <w:t>Swiper</w:t>
      </w:r>
      <w:r>
        <w:rPr>
          <w:rFonts w:ascii="Calibri" w:hAnsi="Calibri"/>
          <w:b/>
          <w:color w:val="000000"/>
          <w:sz w:val="21"/>
        </w:rPr>
      </w:r>
      <w:commentRangeEnd w:id="29"/>
      <w:r>
        <w:commentReference w:id="29"/>
      </w:r>
      <w:r>
        <w:rPr>
          <w:rFonts w:ascii="Calibri" w:hAnsi="Calibri"/>
          <w:b/>
          <w:color w:val="000000"/>
          <w:sz w:val="21"/>
        </w:rPr>
        <w:t xml:space="preserve"> to the future) </w:t>
      </w:r>
    </w:p>
    <w:p>
      <w:pPr>
        <w:pStyle w:val="P68B1DB1Normal104"/>
        <w:widowControl w:val="false"/>
        <w:spacing w:lineRule="auto" w:line="240"/>
        <w:ind w:left="0" w:right="0" w:hanging="0"/>
        <w:jc w:val="left"/>
        <w:rPr/>
      </w:pPr>
      <w:r>
        <w:rPr/>
        <w:t xml:space="preserve">Upitnik panela mogli bi ispuniti i svi Nizozemci, uključujući one koji borave u inozemstvu. Upitnik je bio dostupan od 1. rujna 2021. do 14. studenoga 2021. Osim toga, u istom je razdoblju svaki Nizozemac mogao sudjelovati u akciji „Swipen naar de toekomst” (Swiper toekomst), internetskom alatu s 20 zahtjeva. </w:t>
      </w:r>
    </w:p>
    <w:p>
      <w:pPr>
        <w:pStyle w:val="Normal"/>
        <w:widowControl w:val="false"/>
        <w:spacing w:lineRule="auto" w:line="240"/>
        <w:ind w:left="0" w:right="0" w:hanging="0"/>
        <w:jc w:val="left"/>
        <w:rPr>
          <w:rFonts w:ascii="Calibri" w:hAnsi="Calibri"/>
          <w:color w:val="000000"/>
          <w:sz w:val="21"/>
        </w:rPr>
      </w:pPr>
      <w:r>
        <w:rPr>
          <w:rFonts w:ascii="Calibri" w:hAnsi="Calibri"/>
          <w:color w:val="000000"/>
          <w:sz w:val="21"/>
        </w:rPr>
      </w:r>
    </w:p>
    <w:p>
      <w:pPr>
        <w:pStyle w:val="P68B1DB1Normal125"/>
        <w:widowControl w:val="false"/>
        <w:spacing w:lineRule="auto" w:line="240" w:before="216" w:after="0"/>
        <w:ind w:left="0" w:right="0" w:hanging="0"/>
        <w:jc w:val="left"/>
        <w:rPr>
          <w:rFonts w:ascii="Calibri" w:hAnsi="Calibri"/>
          <w:b/>
          <w:b/>
          <w:color w:val="0070C0"/>
          <w:sz w:val="32"/>
        </w:rPr>
      </w:pPr>
      <w:r>
        <w:rPr/>
        <w:t xml:space="preserve">1. Anketiranje panela </w:t>
      </w:r>
    </w:p>
    <w:p>
      <w:pPr>
        <w:pStyle w:val="P68B1DB1Normal104"/>
        <w:widowControl w:val="false"/>
        <w:spacing w:lineRule="auto" w:line="240" w:before="150" w:after="0"/>
        <w:ind w:left="0" w:right="0" w:hanging="0"/>
        <w:jc w:val="left"/>
        <w:rPr/>
      </w:pPr>
      <w:r>
        <w:rPr/>
        <w:t xml:space="preserve">Nizozemski dijalog s građanima „Vizija Europe” započeo je 1. rujna panel-istraživanjem. U ovom opisu metodologije ankete ukratko objašnjavamo osmišljavanje i provedbu ove ankete panelu. </w:t>
      </w:r>
    </w:p>
    <w:p>
      <w:pPr>
        <w:pStyle w:val="P68B1DB1Normal126"/>
        <w:widowControl w:val="false"/>
        <w:spacing w:lineRule="auto" w:line="240" w:before="43" w:after="0"/>
        <w:ind w:left="0" w:right="0" w:hanging="0"/>
        <w:jc w:val="left"/>
        <w:rPr>
          <w:rFonts w:ascii="Calibri" w:hAnsi="Calibri"/>
          <w:color w:val="0070C0"/>
          <w:sz w:val="24"/>
        </w:rPr>
      </w:pPr>
      <w:r>
        <w:rPr/>
        <w:t xml:space="preserve">Ciljana i ciljana populacija </w:t>
      </w:r>
    </w:p>
    <w:p>
      <w:pPr>
        <w:pStyle w:val="Normal"/>
        <w:widowControl w:val="false"/>
        <w:spacing w:lineRule="auto" w:line="240" w:before="114" w:after="0"/>
        <w:ind w:left="0" w:right="0" w:hanging="0"/>
        <w:jc w:val="left"/>
        <w:rPr/>
      </w:pPr>
      <w:r>
        <w:rPr>
          <w:rFonts w:ascii="Calibri" w:hAnsi="Calibri"/>
          <w:color w:val="000000"/>
          <w:sz w:val="21"/>
        </w:rPr>
        <w:t>Anketa „Vizija Europe” započela je internetskim upitnikom o tome kako Nizozemci vide budućnost Europe. Upitnik je podnesen predstavničkom povjerenstvu, a otvoren je i za sve Nizozemce (uključujući one koji borave u inozemstvu). Osim toga, svaka je osoba mogla sudjelovati u akciji „Swipen naar de toekomst”</w:t>
      </w:r>
      <w:commentRangeStart w:id="30"/>
      <w:r>
        <w:rPr>
          <w:rFonts w:ascii="Calibri" w:hAnsi="Calibri"/>
          <w:color w:val="000000"/>
          <w:sz w:val="21"/>
        </w:rPr>
        <w:t>(</w:t>
      </w:r>
      <w:r>
        <w:rPr>
          <w:rFonts w:ascii="Calibri" w:hAnsi="Calibri"/>
          <w:color w:val="000000"/>
          <w:sz w:val="21"/>
        </w:rPr>
      </w:r>
      <w:commentRangeEnd w:id="30"/>
      <w:r>
        <w:commentReference w:id="30"/>
      </w:r>
      <w:r>
        <w:rPr>
          <w:rFonts w:ascii="Calibri" w:hAnsi="Calibri"/>
          <w:color w:val="000000"/>
          <w:sz w:val="21"/>
        </w:rPr>
        <w:t xml:space="preserve"> Swiper to the future), internetskom alatu s 20 zahtjeva. Rezultati panel-istraživanja uključivali su nekoliko tematskih dijaloga organiziranih kao nastavak procesa dijaloga s građanima „Vizija Europe”.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before="1" w:after="0"/>
        <w:ind w:left="0" w:right="0" w:hanging="0"/>
        <w:jc w:val="left"/>
        <w:rPr/>
      </w:pPr>
      <w:r>
        <w:rPr>
          <w:rFonts w:ascii="Calibri" w:hAnsi="Calibri"/>
          <w:color w:val="000000"/>
          <w:sz w:val="21"/>
        </w:rPr>
        <w:t xml:space="preserve">Ciljna populacija anketnog panela uključuje sve Nizozemce u dobi od 18 ili više godina koji su bili registrirani kao stanovnici u registru stanovništva u vrijeme početka terenskog rada. Prema navodima nizozemskog Državnog zavoda za statistiku (Centraal Bureau voor de Statistiek – CBS), ta je ciljna skupina od 1. siječnja 2021. imala 14.190 874 osobe. Donja granica od 18 godina odgovara izbornoj većini. Mi to zovemo populacijom anketnog povjerenstva. </w:t>
      </w:r>
      <w:r>
        <w:br w:type="page"/>
      </w:r>
    </w:p>
    <w:p>
      <w:pPr>
        <w:pStyle w:val="P68B1DB1Normal126"/>
        <w:widowControl w:val="false"/>
        <w:spacing w:lineRule="auto" w:line="240" w:before="43" w:after="0"/>
        <w:ind w:left="0" w:right="0" w:hanging="0"/>
        <w:jc w:val="left"/>
        <w:rPr>
          <w:rFonts w:ascii="Calibri" w:hAnsi="Calibri"/>
          <w:color w:val="0070C0"/>
          <w:sz w:val="24"/>
        </w:rPr>
      </w:pPr>
      <w:r>
        <w:rPr/>
        <w:t xml:space="preserve">Terenski rad </w:t>
      </w:r>
    </w:p>
    <w:p>
      <w:pPr>
        <w:pStyle w:val="P68B1DB1Normal104"/>
        <w:widowControl w:val="false"/>
        <w:spacing w:lineRule="auto" w:line="240" w:before="116" w:after="0"/>
        <w:ind w:left="0" w:right="0" w:hanging="0"/>
        <w:jc w:val="left"/>
        <w:rPr/>
      </w:pPr>
      <w:r>
        <w:rPr/>
        <w:t xml:space="preserve">Panel od više od 100.000 sudionika iz cijele zemlje (ISO certificiran, Research Keurmerk groep, Nederlandse marktonderzoek Associatie) korišten je za dobivanje digitalne slike „Medium Dutch”. Sudionici su se uključili u anketno povjerenstvo kako bi redovito iznosili svoja stajališta o širokom rasponu tema. Osim svoje intrinzične motivacije za doprinos, plaćaju se za odgovaranje na upitnike. Nekoliko znanstvenih studija pokazuje da ispitanici koji primaju naknadu za ispunjavanje upitnika ne daju znatno različite odgovore (izvor: </w:t>
      </w:r>
      <w:r>
        <w:rPr>
          <w:i/>
        </w:rPr>
        <w:t>Utječe li upotreba poticaja istraživanja na kvalitetu podataka?</w:t>
      </w:r>
      <w:r>
        <w:rPr/>
        <w:t xml:space="preserve">, Cole, J. S., Sarraf, S.A., Wang, X., 2015.).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pPr>
      <w:r>
        <w:rPr/>
        <w:t xml:space="preserve">Terenski rad započeo je 11. kolovoza 2021. i završio 19. rujna 2021. Za implementaciju je korištena samo jedna metoda prikupljanja podataka, tj. internetsko istraživanje. Članovi anketnog povjerenstva primili su poruku e-pošte s osobnom poveznicom na internetski upitnik. Nakon dva tjedna sudionici panela primili su podsjetnik. Pozivi na sudjelovanje poslani su u serijama i stratificirani (osiguravanjem jednake raspodjele podskupina) dok se ne dosegne potreban broj ispitanika. </w:t>
      </w:r>
    </w:p>
    <w:p>
      <w:pPr>
        <w:pStyle w:val="P68B1DB1Normal126"/>
        <w:widowControl w:val="false"/>
        <w:spacing w:lineRule="auto" w:line="240" w:before="42" w:after="0"/>
        <w:ind w:left="0" w:right="0" w:hanging="0"/>
        <w:jc w:val="left"/>
        <w:rPr>
          <w:rFonts w:ascii="Calibri" w:hAnsi="Calibri"/>
          <w:color w:val="0070C0"/>
          <w:sz w:val="24"/>
        </w:rPr>
      </w:pPr>
      <w:r>
        <w:rPr/>
        <w:t xml:space="preserve">Uzorkovanje i distribucija </w:t>
      </w:r>
    </w:p>
    <w:p>
      <w:pPr>
        <w:pStyle w:val="P68B1DB1Normal104"/>
        <w:widowControl w:val="false"/>
        <w:spacing w:lineRule="auto" w:line="240" w:before="114" w:after="0"/>
        <w:ind w:left="0" w:right="0" w:hanging="0"/>
        <w:jc w:val="left"/>
        <w:rPr/>
      </w:pPr>
      <w:r>
        <w:rPr/>
        <w:t xml:space="preserve">Izrada ankete temelji se na načelu da najmanje 3600 ispitanika mora sudjelovati u anketi kako bi se osigurala dobra statistička pouzdanost. Osim toga, taj broj omogućuje dobru raspodjelu među različitim općim karakteristikama stanovništva. Ne postoji samo jedna vrsta Nizozemaca. Stoga smo unaprijed osigurali da se uzorak dobro raspodjeljuje na više značajki. Nizozemska je relativno mala zemlja, ali mišljenja se mogu razlikovati po regijama. Položaj i važnost koja se pridaje temama mogu (djelomično) odrediti regija u kojoj živite. Na primjer, ljudi koji žive u ruralnim područjima mogu razumjeti temu kao što je sigurnost drugačije od onih u urbanim područjima. Istraživanje nizozemskog Ureda za socijalno i kulturno planiranje također pokazuje da osobe s višom razinom studija češće podržavaju EU od osoba s nižom razinom studija te da mladi više podržavaju EU od starijih osoba (izvor: </w:t>
      </w:r>
      <w:r>
        <w:rPr>
          <w:i/>
        </w:rPr>
        <w:t>Wat willen Nederlanders van de Europese Unie?</w:t>
      </w:r>
      <w:r>
        <w:rPr/>
        <w:t xml:space="preserve">, Nizozemski ured za socijalno i kulturno planiranje, Haag, 2019.).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pPr>
      <w:r>
        <w:rPr/>
        <w:t xml:space="preserve">Zbog toga smo prethodno razmjerno dodijelili sljedeće tri značajke kako bismo osigurali reprezentativnost uzorka: (1) boravište u regijama COROP-a, (2) dob i (3) razina obrazovanja. Raspodjela uzorka također je prikazana prema sljedećim općim karakteristikama: rod, podrijetlo, glavno zanimanje, politička orijentacija. </w:t>
      </w:r>
    </w:p>
    <w:p>
      <w:pPr>
        <w:pStyle w:val="P68B1DB1Normal104"/>
        <w:widowControl w:val="false"/>
        <w:spacing w:lineRule="auto" w:line="240" w:before="1" w:after="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Regije COROP-a razvijene su na temelju načela čvorišta („srce” s područjem privlačnosti ili regionalnom funkcijom) na temelju protoka ljudi koji putuju na posao. Priznaje se nekoliko kršenja načela čvorišta kako bi regije slijedile pokrajinske granice. Nakon reorganizacije općina izvan granica COROP-a, raspodjela je prilagođena (izvor: Nizozemski državni zavod za statistiku). U regijama COROP-a osigurali smo dobru raspodjelu među dobnim skupinama sa sljedećom raščlambom: u dobi od 18 do 34 godine, 35 – 54, 55 – 75 godina i stariji od 75 godina.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before="1" w:after="0"/>
        <w:ind w:left="0" w:right="0" w:hanging="0"/>
        <w:jc w:val="left"/>
        <w:rPr/>
      </w:pPr>
      <w:r>
        <w:rPr>
          <w:rFonts w:ascii="Calibri" w:hAnsi="Calibri"/>
          <w:color w:val="000000"/>
          <w:sz w:val="21"/>
        </w:rPr>
        <w:t xml:space="preserve">Naposljetku, osigurali smo reprezentativnu raspodjelu obrazovnih razina. U uzorku raspodjela ispitanika odgovara raspodjeli najviše razine obrazovanja na nacionalnoj razini, što je kako slijedi: </w:t>
      </w:r>
      <w:r>
        <w:br w:type="page"/>
      </w:r>
    </w:p>
    <w:p>
      <w:pPr>
        <w:pStyle w:val="P68B1DB1Normal120"/>
        <w:spacing w:lineRule="auto" w:line="240"/>
        <w:ind w:left="0" w:right="0" w:hanging="0"/>
        <w:rPr>
          <w:rFonts w:ascii="Calibri" w:hAnsi="Calibri"/>
          <w:b/>
          <w:b/>
          <w:color w:val="000000"/>
          <w:sz w:val="21"/>
        </w:rPr>
      </w:pPr>
      <w:r>
        <w:rPr/>
        <w:t xml:space="preserve">Najviša razina obrazovanja </w:t>
      </w:r>
    </w:p>
    <w:tbl>
      <w:tblPr>
        <w:tblW w:w="9586"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8222"/>
        <w:gridCol w:w="1363"/>
      </w:tblGrid>
      <w:tr>
        <w:trPr>
          <w:trHeight w:val="1031" w:hRule="atLeast"/>
        </w:trPr>
        <w:tc>
          <w:tcPr>
            <w:tcW w:w="82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Niska cijena: osnovnoškolsko, pripremno strukovno obrazovanje, 1. do 3. razred općeg višeg srednjoškolskog obrazovanja/predsveučilišnog obrazovanja, razina srednjoškolskog strukovnog obrazovanja 1</w:t>
            </w:r>
          </w:p>
        </w:tc>
        <w:tc>
          <w:tcPr>
            <w:tcW w:w="13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32,1 %</w:t>
            </w:r>
          </w:p>
        </w:tc>
      </w:tr>
      <w:tr>
        <w:trPr>
          <w:trHeight w:val="1031" w:hRule="atLeast"/>
        </w:trPr>
        <w:tc>
          <w:tcPr>
            <w:tcW w:w="82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Međusektorski: opće srednjoškolsko obrazovanje/predsveučilišno obrazovanje, srednjoškolsko strukovno obrazovanje od 2. do 4. stupnja</w:t>
            </w:r>
          </w:p>
        </w:tc>
        <w:tc>
          <w:tcPr>
            <w:tcW w:w="13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44,6 %</w:t>
            </w:r>
          </w:p>
        </w:tc>
      </w:tr>
      <w:tr>
        <w:trPr>
          <w:trHeight w:val="551" w:hRule="atLeast"/>
        </w:trPr>
        <w:tc>
          <w:tcPr>
            <w:tcW w:w="82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Visoka vrijednost: visoko strukovno obrazovanje ili sveučilišno obrazovanje</w:t>
            </w:r>
          </w:p>
        </w:tc>
        <w:tc>
          <w:tcPr>
            <w:tcW w:w="13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22,9 %</w:t>
            </w:r>
          </w:p>
        </w:tc>
      </w:tr>
      <w:tr>
        <w:trPr>
          <w:trHeight w:val="536" w:hRule="atLeast"/>
        </w:trPr>
        <w:tc>
          <w:tcPr>
            <w:tcW w:w="82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Nepoznato</w:t>
            </w:r>
          </w:p>
        </w:tc>
        <w:tc>
          <w:tcPr>
            <w:tcW w:w="13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0,4 %</w:t>
            </w:r>
          </w:p>
        </w:tc>
      </w:tr>
    </w:tbl>
    <w:p>
      <w:pPr>
        <w:pStyle w:val="P68B1DB1Normal126"/>
        <w:spacing w:lineRule="auto" w:line="240"/>
        <w:ind w:left="0" w:right="0" w:hanging="0"/>
        <w:rPr>
          <w:rFonts w:ascii="Calibri" w:hAnsi="Calibri"/>
          <w:color w:val="0070C0"/>
          <w:sz w:val="24"/>
        </w:rPr>
      </w:pPr>
      <w:r>
        <w:rPr/>
        <w:t xml:space="preserve">Stopa odgovora </w:t>
      </w:r>
    </w:p>
    <w:p>
      <w:pPr>
        <w:pStyle w:val="P68B1DB1Normal104"/>
        <w:widowControl w:val="false"/>
        <w:spacing w:lineRule="exact" w:line="386" w:before="116" w:after="0"/>
        <w:ind w:left="0" w:right="368" w:hanging="0"/>
        <w:jc w:val="left"/>
        <w:rPr/>
      </w:pPr>
      <w:r>
        <w:rPr/>
        <w:t xml:space="preserve">U anketi je sudjelovalo ukupno 4.086 osoba po panelu. Stoga je postignut cilj od 3 600 potpuno ispunjenih upitnika.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4596"/>
        <w:gridCol w:w="1189"/>
        <w:gridCol w:w="152"/>
        <w:gridCol w:w="1032"/>
        <w:gridCol w:w="831"/>
        <w:gridCol w:w="257"/>
        <w:gridCol w:w="1581"/>
      </w:tblGrid>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Odgovori regija i dobi COROP-a</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Od 18 do 34 godine</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Od 35 do 54 godine</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Od 55 do 75 godina</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više od 75 godina</w:t>
            </w:r>
          </w:p>
        </w:tc>
      </w:tr>
      <w:tr>
        <w:trPr>
          <w:trHeight w:val="551"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Sjeverni Drenthe</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Jugoistočno od Drenthea</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Jugozapadno od Drenthea</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Flevoland</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29</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33</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28</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Sjeverni Friesland</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20</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25</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Jugoistočno od Frieslanda</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Jugozapadno od Frieslanda</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Achterhoek</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27</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34</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Arnhem/Nijmegen</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52</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53</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55</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15</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Veluwe</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44</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48</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51</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Jugozapad od Gelderlanda</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16</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18</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20</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Veliki Delfzijl</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Istočni Groningen</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36"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Ostatak Groningena</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36</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26</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28</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Središnji Limburg</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13</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17</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21</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Sjeverni Limburg</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17</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20</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23</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Južni Limburg</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38</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40</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52</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Središte sjevernog Brabanta</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34</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35</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35</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11</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Sjeveroistočno od sjevernog Brabanta</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41</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43</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51</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14</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Zapadno od Brabanta</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40</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47</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49</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15</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Jugoistok sjevernog Brabanta</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55</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56</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58</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Haarlem aglomeracija</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13</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18</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18</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Alkmaar i okolica</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14</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19</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19</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6</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Veliki Amsterdam</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116</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104</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88</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23</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Gooi i Vechtstreek</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13</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21</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19</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IJmond</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12</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14</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15</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Vrh sjeverne Nizozemske</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22</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27</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30</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9</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Regija Zaan</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11</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13</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12</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Sjeverni Overijssel</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25</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28</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25</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Twente</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41</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44</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46</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14</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Jugozapadno od Overijssela</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10</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11</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12</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Utrecht</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96</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100</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89</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Ostatak Zeelanda</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16</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21</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23</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Zeeland Flandrija</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6</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8</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9</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Aglomeracija Leidena i regija žarulja</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30</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31</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31</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10</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Aglomeracija Haaga</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63</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70</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57</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Delft i Westland</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19</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15</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15</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Veliki Rijnmond</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103</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107</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99</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31</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Istočno od južne Nizozemske</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22</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24</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25</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Jugoistok južne Nizozemske</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24</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26</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26</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9</w:t>
            </w:r>
          </w:p>
        </w:tc>
      </w:tr>
      <w:tr>
        <w:trPr>
          <w:trHeight w:val="356" w:hRule="atLeast"/>
        </w:trPr>
        <w:tc>
          <w:tcPr>
            <w:tcW w:w="5937" w:type="dxa"/>
            <w:gridSpan w:val="3"/>
            <w:tcBorders/>
            <w:shd w:fill="auto" w:val="clear"/>
            <w:vAlign w:val="bottom"/>
          </w:tcPr>
          <w:p>
            <w:pPr>
              <w:pStyle w:val="Contenudetableau"/>
              <w:spacing w:before="57" w:after="57"/>
              <w:jc w:val="left"/>
              <w:rPr>
                <w:b/>
                <w:b/>
                <w:color w:val="000000"/>
              </w:rPr>
            </w:pPr>
            <w:r>
              <w:rPr>
                <w:b/>
                <w:color w:val="000000"/>
              </w:rPr>
              <w:t>Odgovori prema razini obrazovanja</w:t>
            </w:r>
          </w:p>
        </w:tc>
        <w:tc>
          <w:tcPr>
            <w:tcW w:w="1863" w:type="dxa"/>
            <w:gridSpan w:val="2"/>
            <w:tcBorders/>
            <w:shd w:fill="auto" w:val="clear"/>
            <w:vAlign w:val="bottom"/>
          </w:tcPr>
          <w:p>
            <w:pPr>
              <w:pStyle w:val="Contenudetableau"/>
              <w:spacing w:before="57" w:after="57"/>
              <w:rPr>
                <w:color w:val="000000"/>
              </w:rPr>
            </w:pPr>
            <w:r>
              <w:rPr>
                <w:color w:val="000000"/>
              </w:rPr>
            </w:r>
          </w:p>
        </w:tc>
        <w:tc>
          <w:tcPr>
            <w:tcW w:w="1838" w:type="dxa"/>
            <w:gridSpan w:val="2"/>
            <w:tcBorders/>
            <w:shd w:fill="auto" w:val="clear"/>
            <w:vAlign w:val="bottom"/>
          </w:tcPr>
          <w:p>
            <w:pPr>
              <w:pStyle w:val="Contenudetableau"/>
              <w:spacing w:before="57" w:after="57"/>
              <w:rPr>
                <w:color w:val="000000"/>
              </w:rPr>
            </w:pPr>
            <w:r>
              <w:rPr>
                <w:color w:val="000000"/>
              </w:rPr>
            </w:r>
          </w:p>
        </w:tc>
      </w:tr>
      <w:tr>
        <w:trPr>
          <w:trHeight w:val="551" w:hRule="atLeast"/>
        </w:trPr>
        <w:tc>
          <w:tcPr>
            <w:tcW w:w="593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Nisko</w:t>
            </w:r>
          </w:p>
        </w:tc>
        <w:tc>
          <w:tcPr>
            <w:tcW w:w="186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1382</w:t>
            </w:r>
          </w:p>
        </w:tc>
        <w:tc>
          <w:tcPr>
            <w:tcW w:w="183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34 %</w:t>
            </w:r>
          </w:p>
        </w:tc>
      </w:tr>
      <w:tr>
        <w:trPr>
          <w:trHeight w:val="551" w:hRule="atLeast"/>
        </w:trPr>
        <w:tc>
          <w:tcPr>
            <w:tcW w:w="593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Posrednik</w:t>
            </w:r>
          </w:p>
        </w:tc>
        <w:tc>
          <w:tcPr>
            <w:tcW w:w="186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1747</w:t>
            </w:r>
          </w:p>
        </w:tc>
        <w:tc>
          <w:tcPr>
            <w:tcW w:w="183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43 %</w:t>
            </w:r>
          </w:p>
        </w:tc>
      </w:tr>
      <w:tr>
        <w:trPr>
          <w:trHeight w:val="551" w:hRule="atLeast"/>
        </w:trPr>
        <w:tc>
          <w:tcPr>
            <w:tcW w:w="593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Visoka</w:t>
            </w:r>
          </w:p>
        </w:tc>
        <w:tc>
          <w:tcPr>
            <w:tcW w:w="186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915</w:t>
            </w:r>
          </w:p>
        </w:tc>
        <w:tc>
          <w:tcPr>
            <w:tcW w:w="183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22 %</w:t>
            </w:r>
          </w:p>
        </w:tc>
      </w:tr>
      <w:tr>
        <w:trPr>
          <w:trHeight w:val="536" w:hRule="atLeast"/>
        </w:trPr>
        <w:tc>
          <w:tcPr>
            <w:tcW w:w="593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Nepoznato</w:t>
            </w:r>
          </w:p>
        </w:tc>
        <w:tc>
          <w:tcPr>
            <w:tcW w:w="186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42</w:t>
            </w:r>
          </w:p>
        </w:tc>
        <w:tc>
          <w:tcPr>
            <w:tcW w:w="183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bl>
    <w:p>
      <w:pPr>
        <w:pStyle w:val="Normal"/>
        <w:spacing w:lineRule="auto" w:line="240"/>
        <w:ind w:left="0" w:right="0" w:hanging="0"/>
        <w:rPr/>
      </w:pPr>
      <w:r>
        <w:rPr/>
      </w:r>
    </w:p>
    <w:p>
      <w:pPr>
        <w:pStyle w:val="P68B1DB1Normal126"/>
        <w:spacing w:lineRule="auto" w:line="240"/>
        <w:ind w:left="0" w:right="0" w:hanging="0"/>
        <w:rPr>
          <w:rFonts w:ascii="Calibri" w:hAnsi="Calibri"/>
          <w:color w:val="0070C0"/>
          <w:sz w:val="24"/>
        </w:rPr>
      </w:pPr>
      <w:r>
        <w:rPr/>
        <w:t xml:space="preserve">Pouzdanost i reprezentativnost </w:t>
      </w:r>
    </w:p>
    <w:p>
      <w:pPr>
        <w:pStyle w:val="P68B1DB1Normal104"/>
        <w:widowControl w:val="false"/>
        <w:spacing w:lineRule="auto" w:line="240" w:before="119" w:after="0"/>
        <w:ind w:left="0" w:right="0" w:hanging="0"/>
        <w:jc w:val="left"/>
        <w:rPr/>
      </w:pPr>
      <w:r>
        <w:rPr/>
        <w:t xml:space="preserve">Broj ispitanika od 4 086 omogućuje iznošenje opažanja za cijelu populaciju s razinom pouzdanosti od 95 % i dopuštenom pogreškom od 1,53 %. Razina pouzdanosti i dopuštena pogreška rezultata određuju se prema veličini uzorka. Što je veći uzorak, to se rezultati mogu ekstrapolirati na cijelu populaciju. </w:t>
      </w:r>
    </w:p>
    <w:p>
      <w:pPr>
        <w:pStyle w:val="P68B1DB1Normal104"/>
        <w:widowControl w:val="false"/>
        <w:spacing w:lineRule="auto" w:line="240" w:before="94" w:after="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Razina pouzdanosti definira se kao 1 (100 %) umanjena za razinu značenja. Uobičajeno je da se temelji na razini od 5 % značenja. Riječ je o 95 %-tnoj razini povjerenja. Drugim riječima, ako bi se istraživanje ponovilo na isti način i pod istim uvjetima, rezultati bi bili isti u 95 % slučajeva. </w:t>
      </w:r>
    </w:p>
    <w:p>
      <w:pPr>
        <w:pStyle w:val="P68B1DB1Normal104"/>
        <w:widowControl w:val="false"/>
        <w:spacing w:lineRule="auto" w:line="240"/>
        <w:ind w:left="0" w:right="0" w:hanging="0"/>
        <w:jc w:val="left"/>
        <w:rPr/>
      </w:pPr>
      <w:r>
        <w:rPr/>
        <w:t xml:space="preserve">Točnost (izražena dopuštenom pogreškom) označava raspon vrijednosti unutar kojih se nalazi stvarna vrijednost u populaciji. Drugim riječima: koja bi bila najveća razlika između rezultata uzorka i rezultata koji bi se dobili od populacije u cjelini? Dopuštena pogreška od 1,53 % znači da stvarna vrijednost unutar ukupne populacije može biti 1,53 % veća ili niža od vrijednosti uzorka. Na primjer, ako anketa uzorka ljudi pokazuje da 50 % ispitanika određenu temu smatra važnom, stvarni postotak je 1,53 % veći ili niži od tih 50 %, tj. između 48,47 i 51,53 %. Najveća dopuštena pogreška od 5 % uobičajena je i općenito prihvaćena u kvantitativnim studijama (statistika).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Osim pouzdanosti, važna je reprezentativnost uzorka. Budući da su pozivi na sudjelovanje poslani u serijama i stratificirani, rezultati su reprezentativni u pogledu karakteristika regije COROP i dobnih skupina po regiji COROP-a. Odgovori su reprezentativni i sa stajališta razine obrazovanja u usporedbi s najvišim stupnjem obrazovanja postignutim na nacionalnoj razini. </w:t>
      </w:r>
    </w:p>
    <w:p>
      <w:pPr>
        <w:pStyle w:val="Normal"/>
        <w:widowControl w:val="false"/>
        <w:spacing w:lineRule="auto" w:line="240"/>
        <w:ind w:left="0" w:right="0" w:hanging="0"/>
        <w:jc w:val="left"/>
        <w:rPr>
          <w:rFonts w:ascii="Calibri" w:hAnsi="Calibri"/>
          <w:color w:val="000000"/>
          <w:sz w:val="21"/>
        </w:rPr>
      </w:pPr>
      <w:r>
        <w:rPr>
          <w:rFonts w:ascii="Calibri" w:hAnsi="Calibri"/>
          <w:color w:val="000000"/>
          <w:sz w:val="21"/>
        </w:rPr>
      </w:r>
    </w:p>
    <w:p>
      <w:pPr>
        <w:pStyle w:val="P68B1DB1Normal126"/>
        <w:widowControl w:val="false"/>
        <w:spacing w:lineRule="auto" w:line="240"/>
        <w:ind w:left="0" w:right="0" w:hanging="0"/>
        <w:jc w:val="left"/>
        <w:rPr>
          <w:rFonts w:ascii="Calibri" w:hAnsi="Calibri"/>
          <w:color w:val="0070C0"/>
          <w:sz w:val="24"/>
        </w:rPr>
      </w:pPr>
      <w:r>
        <w:rPr/>
        <w:t xml:space="preserve">Ostale opće značajke </w:t>
      </w:r>
    </w:p>
    <w:p>
      <w:pPr>
        <w:pStyle w:val="P68B1DB1Normal104"/>
        <w:widowControl w:val="false"/>
        <w:spacing w:lineRule="auto" w:line="240"/>
        <w:ind w:left="0" w:right="0" w:hanging="0"/>
        <w:jc w:val="left"/>
        <w:rPr/>
      </w:pPr>
      <w:r>
        <w:rPr/>
        <w:t xml:space="preserve">Panel je postavio nekoliko dodatnih kontekstualnih pitanja sudionicima ankete. To uključuje rod, položaj u EU-u, podrijetlo, glavnu okupaciju i političku stranku za koju bi osoba glasala u slučaju izbora.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49 % ispitanika su muškarci, 50 % žene, a 1 % ne odgovara na to pitanje.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51 % ispitanika smatra da je dobro da Nizozemska bude članica EU-a, 13 % smatra da je to loša stvar, a 36 % je neutralno ili nemaju mišljenje.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95 % ispitanika rođeno je u Nizozemskoj. 89 % ispitanika navelo je da su oba roditelja rođena u Nizozemskoj. 5 % rođeno je kod roditelja rođenih u inozemstvu. </w:t>
      </w:r>
    </w:p>
    <w:p>
      <w:pPr>
        <w:pStyle w:val="Normal"/>
        <w:widowControl w:val="false"/>
        <w:spacing w:lineRule="auto" w:line="240"/>
        <w:ind w:left="0" w:right="0" w:hanging="0"/>
        <w:jc w:val="left"/>
        <w:rPr>
          <w:rFonts w:ascii="Calibri" w:hAnsi="Calibri"/>
          <w:color w:val="000000"/>
          <w:sz w:val="21"/>
        </w:rPr>
      </w:pPr>
      <w:r>
        <w:rPr>
          <w:rFonts w:ascii="Calibri" w:hAnsi="Calibri"/>
          <w:color w:val="000000"/>
          <w:sz w:val="21"/>
        </w:rPr>
      </w:r>
      <w:r>
        <w:br w:type="page"/>
      </w:r>
    </w:p>
    <w:p>
      <w:pPr>
        <w:pStyle w:val="P68B1DB1Normal126"/>
        <w:spacing w:lineRule="auto" w:line="240"/>
        <w:ind w:left="0" w:right="0" w:hanging="0"/>
        <w:rPr>
          <w:rFonts w:ascii="Calibri" w:hAnsi="Calibri"/>
          <w:color w:val="0070C0"/>
          <w:sz w:val="24"/>
        </w:rPr>
      </w:pPr>
      <w:r>
        <w:rPr/>
        <w:t xml:space="preserve">Trenutačna politička orijentacija ispitanika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6149"/>
        <w:gridCol w:w="3488"/>
      </w:tblGrid>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Zabava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w:t>
            </w:r>
          </w:p>
        </w:tc>
      </w:tr>
      <w:tr>
        <w:trPr>
          <w:trHeight w:val="551" w:hRule="atLeast"/>
        </w:trPr>
        <w:tc>
          <w:tcPr>
            <w:tcW w:w="614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VVD (Narodna stranka za slobodu i demokraciju)</w:t>
            </w:r>
          </w:p>
        </w:tc>
        <w:tc>
          <w:tcPr>
            <w:tcW w:w="3488"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PVV (stranka slobode)</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SP (socijalistička stranka)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D66 (Demokrati 66)</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CDA (kršćanski demokratski poziv)</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PvdA (Radna stranka)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Partij voor de Dieren (Životinjska stranka)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GroenLinks (Zelena ljevica)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ChristenUnie (Kršćanska unija)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JA21</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BoerBurgerBeweging (Farmer-građanski pokret)</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Forum demokrata (Forum za demokraciju)</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GSP (Reformirana politička stranka)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Volt</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DENK</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Groep Van Haga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BIJ1</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Fractie Den Haan</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0 %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Ostali</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Glasanje bijelaca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Radije ne odgovaram</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13 %</w:t>
            </w:r>
          </w:p>
        </w:tc>
      </w:tr>
      <w:tr>
        <w:trPr>
          <w:trHeight w:val="536"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Ne glasam</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5 %</w:t>
            </w:r>
          </w:p>
        </w:tc>
      </w:tr>
    </w:tbl>
    <w:p>
      <w:pPr>
        <w:pStyle w:val="Normal"/>
        <w:spacing w:lineRule="auto" w:line="240"/>
        <w:ind w:left="0" w:right="0" w:hanging="0"/>
        <w:rPr/>
      </w:pPr>
      <w:r>
        <w:rPr/>
      </w:r>
      <w:r>
        <w:br w:type="page"/>
      </w:r>
    </w:p>
    <w:p>
      <w:pPr>
        <w:pStyle w:val="P68B1DB1Normal126"/>
        <w:spacing w:lineRule="auto" w:line="240"/>
        <w:ind w:left="0" w:right="0" w:hanging="0"/>
        <w:rPr>
          <w:rFonts w:ascii="Calibri" w:hAnsi="Calibri"/>
          <w:color w:val="0070C0"/>
          <w:sz w:val="24"/>
        </w:rPr>
      </w:pPr>
      <w:r>
        <w:rPr/>
        <w:t xml:space="preserve">Koja je trenutačno vaša glavna djelatnost?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6123"/>
        <w:gridCol w:w="3514"/>
      </w:tblGrid>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Zanimanje</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w:t>
            </w:r>
          </w:p>
        </w:tc>
      </w:tr>
      <w:tr>
        <w:trPr>
          <w:trHeight w:val="551" w:hRule="atLeast"/>
        </w:trPr>
        <w:tc>
          <w:tcPr>
            <w:tcW w:w="6123"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Student/student</w:t>
            </w:r>
          </w:p>
        </w:tc>
        <w:tc>
          <w:tcPr>
            <w:tcW w:w="3514"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Zaposlenik na nepuno radno vrijeme</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16 %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Zaposlenik s punim radnim vremenom</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31 %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Neovisni izvođač radova</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Osoba kod kuće</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Tražitelj posla</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Dragovoljac</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Nesposobnost za rad</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U mirovini</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27 %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Ostali</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r>
        <w:trPr>
          <w:trHeight w:val="536"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Radije ne odgovaram</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bl>
    <w:p>
      <w:pPr>
        <w:pStyle w:val="Normal"/>
        <w:spacing w:lineRule="auto" w:line="240"/>
        <w:ind w:left="0" w:right="0" w:hanging="0"/>
        <w:rPr/>
      </w:pPr>
      <w:r>
        <w:rPr/>
      </w:r>
    </w:p>
    <w:p>
      <w:pPr>
        <w:pStyle w:val="P68B1DB1Normal126"/>
        <w:spacing w:lineRule="auto" w:line="240"/>
        <w:ind w:left="0" w:right="0" w:hanging="0"/>
        <w:rPr>
          <w:rFonts w:ascii="Calibri" w:hAnsi="Calibri"/>
          <w:color w:val="0070C0"/>
          <w:sz w:val="24"/>
        </w:rPr>
      </w:pPr>
      <w:r>
        <w:rPr/>
        <w:t xml:space="preserve">Upitnik </w:t>
      </w:r>
    </w:p>
    <w:p>
      <w:pPr>
        <w:pStyle w:val="P68B1DB1Normal104"/>
        <w:widowControl w:val="false"/>
        <w:spacing w:lineRule="exact" w:line="339" w:before="1" w:after="0"/>
        <w:ind w:left="0" w:right="0" w:hanging="0"/>
        <w:jc w:val="left"/>
        <w:rPr/>
      </w:pPr>
      <w:r>
        <w:rPr/>
        <w:t xml:space="preserve">Upitnik i ovo izvješće pripremila je neovisna vanjska organizacija na zahtjev Ministarstva vanjskih poslova. Upitnik predstavlja modularnu strukturu i uključuje sljedeće blokove pitanja, u skladu s temama utvrđenima za Konferenciju o budućnosti Europe: </w:t>
      </w:r>
    </w:p>
    <w:p>
      <w:pPr>
        <w:pStyle w:val="P68B1DB1Normal105"/>
        <w:widowControl w:val="false"/>
        <w:spacing w:lineRule="exact" w:line="349" w:before="0" w:after="0"/>
        <w:ind w:left="0" w:right="0" w:hanging="0"/>
        <w:jc w:val="left"/>
        <w:rPr/>
      </w:pPr>
      <w:r>
        <w:rPr>
          <w:rFonts w:ascii="Verdana" w:hAnsi="Verdana"/>
        </w:rPr>
        <w:t>•</w:t>
      </w:r>
      <w:r>
        <w:rPr/>
        <w:t xml:space="preserve"> </w:t>
      </w:r>
      <w:r>
        <w:rPr>
          <w:rFonts w:ascii="Calibri" w:hAnsi="Calibri"/>
        </w:rPr>
        <w:t xml:space="preserve">Važne teme i uloga Europe </w:t>
      </w:r>
    </w:p>
    <w:p>
      <w:pPr>
        <w:pStyle w:val="P68B1DB1Normal105"/>
        <w:widowControl w:val="false"/>
        <w:spacing w:lineRule="exact" w:line="349"/>
        <w:ind w:left="0" w:right="0" w:hanging="0"/>
        <w:jc w:val="left"/>
        <w:rPr/>
      </w:pPr>
      <w:r>
        <w:rPr>
          <w:rFonts w:ascii="Verdana" w:hAnsi="Verdana"/>
        </w:rPr>
        <w:t>·</w:t>
      </w:r>
      <w:r>
        <w:rPr/>
        <w:t xml:space="preserve"> </w:t>
      </w:r>
      <w:r>
        <w:rPr>
          <w:rFonts w:ascii="Calibri" w:hAnsi="Calibri"/>
        </w:rPr>
        <w:t xml:space="preserve">Klimatske promjene i okoliš </w:t>
      </w:r>
    </w:p>
    <w:p>
      <w:pPr>
        <w:pStyle w:val="P68B1DB1Normal105"/>
        <w:widowControl w:val="false"/>
        <w:spacing w:lineRule="exact" w:line="349" w:before="2" w:after="0"/>
        <w:ind w:left="0" w:right="0" w:hanging="0"/>
        <w:jc w:val="left"/>
        <w:rPr/>
      </w:pPr>
      <w:r>
        <w:rPr>
          <w:rFonts w:ascii="Verdana" w:hAnsi="Verdana"/>
        </w:rPr>
        <w:t>•</w:t>
      </w:r>
      <w:r>
        <w:rPr/>
        <w:t xml:space="preserve"> </w:t>
      </w:r>
      <w:r>
        <w:rPr>
          <w:rFonts w:ascii="Calibri" w:hAnsi="Calibri"/>
        </w:rPr>
        <w:t xml:space="preserve">Zdravlje </w:t>
      </w:r>
    </w:p>
    <w:p>
      <w:pPr>
        <w:pStyle w:val="P68B1DB1Normal105"/>
        <w:widowControl w:val="false"/>
        <w:spacing w:lineRule="exact" w:line="349"/>
        <w:ind w:left="0" w:right="0" w:hanging="0"/>
        <w:jc w:val="left"/>
        <w:rPr/>
      </w:pPr>
      <w:r>
        <w:rPr>
          <w:rFonts w:ascii="Verdana" w:hAnsi="Verdana"/>
        </w:rPr>
        <w:t>•</w:t>
      </w:r>
      <w:r>
        <w:rPr/>
        <w:t xml:space="preserve"> </w:t>
      </w:r>
      <w:r>
        <w:rPr>
          <w:rFonts w:ascii="Calibri" w:hAnsi="Calibri"/>
        </w:rPr>
        <w:t xml:space="preserve">Gospodarstvo i zapošljavanje </w:t>
      </w:r>
    </w:p>
    <w:p>
      <w:pPr>
        <w:pStyle w:val="P68B1DB1Normal105"/>
        <w:widowControl w:val="false"/>
        <w:spacing w:lineRule="exact" w:line="349"/>
        <w:ind w:left="0" w:right="0" w:hanging="0"/>
        <w:jc w:val="left"/>
        <w:rPr/>
      </w:pPr>
      <w:r>
        <w:rPr>
          <w:rFonts w:ascii="Verdana" w:hAnsi="Verdana"/>
        </w:rPr>
        <w:t>•</w:t>
      </w:r>
      <w:r>
        <w:rPr/>
        <w:t xml:space="preserve"> </w:t>
      </w:r>
      <w:r>
        <w:rPr>
          <w:rFonts w:ascii="Calibri" w:hAnsi="Calibri"/>
        </w:rPr>
        <w:t xml:space="preserve">Uloga Europske unije u svijetu </w:t>
      </w:r>
    </w:p>
    <w:p>
      <w:pPr>
        <w:pStyle w:val="P68B1DB1Normal105"/>
        <w:widowControl w:val="false"/>
        <w:spacing w:lineRule="exact" w:line="349"/>
        <w:ind w:left="0" w:right="0" w:hanging="0"/>
        <w:jc w:val="left"/>
        <w:rPr/>
      </w:pPr>
      <w:r>
        <w:rPr>
          <w:rFonts w:ascii="Verdana" w:hAnsi="Verdana"/>
        </w:rPr>
        <w:t>•</w:t>
      </w:r>
      <w:r>
        <w:rPr/>
        <w:t xml:space="preserve"> </w:t>
      </w:r>
      <w:r>
        <w:rPr>
          <w:rFonts w:ascii="Calibri" w:hAnsi="Calibri"/>
        </w:rPr>
        <w:t xml:space="preserve">Sigurnost i vladavina prava </w:t>
      </w:r>
    </w:p>
    <w:p>
      <w:pPr>
        <w:pStyle w:val="P68B1DB1Normal105"/>
        <w:widowControl w:val="false"/>
        <w:spacing w:lineRule="exact" w:line="349" w:before="2" w:after="0"/>
        <w:ind w:left="0" w:right="0" w:hanging="0"/>
        <w:jc w:val="left"/>
        <w:rPr/>
      </w:pPr>
      <w:r>
        <w:rPr>
          <w:rFonts w:ascii="Verdana" w:hAnsi="Verdana"/>
        </w:rPr>
        <w:t>Virtualni</w:t>
      </w:r>
      <w:r>
        <w:rPr/>
        <w:t xml:space="preserve"> </w:t>
      </w:r>
      <w:r>
        <w:rPr>
          <w:rFonts w:ascii="Calibri" w:hAnsi="Calibri"/>
        </w:rPr>
        <w:t xml:space="preserve">svijet </w:t>
      </w:r>
    </w:p>
    <w:p>
      <w:pPr>
        <w:pStyle w:val="P68B1DB1Normal105"/>
        <w:widowControl w:val="false"/>
        <w:spacing w:lineRule="exact" w:line="349"/>
        <w:ind w:left="0" w:right="0" w:hanging="0"/>
        <w:jc w:val="left"/>
        <w:rPr/>
      </w:pPr>
      <w:r>
        <w:rPr>
          <w:rFonts w:ascii="Verdana" w:hAnsi="Verdana"/>
        </w:rPr>
        <w:t>•</w:t>
      </w:r>
      <w:r>
        <w:rPr/>
        <w:t xml:space="preserve"> </w:t>
      </w:r>
      <w:r>
        <w:rPr>
          <w:rFonts w:ascii="Calibri" w:hAnsi="Calibri"/>
        </w:rPr>
        <w:t xml:space="preserve">Europska demokracija </w:t>
      </w:r>
    </w:p>
    <w:p>
      <w:pPr>
        <w:pStyle w:val="P68B1DB1Normal105"/>
        <w:widowControl w:val="false"/>
        <w:spacing w:lineRule="exact" w:line="349"/>
        <w:ind w:left="0" w:right="0" w:hanging="0"/>
        <w:jc w:val="left"/>
        <w:rPr/>
      </w:pPr>
      <w:r>
        <w:rPr>
          <w:rFonts w:ascii="Verdana" w:hAnsi="Verdana"/>
        </w:rPr>
        <w:t>•</w:t>
      </w:r>
      <w:r>
        <w:rPr/>
        <w:t xml:space="preserve"> </w:t>
      </w:r>
      <w:r>
        <w:rPr>
          <w:rFonts w:ascii="Calibri" w:hAnsi="Calibri"/>
        </w:rPr>
        <w:t xml:space="preserve">Migracije i izbjeglice </w:t>
      </w:r>
    </w:p>
    <w:p>
      <w:pPr>
        <w:pStyle w:val="P68B1DB1Normal105"/>
        <w:widowControl w:val="false"/>
        <w:spacing w:lineRule="exact" w:line="349"/>
        <w:ind w:left="0" w:right="0" w:hanging="0"/>
        <w:jc w:val="left"/>
        <w:rPr/>
      </w:pPr>
      <w:r>
        <w:rPr>
          <w:rFonts w:ascii="Verdana" w:hAnsi="Verdana"/>
        </w:rPr>
        <w:t>•</w:t>
      </w:r>
      <w:r>
        <w:rPr/>
        <w:t xml:space="preserve"> </w:t>
      </w:r>
      <w:r>
        <w:rPr>
          <w:rFonts w:ascii="Calibri" w:hAnsi="Calibri"/>
        </w:rPr>
        <w:t xml:space="preserve">Obrazovanje/kultura/mladi/sport </w:t>
      </w:r>
    </w:p>
    <w:p>
      <w:pPr>
        <w:pStyle w:val="Normal"/>
        <w:widowControl w:val="false"/>
        <w:spacing w:lineRule="exact" w:line="349"/>
        <w:ind w:left="0" w:right="0" w:hanging="0"/>
        <w:jc w:val="left"/>
        <w:rPr>
          <w:rFonts w:ascii="Calibri" w:hAnsi="Calibri"/>
          <w:color w:val="000000"/>
          <w:sz w:val="21"/>
        </w:rPr>
      </w:pPr>
      <w:r>
        <w:rPr>
          <w:rFonts w:ascii="Calibri" w:hAnsi="Calibri"/>
          <w:color w:val="000000"/>
          <w:sz w:val="21"/>
        </w:rPr>
      </w:r>
    </w:p>
    <w:p>
      <w:pPr>
        <w:pStyle w:val="P68B1DB1Normal104"/>
        <w:widowControl w:val="false"/>
        <w:spacing w:lineRule="auto" w:line="240" w:before="104" w:after="0"/>
        <w:ind w:left="0" w:right="0" w:hanging="0"/>
        <w:jc w:val="left"/>
        <w:rPr/>
      </w:pPr>
      <w:r>
        <w:rPr/>
        <w:t xml:space="preserve">Tijekom pripreme upitnika velika pozornost posvećena je kvaliteti, pouzdanosti i valjanosti pitanja. Zbog toga je zatražena neutralna, nevođena formulacija pitanja, tvrdnji i opcija odgovora te je provjereno da su pitanja formulirana razumljivim jezikom (razina B1). </w:t>
      </w:r>
    </w:p>
    <w:p>
      <w:pPr>
        <w:pStyle w:val="P68B1DB1Normal104"/>
        <w:widowControl w:val="false"/>
        <w:spacing w:lineRule="auto" w:line="240" w:before="13" w:after="0"/>
        <w:ind w:left="0" w:right="0" w:hanging="0"/>
        <w:jc w:val="left"/>
        <w:rPr>
          <w:rFonts w:ascii="Calibri" w:hAnsi="Calibri"/>
          <w:color w:val="000000"/>
          <w:sz w:val="21"/>
        </w:rPr>
      </w:pPr>
      <w:r>
        <w:rPr/>
        <w:t xml:space="preserve"> </w:t>
      </w:r>
    </w:p>
    <w:p>
      <w:pPr>
        <w:pStyle w:val="P68B1DB1Normal104"/>
        <w:widowControl w:val="false"/>
        <w:spacing w:lineRule="auto" w:line="240" w:before="13" w:after="0"/>
        <w:ind w:left="0" w:right="0" w:hanging="0"/>
        <w:jc w:val="left"/>
        <w:rPr/>
      </w:pPr>
      <w:r>
        <w:rPr/>
        <w:t xml:space="preserve">Upitnik je podvrgnut testovima kvalitete putem intervjua licem u lice sa sudionicima testa koji pripadaju ciljnoj skupini. To nam je omogućilo da proučimo kako različite vrste ispitanika razumiju pitanja. Ako se činilo da pitanje predstavlja pretjerano veliko (previše složeno) kognitivno opterećenje, bilo je prikladno. </w:t>
      </w:r>
    </w:p>
    <w:p>
      <w:pPr>
        <w:pStyle w:val="P68B1DB1Normal126"/>
        <w:widowControl w:val="false"/>
        <w:spacing w:lineRule="auto" w:line="240" w:before="333" w:after="0"/>
        <w:ind w:left="0" w:right="0" w:hanging="0"/>
        <w:jc w:val="left"/>
        <w:rPr>
          <w:rFonts w:ascii="Calibri" w:hAnsi="Calibri"/>
          <w:color w:val="0070C0"/>
          <w:sz w:val="24"/>
        </w:rPr>
      </w:pPr>
      <w:r>
        <w:rPr/>
        <w:t xml:space="preserve">Metode analize </w:t>
      </w:r>
    </w:p>
    <w:p>
      <w:pPr>
        <w:pStyle w:val="P68B1DB1Normal104"/>
        <w:widowControl w:val="false"/>
        <w:spacing w:lineRule="auto" w:line="240" w:before="80" w:after="0"/>
        <w:ind w:left="0" w:right="0" w:hanging="0"/>
        <w:jc w:val="left"/>
        <w:rPr>
          <w:rFonts w:ascii="Calibri" w:hAnsi="Calibri"/>
          <w:color w:val="000000"/>
          <w:sz w:val="21"/>
        </w:rPr>
      </w:pPr>
      <w:r>
        <w:rPr/>
        <w:t xml:space="preserve">U ovom istraživanju korištene su dvije metode analize: </w:t>
      </w:r>
    </w:p>
    <w:p>
      <w:pPr>
        <w:pStyle w:val="P68B1DB1Normal111"/>
        <w:widowControl w:val="false"/>
        <w:spacing w:lineRule="auto" w:line="240" w:before="48" w:after="0"/>
        <w:ind w:left="0" w:right="0" w:hanging="0"/>
        <w:jc w:val="left"/>
        <w:rPr>
          <w:rFonts w:ascii="Calibri" w:hAnsi="Calibri"/>
          <w:b/>
          <w:b/>
          <w:color w:val="000000"/>
          <w:sz w:val="22"/>
        </w:rPr>
      </w:pPr>
      <w:r>
        <w:rPr/>
        <w:t xml:space="preserve">Univarijalne analize </w:t>
      </w:r>
    </w:p>
    <w:p>
      <w:pPr>
        <w:pStyle w:val="P68B1DB1Normal104"/>
        <w:widowControl w:val="false"/>
        <w:spacing w:lineRule="auto" w:line="240" w:before="6" w:after="0"/>
        <w:ind w:left="0" w:right="0" w:hanging="0"/>
        <w:jc w:val="left"/>
        <w:rPr>
          <w:rFonts w:ascii="Calibri" w:hAnsi="Calibri"/>
          <w:color w:val="000000"/>
          <w:sz w:val="21"/>
        </w:rPr>
      </w:pPr>
      <w:r>
        <w:rPr/>
        <w:t xml:space="preserve">Za opisivanje varijabli ankete upotrebljavaju se deskriptivne statistike. U ovom istraživanju koriste se frekvencije i prosjeci. </w:t>
      </w:r>
    </w:p>
    <w:p>
      <w:pPr>
        <w:pStyle w:val="P68B1DB1Normal111"/>
        <w:widowControl w:val="false"/>
        <w:spacing w:lineRule="auto" w:line="240" w:before="48" w:after="0"/>
        <w:ind w:left="0" w:right="0" w:hanging="0"/>
        <w:jc w:val="left"/>
        <w:rPr>
          <w:rFonts w:ascii="Calibri" w:hAnsi="Calibri"/>
          <w:b/>
          <w:b/>
          <w:color w:val="000000"/>
          <w:sz w:val="22"/>
        </w:rPr>
      </w:pPr>
      <w:r>
        <w:rPr/>
        <w:t xml:space="preserve">Bivarijatne analize </w:t>
      </w:r>
    </w:p>
    <w:p>
      <w:pPr>
        <w:pStyle w:val="P68B1DB1Normal104"/>
        <w:widowControl w:val="false"/>
        <w:spacing w:lineRule="auto" w:line="240" w:before="6" w:after="0"/>
        <w:ind w:left="0" w:right="0" w:hanging="0"/>
        <w:jc w:val="left"/>
        <w:rPr/>
      </w:pPr>
      <w:r>
        <w:rPr/>
        <w:t xml:space="preserve">Bivarijatne analize omogućuju ispitivanje odnosa između dviju varijabli, u ovom slučaju odnosa između važnosti različitih tema i pitanja treba li Unija intervenirati u tom području i opće značajke dobi. Provedena je revizija kako bi se utvrdilo jesu li različite dobne skupine pridavale različitu važnost određenoj temi i postoje li različita stajališta o tome u kojoj bi mjeri to trebalo uključiti EU. </w:t>
      </w:r>
    </w:p>
    <w:p>
      <w:pPr>
        <w:pStyle w:val="Normal"/>
        <w:widowControl w:val="false"/>
        <w:spacing w:lineRule="auto" w:line="240" w:before="6" w:after="0"/>
        <w:ind w:left="0" w:right="0" w:hanging="0"/>
        <w:jc w:val="left"/>
        <w:rPr>
          <w:rFonts w:ascii="Calibri" w:hAnsi="Calibri"/>
          <w:color w:val="000000"/>
          <w:sz w:val="21"/>
        </w:rPr>
      </w:pPr>
      <w:r>
        <w:rPr>
          <w:rFonts w:ascii="Calibri" w:hAnsi="Calibri"/>
          <w:color w:val="000000"/>
          <w:sz w:val="21"/>
        </w:rPr>
      </w:r>
    </w:p>
    <w:p>
      <w:pPr>
        <w:pStyle w:val="P68B1DB1Normal126"/>
        <w:widowControl w:val="false"/>
        <w:spacing w:lineRule="auto" w:line="240" w:before="52" w:after="0"/>
        <w:ind w:left="0" w:right="0" w:hanging="0"/>
        <w:jc w:val="left"/>
        <w:rPr>
          <w:rFonts w:ascii="Calibri" w:hAnsi="Calibri"/>
          <w:color w:val="0070C0"/>
          <w:sz w:val="24"/>
        </w:rPr>
      </w:pPr>
      <w:r>
        <w:rPr/>
        <w:t xml:space="preserve">Objavljivanje informacija i cjelovitost </w:t>
      </w:r>
    </w:p>
    <w:p>
      <w:pPr>
        <w:pStyle w:val="P68B1DB1Normal76"/>
        <w:widowControl w:val="false"/>
        <w:spacing w:lineRule="auto" w:line="240" w:before="116" w:after="0"/>
        <w:ind w:left="0" w:right="0" w:hanging="0"/>
        <w:jc w:val="left"/>
        <w:rPr/>
      </w:pPr>
      <w:r>
        <w:rPr>
          <w:rFonts w:ascii="Calibri" w:hAnsi="Calibri"/>
          <w:sz w:val="21"/>
        </w:rPr>
        <w:t>Ovo izvješće uključuje rezultate svih pitanja koja su postavljena ispitanicima anketnog povjerenstva. Za neka pitanja ispitanik je dobio priliku dati „otvorene” (tj. ne unaprijed određene) odgovore. Otvoreni odgovori zatim su kategorizirani i uključeni u publikaciju. Ideje koje ispitanici dijele u besplatnim komentarima upotrebljavaju se za doprinos raznim tematskim dijalozima organiziranima kao nastavak procesa dijaloga s građanima „Vizija Europe”.</w:t>
      </w:r>
      <w:r>
        <w:rPr>
          <w:rFonts w:ascii="Times New Roman" w:hAnsi="Times New Roman"/>
          <w:sz w:val="24"/>
        </w:rPr>
        <w:t xml:space="preserve"> </w:t>
      </w:r>
    </w:p>
    <w:p>
      <w:pPr>
        <w:pStyle w:val="P68B1DB1Normal125"/>
        <w:widowControl w:val="false"/>
        <w:spacing w:lineRule="auto" w:line="240" w:before="233" w:after="0"/>
        <w:ind w:left="0" w:right="0" w:hanging="0"/>
        <w:jc w:val="left"/>
        <w:rPr>
          <w:rFonts w:ascii="Calibri" w:hAnsi="Calibri"/>
          <w:b/>
          <w:b/>
          <w:color w:val="0070C0"/>
          <w:sz w:val="32"/>
        </w:rPr>
      </w:pPr>
      <w:r>
        <w:rPr/>
        <w:t xml:space="preserve">2. Internetski tematski dijalozi za produbljivanje </w:t>
      </w:r>
    </w:p>
    <w:p>
      <w:pPr>
        <w:pStyle w:val="P68B1DB1Normal104"/>
        <w:widowControl w:val="false"/>
        <w:spacing w:lineRule="auto" w:line="240"/>
        <w:ind w:left="0" w:right="0" w:hanging="0"/>
        <w:jc w:val="left"/>
        <w:rPr/>
      </w:pPr>
      <w:r>
        <w:rPr/>
        <w:t xml:space="preserve">Teme u središtu konferencije o budućnosti Europe produbljene su putem osam tematskih dijaloga na internetu. Svrha tih dijaloga bila je otkriti </w:t>
      </w:r>
      <w:r>
        <w:rPr>
          <w:i/>
        </w:rPr>
        <w:t>razloge</w:t>
      </w:r>
      <w:r>
        <w:rPr/>
        <w:t xml:space="preserve"> izraženih mišljenja, kao i motive i osjećaje iza njih. Koje su uočene zabrinutosti i mogućnosti? Rasprave su također omogućile sudionicima da iznesu prijedloge i ideje o tim temama, kao i da postave pitanja koja nisu dio konferencije, ali su im i dalje važna. </w:t>
      </w:r>
    </w:p>
    <w:p>
      <w:pPr>
        <w:pStyle w:val="P68B1DB1Normal104"/>
        <w:widowControl w:val="false"/>
        <w:spacing w:lineRule="auto" w:line="240" w:before="13" w:after="0"/>
        <w:ind w:left="0" w:right="0" w:hanging="0"/>
        <w:jc w:val="left"/>
        <w:rPr>
          <w:rFonts w:ascii="Calibri" w:hAnsi="Calibri"/>
          <w:color w:val="000000"/>
          <w:sz w:val="21"/>
        </w:rPr>
      </w:pPr>
      <w:r>
        <w:rPr/>
        <w:t xml:space="preserve"> </w:t>
      </w:r>
    </w:p>
    <w:p>
      <w:pPr>
        <w:pStyle w:val="P68B1DB1Normal104"/>
        <w:widowControl w:val="false"/>
        <w:spacing w:lineRule="auto" w:line="240" w:before="13" w:after="0"/>
        <w:ind w:left="0" w:right="0" w:hanging="0"/>
        <w:jc w:val="left"/>
        <w:rPr/>
      </w:pPr>
      <w:r>
        <w:rPr/>
        <w:t xml:space="preserve">Tematski dijalozi održani su 12. i 14. listopada te od 9. do 11. studenoga. U listopadu su organizirana četiri tematska dijaloga na internetu o temama „Ekonomija” i „Demokracija”. </w:t>
      </w:r>
    </w:p>
    <w:p>
      <w:pPr>
        <w:pStyle w:val="Normal"/>
        <w:widowControl w:val="false"/>
        <w:spacing w:lineRule="auto" w:line="240" w:before="10" w:after="0"/>
        <w:ind w:left="0" w:right="0" w:hanging="0"/>
        <w:jc w:val="left"/>
        <w:rPr/>
      </w:pPr>
      <w:r>
        <w:rPr>
          <w:rFonts w:ascii="Calibri" w:hAnsi="Calibri"/>
          <w:color w:val="000000"/>
          <w:sz w:val="21"/>
        </w:rPr>
        <w:t xml:space="preserve">U studenome su održana četiri tematska dijaloga na internetu o temama „klima” i „EU u svijetu”. U prosjeku je na svakoj raspravi sudjelovalo 29 osoba (231 ukupno). Sudionici su zaposleni među članovima povjerenstva (vidjeti točku 1.) i putem društvenih medija. </w:t>
      </w:r>
      <w:r>
        <w:br w:type="page"/>
      </w:r>
    </w:p>
    <w:p>
      <w:pPr>
        <w:pStyle w:val="P68B1DB1Normal125"/>
        <w:spacing w:lineRule="auto" w:line="240"/>
        <w:ind w:left="0" w:right="0" w:hanging="0"/>
        <w:rPr>
          <w:rFonts w:ascii="Calibri" w:hAnsi="Calibri"/>
          <w:b/>
          <w:b/>
          <w:color w:val="0070C0"/>
          <w:sz w:val="32"/>
        </w:rPr>
      </w:pPr>
      <w:r>
        <w:rPr/>
        <w:t xml:space="preserve">3. Dijalog s posebnim skupinama </w:t>
      </w:r>
    </w:p>
    <w:p>
      <w:pPr>
        <w:pStyle w:val="P68B1DB1Normal104"/>
        <w:widowControl w:val="false"/>
        <w:spacing w:lineRule="auto" w:line="240" w:before="73" w:after="0"/>
        <w:ind w:left="0" w:right="0" w:hanging="0"/>
        <w:jc w:val="left"/>
        <w:rPr/>
      </w:pPr>
      <w:r>
        <w:rPr/>
        <w:t xml:space="preserve">Poznato je da su neke nizozemske skupine manje navikle sudjelovati u anketama i panelima (online). Kako bi se dobila reprezentativna slika „glasa Nizozemske”, važno je da ti građani također mogu izraziti svoje ideje i mišljenja. Zbog toga smo organizirali i niz dijaloga na licu mjesta za anketu „Vizija Europe”. Mišljenja i ideje koje smo mogli prikupiti upotrijebljeni su kao osnova (među ostalim) za formuliranje preporuka. </w:t>
      </w:r>
    </w:p>
    <w:p>
      <w:pPr>
        <w:pStyle w:val="P68B1DB1Normal126"/>
        <w:widowControl w:val="false"/>
        <w:spacing w:lineRule="auto" w:line="240" w:before="94" w:after="0"/>
        <w:ind w:left="0" w:right="0" w:hanging="0"/>
        <w:jc w:val="left"/>
        <w:rPr>
          <w:rFonts w:ascii="Calibri" w:hAnsi="Calibri"/>
          <w:color w:val="0070C0"/>
          <w:sz w:val="24"/>
        </w:rPr>
      </w:pPr>
      <w:r>
        <w:rPr/>
        <w:t xml:space="preserve">Ciljne skupine </w:t>
      </w:r>
    </w:p>
    <w:p>
      <w:pPr>
        <w:pStyle w:val="P68B1DB1Normal110"/>
        <w:widowControl w:val="false"/>
        <w:spacing w:lineRule="auto" w:line="240" w:before="88" w:after="0"/>
        <w:ind w:left="0" w:right="0" w:hanging="0"/>
        <w:jc w:val="left"/>
        <w:rPr/>
      </w:pPr>
      <w:r>
        <w:rPr>
          <w:sz w:val="21"/>
        </w:rPr>
        <w:t xml:space="preserve">Ciljne skupine do kojih je teško doći ne mogu se nedvosmisleno definirati. Studije i iskustva omogućuju nam da znamo da Nizozemci </w:t>
      </w:r>
      <w:r>
        <w:rPr>
          <w:b/>
          <w:sz w:val="21"/>
        </w:rPr>
        <w:t>ne-zapadnog podrijetla</w:t>
      </w:r>
      <w:r>
        <w:rPr>
          <w:sz w:val="21"/>
        </w:rPr>
        <w:t>znatno manje sudjeluju u istragama i raspravama. Budući da to predstavlja veliku skupinu (14 % nizozemskog</w:t>
      </w:r>
      <w:r>
        <w:rPr>
          <w:b/>
          <w:position w:val="6"/>
          <w:sz w:val="14"/>
        </w:rPr>
        <w:t>1</w:t>
      </w:r>
      <w:r>
        <w:rPr>
          <w:sz w:val="21"/>
        </w:rPr>
        <w:t xml:space="preserve">), odabrani su za sudjelovanje u dijalogu „Vizija Europe”. Isto obrazloženje slijedilo je i u pogledu </w:t>
      </w:r>
      <w:r>
        <w:rPr>
          <w:b/>
          <w:sz w:val="21"/>
        </w:rPr>
        <w:t>osoba s malo obrazovanja</w:t>
      </w:r>
      <w:r>
        <w:rPr>
          <w:sz w:val="21"/>
        </w:rPr>
        <w:t>. To je također velika skupina (2,5 milijuna nizozemskih</w:t>
      </w:r>
      <w:r>
        <w:rPr>
          <w:position w:val="6"/>
          <w:sz w:val="14"/>
        </w:rPr>
        <w:t>2</w:t>
      </w:r>
      <w:r>
        <w:rPr>
          <w:sz w:val="21"/>
        </w:rPr>
        <w:t xml:space="preserve">), koja se djelomično preklapa s migrantskom skupinom (39 %). Naposljetku, održan je dijalog sa skupinom ljudi koji se rijetko nalaze u anketama i raspravama, </w:t>
      </w:r>
      <w:r>
        <w:rPr>
          <w:b/>
          <w:sz w:val="21"/>
        </w:rPr>
        <w:t>koji su kritični prema Europi, ali za koje Europa ima važnu ulogu u profesionalnoj sferi.</w:t>
      </w:r>
      <w:r>
        <w:rPr>
          <w:sz w:val="21"/>
        </w:rPr>
        <w:t xml:space="preserve"> Odabrani su poduzetnici iz poljoprivrednog sektora.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Prethodno navedenim skupinama pristupile su organizacije čiji su članovi, kao što su organizacije migranata, udruge za zagovaranje i strukovne organizacije. Budući da smo ograničili broj dijaloga na osam, nismo mogli biti potpuno „iscrpni”. To čini izbor sudionika donekle proizvoljnim. Kako bismo donijeli taj izbor, uzeli smo u obzir i entuzijazam za sudjelovanje i pomoć u mobilizaciji njihove baze, kao i praktična pitanja kao što je dostupnost prema datumima i lokaciji.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rFonts w:ascii="Calibri" w:hAnsi="Calibri"/>
          <w:color w:val="000000"/>
          <w:sz w:val="21"/>
        </w:rPr>
      </w:pPr>
      <w:r>
        <w:rPr/>
        <w:t xml:space="preserve">Održani su dijalozi na licu mjesta s članovima sljedećih organizacija: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Zaklada Hakder, Alevi zajednica, Schiedam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Zaklada Asha, hinduistička zajednica, Utrecht (dvije rasprave)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Piëzo, organizacija civilnog društva, Zoetermeer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Taal doet Meer, organizacija za niskoobrazovane osobe, Utrecht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BoerenNatuur, udruga poljoprivrednih grupa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Marokkanen Dialoog Overvecht, marokanska zajednica, Utrecht </w:t>
      </w:r>
    </w:p>
    <w:p>
      <w:pPr>
        <w:pStyle w:val="P68B1DB1Normal105"/>
        <w:widowControl w:val="false"/>
        <w:spacing w:lineRule="auto" w:line="240"/>
        <w:ind w:left="0" w:right="0" w:hanging="0"/>
        <w:jc w:val="left"/>
        <w:rPr/>
      </w:pPr>
      <w:r>
        <w:rPr>
          <w:rFonts w:ascii="Verdana" w:hAnsi="Verdana"/>
        </w:rPr>
        <w:t>Žene</w:t>
      </w:r>
      <w:r>
        <w:rPr/>
        <w:t xml:space="preserve"> </w:t>
      </w:r>
      <w:r>
        <w:rPr>
          <w:rFonts w:ascii="Calibri" w:hAnsi="Calibri"/>
        </w:rPr>
        <w:t xml:space="preserve">za slobodu, organizacija za zagovaranje žena migrantskog podrijetla, Haag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rFonts w:ascii="Calibri" w:hAnsi="Calibri"/>
          <w:color w:val="000000"/>
          <w:sz w:val="21"/>
        </w:rPr>
      </w:pPr>
      <w:r>
        <w:rPr/>
        <w:t xml:space="preserve">Na tim sastancima sudjelovalo je ukupno 110 osoba.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25"/>
        <w:widowControl w:val="false"/>
        <w:spacing w:lineRule="auto" w:line="240" w:before="205" w:after="0"/>
        <w:ind w:left="0" w:right="0" w:hanging="0"/>
        <w:jc w:val="left"/>
        <w:rPr>
          <w:rFonts w:ascii="Calibri" w:hAnsi="Calibri"/>
          <w:b/>
          <w:b/>
          <w:color w:val="0070C0"/>
          <w:sz w:val="32"/>
        </w:rPr>
      </w:pPr>
      <w:r>
        <w:rPr/>
        <w:t xml:space="preserve">4. Dijalog s mladima </w:t>
      </w:r>
    </w:p>
    <w:p>
      <w:pPr>
        <w:pStyle w:val="P68B1DB1Normal104"/>
        <w:widowControl w:val="false"/>
        <w:spacing w:lineRule="auto" w:line="240" w:before="145" w:after="0"/>
        <w:ind w:left="0" w:right="0" w:hanging="0"/>
        <w:jc w:val="both"/>
        <w:rPr/>
      </w:pPr>
      <w:r>
        <w:rPr/>
        <w:t xml:space="preserve">Mladi su prioritetna ciljna skupina konferencije o budućnosti Europe. Kako bi se aktivno potaknulo njihovo sudjelovanje u dijalogu s građanima „Vizija Europe” i kako bi se dobro saslušala mišljenja i ideje te skupine, organizirano je šest fizičkih sastanaka za raspravu posebno za mlade.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rFonts w:ascii="Calibri" w:hAnsi="Calibri"/>
          <w:color w:val="000000"/>
          <w:sz w:val="21"/>
        </w:rPr>
      </w:pPr>
      <w:r>
        <w:rPr/>
        <w:t xml:space="preserve">Sastanci su održani u sljedećim institucijama: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Udruga studenata povijesti, Sveučilište u Leidenu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Dr. Knippenberg College, Srednja škola, Helmond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Platforma za mlade Coalitie-Y, Gospodarskog i socijalnog vijeća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Graafschap College, strukovno srednje obrazovanje, Doetinchem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CSG Jan Arentsz, srednjoškolsko obrazovanje s naglaskom na tehnološkim temama, Alkmaar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Nacionalno vijeće mladih (sastanak je održan izvan mjesta održavanja)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before="89" w:after="0"/>
        <w:ind w:left="0" w:right="0" w:hanging="0"/>
        <w:jc w:val="left"/>
        <w:rPr>
          <w:rFonts w:ascii="Calibri" w:hAnsi="Calibri"/>
          <w:color w:val="000000"/>
          <w:sz w:val="21"/>
        </w:rPr>
      </w:pPr>
      <w:r>
        <w:rPr>
          <w:rFonts w:ascii="Calibri" w:hAnsi="Calibri"/>
          <w:color w:val="000000"/>
          <w:sz w:val="21"/>
        </w:rPr>
        <w:t xml:space="preserve">Na sastancima je sudjelovalo ukupno 110 mladih ljudi. </w:t>
      </w:r>
      <w:r>
        <w:br w:type="page"/>
      </w:r>
    </w:p>
    <w:p>
      <w:pPr>
        <w:pStyle w:val="P68B1DB1Normal126"/>
        <w:spacing w:lineRule="auto" w:line="240"/>
        <w:ind w:left="0" w:right="0" w:hanging="0"/>
        <w:rPr>
          <w:rFonts w:ascii="Calibri" w:hAnsi="Calibri"/>
          <w:color w:val="0070C0"/>
          <w:sz w:val="24"/>
        </w:rPr>
      </w:pPr>
      <w:r>
        <w:rPr/>
        <w:t xml:space="preserve">Korištene tehnike održavanja </w:t>
      </w:r>
    </w:p>
    <w:p>
      <w:pPr>
        <w:pStyle w:val="P68B1DB1Normal104"/>
        <w:widowControl w:val="false"/>
        <w:spacing w:lineRule="auto" w:line="240" w:before="92" w:after="0"/>
        <w:ind w:left="0" w:right="0" w:hanging="0"/>
        <w:jc w:val="left"/>
        <w:rPr/>
      </w:pPr>
      <w:r>
        <w:rPr/>
        <w:t xml:space="preserve">Internetski tematski dijalozi, dijalozi s posebnim skupinama i dijalozi s mladima vođeni su takozvanom „sokratskom” metodom intervjua. Ova se metoda koristi već dugi niz godina na Dan dijaloga, gdje ljudi diljem Nizozemske komuniciraju o pitanjima koja na njih utječu. U kontekstu Sokratove metode održavanja moderator uzima u obzir sljedeća načela: </w:t>
      </w:r>
    </w:p>
    <w:p>
      <w:pPr>
        <w:pStyle w:val="P68B1DB1Normal105"/>
        <w:widowControl w:val="false"/>
        <w:spacing w:lineRule="auto" w:line="240"/>
        <w:ind w:left="0" w:right="0" w:hanging="0"/>
        <w:jc w:val="left"/>
        <w:rPr/>
      </w:pPr>
      <w:r>
        <w:rPr>
          <w:rFonts w:ascii="Verdana" w:hAnsi="Verdana"/>
        </w:rPr>
        <w:t>Neka</w:t>
      </w:r>
      <w:r>
        <w:rPr/>
        <w:t xml:space="preserve"> drugi ispriča svoju priču </w:t>
      </w:r>
      <w:r>
        <w:rPr>
          <w:rFonts w:ascii="Calibri" w:hAnsi="Calibri"/>
        </w:rPr>
        <w:t xml:space="preserve"> </w:t>
      </w:r>
    </w:p>
    <w:p>
      <w:pPr>
        <w:pStyle w:val="P68B1DB1Normal105"/>
        <w:widowControl w:val="false"/>
        <w:spacing w:lineRule="auto" w:line="240"/>
        <w:ind w:left="0" w:right="0" w:hanging="0"/>
        <w:jc w:val="left"/>
        <w:rPr/>
      </w:pPr>
      <w:r>
        <w:rPr>
          <w:rFonts w:ascii="Verdana" w:hAnsi="Verdana"/>
        </w:rPr>
        <w:t>Ne</w:t>
      </w:r>
      <w:r>
        <w:rPr/>
        <w:t xml:space="preserve"> </w:t>
      </w:r>
      <w:r>
        <w:rPr>
          <w:rFonts w:ascii="Calibri" w:hAnsi="Calibri"/>
        </w:rPr>
        <w:t>odgovaraj odmah drugom pričom</w:t>
      </w:r>
      <w:r>
        <w:rPr/>
        <w:t>.</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Tretirajte se s poštovanjem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Govoriti o vlastitoj točki gledišta („nalazim” umjesto „reći”)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Zatražiti dodatna objašnjenja ako su izražena stajališta ograničena na općenitost </w:t>
      </w:r>
    </w:p>
    <w:p>
      <w:pPr>
        <w:pStyle w:val="P68B1DB1Normal105"/>
        <w:widowControl w:val="false"/>
        <w:spacing w:lineRule="auto" w:line="240"/>
        <w:ind w:left="0" w:right="0" w:hanging="0"/>
        <w:jc w:val="left"/>
        <w:rPr/>
      </w:pPr>
      <w:r>
        <w:rPr>
          <w:rFonts w:ascii="Verdana" w:hAnsi="Verdana"/>
        </w:rPr>
        <w:t>Izbjegavajte</w:t>
      </w:r>
      <w:r>
        <w:rPr/>
        <w:t xml:space="preserve"> </w:t>
      </w:r>
      <w:r>
        <w:rPr>
          <w:rFonts w:ascii="Calibri" w:hAnsi="Calibri"/>
        </w:rPr>
        <w:t xml:space="preserve">prosudbu i analizirajte ih </w:t>
      </w:r>
    </w:p>
    <w:p>
      <w:pPr>
        <w:pStyle w:val="P68B1DB1Normal105"/>
        <w:widowControl w:val="false"/>
        <w:spacing w:lineRule="auto" w:line="240"/>
        <w:ind w:left="0" w:right="0" w:hanging="0"/>
        <w:jc w:val="left"/>
        <w:rPr/>
      </w:pPr>
      <w:r>
        <w:rPr>
          <w:rFonts w:ascii="Verdana" w:hAnsi="Verdana"/>
        </w:rPr>
        <w:t>Dajte</w:t>
      </w:r>
      <w:r>
        <w:rPr/>
        <w:t xml:space="preserve"> </w:t>
      </w:r>
      <w:r>
        <w:rPr>
          <w:rFonts w:ascii="Calibri" w:hAnsi="Calibri"/>
        </w:rPr>
        <w:t xml:space="preserve">trenutke tišine ako ljudi trebaju razmišljati na trenutak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Tijekom dijaloga koristi se sljedeći ritam: razlika – konvergencija – razlika. Načelo je da prvo morate razlikovati (izravno izraziti individualne osjećaje i mišljenja), prije nego što se možete konvergirati (razgovarati moguće putove), a zatim se na kraju ponovno razilaziti (na primjer, prikupiti pojedinačne preporuke). Iskustvo i teorija pokazuju da ovaj ritam osigurava optimalan tijek dijaloga.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rFonts w:ascii="Calibri" w:hAnsi="Calibri"/>
          <w:color w:val="000000"/>
          <w:sz w:val="21"/>
        </w:rPr>
      </w:pPr>
      <w:r>
        <w:rPr/>
        <w:t xml:space="preserve">Sve dijaloge vodili su profesionalni voditelji. </w:t>
      </w:r>
    </w:p>
    <w:p>
      <w:pPr>
        <w:pStyle w:val="Normal"/>
        <w:widowControl w:val="false"/>
        <w:spacing w:lineRule="auto" w:line="240" w:before="197" w:after="0"/>
        <w:ind w:left="0" w:right="0" w:hanging="0"/>
        <w:jc w:val="left"/>
        <w:rPr/>
      </w:pPr>
      <w:r>
        <w:rPr>
          <w:rFonts w:ascii="Calibri" w:hAnsi="Calibri"/>
          <w:b/>
          <w:color w:val="0070C0"/>
          <w:sz w:val="32"/>
        </w:rPr>
        <w:t>5. Javna anketa na internetu: Upitnik i „Swipen naar de toekomst” (</w:t>
      </w:r>
      <w:commentRangeStart w:id="31"/>
      <w:r>
        <w:rPr>
          <w:rFonts w:ascii="Calibri" w:hAnsi="Calibri"/>
          <w:b/>
          <w:color w:val="0070C0"/>
          <w:sz w:val="32"/>
        </w:rPr>
        <w:t>Swiper</w:t>
      </w:r>
      <w:r>
        <w:rPr>
          <w:rFonts w:ascii="Calibri" w:hAnsi="Calibri"/>
          <w:b/>
          <w:color w:val="0070C0"/>
          <w:sz w:val="32"/>
        </w:rPr>
      </w:r>
      <w:commentRangeEnd w:id="31"/>
      <w:r>
        <w:commentReference w:id="31"/>
      </w:r>
      <w:r>
        <w:rPr>
          <w:rFonts w:ascii="Calibri" w:hAnsi="Calibri"/>
          <w:b/>
          <w:color w:val="0070C0"/>
          <w:sz w:val="32"/>
        </w:rPr>
        <w:t xml:space="preserve"> to the future) </w:t>
      </w:r>
    </w:p>
    <w:p>
      <w:pPr>
        <w:pStyle w:val="P68B1DB1Normal110"/>
        <w:widowControl w:val="false"/>
        <w:spacing w:lineRule="auto" w:line="240"/>
        <w:ind w:left="0" w:right="0" w:hanging="0"/>
        <w:jc w:val="left"/>
        <w:rPr/>
      </w:pPr>
      <w:r>
        <w:rPr>
          <w:sz w:val="21"/>
        </w:rPr>
        <w:t>Upitnik panela bio je otvoren i za sve Nizozemce, uključujući one koji borave u inozemstvu. Upitnik je bio dostupan od</w:t>
      </w:r>
      <w:r>
        <w:rPr>
          <w:position w:val="6"/>
          <w:sz w:val="14"/>
        </w:rPr>
        <w:t>1.</w:t>
      </w:r>
      <w:r>
        <w:rPr>
          <w:sz w:val="21"/>
        </w:rPr>
        <w:t xml:space="preserve"> rujna 2021. do 14. studenoga 2021. Osim toga, u istom je razdoblju svaki Nizozemac mogao sudjelovati u akciji „Swipen naar de toekomst” (Swiper toekomst), internetskom alatu s 20 zahtjeva. </w:t>
      </w:r>
    </w:p>
    <w:p>
      <w:pPr>
        <w:pStyle w:val="P68B1DB1Normal126"/>
        <w:widowControl w:val="false"/>
        <w:spacing w:lineRule="auto" w:line="240" w:before="14" w:after="0"/>
        <w:ind w:left="0" w:right="0" w:hanging="0"/>
        <w:jc w:val="left"/>
        <w:rPr>
          <w:rFonts w:ascii="Calibri" w:hAnsi="Calibri"/>
          <w:color w:val="0070C0"/>
          <w:sz w:val="24"/>
        </w:rPr>
      </w:pPr>
      <w:r>
        <w:rPr/>
        <w:t xml:space="preserve">Odgovori i korištenje </w:t>
      </w:r>
    </w:p>
    <w:p>
      <w:pPr>
        <w:pStyle w:val="P68B1DB1Normal104"/>
        <w:widowControl w:val="false"/>
        <w:spacing w:lineRule="auto" w:line="240"/>
        <w:ind w:left="0" w:right="0" w:hanging="0"/>
        <w:jc w:val="left"/>
        <w:rPr/>
      </w:pPr>
      <w:r>
        <w:rPr/>
        <w:t xml:space="preserve">Upitnik je ispunilo ukupno 1.967 sudionika, a 6.968 je do kraja alata za skeniranje zaslona. Upitnik i alat za skeniranje zaslona bili su otvoreni svima: nisu postojali preduvjeti ili kriteriji odabira za sudjelovanje. U upitniku je bilo moguće ispuniti pitanja (nije bilo obveznih pitanja) kako bi se povećala stopa odgovora. Sudionici su odabrali „Ne želim odgovoriti” mnogo češće nego u anketi reprezentativnog panela. </w:t>
      </w:r>
    </w:p>
    <w:p>
      <w:pPr>
        <w:pStyle w:val="P68B1DB1Normal104"/>
        <w:widowControl w:val="false"/>
        <w:spacing w:lineRule="auto" w:line="240"/>
        <w:ind w:left="0" w:right="0" w:hanging="0"/>
        <w:jc w:val="left"/>
        <w:rPr/>
      </w:pPr>
      <w:r>
        <w:rPr/>
        <w:t xml:space="preserve">Opća obilježja sudionika u otvorenom upitniku i alatu za skeniranje zaslona u nekoliko se aspekata razlikuju od značajki sudionika u reprezentativnom panelu. Za razliku od panel ankete, rezultati otvorenog upitnika i alata za skeniranje zaslona nisu reprezentativni. Rezultati otvorene internetske ankete upotrijebljeni su kao dopuna anketi panela. Oni daju pregled osjećaja i ideja koje kruže u Nizozemskoj. Prijedlozi za poboljšanje navedeni u poljima za unos upotrijebljeni su u odjeljku „Diskusije i ideje na internetu i na licu mjesta”. Alat za skeniranje zaslona korišten je za bolje razumijevanje nekih osjećaja koji kruže u Nizozemskoj. Ti su rezultati uzeti u obzir pri pripremi preporuka. Zbog zahtjeva reprezentativnosti, rezultati ispitnog postupka pokrenutog na internetu ograničeni su uzeti u obzir u ovom izvješću.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ind w:left="0" w:right="0" w:hanging="0"/>
        <w:jc w:val="left"/>
        <w:rPr/>
      </w:pPr>
      <w:r>
        <w:rPr>
          <w:rFonts w:ascii="Calibri" w:hAnsi="Calibri"/>
          <w:color w:val="000000"/>
          <w:sz w:val="21"/>
        </w:rPr>
        <w:t xml:space="preserve">Ovo izvješće objavljuje Ministarstvo vanjskih poslova. </w:t>
      </w:r>
      <w:r>
        <w:rPr>
          <w:rFonts w:ascii="Calibri" w:hAnsi="Calibri"/>
          <w:color w:val="0000FF"/>
          <w:sz w:val="21"/>
        </w:rPr>
        <w:t>www.kijkopeuropa.nl</w:t>
      </w:r>
      <w:r>
        <w:rPr>
          <w:rFonts w:ascii="Calibri" w:hAnsi="Calibri"/>
          <w:color w:val="000000"/>
          <w:sz w:val="21"/>
        </w:rPr>
        <w:t xml:space="preserve"> </w:t>
      </w:r>
      <w:r>
        <w:br w:type="page"/>
      </w:r>
    </w:p>
    <w:p>
      <w:pPr>
        <w:pStyle w:val="Titre1"/>
        <w:numPr>
          <w:ilvl w:val="0"/>
          <w:numId w:val="2"/>
        </w:numPr>
        <w:rPr/>
      </w:pPr>
      <w:bookmarkStart w:id="238" w:name="__RefHeading___Toc297359_1346298689"/>
      <w:bookmarkEnd w:id="238"/>
      <w:r>
        <w:rPr/>
        <w:t xml:space="preserve">III – Upućivanja na rezultate nacionalnih događanja </w:t>
      </w:r>
    </w:p>
    <w:p>
      <w:pPr>
        <w:pStyle w:val="Normal"/>
        <w:widowControl w:val="false"/>
        <w:spacing w:lineRule="auto" w:line="240"/>
        <w:ind w:left="360" w:right="6617" w:hanging="0"/>
        <w:jc w:val="both"/>
        <w:rPr/>
      </w:pPr>
      <w:r>
        <w:rPr>
          <w:rFonts w:ascii="Times New Roman" w:hAnsi="Times New Roman"/>
          <w:color w:val="000000"/>
        </w:rPr>
        <w:t xml:space="preserve">• </w:t>
      </w:r>
      <w:hyperlink r:id="rId121">
        <w:r>
          <w:rPr>
            <w:rStyle w:val="LienInternet"/>
            <w:rFonts w:ascii="Times New Roman" w:hAnsi="Times New Roman"/>
            <w:b/>
            <w:color w:val="0000FF"/>
          </w:rPr>
          <w:t>Belgija</w:t>
        </w:r>
      </w:hyperlink>
      <w:r>
        <w:rPr>
          <w:rFonts w:ascii="Times New Roman" w:hAnsi="Times New Roman"/>
          <w:color w:val="000000"/>
        </w:rPr>
        <w:t xml:space="preserve"> </w:t>
      </w:r>
    </w:p>
    <w:p>
      <w:pPr>
        <w:pStyle w:val="Normal"/>
        <w:widowControl w:val="false"/>
        <w:spacing w:lineRule="auto" w:line="240"/>
        <w:ind w:left="360" w:right="6617" w:hanging="0"/>
        <w:jc w:val="both"/>
        <w:rPr/>
      </w:pPr>
      <w:r>
        <w:rPr>
          <w:rFonts w:ascii="Times New Roman" w:hAnsi="Times New Roman"/>
          <w:color w:val="000000"/>
        </w:rPr>
        <w:t xml:space="preserve">• </w:t>
      </w:r>
      <w:hyperlink r:id="rId122">
        <w:r>
          <w:rPr>
            <w:rStyle w:val="LienInternet"/>
            <w:rFonts w:ascii="Times New Roman" w:hAnsi="Times New Roman"/>
            <w:b/>
            <w:color w:val="0000FF"/>
          </w:rPr>
          <w:t>Bugarska</w:t>
        </w:r>
      </w:hyperlink>
    </w:p>
    <w:p>
      <w:pPr>
        <w:pStyle w:val="Normal"/>
        <w:widowControl w:val="false"/>
        <w:spacing w:lineRule="auto" w:line="240"/>
        <w:ind w:left="360" w:right="6617" w:hanging="0"/>
        <w:jc w:val="both"/>
        <w:rPr/>
      </w:pPr>
      <w:r>
        <w:rPr>
          <w:rFonts w:ascii="Times New Roman" w:hAnsi="Times New Roman"/>
          <w:color w:val="000000"/>
        </w:rPr>
        <w:t xml:space="preserve">• </w:t>
      </w:r>
      <w:hyperlink r:id="rId123">
        <w:r>
          <w:rPr>
            <w:rStyle w:val="LienInternet"/>
            <w:rFonts w:ascii="Times New Roman" w:hAnsi="Times New Roman"/>
            <w:b/>
            <w:color w:val="0000FF"/>
          </w:rPr>
          <w:t>Češka</w:t>
        </w:r>
      </w:hyperlink>
      <w:hyperlink r:id="rId124">
        <w:r>
          <w:rPr>
            <w:rStyle w:val="LienInternet"/>
            <w:rFonts w:ascii="Times New Roman" w:hAnsi="Times New Roman"/>
            <w:b/>
            <w:color w:val="0000FF"/>
          </w:rPr>
          <w:t>Republika</w:t>
        </w:r>
      </w:hyperlink>
      <w:r>
        <w:rPr>
          <w:rFonts w:ascii="Times New Roman" w:hAnsi="Times New Roman"/>
          <w:color w:val="000000"/>
        </w:rPr>
        <w:t xml:space="preserve"> </w:t>
      </w:r>
    </w:p>
    <w:p>
      <w:pPr>
        <w:pStyle w:val="Normal"/>
        <w:widowControl w:val="false"/>
        <w:spacing w:lineRule="auto" w:line="240"/>
        <w:ind w:left="360" w:right="7697" w:hanging="0"/>
        <w:jc w:val="both"/>
        <w:rPr/>
      </w:pPr>
      <w:r>
        <w:rPr>
          <w:rFonts w:ascii="Times New Roman" w:hAnsi="Times New Roman"/>
          <w:color w:val="000000"/>
        </w:rPr>
        <w:t xml:space="preserve">• </w:t>
      </w:r>
      <w:hyperlink r:id="rId125">
        <w:r>
          <w:rPr>
            <w:rStyle w:val="LienInternet"/>
            <w:rFonts w:ascii="Times New Roman" w:hAnsi="Times New Roman"/>
            <w:b/>
            <w:color w:val="0000FF"/>
          </w:rPr>
          <w:t>Danska</w:t>
        </w:r>
      </w:hyperlink>
    </w:p>
    <w:p>
      <w:pPr>
        <w:pStyle w:val="Normal"/>
        <w:widowControl w:val="false"/>
        <w:spacing w:lineRule="auto" w:line="240"/>
        <w:ind w:left="360" w:right="7697" w:hanging="0"/>
        <w:jc w:val="both"/>
        <w:rPr/>
      </w:pPr>
      <w:r>
        <w:rPr>
          <w:rFonts w:ascii="Times New Roman" w:hAnsi="Times New Roman"/>
          <w:color w:val="000000"/>
        </w:rPr>
        <w:t xml:space="preserve">• </w:t>
      </w:r>
      <w:hyperlink r:id="rId126">
        <w:r>
          <w:rPr>
            <w:rStyle w:val="LienInternet"/>
            <w:rFonts w:ascii="Times New Roman" w:hAnsi="Times New Roman"/>
            <w:b/>
            <w:color w:val="0000FF"/>
          </w:rPr>
          <w:t>U</w:t>
        </w:r>
      </w:hyperlink>
      <w:hyperlink r:id="rId127">
        <w:r>
          <w:rPr>
            <w:rStyle w:val="LienInternet"/>
            <w:rFonts w:ascii="Times New Roman" w:hAnsi="Times New Roman"/>
            <w:b/>
            <w:color w:val="0000FF"/>
          </w:rPr>
          <w:t>Llemagneu</w:t>
        </w:r>
      </w:hyperlink>
    </w:p>
    <w:p>
      <w:pPr>
        <w:pStyle w:val="Normal"/>
        <w:widowControl w:val="false"/>
        <w:spacing w:lineRule="auto" w:line="240"/>
        <w:ind w:left="360" w:right="7697" w:hanging="0"/>
        <w:jc w:val="both"/>
        <w:rPr/>
      </w:pPr>
      <w:r>
        <w:rPr>
          <w:rFonts w:ascii="Times New Roman" w:hAnsi="Times New Roman"/>
          <w:color w:val="000000"/>
        </w:rPr>
        <w:t xml:space="preserve">• </w:t>
      </w:r>
      <w:hyperlink r:id="rId128">
        <w:r>
          <w:rPr>
            <w:rStyle w:val="LienInternet"/>
            <w:rFonts w:ascii="Times New Roman" w:hAnsi="Times New Roman"/>
            <w:b/>
            <w:color w:val="0000FF"/>
          </w:rPr>
          <w:t>Estonija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29">
        <w:r>
          <w:rPr>
            <w:rStyle w:val="LienInternet"/>
            <w:rFonts w:ascii="Times New Roman" w:hAnsi="Times New Roman"/>
            <w:b/>
            <w:color w:val="0000FF"/>
          </w:rPr>
          <w:t>Irska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0">
        <w:r>
          <w:rPr>
            <w:rStyle w:val="LienInternet"/>
            <w:rFonts w:ascii="Times New Roman" w:hAnsi="Times New Roman"/>
            <w:b/>
            <w:color w:val="0000FF"/>
          </w:rPr>
          <w:t>Grčka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1">
        <w:r>
          <w:rPr>
            <w:rStyle w:val="LienInternet"/>
            <w:rFonts w:ascii="Times New Roman" w:hAnsi="Times New Roman"/>
            <w:b/>
            <w:color w:val="0000FF"/>
          </w:rPr>
          <w:t>Španjolska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2">
        <w:r>
          <w:rPr>
            <w:rStyle w:val="LienInternet"/>
            <w:rFonts w:ascii="Times New Roman" w:hAnsi="Times New Roman"/>
            <w:b/>
            <w:color w:val="0000FF"/>
          </w:rPr>
          <w:t>Francuska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3">
        <w:r>
          <w:rPr>
            <w:rStyle w:val="LienInternet"/>
            <w:rFonts w:ascii="Times New Roman" w:hAnsi="Times New Roman"/>
            <w:b/>
            <w:color w:val="0000FF"/>
          </w:rPr>
          <w:t>Hrvatska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4">
        <w:r>
          <w:rPr>
            <w:rStyle w:val="LienInternet"/>
            <w:rFonts w:ascii="Times New Roman" w:hAnsi="Times New Roman"/>
            <w:b/>
            <w:color w:val="0000FF"/>
          </w:rPr>
          <w:t>Italija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5">
        <w:r>
          <w:rPr>
            <w:rStyle w:val="LienInternet"/>
            <w:rFonts w:ascii="Times New Roman" w:hAnsi="Times New Roman"/>
            <w:b/>
            <w:color w:val="0000FF"/>
          </w:rPr>
          <w:t>Cipar</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6">
        <w:r>
          <w:rPr>
            <w:rStyle w:val="LienInternet"/>
            <w:rFonts w:ascii="Times New Roman" w:hAnsi="Times New Roman"/>
            <w:b/>
            <w:color w:val="0000FF"/>
          </w:rPr>
          <w:t>Latvija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7">
        <w:r>
          <w:rPr>
            <w:rStyle w:val="LienInternet"/>
            <w:rFonts w:ascii="Times New Roman" w:hAnsi="Times New Roman"/>
            <w:b/>
            <w:color w:val="0000FF"/>
          </w:rPr>
          <w:t>Litva</w:t>
        </w:r>
      </w:hyperlink>
      <w:r>
        <w:rPr>
          <w:rFonts w:ascii="Times New Roman" w:hAnsi="Times New Roman"/>
          <w:color w:val="000000"/>
        </w:rPr>
        <w:t xml:space="preserve"> </w:t>
      </w:r>
    </w:p>
    <w:p>
      <w:pPr>
        <w:pStyle w:val="Normal"/>
        <w:widowControl w:val="false"/>
        <w:spacing w:lineRule="auto" w:line="240"/>
        <w:ind w:left="360" w:right="7457" w:hanging="0"/>
        <w:jc w:val="left"/>
        <w:rPr/>
      </w:pPr>
      <w:r>
        <w:rPr>
          <w:rFonts w:ascii="Times New Roman" w:hAnsi="Times New Roman"/>
          <w:color w:val="000000"/>
        </w:rPr>
        <w:t xml:space="preserve">• </w:t>
      </w:r>
      <w:hyperlink r:id="rId138">
        <w:r>
          <w:rPr>
            <w:rStyle w:val="LienInternet"/>
            <w:rFonts w:ascii="Times New Roman" w:hAnsi="Times New Roman"/>
            <w:b/>
            <w:color w:val="0000FF"/>
          </w:rPr>
          <w:t>Luksemburg</w:t>
        </w:r>
      </w:hyperlink>
    </w:p>
    <w:p>
      <w:pPr>
        <w:pStyle w:val="Normal"/>
        <w:widowControl w:val="false"/>
        <w:spacing w:lineRule="auto" w:line="240"/>
        <w:ind w:left="360" w:right="7457" w:hanging="0"/>
        <w:jc w:val="left"/>
        <w:rPr/>
      </w:pPr>
      <w:r>
        <w:rPr>
          <w:rFonts w:ascii="Times New Roman" w:hAnsi="Times New Roman"/>
          <w:color w:val="000000"/>
        </w:rPr>
        <w:t xml:space="preserve">• </w:t>
      </w:r>
      <w:hyperlink r:id="rId139">
        <w:r>
          <w:rPr>
            <w:rStyle w:val="LienInternet"/>
            <w:rFonts w:ascii="Times New Roman" w:hAnsi="Times New Roman"/>
            <w:b/>
            <w:color w:val="0000FF"/>
          </w:rPr>
          <w:t>Mađarska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0">
        <w:r>
          <w:rPr>
            <w:rStyle w:val="LienInternet"/>
            <w:rFonts w:ascii="Times New Roman" w:hAnsi="Times New Roman"/>
            <w:b/>
            <w:color w:val="0000FF"/>
          </w:rPr>
          <w:t>Malta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1">
        <w:r>
          <w:rPr>
            <w:rStyle w:val="LienInternet"/>
            <w:rFonts w:ascii="Times New Roman" w:hAnsi="Times New Roman"/>
            <w:b/>
            <w:color w:val="0000FF"/>
          </w:rPr>
          <w:t>Nizozemska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2">
        <w:r>
          <w:rPr>
            <w:rStyle w:val="LienInternet"/>
            <w:rFonts w:ascii="Times New Roman" w:hAnsi="Times New Roman"/>
            <w:b/>
            <w:color w:val="0000FF"/>
          </w:rPr>
          <w:t>Austrija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&gt; </w:t>
      </w:r>
      <w:hyperlink r:id="rId143">
        <w:r>
          <w:rPr>
            <w:rStyle w:val="LienInternet"/>
            <w:rFonts w:ascii="Times New Roman" w:hAnsi="Times New Roman"/>
            <w:b/>
            <w:color w:val="0000FF"/>
          </w:rPr>
          <w:t>Poljska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4">
        <w:r>
          <w:rPr>
            <w:rStyle w:val="LienInternet"/>
            <w:rFonts w:ascii="Times New Roman" w:hAnsi="Times New Roman"/>
            <w:b/>
            <w:color w:val="0000FF"/>
          </w:rPr>
          <w:t>Portugal</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5">
        <w:r>
          <w:rPr>
            <w:rStyle w:val="LienInternet"/>
            <w:rFonts w:ascii="Times New Roman" w:hAnsi="Times New Roman"/>
            <w:b/>
            <w:color w:val="0000FF"/>
          </w:rPr>
          <w:t>Rumunjska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6">
        <w:r>
          <w:rPr>
            <w:rStyle w:val="LienInternet"/>
            <w:rFonts w:ascii="Times New Roman" w:hAnsi="Times New Roman"/>
            <w:b/>
            <w:color w:val="0000FF"/>
          </w:rPr>
          <w:t>Slovenija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7">
        <w:r>
          <w:rPr>
            <w:rStyle w:val="LienInternet"/>
            <w:rFonts w:ascii="Times New Roman" w:hAnsi="Times New Roman"/>
            <w:b/>
            <w:color w:val="0000FF"/>
          </w:rPr>
          <w:t>Slovačka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8">
        <w:r>
          <w:rPr>
            <w:rStyle w:val="LienInternet"/>
            <w:rFonts w:ascii="Times New Roman" w:hAnsi="Times New Roman"/>
            <w:b/>
            <w:color w:val="0000FF"/>
          </w:rPr>
          <w:t>Finska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9">
        <w:r>
          <w:rPr>
            <w:rStyle w:val="LienInternet"/>
            <w:rFonts w:ascii="Times New Roman" w:hAnsi="Times New Roman"/>
            <w:b/>
            <w:color w:val="0000FF"/>
          </w:rPr>
          <w:t>Švedska</w:t>
        </w:r>
      </w:hyperlink>
      <w:r>
        <w:rPr>
          <w:rFonts w:ascii="Times New Roman" w:hAnsi="Times New Roman"/>
          <w:color w:val="000000"/>
        </w:rPr>
        <w:t xml:space="preserve"> </w:t>
      </w:r>
    </w:p>
    <w:p>
      <w:pPr>
        <w:pStyle w:val="Normal"/>
        <w:spacing w:lineRule="auto" w:line="240"/>
        <w:ind w:left="0" w:right="0" w:hanging="0"/>
        <w:rPr>
          <w:rFonts w:ascii="Times New Roman" w:hAnsi="Times New Roman"/>
          <w:sz w:val="22"/>
        </w:rPr>
      </w:pPr>
      <w:r>
        <w:rPr>
          <w:rFonts w:ascii="Times New Roman" w:hAnsi="Times New Roman"/>
          <w:sz w:val="22"/>
        </w:rPr>
      </w:r>
      <w:r>
        <w:br w:type="page"/>
      </w:r>
    </w:p>
    <w:p>
      <w:pPr>
        <w:pStyle w:val="Titre1"/>
        <w:numPr>
          <w:ilvl w:val="0"/>
          <w:numId w:val="2"/>
        </w:numPr>
        <w:rPr/>
      </w:pPr>
      <w:bookmarkStart w:id="239" w:name="__RefHeading___Toc344888_2081073262"/>
      <w:bookmarkEnd w:id="239"/>
      <w:r>
        <w:rPr/>
        <w:t xml:space="preserve">IV – Upućivanje na izvješće višejezične digitalne platforme </w:t>
      </w:r>
    </w:p>
    <w:p>
      <w:pPr>
        <w:pStyle w:val="P68B1DB1Normal34"/>
        <w:widowControl w:val="false"/>
        <w:spacing w:lineRule="exact" w:line="393"/>
        <w:ind w:left="0" w:right="0" w:hanging="0"/>
        <w:jc w:val="left"/>
        <w:rPr>
          <w:rFonts w:ascii="Arial" w:hAnsi="Arial"/>
          <w:color w:val="000000"/>
          <w:sz w:val="24"/>
        </w:rPr>
      </w:pPr>
      <w:r>
        <w:rPr/>
        <w:t xml:space="preserve"> </w:t>
      </w:r>
    </w:p>
    <w:p>
      <w:pPr>
        <w:pStyle w:val="Normal"/>
        <w:widowControl w:val="false"/>
        <w:spacing w:lineRule="exact" w:line="331" w:before="4" w:after="0"/>
        <w:ind w:left="0" w:right="360" w:hanging="0"/>
        <w:jc w:val="left"/>
        <w:rPr/>
      </w:pPr>
      <w:hyperlink r:id="rId150">
        <w:r>
          <w:rPr>
            <w:rStyle w:val="LienInternet"/>
            <w:color w:val="0000FF"/>
            <w:sz w:val="24"/>
          </w:rPr>
          <w:t>Višejezični</w:t>
        </w:r>
      </w:hyperlink>
      <w:hyperlink r:id="rId151">
        <w:r>
          <w:rPr>
            <w:rStyle w:val="LienInternet"/>
            <w:color w:val="0000FF"/>
            <w:sz w:val="24"/>
          </w:rPr>
          <w:t>naziv</w:t>
        </w:r>
      </w:hyperlink>
      <w:hyperlink r:id="rId152">
        <w:r>
          <w:rPr>
            <w:rStyle w:val="LienInternet"/>
            <w:color w:val="0000FF"/>
            <w:sz w:val="24"/>
          </w:rPr>
          <w:t xml:space="preserve">konferencije o budućnosti Europe – izvješće izveljače 2022.  </w:t>
        </w:r>
      </w:hyperlink>
    </w:p>
    <w:p>
      <w:pPr>
        <w:pStyle w:val="P68B1DB1Normal131"/>
        <w:widowControl w:val="false"/>
        <w:spacing w:lineRule="exact" w:line="393" w:before="4" w:after="0"/>
        <w:ind w:left="0" w:right="0" w:hanging="0"/>
        <w:jc w:val="left"/>
        <w:rPr>
          <w:rFonts w:ascii="Arial" w:hAnsi="Arial"/>
          <w:color w:val="0000FF"/>
          <w:sz w:val="24"/>
        </w:rPr>
      </w:pPr>
      <w:r>
        <w:rPr/>
        <w:t xml:space="preserve"> </w:t>
      </w:r>
    </w:p>
    <w:p>
      <w:pPr>
        <w:pStyle w:val="Normal"/>
        <w:spacing w:lineRule="auto" w:line="240"/>
        <w:ind w:left="0" w:right="0" w:hanging="0"/>
        <w:rPr/>
      </w:pPr>
      <w:r>
        <w:rPr/>
      </w:r>
      <w:r>
        <w:br w:type="page"/>
      </w:r>
    </w:p>
    <w:p>
      <w:pPr>
        <w:pStyle w:val="Normal"/>
        <w:spacing w:lineRule="auto" w:line="240"/>
        <w:ind w:left="0" w:right="0" w:hanging="0"/>
        <w:rPr/>
      </w:pPr>
      <w:r>
        <w:rPr/>
      </w:r>
    </w:p>
    <w:p>
      <w:pPr>
        <w:pStyle w:val="Normal"/>
        <w:spacing w:lineRule="auto" w:line="240"/>
        <w:ind w:left="0" w:right="0" w:hanging="0"/>
        <w:rPr/>
      </w:pPr>
      <w:r>
        <w:rPr/>
      </w:r>
    </w:p>
    <w:p>
      <w:pPr>
        <w:pStyle w:val="Normal"/>
        <w:spacing w:lineRule="auto" w:line="240"/>
        <w:ind w:left="0" w:right="0" w:hanging="0"/>
        <w:rPr/>
      </w:pPr>
      <w:r>
        <w:rPr/>
      </w:r>
    </w:p>
    <w:p>
      <w:pPr>
        <w:pStyle w:val="Normal"/>
        <w:spacing w:lineRule="auto" w:line="240" w:before="7665" w:after="57"/>
        <w:ind w:left="0" w:right="0" w:hanging="0"/>
        <w:rPr/>
      </w:pPr>
      <w:r>
        <w:rPr/>
        <w:drawing>
          <wp:anchor behindDoc="0" distT="0" distB="0" distL="0" distR="0" simplePos="0" locked="0" layoutInCell="1" allowOverlap="1" relativeHeight="43">
            <wp:simplePos x="0" y="0"/>
            <wp:positionH relativeFrom="column">
              <wp:align>center</wp:align>
            </wp:positionH>
            <wp:positionV relativeFrom="paragraph">
              <wp:posOffset>635</wp:posOffset>
            </wp:positionV>
            <wp:extent cx="6120130" cy="4867275"/>
            <wp:effectExtent l="0" t="0" r="0" b="0"/>
            <wp:wrapTopAndBottom/>
            <wp:docPr id="111" name="Slika 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Slika 48" descr=""/>
                    <pic:cNvPicPr>
                      <a:picLocks noChangeAspect="1" noChangeArrowheads="1"/>
                    </pic:cNvPicPr>
                  </pic:nvPicPr>
                  <pic:blipFill>
                    <a:blip r:embed="rId153"/>
                    <a:stretch>
                      <a:fillRect/>
                    </a:stretch>
                  </pic:blipFill>
                  <pic:spPr bwMode="auto">
                    <a:xfrm>
                      <a:off x="0" y="0"/>
                      <a:ext cx="6120130" cy="4867275"/>
                    </a:xfrm>
                    <a:prstGeom prst="rect">
                      <a:avLst/>
                    </a:prstGeom>
                  </pic:spPr>
                </pic:pic>
              </a:graphicData>
            </a:graphic>
          </wp:anchor>
        </w:drawing>
      </w:r>
    </w:p>
    <w:p>
      <w:pPr>
        <w:pStyle w:val="P68B1DB1Normal132"/>
        <w:spacing w:lineRule="auto" w:line="240"/>
        <w:ind w:left="0" w:right="0" w:hanging="0"/>
        <w:rPr/>
      </w:pPr>
      <w:r>
        <w:rPr/>
        <w:t>PDF ISBN 978 – 92 – 824 – 8655 – 9 doi:10.2860/25889 QC-05 – 22 – 131-EN-N Print ISBN 978 – 92 – 824 – 8729 – 7 doi:10.2860/533066 QC-05 – 22 – 131-EN-C</w:t>
      </w:r>
    </w:p>
    <w:p>
      <w:pPr>
        <w:pStyle w:val="P68B1DB1Normal132"/>
        <w:widowControl w:val="false"/>
        <w:spacing w:lineRule="exact" w:line="330" w:before="117" w:after="0"/>
        <w:ind w:left="1668" w:right="0" w:firstLine="2132"/>
        <w:jc w:val="right"/>
        <w:rPr/>
      </w:pPr>
      <w:r>
        <w:rPr/>
        <w:t>© Europska unija, 2022. Dopuštena ponovna uporaba, pod uvjetom da je naveden izvor.</w:t>
      </w:r>
    </w:p>
    <w:p>
      <w:pPr>
        <w:pStyle w:val="Normal"/>
        <w:spacing w:before="57" w:after="57"/>
        <w:ind w:left="0" w:right="0" w:hanging="0"/>
        <w:rPr/>
      </w:pPr>
      <w:r>
        <w:rPr/>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sectPr>
      <w:footnotePr>
        <w:numFmt w:val="upperRoman"/>
      </w:footnotePr>
      <w:endnotePr>
        <w:numFmt w:val="decimal"/>
      </w:endnotePr>
      <w:type w:val="continuous"/>
      <w:pgSz w:w="11906" w:h="16838"/>
      <w:pgMar w:left="1134" w:right="1134" w:header="1134" w:top="1700" w:footer="1134" w:bottom="1727" w:gutter="0"/>
      <w:pgNumType w:fmt="decimal"/>
      <w:formProt w:val="false"/>
      <w:textDirection w:val="lrTb"/>
      <w:docGrid w:type="default" w:linePitch="312" w:charSpace="0"/>
    </w:sectPr>
  </w:body>
</w:document>
</file>

<file path=word/comments.xml><?xml version="1.0" encoding="utf-8"?>
<w:comment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comment w:id="0" w:author="Pierre Dieumegard" w:date="2022-08-28T22:28:53Z" w:initials="PD">
    <w:p>
      <w:r>
        <w:rPr>
          <w:rFonts w:ascii="Times New Roman" w:hAnsi="Times New Roman" w:eastAsia="Segoe UI" w:cs="Tahoma"/>
          <w:color w:val="auto"/>
          <w:kern w:val="0"/>
          <w:sz w:val="24"/>
          <w:szCs w:val="24"/>
          <w:lang w:val="en-US" w:eastAsia="en-US" w:bidi="en-US"/>
        </w:rPr>
        <w:t>Taj pojam „međueuropski” je zbunjen.</w:t>
      </w:r>
    </w:p>
    <w:p>
      <w:r>
        <w:rPr>
          <w:rFonts w:ascii="Times New Roman" w:hAnsi="Times New Roman" w:eastAsia="Segoe UI" w:cs="Tahoma"/>
          <w:color w:val="auto"/>
          <w:kern w:val="0"/>
          <w:sz w:val="24"/>
          <w:szCs w:val="24"/>
          <w:lang w:val="en-US" w:eastAsia="en-US" w:bidi="en-US"/>
        </w:rPr>
      </w:r>
    </w:p>
  </w:comment>
  <w:comment w:id="1" w:author="Pierre Dieumegard" w:date="2022-06-06T14:26:47Z" w:initials="">
    <w:p>
      <w:r>
        <w:rPr>
          <w:rFonts w:ascii="Times New Roman" w:hAnsi="Times New Roman" w:eastAsia="Segoe UI" w:cs="Tahoma"/>
          <w:color w:val="auto"/>
          <w:kern w:val="0"/>
          <w:sz w:val="24"/>
          <w:szCs w:val="24"/>
          <w:lang w:val="en-US" w:eastAsia="en-US" w:bidi="en-US"/>
        </w:rPr>
        <w:t>čudno grupiranje</w:t>
      </w:r>
    </w:p>
    <w:p>
      <w:r>
        <w:rPr>
          <w:rFonts w:ascii="Times New Roman" w:hAnsi="Times New Roman" w:eastAsia="Segoe UI" w:cs="Tahoma"/>
          <w:color w:val="auto"/>
          <w:kern w:val="0"/>
          <w:sz w:val="24"/>
          <w:szCs w:val="24"/>
          <w:lang w:val="en-US" w:eastAsia="en-US" w:bidi="en-US"/>
        </w:rPr>
      </w:r>
    </w:p>
  </w:comment>
  <w:comment w:id="2" w:author="Pierre Dieumegard" w:date="2022-06-06T14:27:08Z" w:initials="">
    <w:p>
      <w:r>
        <w:rPr>
          <w:rFonts w:ascii="Times New Roman" w:hAnsi="Times New Roman" w:eastAsia="Segoe UI" w:cs="Tahoma"/>
          <w:color w:val="auto"/>
          <w:kern w:val="0"/>
          <w:sz w:val="24"/>
          <w:szCs w:val="24"/>
          <w:lang w:val="en-US" w:eastAsia="en-US" w:bidi="en-US"/>
        </w:rPr>
        <w:t>čudno grupiranje</w:t>
      </w:r>
    </w:p>
    <w:p>
      <w:r>
        <w:rPr>
          <w:rFonts w:ascii="Times New Roman" w:hAnsi="Times New Roman" w:eastAsia="Segoe UI" w:cs="Tahoma"/>
          <w:color w:val="auto"/>
          <w:kern w:val="0"/>
          <w:sz w:val="24"/>
          <w:szCs w:val="24"/>
          <w:lang w:val="en-US" w:eastAsia="en-US" w:bidi="en-US"/>
        </w:rPr>
      </w:r>
    </w:p>
  </w:comment>
  <w:comment w:id="3" w:author="Pierre Dieumegard" w:date="2022-06-06T14:28:05Z" w:initials="">
    <w:p>
      <w:r>
        <w:rPr>
          <w:rFonts w:ascii="Times New Roman" w:hAnsi="Times New Roman" w:eastAsia="Segoe UI" w:cs="Tahoma"/>
          <w:color w:val="auto"/>
          <w:kern w:val="0"/>
          <w:sz w:val="24"/>
          <w:szCs w:val="24"/>
          <w:lang w:val="en-US" w:eastAsia="en-US" w:bidi="en-US"/>
        </w:rPr>
        <w:t>čudno grupiranje</w:t>
      </w:r>
    </w:p>
    <w:p>
      <w:r>
        <w:rPr>
          <w:rFonts w:ascii="Times New Roman" w:hAnsi="Times New Roman" w:eastAsia="Segoe UI" w:cs="Tahoma"/>
          <w:color w:val="auto"/>
          <w:kern w:val="0"/>
          <w:sz w:val="24"/>
          <w:szCs w:val="24"/>
          <w:lang w:val="en-US" w:eastAsia="en-US" w:bidi="en-US"/>
        </w:rPr>
      </w:r>
    </w:p>
  </w:comment>
  <w:comment w:id="4" w:author="Pierre Dieumegard" w:date="2022-06-06T13:23:23Z" w:initials="">
    <w:p>
      <w:r>
        <w:rPr>
          <w:rFonts w:ascii="Times New Roman" w:hAnsi="Times New Roman" w:eastAsia="Segoe UI" w:cs="Tahoma"/>
          <w:color w:val="auto"/>
          <w:kern w:val="0"/>
          <w:sz w:val="24"/>
          <w:szCs w:val="24"/>
          <w:lang w:val="en-US" w:eastAsia="en-US" w:bidi="en-US"/>
        </w:rPr>
        <w:t>u kurzivu u početnom izvješću na francuskom</w:t>
      </w:r>
    </w:p>
    <w:p>
      <w:r>
        <w:rPr>
          <w:rFonts w:ascii="Times New Roman" w:hAnsi="Times New Roman" w:eastAsia="Segoe UI" w:cs="Tahoma"/>
          <w:color w:val="auto"/>
          <w:kern w:val="0"/>
          <w:sz w:val="24"/>
          <w:szCs w:val="24"/>
          <w:lang w:val="en-US" w:eastAsia="en-US" w:bidi="en-US"/>
        </w:rPr>
      </w:r>
    </w:p>
  </w:comment>
  <w:comment w:id="5" w:author="Pierre Dieumegard" w:date="2022-06-06T13:58:33Z" w:initials="">
    <w:p>
      <w:r>
        <w:rPr>
          <w:rFonts w:ascii="Times New Roman" w:hAnsi="Times New Roman" w:eastAsia="Segoe UI" w:cs="Tahoma"/>
          <w:color w:val="auto"/>
          <w:kern w:val="0"/>
          <w:sz w:val="24"/>
          <w:szCs w:val="24"/>
          <w:lang w:val="en-US" w:eastAsia="en-US" w:bidi="en-US"/>
        </w:rPr>
        <w:t>original je bio „drug”</w:t>
      </w:r>
    </w:p>
    <w:p>
      <w:r>
        <w:rPr>
          <w:rFonts w:ascii="Times New Roman" w:hAnsi="Times New Roman" w:eastAsia="Segoe UI" w:cs="Tahoma"/>
          <w:color w:val="auto"/>
          <w:kern w:val="0"/>
          <w:sz w:val="24"/>
          <w:szCs w:val="24"/>
          <w:lang w:val="en-US" w:eastAsia="en-US" w:bidi="en-US"/>
        </w:rPr>
      </w:r>
    </w:p>
  </w:comment>
  <w:comment w:id="6" w:author="Pierre Dieumegard" w:date="2022-06-06T14:46:32Z" w:initials="">
    <w:p>
      <w:r>
        <w:rPr>
          <w:rFonts w:ascii="Times New Roman" w:hAnsi="Times New Roman" w:eastAsia="Segoe UI" w:cs="Tahoma"/>
          <w:color w:val="auto"/>
          <w:kern w:val="0"/>
          <w:sz w:val="24"/>
          <w:szCs w:val="24"/>
          <w:lang w:val="en-US" w:eastAsia="en-US" w:bidi="en-US"/>
        </w:rPr>
        <w:t>Dodao sam „s” (množina odobrena s porezima)</w:t>
      </w:r>
    </w:p>
    <w:p>
      <w:r>
        <w:rPr>
          <w:rFonts w:ascii="Times New Roman" w:hAnsi="Times New Roman" w:eastAsia="Segoe UI" w:cs="Tahoma"/>
          <w:color w:val="auto"/>
          <w:kern w:val="0"/>
          <w:sz w:val="24"/>
          <w:szCs w:val="24"/>
          <w:lang w:val="en-US" w:eastAsia="en-US" w:bidi="en-US"/>
        </w:rPr>
      </w:r>
    </w:p>
  </w:comment>
  <w:comment w:id="7" w:author="Pierre Dieumegard" w:date="2022-08-29T08:11:11Z" w:initials="PD">
    <w:p>
      <w:r>
        <w:rPr>
          <w:rFonts w:ascii="Times New Roman" w:hAnsi="Times New Roman" w:eastAsia="Segoe UI" w:cs="Tahoma"/>
          <w:color w:val="auto"/>
          <w:kern w:val="0"/>
          <w:sz w:val="24"/>
          <w:szCs w:val="24"/>
          <w:lang w:val="en-US" w:eastAsia="en-US" w:bidi="en-US"/>
        </w:rPr>
        <w:t>Dodao sam crtica</w:t>
      </w:r>
    </w:p>
    <w:p>
      <w:r>
        <w:rPr>
          <w:rFonts w:ascii="Times New Roman" w:hAnsi="Times New Roman" w:eastAsia="Segoe UI" w:cs="Tahoma"/>
          <w:color w:val="auto"/>
          <w:kern w:val="0"/>
          <w:sz w:val="24"/>
          <w:szCs w:val="24"/>
          <w:lang w:val="en-US" w:eastAsia="en-US" w:bidi="en-US"/>
        </w:rPr>
      </w:r>
    </w:p>
  </w:comment>
  <w:comment w:id="8" w:author="Pierre Dieumegard" w:date="2022-06-06T14:18:46Z" w:initials="">
    <w:p>
      <w:r>
        <w:rPr>
          <w:rFonts w:ascii="Times New Roman" w:hAnsi="Times New Roman" w:eastAsia="Segoe UI" w:cs="Tahoma"/>
          <w:color w:val="auto"/>
          <w:kern w:val="0"/>
          <w:sz w:val="24"/>
          <w:szCs w:val="24"/>
          <w:lang w:val="en-US" w:eastAsia="en-US" w:bidi="en-US"/>
        </w:rPr>
        <w:t>dodano veliko pismo</w:t>
      </w:r>
    </w:p>
    <w:p>
      <w:r>
        <w:rPr>
          <w:rFonts w:ascii="Times New Roman" w:hAnsi="Times New Roman" w:eastAsia="Segoe UI" w:cs="Tahoma"/>
          <w:color w:val="auto"/>
          <w:kern w:val="0"/>
          <w:sz w:val="24"/>
          <w:szCs w:val="24"/>
          <w:lang w:val="en-US" w:eastAsia="en-US" w:bidi="en-US"/>
        </w:rPr>
      </w:r>
    </w:p>
  </w:comment>
  <w:comment w:id="9" w:author="Pierre Dieumegard" w:date="2022-06-06T17:20:38Z" w:initials="">
    <w:p>
      <w:r>
        <w:rPr>
          <w:rFonts w:ascii="Times New Roman" w:hAnsi="Times New Roman" w:eastAsia="Segoe UI" w:cs="Tahoma"/>
          <w:color w:val="auto"/>
          <w:kern w:val="0"/>
          <w:sz w:val="24"/>
          <w:szCs w:val="24"/>
          <w:lang w:val="en-US" w:eastAsia="en-US" w:bidi="en-US"/>
        </w:rPr>
        <w:t>Uklonio sam „s”</w:t>
      </w:r>
    </w:p>
    <w:p>
      <w:r>
        <w:rPr>
          <w:rFonts w:ascii="Times New Roman" w:hAnsi="Times New Roman" w:eastAsia="Segoe UI" w:cs="Tahoma"/>
          <w:color w:val="auto"/>
          <w:kern w:val="0"/>
          <w:sz w:val="24"/>
          <w:szCs w:val="24"/>
          <w:lang w:val="en-US" w:eastAsia="en-US" w:bidi="en-US"/>
        </w:rPr>
      </w:r>
    </w:p>
  </w:comment>
  <w:comment w:id="10" w:author="Pierre Dieumegard" w:date="2022-08-29T12:33:01Z" w:initials="PD">
    <w:p>
      <w:r>
        <w:rPr>
          <w:rFonts w:ascii="Times New Roman" w:hAnsi="Times New Roman" w:eastAsia="Segoe UI" w:cs="Tahoma"/>
          <w:color w:val="auto"/>
          <w:kern w:val="0"/>
          <w:sz w:val="24"/>
          <w:szCs w:val="24"/>
          <w:lang w:val="en-US" w:eastAsia="en-US" w:bidi="en-US"/>
        </w:rPr>
        <w:t>izvornik je imao nadzornu ploču; Ne znam što je nadzorna ploča; Stoga sam od Googlea zatražio prijevod teksta na engleskom jeziku u kojem se navodi „dashboard”, što je razumljivo na francuskom jeziku.</w:t>
      </w:r>
    </w:p>
    <w:p>
      <w:r>
        <w:rPr>
          <w:rFonts w:ascii="Times New Roman" w:hAnsi="Times New Roman" w:eastAsia="Segoe UI" w:cs="Tahoma"/>
          <w:color w:val="auto"/>
          <w:kern w:val="0"/>
          <w:sz w:val="24"/>
          <w:szCs w:val="24"/>
          <w:lang w:val="en-US" w:eastAsia="en-US" w:bidi="en-US"/>
        </w:rPr>
      </w:r>
    </w:p>
  </w:comment>
  <w:comment w:id="11" w:author="Pierre Dieumegard" w:date="2022-08-29T12:37:22Z" w:initials="PD">
    <w:p>
      <w:r>
        <w:rPr>
          <w:rFonts w:ascii="Times New Roman" w:hAnsi="Times New Roman" w:eastAsia="Segoe UI" w:cs="Tahoma"/>
          <w:color w:val="auto"/>
          <w:kern w:val="0"/>
          <w:sz w:val="24"/>
          <w:szCs w:val="24"/>
          <w:lang w:val="en-US" w:eastAsia="en-US" w:bidi="en-US"/>
        </w:rPr>
        <w:t>Stavio sam veliko pismo.</w:t>
      </w:r>
    </w:p>
    <w:p>
      <w:r>
        <w:rPr>
          <w:rFonts w:ascii="Times New Roman" w:hAnsi="Times New Roman" w:eastAsia="Segoe UI" w:cs="Tahoma"/>
          <w:color w:val="auto"/>
          <w:kern w:val="0"/>
          <w:sz w:val="24"/>
          <w:szCs w:val="24"/>
          <w:lang w:val="en-US" w:eastAsia="en-US" w:bidi="en-US"/>
        </w:rPr>
      </w:r>
    </w:p>
  </w:comment>
  <w:comment w:id="12" w:author="Pierre Dieumegard" w:date="2022-08-29T12:38:48Z" w:initials="PD">
    <w:p>
      <w:r>
        <w:rPr>
          <w:rFonts w:ascii="Times New Roman" w:hAnsi="Times New Roman" w:eastAsia="Segoe UI" w:cs="Tahoma"/>
          <w:color w:val="auto"/>
          <w:kern w:val="0"/>
          <w:sz w:val="24"/>
          <w:szCs w:val="24"/>
          <w:lang w:val="en-US" w:eastAsia="en-US" w:bidi="en-US"/>
        </w:rPr>
        <w:t>Dodao sam „e”</w:t>
      </w:r>
    </w:p>
    <w:p>
      <w:r>
        <w:rPr>
          <w:rFonts w:ascii="Times New Roman" w:hAnsi="Times New Roman" w:eastAsia="Segoe UI" w:cs="Tahoma"/>
          <w:color w:val="auto"/>
          <w:kern w:val="0"/>
          <w:sz w:val="24"/>
          <w:szCs w:val="24"/>
          <w:lang w:val="en-US" w:eastAsia="en-US" w:bidi="en-US"/>
        </w:rPr>
      </w:r>
    </w:p>
  </w:comment>
  <w:comment w:id="13" w:author="Pierre Dieumegard" w:date="2022-06-06T17:22:56Z" w:initials="">
    <w:p>
      <w:r>
        <w:rPr>
          <w:rFonts w:ascii="Times New Roman" w:hAnsi="Times New Roman" w:eastAsia="Segoe UI" w:cs="Tahoma"/>
          <w:color w:val="auto"/>
          <w:kern w:val="0"/>
          <w:sz w:val="24"/>
          <w:szCs w:val="24"/>
          <w:lang w:val="en-US" w:eastAsia="en-US" w:bidi="en-US"/>
        </w:rPr>
        <w:t>Dodao sam „s”</w:t>
      </w:r>
    </w:p>
    <w:p>
      <w:r>
        <w:rPr>
          <w:rFonts w:ascii="Times New Roman" w:hAnsi="Times New Roman" w:eastAsia="Segoe UI" w:cs="Tahoma"/>
          <w:color w:val="auto"/>
          <w:kern w:val="0"/>
          <w:sz w:val="24"/>
          <w:szCs w:val="24"/>
          <w:lang w:val="en-US" w:eastAsia="en-US" w:bidi="en-US"/>
        </w:rPr>
      </w:r>
    </w:p>
  </w:comment>
  <w:comment w:id="14" w:author="Pierre Dieumegard" w:date="2022-08-29T12:46:15Z" w:initials="PD">
    <w:p>
      <w:r>
        <w:rPr>
          <w:rFonts w:ascii="Times New Roman" w:hAnsi="Times New Roman" w:eastAsia="Segoe UI" w:cs="Tahoma"/>
          <w:color w:val="auto"/>
          <w:kern w:val="0"/>
          <w:sz w:val="24"/>
          <w:szCs w:val="24"/>
          <w:lang w:val="en-US" w:eastAsia="en-US" w:bidi="en-US"/>
        </w:rPr>
        <w:t>izvornik je imao „referendu”; kao i drugdje postoji „referendum” s naglaskom, množina mora biti „referenda”, u korištenju latinske deklinacije.</w:t>
      </w:r>
    </w:p>
    <w:p>
      <w:r>
        <w:rPr>
          <w:rFonts w:ascii="Times New Roman" w:hAnsi="Times New Roman" w:eastAsia="Segoe UI" w:cs="Tahoma"/>
          <w:color w:val="auto"/>
          <w:kern w:val="0"/>
          <w:sz w:val="24"/>
          <w:szCs w:val="24"/>
          <w:lang w:val="en-US" w:eastAsia="en-US" w:bidi="en-US"/>
        </w:rPr>
        <w:t xml:space="preserve">vidjeti https://www.larousse.fr/dictionnaires/francais/r%C3%A9f%C3%A9rendum/67445 </w:t>
      </w:r>
    </w:p>
    <w:p>
      <w:r>
        <w:rPr>
          <w:rFonts w:ascii="Times New Roman" w:hAnsi="Times New Roman" w:eastAsia="Segoe UI" w:cs="Tahoma"/>
          <w:color w:val="auto"/>
          <w:kern w:val="0"/>
          <w:sz w:val="24"/>
          <w:szCs w:val="24"/>
          <w:lang w:val="en-US" w:eastAsia="en-US" w:bidi="en-US"/>
        </w:rPr>
      </w:r>
    </w:p>
  </w:comment>
  <w:comment w:id="15" w:author="Pierre Dieumegard" w:date="2022-08-29T17:51:01Z" w:initials="PD">
    <w:p>
      <w:r>
        <w:rPr>
          <w:rFonts w:ascii="Times New Roman" w:hAnsi="Times New Roman" w:eastAsia="Segoe UI" w:cs="Tahoma"/>
          <w:color w:val="auto"/>
          <w:kern w:val="0"/>
          <w:sz w:val="24"/>
          <w:szCs w:val="24"/>
          <w:lang w:val="en-US" w:eastAsia="en-US" w:bidi="en-US"/>
        </w:rPr>
        <w:t>bilo je i „referende”.</w:t>
      </w:r>
    </w:p>
    <w:p>
      <w:r>
        <w:rPr>
          <w:rFonts w:ascii="Times New Roman" w:hAnsi="Times New Roman" w:eastAsia="Segoe UI" w:cs="Tahoma"/>
          <w:color w:val="auto"/>
          <w:kern w:val="0"/>
          <w:sz w:val="24"/>
          <w:szCs w:val="24"/>
          <w:lang w:val="en-US" w:eastAsia="en-US" w:bidi="en-US"/>
        </w:rPr>
      </w:r>
    </w:p>
  </w:comment>
  <w:comment w:id="16" w:author="Pierre Dieumegard" w:date="2022-06-06T17:43:08Z" w:initials="">
    <w:p>
      <w:r>
        <w:rPr>
          <w:rFonts w:ascii="Times New Roman" w:hAnsi="Times New Roman" w:eastAsia="Segoe UI" w:cs="Tahoma"/>
          <w:color w:val="auto"/>
          <w:kern w:val="0"/>
          <w:sz w:val="24"/>
          <w:szCs w:val="24"/>
          <w:lang w:val="en-US" w:eastAsia="en-US" w:bidi="en-US"/>
        </w:rPr>
        <w:t>Izvornik je imao „na popisu mehanizama ladice”? Ne razumijem, pa sam preveo s engleske verzije.</w:t>
      </w:r>
    </w:p>
    <w:p>
      <w:r>
        <w:rPr>
          <w:rFonts w:ascii="Times New Roman" w:hAnsi="Times New Roman" w:eastAsia="Segoe UI" w:cs="Tahoma"/>
          <w:color w:val="auto"/>
          <w:kern w:val="0"/>
          <w:sz w:val="24"/>
          <w:szCs w:val="24"/>
          <w:lang w:val="en-US" w:eastAsia="en-US" w:bidi="en-US"/>
        </w:rPr>
      </w:r>
    </w:p>
  </w:comment>
  <w:comment w:id="17" w:author="Pierre Dieumegard" w:date="2022-08-30T08:36:59Z" w:initials="PD">
    <w:p>
      <w:r>
        <w:rPr>
          <w:rFonts w:ascii="Times New Roman" w:hAnsi="Times New Roman" w:eastAsia="Segoe UI" w:cs="Tahoma"/>
          <w:color w:val="auto"/>
          <w:kern w:val="0"/>
          <w:sz w:val="24"/>
          <w:szCs w:val="24"/>
          <w:lang w:val="en-US" w:eastAsia="en-US" w:bidi="en-US"/>
        </w:rPr>
        <w:t>Izvornik na francuskom jeziku bio je „Mrežna stranica pučkog pravobranitelja dobro je izrađena, ali nije europska robna marka”. Pojam „branded” je nerazumljiv. Engleska verzija je "Mrežna stranica pučkog pravobranitelja je dobro napravljena, ali nema odgovarajuću europsku ‚sliku’, pa ga zamjenjujem razumljivijim izravnim prijevodom engleskog jezika.</w:t>
      </w:r>
    </w:p>
    <w:p>
      <w:r>
        <w:rPr>
          <w:rFonts w:ascii="Times New Roman" w:hAnsi="Times New Roman" w:eastAsia="Segoe UI" w:cs="Tahoma"/>
          <w:color w:val="auto"/>
          <w:kern w:val="0"/>
          <w:sz w:val="24"/>
          <w:szCs w:val="24"/>
          <w:lang w:val="en-US" w:eastAsia="en-US" w:bidi="en-US"/>
        </w:rPr>
      </w:r>
    </w:p>
  </w:comment>
  <w:comment w:id="18" w:author="Pierre Dieumegard" w:date="2022-08-30T08:40:11Z" w:initials="PD">
    <w:p>
      <w:r>
        <w:rPr>
          <w:rFonts w:ascii="Times New Roman" w:hAnsi="Times New Roman" w:eastAsia="Segoe UI" w:cs="Tahoma"/>
          <w:color w:val="auto"/>
          <w:kern w:val="0"/>
          <w:sz w:val="24"/>
          <w:szCs w:val="24"/>
          <w:lang w:val="en-US" w:eastAsia="en-US" w:bidi="en-US"/>
        </w:rPr>
        <w:t>izvornik na francuskom jeziku bio je „javni”, koji nije bio odobren s „savjetovanjem”. Je li riječ o javnom savjetovanju ili javnom savjetovanju?</w:t>
      </w:r>
    </w:p>
    <w:p>
      <w:r>
        <w:rPr>
          <w:rFonts w:ascii="Times New Roman" w:hAnsi="Times New Roman" w:eastAsia="Segoe UI" w:cs="Tahoma"/>
          <w:color w:val="auto"/>
          <w:kern w:val="0"/>
          <w:sz w:val="24"/>
          <w:szCs w:val="24"/>
          <w:lang w:val="en-US" w:eastAsia="en-US" w:bidi="en-US"/>
        </w:rPr>
      </w:r>
    </w:p>
  </w:comment>
  <w:comment w:id="19" w:author="Pierre Dieumegard" w:date="2022-06-06T17:46:19Z" w:initials="">
    <w:p>
      <w:r>
        <w:rPr>
          <w:rFonts w:ascii="Times New Roman" w:hAnsi="Times New Roman" w:eastAsia="Segoe UI" w:cs="Tahoma"/>
          <w:color w:val="auto"/>
          <w:kern w:val="0"/>
          <w:sz w:val="24"/>
          <w:szCs w:val="24"/>
          <w:lang w:val="en-US" w:eastAsia="en-US" w:bidi="en-US"/>
        </w:rPr>
        <w:t>bilo je „staklo”</w:t>
      </w:r>
    </w:p>
    <w:p>
      <w:r>
        <w:rPr>
          <w:rFonts w:ascii="Times New Roman" w:hAnsi="Times New Roman" w:eastAsia="Segoe UI" w:cs="Tahoma"/>
          <w:color w:val="auto"/>
          <w:kern w:val="0"/>
          <w:sz w:val="24"/>
          <w:szCs w:val="24"/>
          <w:lang w:val="en-US" w:eastAsia="en-US" w:bidi="en-US"/>
        </w:rPr>
      </w:r>
    </w:p>
  </w:comment>
  <w:comment w:id="20" w:author="Pierre Dieumegard" w:date="2022-08-30T08:42:49Z" w:initials="PD">
    <w:p>
      <w:r>
        <w:rPr>
          <w:rFonts w:ascii="Times New Roman" w:hAnsi="Times New Roman" w:eastAsia="Segoe UI" w:cs="Tahoma"/>
          <w:color w:val="auto"/>
          <w:kern w:val="0"/>
          <w:sz w:val="24"/>
          <w:szCs w:val="24"/>
          <w:lang w:val="en-US" w:eastAsia="en-US" w:bidi="en-US"/>
        </w:rPr>
        <w:t>dodana velika slova (trgovački nazivi)</w:t>
      </w:r>
    </w:p>
    <w:p>
      <w:r>
        <w:rPr>
          <w:rFonts w:ascii="Times New Roman" w:hAnsi="Times New Roman" w:eastAsia="Segoe UI" w:cs="Tahoma"/>
          <w:color w:val="auto"/>
          <w:kern w:val="0"/>
          <w:sz w:val="24"/>
          <w:szCs w:val="24"/>
          <w:lang w:val="en-US" w:eastAsia="en-US" w:bidi="en-US"/>
        </w:rPr>
      </w:r>
    </w:p>
  </w:comment>
  <w:comment w:id="21" w:author="Pierre Dieumegard" w:date="2022-06-08T10:37:42Z" w:initials="">
    <w:p>
      <w:r>
        <w:rPr>
          <w:rFonts w:ascii="Times New Roman" w:hAnsi="Times New Roman" w:eastAsia="Segoe UI" w:cs="Tahoma"/>
          <w:color w:val="auto"/>
          <w:kern w:val="0"/>
          <w:sz w:val="24"/>
          <w:szCs w:val="24"/>
          <w:lang w:val="en-US" w:eastAsia="en-US" w:bidi="en-US"/>
        </w:rPr>
        <w:t>umjesto riječi „la” s „The”</w:t>
      </w:r>
    </w:p>
    <w:p>
      <w:r>
        <w:rPr>
          <w:rFonts w:ascii="Times New Roman" w:hAnsi="Times New Roman" w:eastAsia="Segoe UI" w:cs="Tahoma"/>
          <w:color w:val="auto"/>
          <w:kern w:val="0"/>
          <w:sz w:val="24"/>
          <w:szCs w:val="24"/>
          <w:lang w:val="en-US" w:eastAsia="en-US" w:bidi="en-US"/>
        </w:rPr>
      </w:r>
    </w:p>
  </w:comment>
  <w:comment w:id="22" w:author="Pierre Dieumegard" w:date="2022-06-08T10:42:55Z" w:initials="">
    <w:p>
      <w:r>
        <w:rPr>
          <w:rFonts w:ascii="Times New Roman" w:hAnsi="Times New Roman" w:eastAsia="Segoe UI" w:cs="Tahoma"/>
          <w:color w:val="auto"/>
          <w:kern w:val="0"/>
          <w:sz w:val="24"/>
          <w:szCs w:val="24"/>
          <w:lang w:val="en-US" w:eastAsia="en-US" w:bidi="en-US"/>
        </w:rPr>
        <w:t>umjesto riječi „uzmi” s „uzmi”</w:t>
      </w:r>
    </w:p>
    <w:p>
      <w:r>
        <w:rPr>
          <w:rFonts w:ascii="Times New Roman" w:hAnsi="Times New Roman" w:eastAsia="Segoe UI" w:cs="Tahoma"/>
          <w:color w:val="auto"/>
          <w:kern w:val="0"/>
          <w:sz w:val="24"/>
          <w:szCs w:val="24"/>
          <w:lang w:val="en-US" w:eastAsia="en-US" w:bidi="en-US"/>
        </w:rPr>
      </w:r>
    </w:p>
  </w:comment>
  <w:comment w:id="23" w:author="Pierre Dieumegard" w:date="2022-08-31T22:23:22Z" w:initials="PD">
    <w:p>
      <w:r>
        <w:rPr>
          <w:rFonts w:ascii="Times New Roman" w:hAnsi="Times New Roman" w:eastAsia="Segoe UI" w:cs="Tahoma"/>
          <w:color w:val="auto"/>
          <w:kern w:val="0"/>
          <w:sz w:val="24"/>
          <w:szCs w:val="24"/>
          <w:lang w:val="en-US" w:eastAsia="en-US" w:bidi="en-US"/>
        </w:rPr>
        <w:t>uklonili „s”</w:t>
      </w:r>
    </w:p>
    <w:p>
      <w:r>
        <w:rPr>
          <w:rFonts w:ascii="Times New Roman" w:hAnsi="Times New Roman" w:eastAsia="Segoe UI" w:cs="Tahoma"/>
          <w:color w:val="auto"/>
          <w:kern w:val="0"/>
          <w:sz w:val="24"/>
          <w:szCs w:val="24"/>
          <w:lang w:val="en-US" w:eastAsia="en-US" w:bidi="en-US"/>
        </w:rPr>
      </w:r>
    </w:p>
  </w:comment>
  <w:comment w:id="24" w:author="Pierre Dieumegard" w:date="2022-08-31T22:24:16Z" w:initials="PD">
    <w:p>
      <w:r>
        <w:rPr>
          <w:rFonts w:ascii="Times New Roman" w:hAnsi="Times New Roman" w:eastAsia="Segoe UI" w:cs="Tahoma"/>
          <w:color w:val="auto"/>
          <w:kern w:val="0"/>
          <w:sz w:val="24"/>
          <w:szCs w:val="24"/>
          <w:lang w:val="en-US" w:eastAsia="en-US" w:bidi="en-US"/>
        </w:rPr>
        <w:t>dodano „s”</w:t>
      </w:r>
    </w:p>
    <w:p>
      <w:r>
        <w:rPr>
          <w:rFonts w:ascii="Times New Roman" w:hAnsi="Times New Roman" w:eastAsia="Segoe UI" w:cs="Tahoma"/>
          <w:color w:val="auto"/>
          <w:kern w:val="0"/>
          <w:sz w:val="24"/>
          <w:szCs w:val="24"/>
          <w:lang w:val="en-US" w:eastAsia="en-US" w:bidi="en-US"/>
        </w:rPr>
      </w:r>
    </w:p>
  </w:comment>
  <w:comment w:id="25" w:author="Pierre Dieumegard" w:date="2022-08-31T22:58:08Z" w:initials="PD">
    <w:p>
      <w:r>
        <w:rPr>
          <w:rFonts w:ascii="Times New Roman" w:hAnsi="Times New Roman" w:eastAsia="Segoe UI" w:cs="Tahoma"/>
          <w:color w:val="auto"/>
          <w:kern w:val="0"/>
          <w:sz w:val="24"/>
          <w:szCs w:val="24"/>
          <w:lang w:val="en-US" w:eastAsia="en-US" w:bidi="en-US"/>
        </w:rPr>
        <w:t>Ne razumijem „swiper”</w:t>
      </w:r>
    </w:p>
    <w:p>
      <w:r>
        <w:rPr>
          <w:rFonts w:ascii="Times New Roman" w:hAnsi="Times New Roman" w:eastAsia="Segoe UI" w:cs="Tahoma"/>
          <w:color w:val="auto"/>
          <w:kern w:val="0"/>
          <w:sz w:val="24"/>
          <w:szCs w:val="24"/>
          <w:lang w:val="en-US" w:eastAsia="en-US" w:bidi="en-US"/>
        </w:rPr>
      </w:r>
    </w:p>
  </w:comment>
  <w:comment w:id="26" w:author="Pierre Dieumegard" w:date="2022-06-08T10:46:29Z" w:initials="">
    <w:p>
      <w:r>
        <w:rPr>
          <w:rFonts w:ascii="Times New Roman" w:hAnsi="Times New Roman" w:eastAsia="Segoe UI" w:cs="Tahoma"/>
          <w:color w:val="auto"/>
          <w:kern w:val="0"/>
          <w:sz w:val="24"/>
          <w:szCs w:val="24"/>
          <w:lang w:val="en-US" w:eastAsia="en-US" w:bidi="en-US"/>
        </w:rPr>
        <w:t>??</w:t>
      </w:r>
    </w:p>
    <w:p>
      <w:r>
        <w:rPr>
          <w:rFonts w:ascii="Times New Roman" w:hAnsi="Times New Roman" w:eastAsia="Segoe UI" w:cs="Tahoma"/>
          <w:color w:val="auto"/>
          <w:kern w:val="0"/>
          <w:sz w:val="24"/>
          <w:szCs w:val="24"/>
          <w:lang w:val="en-US" w:eastAsia="en-US" w:bidi="en-US"/>
        </w:rPr>
      </w:r>
    </w:p>
  </w:comment>
  <w:comment w:id="27" w:author="Pierre Dieumegard" w:date="2022-06-07T19:00:57Z" w:initials="">
    <w:p>
      <w:r>
        <w:rPr>
          <w:rFonts w:ascii="Times New Roman" w:hAnsi="Times New Roman" w:eastAsia="Segoe UI" w:cs="Tahoma"/>
          <w:color w:val="auto"/>
          <w:kern w:val="0"/>
          <w:sz w:val="24"/>
          <w:szCs w:val="24"/>
          <w:lang w:val="en-US" w:eastAsia="en-US" w:bidi="en-US"/>
        </w:rPr>
        <w:t>dodano „s”</w:t>
      </w:r>
    </w:p>
    <w:p>
      <w:r>
        <w:rPr>
          <w:rFonts w:ascii="Times New Roman" w:hAnsi="Times New Roman" w:eastAsia="Segoe UI" w:cs="Tahoma"/>
          <w:color w:val="auto"/>
          <w:kern w:val="0"/>
          <w:sz w:val="24"/>
          <w:szCs w:val="24"/>
          <w:lang w:val="en-US" w:eastAsia="en-US" w:bidi="en-US"/>
        </w:rPr>
      </w:r>
    </w:p>
  </w:comment>
  <w:comment w:id="28" w:author="Pierre Dieumegard" w:date="2022-06-07T19:04:10Z" w:initials="">
    <w:p>
      <w:r>
        <w:rPr>
          <w:rFonts w:ascii="Times New Roman" w:hAnsi="Times New Roman" w:eastAsia="Segoe UI" w:cs="Tahoma"/>
          <w:color w:val="auto"/>
          <w:kern w:val="0"/>
          <w:sz w:val="24"/>
          <w:szCs w:val="24"/>
          <w:lang w:val="en-US" w:eastAsia="en-US" w:bidi="en-US"/>
        </w:rPr>
        <w:t>naslov na dva strana jezika: čudno</w:t>
      </w:r>
    </w:p>
    <w:p>
      <w:r>
        <w:rPr>
          <w:rFonts w:ascii="Times New Roman" w:hAnsi="Times New Roman" w:eastAsia="Segoe UI" w:cs="Tahoma"/>
          <w:color w:val="auto"/>
          <w:kern w:val="0"/>
          <w:sz w:val="24"/>
          <w:szCs w:val="24"/>
          <w:lang w:val="en-US" w:eastAsia="en-US" w:bidi="en-US"/>
        </w:rPr>
      </w:r>
    </w:p>
  </w:comment>
  <w:comment w:id="29" w:author="Pierre Dieumegard" w:date="2022-06-08T10:54:13Z" w:initials="">
    <w:p>
      <w:r>
        <w:rPr>
          <w:rFonts w:ascii="Times New Roman" w:hAnsi="Times New Roman" w:eastAsia="Segoe UI" w:cs="Tahoma"/>
          <w:color w:val="auto"/>
          <w:kern w:val="0"/>
          <w:sz w:val="24"/>
          <w:szCs w:val="24"/>
          <w:lang w:val="en-US" w:eastAsia="en-US" w:bidi="en-US"/>
        </w:rPr>
        <w:t>???</w:t>
      </w:r>
    </w:p>
    <w:p>
      <w:r>
        <w:rPr>
          <w:rFonts w:ascii="Times New Roman" w:hAnsi="Times New Roman" w:eastAsia="Segoe UI" w:cs="Tahoma"/>
          <w:color w:val="auto"/>
          <w:kern w:val="0"/>
          <w:sz w:val="24"/>
          <w:szCs w:val="24"/>
          <w:lang w:val="en-US" w:eastAsia="en-US" w:bidi="en-US"/>
        </w:rPr>
      </w:r>
    </w:p>
  </w:comment>
  <w:comment w:id="30" w:author="Pierre Dieumegard" w:date="2022-06-08T10:54:40Z" w:initials="">
    <w:p>
      <w:r>
        <w:rPr>
          <w:rFonts w:ascii="Times New Roman" w:hAnsi="Times New Roman" w:eastAsia="Segoe UI" w:cs="Tahoma"/>
          <w:color w:val="auto"/>
          <w:kern w:val="0"/>
          <w:sz w:val="24"/>
          <w:szCs w:val="24"/>
          <w:lang w:val="en-US" w:eastAsia="en-US" w:bidi="en-US"/>
        </w:rPr>
        <w:t>???</w:t>
      </w:r>
    </w:p>
    <w:p>
      <w:r>
        <w:rPr>
          <w:rFonts w:ascii="Times New Roman" w:hAnsi="Times New Roman" w:eastAsia="Segoe UI" w:cs="Tahoma"/>
          <w:color w:val="auto"/>
          <w:kern w:val="0"/>
          <w:sz w:val="24"/>
          <w:szCs w:val="24"/>
          <w:lang w:val="en-US" w:eastAsia="en-US" w:bidi="en-US"/>
        </w:rPr>
      </w:r>
    </w:p>
  </w:comment>
  <w:comment w:id="31" w:author="Pierre Dieumegard" w:date="2022-06-08T10:56:48Z" w:initials="">
    <w:p>
      <w:r>
        <w:rPr>
          <w:rFonts w:ascii="Times New Roman" w:hAnsi="Times New Roman" w:eastAsia="Segoe UI" w:cs="Tahoma"/>
          <w:color w:val="auto"/>
          <w:kern w:val="0"/>
          <w:sz w:val="24"/>
          <w:szCs w:val="24"/>
          <w:lang w:val="en-US" w:eastAsia="en-US" w:bidi="en-US"/>
        </w:rPr>
        <w:t>???</w:t>
      </w:r>
    </w:p>
    <w:p>
      <w:r>
        <w:rPr>
          <w:rFonts w:ascii="Times New Roman" w:hAnsi="Times New Roman" w:eastAsia="Segoe UI" w:cs="Tahoma"/>
          <w:color w:val="auto"/>
          <w:kern w:val="0"/>
          <w:sz w:val="24"/>
          <w:szCs w:val="24"/>
          <w:lang w:val="en-US" w:eastAsia="en-US" w:bidi="en-US"/>
        </w:rPr>
      </w:r>
    </w:p>
  </w:comment>
</w:comments>
</file>

<file path=word/endnotes.xml><?xml version="1.0" encoding="utf-8"?>
<w:endnote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endnote w:id="0" w:type="separator">
    <w:p>
      <w:r>
        <w:separator/>
      </w:r>
    </w:p>
  </w:endnote>
  <w:endnote w:id="1" w:type="continuationSeparator">
    <w:p>
      <w:r>
        <w:continuationSeparator/>
      </w:r>
    </w:p>
  </w:endnote>
  <w:endnote w:id="2">
    <w:p>
      <w:pPr>
        <w:pStyle w:val="Notedefin"/>
        <w:spacing w:before="57" w:after="57"/>
        <w:rPr/>
      </w:pPr>
      <w:r>
        <w:rPr>
          <w:rStyle w:val="Caractresdenotedefin"/>
        </w:rPr>
        <w:endnoteRef/>
      </w:r>
      <w:r>
        <w:rPr/>
        <w:tab/>
      </w:r>
      <w:r>
        <w:rPr/>
        <w:t>Preporuke građana na kojima se prijedlog temelji: #3, #17, #18, #19</w:t>
      </w:r>
    </w:p>
  </w:endnote>
  <w:endnote w:id="3">
    <w:p>
      <w:pPr>
        <w:pStyle w:val="Notedefin"/>
        <w:suppressLineNumbers/>
        <w:spacing w:before="57" w:after="57"/>
        <w:ind w:left="339" w:right="0" w:hanging="339"/>
        <w:rPr/>
      </w:pPr>
      <w:r>
        <w:rPr>
          <w:rStyle w:val="Caractresdenotedefin"/>
        </w:rPr>
        <w:endnoteRef/>
      </w:r>
      <w:r>
        <w:rPr/>
        <w:tab/>
      </w:r>
      <w:r>
        <w:rPr/>
        <w:t># = preporuka europskih panela građana i građanki.</w:t>
      </w:r>
    </w:p>
  </w:endnote>
  <w:endnote w:id="4">
    <w:p>
      <w:pPr>
        <w:pStyle w:val="Notedefin"/>
        <w:suppressLineNumbers/>
        <w:spacing w:before="57" w:after="57"/>
        <w:ind w:left="339" w:right="0" w:hanging="339"/>
        <w:rPr/>
      </w:pPr>
      <w:r>
        <w:rPr>
          <w:rStyle w:val="Caractresdenotedefin"/>
        </w:rPr>
        <w:endnoteRef/>
      </w:r>
      <w:r>
        <w:rPr/>
        <w:tab/>
      </w:r>
      <w:r>
        <w:rPr/>
        <w:t>Preporuke građana na kojima se prijedlog temelji: #39, #40, #41, #42, #43, NL1, NL2, #51</w:t>
      </w:r>
    </w:p>
  </w:endnote>
  <w:endnote w:id="5">
    <w:p>
      <w:pPr>
        <w:pStyle w:val="Notedefin"/>
        <w:suppressLineNumbers/>
        <w:spacing w:before="57" w:after="57"/>
        <w:ind w:left="339" w:right="0" w:hanging="339"/>
        <w:rPr/>
      </w:pPr>
      <w:r>
        <w:rPr>
          <w:rStyle w:val="Caractresdenotedefin"/>
        </w:rPr>
        <w:endnoteRef/>
      </w:r>
      <w:r>
        <w:rPr/>
        <w:tab/>
      </w:r>
      <w:r>
        <w:rPr/>
        <w:t>Preporuka nacionalnog panela građana i građanki</w:t>
      </w:r>
    </w:p>
  </w:endnote>
  <w:endnote w:id="6">
    <w:p>
      <w:pPr>
        <w:pStyle w:val="Notedefin"/>
        <w:suppressLineNumbers/>
        <w:spacing w:before="57" w:after="57"/>
        <w:ind w:left="339" w:right="0" w:hanging="339"/>
        <w:rPr/>
      </w:pPr>
      <w:r>
        <w:rPr>
          <w:rStyle w:val="Caractresdenotedefin"/>
        </w:rPr>
        <w:endnoteRef/>
      </w:r>
      <w:r>
        <w:rPr/>
        <w:tab/>
      </w:r>
      <w:r>
        <w:rPr/>
        <w:t>Preporuke građana na kojima se prijedlog temelji: #44, #45, #46, #47, #50</w:t>
      </w:r>
    </w:p>
  </w:endnote>
  <w:endnote w:id="7">
    <w:p>
      <w:pPr>
        <w:pStyle w:val="Notedefin"/>
        <w:suppressLineNumbers/>
        <w:spacing w:before="57" w:after="57"/>
        <w:ind w:left="339" w:right="0" w:hanging="339"/>
        <w:rPr/>
      </w:pPr>
      <w:r>
        <w:rPr>
          <w:rStyle w:val="Caractresdenotedefin"/>
        </w:rPr>
        <w:endnoteRef/>
      </w:r>
      <w:r>
        <w:rPr/>
        <w:tab/>
      </w:r>
      <w:r>
        <w:rPr/>
        <w:t>Preporuke građana na kojima se prijedlog temelji: #39, #40, #45, #48, #50, FRchangement8, FRswait11, #51</w:t>
      </w:r>
    </w:p>
  </w:endnote>
  <w:endnote w:id="8">
    <w:p>
      <w:pPr>
        <w:pStyle w:val="Notedefin"/>
        <w:suppressLineNumbers/>
        <w:spacing w:before="57" w:after="57"/>
        <w:ind w:left="339" w:right="0" w:hanging="339"/>
        <w:rPr/>
      </w:pPr>
      <w:r>
        <w:rPr>
          <w:rStyle w:val="Caractresdenotedefin"/>
        </w:rPr>
        <w:endnoteRef/>
      </w:r>
      <w:r>
        <w:rPr/>
        <w:tab/>
      </w:r>
      <w:r>
        <w:rPr/>
        <w:t>Preporuke nizozemskog panela građana razlikuju se od preporuka europskog panela građana: tvrdi da bi zdravstvena i zdravstvena skrb prvenstveno trebala biti nacionalna odgovornost [NL3].</w:t>
      </w:r>
    </w:p>
  </w:endnote>
  <w:endnote w:id="9">
    <w:p>
      <w:pPr>
        <w:pStyle w:val="Notedefin"/>
        <w:suppressLineNumbers/>
        <w:spacing w:before="57" w:after="57"/>
        <w:ind w:left="339" w:right="0" w:hanging="339"/>
        <w:rPr/>
      </w:pPr>
      <w:r>
        <w:rPr>
          <w:rStyle w:val="Caractresdenotedefin"/>
        </w:rPr>
        <w:endnoteRef/>
      </w:r>
      <w:r>
        <w:rPr/>
        <w:tab/>
      </w:r>
      <w:r>
        <w:rPr/>
        <w:t>Preporuke građana na kojima se prijedlog temelji: Europski panel građana i građanki i građanki i građanki 1.: 9, 10, 11, 12, 14; Nizozemska: 1; Italija: 1.1.; Litva: 3, 8.</w:t>
      </w:r>
    </w:p>
  </w:endnote>
  <w:endnote w:id="10">
    <w:p>
      <w:pPr>
        <w:pStyle w:val="Notedefin"/>
        <w:suppressLineNumbers/>
        <w:spacing w:before="57" w:after="57"/>
        <w:ind w:left="339" w:right="0" w:hanging="339"/>
        <w:rPr/>
      </w:pPr>
      <w:r>
        <w:rPr>
          <w:rStyle w:val="Caractresdenotedefin"/>
        </w:rPr>
        <w:endnoteRef/>
      </w:r>
      <w:r>
        <w:rPr/>
        <w:tab/>
      </w:r>
      <w:r>
        <w:rPr/>
        <w:t>Preporuke građana na kojima se prijedlog temelji: Europski panel građana i građanki i građanki i građanki 1.: 10, 11 i 14; Njemačka: 2.1., 2.2.; Nizozemska: 1, 2; Što? -Francuska: 3, 9; Italija: 1.2., 1.3., 1.4., 1.5., 2.1., 2.2., 2,4., 4.a.2., 6.1.; Litva: 1, 7.</w:t>
      </w:r>
    </w:p>
  </w:endnote>
  <w:endnote w:id="11">
    <w:p>
      <w:pPr>
        <w:pStyle w:val="Notedefin"/>
        <w:suppressLineNumbers/>
        <w:spacing w:before="57" w:after="57"/>
        <w:ind w:left="339" w:right="0" w:hanging="339"/>
        <w:rPr/>
      </w:pPr>
      <w:r>
        <w:rPr>
          <w:rStyle w:val="Caractresdenotedefin"/>
        </w:rPr>
        <w:endnoteRef/>
      </w:r>
      <w:r>
        <w:rPr/>
        <w:tab/>
      </w:r>
      <w:r>
        <w:rPr/>
        <w:t>Preporuke građana na kojima se prijedlog temelji: Europski panel građana i građanki i građanki i građanki 1.: 1, 2, 7, 28, 30; Njemačka: 4.1., 4.2.; Nizozemska: 4; Što? -Francuska: 6; Italija: 5.a.1, 5.a.4., 6.1., 6.2.</w:t>
      </w:r>
    </w:p>
  </w:endnote>
  <w:endnote w:id="12">
    <w:p>
      <w:pPr>
        <w:pStyle w:val="Notedefin"/>
        <w:suppressLineNumbers/>
        <w:spacing w:before="57" w:after="57"/>
        <w:ind w:left="339" w:right="0" w:hanging="339"/>
        <w:rPr/>
      </w:pPr>
      <w:r>
        <w:rPr>
          <w:rStyle w:val="Caractresdenotedefin"/>
        </w:rPr>
        <w:endnoteRef/>
      </w:r>
      <w:r>
        <w:rPr/>
        <w:tab/>
      </w:r>
      <w:r>
        <w:rPr/>
        <w:t>Preporuke građana na kojima se prijedlog temelji: Europski panel građana i građanki i građanki i građanki 1.: 19, 20, 21, 25; Italija: 4.a.1.</w:t>
      </w:r>
    </w:p>
  </w:endnote>
  <w:endnote w:id="13">
    <w:p>
      <w:pPr>
        <w:pStyle w:val="Notedefin"/>
        <w:suppressLineNumbers/>
        <w:spacing w:before="57" w:after="57"/>
        <w:ind w:left="339" w:right="0" w:hanging="339"/>
        <w:rPr/>
      </w:pPr>
      <w:r>
        <w:rPr>
          <w:rStyle w:val="Caractresdenotedefin"/>
        </w:rPr>
        <w:endnoteRef/>
      </w:r>
      <w:r>
        <w:rPr/>
        <w:tab/>
        <w:t xml:space="preserve"> </w:t>
      </w:r>
      <w:r>
        <w:rPr/>
        <w:t>Preporuke građana na kojima se prijedlog temelji: Europski panel građana i građanki i građanki i građanki 1.: 21, 22, 23, 26, 27; Italija: 5.a.1.</w:t>
      </w:r>
    </w:p>
  </w:endnote>
  <w:endnote w:id="14">
    <w:p>
      <w:pPr>
        <w:pStyle w:val="Notedefin"/>
        <w:suppressLineNumbers/>
        <w:spacing w:before="57" w:after="57"/>
        <w:ind w:left="339" w:right="0" w:hanging="339"/>
        <w:rPr/>
      </w:pPr>
      <w:r>
        <w:rPr>
          <w:rStyle w:val="Caractresdenotedefin"/>
        </w:rPr>
        <w:endnoteRef/>
      </w:r>
      <w:r>
        <w:rPr/>
        <w:tab/>
        <w:t xml:space="preserve"> </w:t>
      </w:r>
      <w:r>
        <w:rPr/>
        <w:t>Preporuke građana na kojima se prijedlog temelji: Europski panel građana i građanki i građanki i građanki 1.: 13, 31; Nizozemska: 2.3.; Italija: 4.b.3., 4.b.6.; Litva: 9, 10.</w:t>
      </w:r>
    </w:p>
  </w:endnote>
  <w:endnote w:id="15">
    <w:p>
      <w:pPr>
        <w:pStyle w:val="Notedefin"/>
        <w:suppressLineNumbers/>
        <w:spacing w:before="57" w:after="57"/>
        <w:ind w:left="339" w:right="0" w:hanging="339"/>
        <w:rPr/>
      </w:pPr>
      <w:r>
        <w:rPr>
          <w:rStyle w:val="Caractresdenotedefin"/>
        </w:rPr>
        <w:endnoteRef/>
      </w:r>
      <w:r>
        <w:rPr/>
        <w:tab/>
      </w:r>
      <w:r>
        <w:rPr/>
        <w:t>Na temelju rasprava radne skupine i plenarne sjednice.</w:t>
      </w:r>
    </w:p>
  </w:endnote>
  <w:endnote w:id="16">
    <w:p>
      <w:pPr>
        <w:pStyle w:val="Notedefin"/>
        <w:suppressLineNumbers/>
        <w:spacing w:before="57" w:after="57"/>
        <w:ind w:left="339" w:right="0" w:hanging="339"/>
        <w:rPr/>
      </w:pPr>
      <w:r>
        <w:rPr>
          <w:rStyle w:val="Caractresdenotedefin"/>
        </w:rPr>
        <w:endnoteRef/>
      </w:r>
      <w:r>
        <w:rPr/>
        <w:tab/>
      </w:r>
      <w:r>
        <w:rPr/>
        <w:t>Vidjeti Preporuku br. 1 ECP4, Preporuku br. 2 NKT-a Njemačka, 1. panel „EU u svijetu” i talijanskog NCP-a, Skupina 2, rec. 1, razvijenu u okviru radne skupine.</w:t>
      </w:r>
    </w:p>
  </w:endnote>
  <w:endnote w:id="17">
    <w:p>
      <w:pPr>
        <w:pStyle w:val="Notedefin"/>
        <w:suppressLineNumbers/>
        <w:spacing w:before="57" w:after="57"/>
        <w:ind w:left="339" w:right="0" w:hanging="339"/>
        <w:rPr/>
      </w:pPr>
      <w:r>
        <w:rPr>
          <w:rStyle w:val="Caractresdenotedefin"/>
        </w:rPr>
        <w:endnoteRef/>
      </w:r>
      <w:r>
        <w:rPr/>
        <w:tab/>
      </w:r>
      <w:r>
        <w:rPr/>
        <w:t>Vidjeti 4. preporuku ECP4 i preporuke 5. i 6. talijanske nacionalne kontaktne točke, Skupina 2., razvijene u okviru radne skupine.</w:t>
      </w:r>
    </w:p>
  </w:endnote>
  <w:endnote w:id="18">
    <w:p>
      <w:pPr>
        <w:pStyle w:val="Notedefin"/>
        <w:suppressLineNumbers/>
        <w:spacing w:before="57" w:after="57"/>
        <w:ind w:left="339" w:right="0" w:hanging="339"/>
        <w:rPr/>
      </w:pPr>
      <w:r>
        <w:rPr>
          <w:rStyle w:val="Caractresdenotedefin"/>
        </w:rPr>
        <w:endnoteRef/>
      </w:r>
      <w:r>
        <w:rPr/>
        <w:tab/>
      </w:r>
      <w:r>
        <w:rPr/>
        <w:t xml:space="preserve">Vidjeti digitalnu platformu i preporuke 2. i 3. talijanske nacionalne kontaktne točke, Skupina 2., razvijene u okviru radne skupine, </w:t>
      </w:r>
      <w:hyperlink r:id="rId1">
        <w:r>
          <w:rPr>
            <w:rStyle w:val="LienInternet"/>
          </w:rPr>
          <w:t>https://futureu.europa.eu/processes/EUInTheWorld/f/16/proposals/197870?locale=fr</w:t>
        </w:r>
      </w:hyperlink>
      <w:r>
        <w:rPr/>
        <w:t>.</w:t>
      </w:r>
    </w:p>
  </w:endnote>
  <w:endnote w:id="19">
    <w:p>
      <w:pPr>
        <w:pStyle w:val="Notedefin"/>
        <w:suppressLineNumbers/>
        <w:spacing w:before="57" w:after="57"/>
        <w:ind w:left="339" w:right="0" w:hanging="339"/>
        <w:rPr/>
      </w:pPr>
      <w:r>
        <w:rPr>
          <w:rStyle w:val="Caractresdenotedefin"/>
        </w:rPr>
        <w:endnoteRef/>
      </w:r>
      <w:r>
        <w:rPr/>
        <w:tab/>
      </w:r>
      <w:r>
        <w:rPr/>
        <w:t>Vidjeti 14. preporuku 4. ECP-a razvijenu u okviru radne skupine.</w:t>
      </w:r>
    </w:p>
  </w:endnote>
  <w:endnote w:id="20">
    <w:p>
      <w:pPr>
        <w:pStyle w:val="Notedefin"/>
        <w:suppressLineNumbers/>
        <w:spacing w:before="57" w:after="57"/>
        <w:ind w:left="339" w:right="0" w:hanging="339"/>
        <w:rPr/>
      </w:pPr>
      <w:r>
        <w:rPr>
          <w:rStyle w:val="Caractresdenotedefin"/>
        </w:rPr>
        <w:endnoteRef/>
      </w:r>
      <w:r>
        <w:rPr/>
        <w:tab/>
      </w:r>
      <w:r>
        <w:rPr/>
        <w:t>Vidjeti Preporuku br. 2 ECP4 i Preporuku br. 4 talijanskog NKT-a, Skupina 2., razvijenu u okviru radne skupine.</w:t>
      </w:r>
    </w:p>
  </w:endnote>
  <w:endnote w:id="21">
    <w:p>
      <w:pPr>
        <w:pStyle w:val="Notedefin"/>
        <w:suppressLineNumbers/>
        <w:spacing w:before="57" w:after="57"/>
        <w:ind w:left="339" w:right="0" w:hanging="339"/>
        <w:rPr/>
      </w:pPr>
      <w:r>
        <w:rPr>
          <w:rStyle w:val="Caractresdenotedefin"/>
        </w:rPr>
        <w:endnoteRef/>
      </w:r>
      <w:r>
        <w:rPr/>
        <w:tab/>
      </w:r>
      <w:r>
        <w:rPr/>
        <w:t>Vidjeti Preporuku br. 17 ECP4 i Preporuku br. 4 talijanskog NKT-a, Skupina 2., razvijenu u okviru radne skupine.</w:t>
      </w:r>
    </w:p>
  </w:endnote>
  <w:endnote w:id="22">
    <w:p>
      <w:pPr>
        <w:pStyle w:val="Notedefin"/>
        <w:suppressLineNumbers/>
        <w:spacing w:before="57" w:after="57"/>
        <w:ind w:left="339" w:right="0" w:hanging="339"/>
        <w:rPr/>
      </w:pPr>
      <w:r>
        <w:rPr>
          <w:rStyle w:val="Caractresdenotedefin"/>
        </w:rPr>
        <w:endnoteRef/>
      </w:r>
      <w:r>
        <w:rPr/>
        <w:tab/>
      </w:r>
      <w:r>
        <w:rPr/>
        <w:t>Vidjeti 1. preporuku NKT-a Njemačka, 1. panel „EU u svijetu”, razvijen u radnoj skupini.</w:t>
      </w:r>
    </w:p>
  </w:endnote>
  <w:endnote w:id="23">
    <w:p>
      <w:pPr>
        <w:pStyle w:val="Notedefin"/>
        <w:suppressLineNumbers/>
        <w:spacing w:before="57" w:after="57"/>
        <w:ind w:left="339" w:right="0" w:hanging="339"/>
        <w:rPr/>
      </w:pPr>
      <w:r>
        <w:rPr>
          <w:rStyle w:val="Caractresdenotedefin"/>
        </w:rPr>
        <w:endnoteRef/>
      </w:r>
      <w:r>
        <w:rPr/>
        <w:tab/>
      </w:r>
      <w:r>
        <w:rPr/>
        <w:t>Vidjeti 3. preporuku 4. ECP-a razvijenu u okviru radne skupine.</w:t>
      </w:r>
    </w:p>
  </w:endnote>
  <w:endnote w:id="24">
    <w:p>
      <w:pPr>
        <w:pStyle w:val="Notedefin"/>
        <w:suppressLineNumbers/>
        <w:spacing w:before="57" w:after="57"/>
        <w:ind w:left="339" w:right="0" w:hanging="339"/>
        <w:rPr/>
      </w:pPr>
      <w:r>
        <w:rPr>
          <w:rStyle w:val="Caractresdenotedefin"/>
        </w:rPr>
        <w:endnoteRef/>
      </w:r>
      <w:r>
        <w:rPr/>
        <w:tab/>
      </w:r>
      <w:r>
        <w:rPr/>
        <w:t>Vidjeti preporuku br. 11 ECP-a br. 4, izrađenu u okviru radne skupine.</w:t>
      </w:r>
    </w:p>
  </w:endnote>
  <w:endnote w:id="25">
    <w:p>
      <w:pPr>
        <w:pStyle w:val="Notedefin"/>
        <w:suppressLineNumbers/>
        <w:spacing w:before="57" w:after="57"/>
        <w:ind w:left="339" w:right="0" w:hanging="339"/>
        <w:rPr/>
      </w:pPr>
      <w:r>
        <w:rPr>
          <w:rStyle w:val="Caractresdenotedefin"/>
        </w:rPr>
        <w:endnoteRef/>
      </w:r>
      <w:r>
        <w:rPr/>
        <w:tab/>
      </w:r>
      <w:r>
        <w:rPr/>
        <w:t>Vidjeti preporuku br. 13 ECP-a br. 4, izrađenu u okviru radne skupine.</w:t>
      </w:r>
    </w:p>
  </w:endnote>
  <w:endnote w:id="26">
    <w:p>
      <w:pPr>
        <w:pStyle w:val="Notedefin"/>
        <w:suppressLineNumbers/>
        <w:spacing w:before="57" w:after="57"/>
        <w:ind w:left="339" w:right="0" w:hanging="339"/>
        <w:rPr/>
      </w:pPr>
      <w:r>
        <w:rPr>
          <w:rStyle w:val="Caractresdenotedefin"/>
        </w:rPr>
        <w:endnoteRef/>
      </w:r>
      <w:r>
        <w:rPr/>
        <w:tab/>
      </w:r>
      <w:r>
        <w:rPr/>
        <w:t>Vidjeti 15. preporuku 4. ECP-a, izrađenu u okviru radne skupine.</w:t>
      </w:r>
    </w:p>
  </w:endnote>
  <w:endnote w:id="27">
    <w:p>
      <w:pPr>
        <w:pStyle w:val="Notedefin"/>
        <w:suppressLineNumbers/>
        <w:spacing w:before="57" w:after="57"/>
        <w:ind w:left="339" w:right="0" w:hanging="339"/>
        <w:rPr/>
      </w:pPr>
      <w:r>
        <w:rPr>
          <w:rStyle w:val="Caractresdenotedefin"/>
        </w:rPr>
        <w:endnoteRef/>
      </w:r>
      <w:r>
        <w:rPr/>
        <w:tab/>
      </w:r>
      <w:r>
        <w:rPr/>
        <w:t>Vidjeti preporuku br. 16 ECP-a br. 4, izrađenu u okviru radne skupine.</w:t>
      </w:r>
    </w:p>
  </w:endnote>
  <w:endnote w:id="28">
    <w:p>
      <w:pPr>
        <w:pStyle w:val="Notedefin"/>
        <w:suppressLineNumbers/>
        <w:spacing w:before="57" w:after="57"/>
        <w:ind w:left="339" w:right="0" w:hanging="339"/>
        <w:rPr/>
      </w:pPr>
      <w:r>
        <w:rPr>
          <w:rStyle w:val="Caractresdenotedefin"/>
        </w:rPr>
        <w:endnoteRef/>
      </w:r>
      <w:r>
        <w:rPr/>
        <w:tab/>
      </w:r>
      <w:r>
        <w:rPr/>
        <w:t>Vidjeti 12. preporuku 4. ECP-a razvijenu u okviru radne skupine.</w:t>
      </w:r>
    </w:p>
  </w:endnote>
  <w:endnote w:id="29">
    <w:p>
      <w:pPr>
        <w:pStyle w:val="Notedefin"/>
        <w:suppressLineNumbers/>
        <w:spacing w:before="57" w:after="57"/>
        <w:ind w:left="339" w:right="0" w:hanging="339"/>
        <w:rPr/>
      </w:pPr>
      <w:r>
        <w:rPr>
          <w:rStyle w:val="Caractresdenotedefin"/>
        </w:rPr>
        <w:endnoteRef/>
      </w:r>
      <w:r>
        <w:rPr/>
        <w:tab/>
      </w:r>
      <w:r>
        <w:rPr/>
        <w:t>Vidjeti preporuku br. 21 ECP-a br. 4, izrađenu u okviru radne skupine.</w:t>
      </w:r>
    </w:p>
  </w:endnote>
  <w:endnote w:id="30">
    <w:p>
      <w:pPr>
        <w:pStyle w:val="Notedefin"/>
        <w:suppressLineNumbers/>
        <w:spacing w:before="57" w:after="57"/>
        <w:ind w:left="339" w:right="0" w:hanging="339"/>
        <w:rPr/>
      </w:pPr>
      <w:r>
        <w:rPr>
          <w:rStyle w:val="Caractresdenotedefin"/>
        </w:rPr>
        <w:endnoteRef/>
      </w:r>
      <w:r>
        <w:rPr/>
        <w:tab/>
      </w:r>
      <w:r>
        <w:rPr/>
        <w:t>Vidjeti digitalnu platformu razvijenu u okviru radne skupine.</w:t>
      </w:r>
    </w:p>
  </w:endnote>
  <w:endnote w:id="31">
    <w:p>
      <w:pPr>
        <w:pStyle w:val="Notedefin"/>
        <w:suppressLineNumbers/>
        <w:spacing w:before="57" w:after="57"/>
        <w:ind w:left="339" w:right="0" w:hanging="339"/>
        <w:rPr/>
      </w:pPr>
      <w:r>
        <w:rPr>
          <w:rStyle w:val="Caractresdenotedefin"/>
        </w:rPr>
        <w:endnoteRef/>
      </w:r>
      <w:r>
        <w:rPr/>
        <w:tab/>
      </w:r>
      <w:r>
        <w:rPr/>
        <w:t>Vidjeti digitalnu platformu razvijenu u okviru radne skupine.</w:t>
      </w:r>
    </w:p>
  </w:endnote>
  <w:endnote w:id="32">
    <w:p>
      <w:pPr>
        <w:pStyle w:val="Notedefin"/>
        <w:suppressLineNumbers/>
        <w:spacing w:before="57" w:after="57"/>
        <w:ind w:left="339" w:right="0" w:hanging="339"/>
        <w:rPr/>
      </w:pPr>
      <w:r>
        <w:rPr>
          <w:rStyle w:val="Caractresdenotedefin"/>
        </w:rPr>
        <w:endnoteRef/>
      </w:r>
      <w:r>
        <w:rPr/>
        <w:tab/>
      </w:r>
      <w:r>
        <w:rPr/>
        <w:t>Vidjeti 26. preporuku 4. ECP-a, izrađenu u okviru radne skupine.</w:t>
      </w:r>
    </w:p>
  </w:endnote>
  <w:endnote w:id="33">
    <w:p>
      <w:pPr>
        <w:pStyle w:val="Notedefin"/>
        <w:suppressLineNumbers/>
        <w:spacing w:before="57" w:after="57"/>
        <w:ind w:left="339" w:right="0" w:hanging="339"/>
        <w:rPr/>
      </w:pPr>
      <w:r>
        <w:rPr>
          <w:rStyle w:val="Caractresdenotedefin"/>
        </w:rPr>
        <w:endnoteRef/>
      </w:r>
      <w:r>
        <w:rPr/>
        <w:tab/>
      </w:r>
      <w:r>
        <w:rPr/>
        <w:t>Vidjeti preporuku br. 18 ECP-a br. 4, izrađenu u okviru radne skupine.</w:t>
      </w:r>
    </w:p>
  </w:endnote>
  <w:endnote w:id="34">
    <w:p>
      <w:pPr>
        <w:pStyle w:val="Notedefin"/>
        <w:suppressLineNumbers/>
        <w:spacing w:before="57" w:after="57"/>
        <w:ind w:left="339" w:right="0" w:hanging="339"/>
        <w:rPr/>
      </w:pPr>
      <w:r>
        <w:rPr>
          <w:rStyle w:val="Caractresdenotedefin"/>
        </w:rPr>
        <w:endnoteRef/>
      </w:r>
      <w:r>
        <w:rPr/>
        <w:tab/>
      </w:r>
      <w:r>
        <w:rPr/>
        <w:t>Vidjeti preporuku br. 19 ECP-a br. 4, izrađenu u okviru radne skupine.</w:t>
      </w:r>
    </w:p>
  </w:endnote>
  <w:endnote w:id="35">
    <w:p>
      <w:pPr>
        <w:pStyle w:val="Notedefin"/>
        <w:suppressLineNumbers/>
        <w:spacing w:before="57" w:after="57"/>
        <w:ind w:left="339" w:right="0" w:hanging="339"/>
        <w:rPr/>
      </w:pPr>
      <w:r>
        <w:rPr>
          <w:rStyle w:val="Caractresdenotedefin"/>
        </w:rPr>
        <w:endnoteRef/>
      </w:r>
      <w:r>
        <w:rPr/>
        <w:tab/>
      </w:r>
      <w:r>
        <w:rPr/>
        <w:t>Vidjeti preporuku br. 19 ECP-a br. 4, izrađenu u okviru radne skupine.</w:t>
      </w:r>
    </w:p>
  </w:endnote>
  <w:endnote w:id="36">
    <w:p>
      <w:pPr>
        <w:pStyle w:val="Notedefin"/>
        <w:suppressLineNumbers/>
        <w:spacing w:before="57" w:after="57"/>
        <w:ind w:left="339" w:right="0" w:hanging="339"/>
        <w:rPr/>
      </w:pPr>
      <w:r>
        <w:rPr>
          <w:rStyle w:val="Caractresdenotedefin"/>
        </w:rPr>
        <w:endnoteRef/>
      </w:r>
      <w:r>
        <w:rPr/>
        <w:tab/>
      </w:r>
      <w:r>
        <w:rPr/>
        <w:t>Vidjeti 25. preporuku 4. ECP-a.</w:t>
      </w:r>
    </w:p>
  </w:endnote>
  <w:endnote w:id="37">
    <w:p>
      <w:pPr>
        <w:pStyle w:val="Notedefin"/>
        <w:suppressLineNumbers/>
        <w:spacing w:before="57" w:after="57"/>
        <w:ind w:left="339" w:right="0" w:hanging="339"/>
        <w:rPr/>
      </w:pPr>
      <w:r>
        <w:rPr>
          <w:rStyle w:val="Caractresdenotedefin"/>
        </w:rPr>
        <w:endnoteRef/>
      </w:r>
      <w:r>
        <w:rPr/>
        <w:tab/>
      </w:r>
      <w:r>
        <w:rPr/>
        <w:t>Na temelju rasprava radne skupine i plenarne sjednice.</w:t>
      </w:r>
    </w:p>
  </w:endnote>
  <w:endnote w:id="38">
    <w:p>
      <w:pPr>
        <w:pStyle w:val="Notedefin"/>
        <w:suppressLineNumbers/>
        <w:spacing w:before="57" w:after="57"/>
        <w:ind w:left="339" w:right="0" w:hanging="339"/>
        <w:rPr/>
      </w:pPr>
      <w:r>
        <w:rPr>
          <w:rStyle w:val="Caractresdenotedefin"/>
        </w:rPr>
        <w:endnoteRef/>
      </w:r>
      <w:r>
        <w:rPr/>
        <w:tab/>
      </w:r>
      <w:r>
        <w:rPr/>
        <w:t>Vidjeti izmjenu 2. francuskog nacionalnog povjerenstva/događanja.</w:t>
      </w:r>
    </w:p>
  </w:endnote>
  <w:endnote w:id="39">
    <w:p>
      <w:pPr>
        <w:pStyle w:val="Notedefin"/>
        <w:suppressLineNumbers/>
        <w:spacing w:before="57" w:after="57"/>
        <w:ind w:left="339" w:right="0" w:hanging="339"/>
        <w:rPr/>
      </w:pPr>
      <w:r>
        <w:rPr>
          <w:rStyle w:val="Caractresdenotedefin"/>
        </w:rPr>
        <w:endnoteRef/>
      </w:r>
      <w:r>
        <w:rPr/>
        <w:tab/>
      </w:r>
      <w:r>
        <w:rPr/>
        <w:t>Vidjeti 20. preporuku ECP4 i 7. preporuku Italije, skupinu 2 NCP-a, razvijenu u okviru radne skupine.</w:t>
      </w:r>
    </w:p>
  </w:endnote>
  <w:endnote w:id="40">
    <w:p>
      <w:pPr>
        <w:pStyle w:val="Notedefin"/>
        <w:suppressLineNumbers/>
        <w:spacing w:before="57" w:after="57"/>
        <w:ind w:left="339" w:right="0" w:hanging="339"/>
        <w:rPr/>
      </w:pPr>
      <w:r>
        <w:rPr>
          <w:rStyle w:val="Caractresdenotedefin"/>
        </w:rPr>
        <w:endnoteRef/>
      </w:r>
      <w:r>
        <w:rPr/>
        <w:tab/>
      </w:r>
      <w:r>
        <w:rPr/>
        <w:t>Vidjeti izmjenu 2. francuskog nacionalnog panela građana.</w:t>
      </w:r>
    </w:p>
  </w:endnote>
  <w:endnote w:id="41">
    <w:p>
      <w:pPr>
        <w:pStyle w:val="Notedefin"/>
        <w:suppressLineNumbers/>
        <w:spacing w:before="57" w:after="57"/>
        <w:ind w:left="339" w:right="0" w:hanging="339"/>
        <w:rPr/>
      </w:pPr>
      <w:r>
        <w:rPr>
          <w:rStyle w:val="Caractresdenotedefin"/>
        </w:rPr>
        <w:endnoteRef/>
      </w:r>
      <w:r>
        <w:rPr/>
        <w:tab/>
      </w:r>
      <w:r>
        <w:rPr/>
        <w:t>Vidjeti 24. preporuku ECP4 i 7. preporuku Italije, skupinu 2 NCP-a, razvijenu u okviru radne skupine.</w:t>
      </w:r>
    </w:p>
  </w:endnote>
  <w:endnote w:id="42">
    <w:p>
      <w:pPr>
        <w:pStyle w:val="Notedefin"/>
        <w:suppressLineNumbers/>
        <w:spacing w:before="57" w:after="57"/>
        <w:ind w:left="339" w:right="0" w:hanging="339"/>
        <w:rPr/>
      </w:pPr>
      <w:r>
        <w:rPr>
          <w:rStyle w:val="Caractresdenotedefin"/>
        </w:rPr>
        <w:endnoteRef/>
      </w:r>
      <w:r>
        <w:rPr/>
        <w:tab/>
      </w:r>
      <w:r>
        <w:rPr/>
        <w:t>Vidjeti preporuku br. 22 ECP-a br. 4, izrađenu u okviru radne skupine.</w:t>
      </w:r>
    </w:p>
  </w:endnote>
  <w:endnote w:id="43">
    <w:p>
      <w:pPr>
        <w:pStyle w:val="Notedefin"/>
        <w:suppressLineNumbers/>
        <w:spacing w:before="57" w:after="57"/>
        <w:ind w:left="339" w:right="0" w:hanging="339"/>
        <w:rPr/>
      </w:pPr>
      <w:r>
        <w:rPr>
          <w:rStyle w:val="Caractresdenotedefin"/>
        </w:rPr>
        <w:endnoteRef/>
      </w:r>
      <w:r>
        <w:rPr/>
        <w:tab/>
      </w:r>
      <w:r>
        <w:rPr/>
        <w:t>Vidjeti 1. preporuku o „EU-u u svijetu” nizozemskog nacionalnog panela građana i građanki, izrađenu u okviru radne skupine.</w:t>
      </w:r>
    </w:p>
  </w:endnote>
  <w:endnote w:id="44">
    <w:p>
      <w:pPr>
        <w:pStyle w:val="Notedefin"/>
        <w:suppressLineNumbers/>
        <w:spacing w:before="57" w:after="57"/>
        <w:ind w:left="339" w:right="0" w:hanging="339"/>
        <w:rPr/>
      </w:pPr>
      <w:r>
        <w:rPr>
          <w:rStyle w:val="Caractresdenotedefin"/>
        </w:rPr>
        <w:endnoteRef/>
      </w:r>
      <w:r>
        <w:rPr/>
        <w:tab/>
      </w:r>
      <w:r>
        <w:rPr/>
        <w:t>Vidjeti digitalnu platformu i rasprave na plenarnoj sjednici, razvijene u okviru radne skupine.</w:t>
      </w:r>
    </w:p>
  </w:endnote>
  <w:endnote w:id="45">
    <w:p>
      <w:pPr>
        <w:pStyle w:val="Notedefin"/>
        <w:suppressLineNumbers/>
        <w:spacing w:before="57" w:after="57"/>
        <w:ind w:left="339" w:right="0" w:hanging="339"/>
        <w:rPr/>
      </w:pPr>
      <w:r>
        <w:rPr>
          <w:rStyle w:val="Caractresdenotedefin"/>
        </w:rPr>
        <w:endnoteRef/>
      </w:r>
      <w:r>
        <w:rPr/>
        <w:tab/>
      </w:r>
      <w:r>
        <w:rPr/>
        <w:t>Vidjeti digitalnu platformu razvijenu u okviru radne skupine.</w:t>
      </w:r>
    </w:p>
  </w:endnote>
  <w:endnote w:id="46">
    <w:p>
      <w:pPr>
        <w:pStyle w:val="Notedefin"/>
        <w:suppressLineNumbers/>
        <w:spacing w:before="57" w:after="57"/>
        <w:ind w:left="339" w:right="0" w:hanging="339"/>
        <w:rPr/>
      </w:pPr>
      <w:r>
        <w:rPr>
          <w:rStyle w:val="Caractresdenotedefin"/>
        </w:rPr>
        <w:endnoteRef/>
      </w:r>
      <w:r>
        <w:rPr/>
        <w:tab/>
      </w:r>
      <w:r>
        <w:rPr/>
        <w:t>Preporuke građana na kojima se prijedlog temelji: Europski panel građana i građanki 2 (CEP 2) 10, 11, 14, 30; Belgijski nacionalni panel građana i građanki (NCP): 1.3.1., 1.4.2., 1.4.3.; Njemačka nacionalna kontaktna točka: 5.1., 5.2.; Nizozemska nacionalna kontaktna točka: 1.2.</w:t>
      </w:r>
    </w:p>
  </w:endnote>
  <w:endnote w:id="47">
    <w:p>
      <w:pPr>
        <w:pStyle w:val="Notedefin"/>
        <w:suppressLineNumbers/>
        <w:spacing w:before="57" w:after="57"/>
        <w:ind w:left="339" w:right="0" w:hanging="339"/>
        <w:rPr/>
      </w:pPr>
      <w:r>
        <w:rPr>
          <w:rStyle w:val="Caractresdenotedefin"/>
        </w:rPr>
        <w:endnoteRef/>
      </w:r>
      <w:r>
        <w:rPr/>
        <w:tab/>
      </w:r>
      <w:r>
        <w:rPr/>
        <w:t>Preporuka br. 14 ECP2. Preporuke 1.3.1., 1.4.2. i 1.4.3. belgijskog NKT-a i preporuke 1.2. nizozemskog NKT-a.</w:t>
      </w:r>
    </w:p>
  </w:endnote>
  <w:endnote w:id="48">
    <w:p>
      <w:pPr>
        <w:pStyle w:val="Notedefin"/>
        <w:suppressLineNumbers/>
        <w:spacing w:before="57" w:after="57"/>
        <w:ind w:left="339" w:right="0" w:hanging="339"/>
        <w:rPr/>
      </w:pPr>
      <w:r>
        <w:rPr>
          <w:rStyle w:val="Caractresdenotedefin"/>
        </w:rPr>
        <w:endnoteRef/>
      </w:r>
      <w:r>
        <w:rPr/>
        <w:tab/>
      </w:r>
      <w:r>
        <w:rPr/>
        <w:t>Preporuka ECP-a br. 112. Preporuke 5.1. i 5.2. njemačke nacionalne kontaktne točke. Rasprava u radnoj skupini.</w:t>
      </w:r>
    </w:p>
  </w:endnote>
  <w:endnote w:id="49">
    <w:p>
      <w:pPr>
        <w:pStyle w:val="Notedefin"/>
        <w:suppressLineNumbers/>
        <w:spacing w:before="57" w:after="57"/>
        <w:ind w:left="339" w:right="0" w:hanging="339"/>
        <w:rPr/>
      </w:pPr>
      <w:r>
        <w:rPr>
          <w:rStyle w:val="Caractresdenotedefin"/>
        </w:rPr>
        <w:endnoteRef/>
      </w:r>
      <w:r>
        <w:rPr/>
        <w:tab/>
      </w:r>
      <w:r>
        <w:rPr/>
        <w:t>Preporuka ECP-a br. 112. Rasprava u radnoj skupini. Rasprava na plenarnoj sjednici.</w:t>
      </w:r>
    </w:p>
  </w:endnote>
  <w:endnote w:id="50">
    <w:p>
      <w:pPr>
        <w:pStyle w:val="Notedefin"/>
        <w:suppressLineNumbers/>
        <w:spacing w:before="57" w:after="57"/>
        <w:ind w:left="339" w:right="0" w:hanging="339"/>
        <w:rPr/>
      </w:pPr>
      <w:r>
        <w:rPr>
          <w:rStyle w:val="Caractresdenotedefin"/>
        </w:rPr>
        <w:endnoteRef/>
      </w:r>
      <w:r>
        <w:rPr/>
        <w:tab/>
      </w:r>
      <w:r>
        <w:rPr/>
        <w:t>Preporuka br. 10 ECP2.</w:t>
      </w:r>
    </w:p>
  </w:endnote>
  <w:endnote w:id="51">
    <w:p>
      <w:pPr>
        <w:pStyle w:val="Notedefin"/>
        <w:suppressLineNumbers/>
        <w:spacing w:before="57" w:after="57"/>
        <w:ind w:left="339" w:right="0" w:hanging="339"/>
        <w:rPr/>
      </w:pPr>
      <w:r>
        <w:rPr>
          <w:rStyle w:val="Caractresdenotedefin"/>
        </w:rPr>
        <w:endnoteRef/>
      </w:r>
      <w:r>
        <w:rPr/>
        <w:tab/>
      </w:r>
      <w:r>
        <w:rPr/>
        <w:t>Preporuka ECP-a br. 302.</w:t>
      </w:r>
    </w:p>
  </w:endnote>
  <w:endnote w:id="52">
    <w:p>
      <w:pPr>
        <w:pStyle w:val="Notedefin"/>
        <w:suppressLineNumbers/>
        <w:spacing w:before="57" w:after="57"/>
        <w:ind w:left="339" w:right="0" w:hanging="339"/>
        <w:rPr/>
      </w:pPr>
      <w:r>
        <w:rPr>
          <w:rStyle w:val="Caractresdenotedefin"/>
        </w:rPr>
        <w:endnoteRef/>
      </w:r>
      <w:r>
        <w:rPr/>
        <w:tab/>
      </w:r>
      <w:r>
        <w:rPr/>
        <w:t>Preporuke građana na kojima se prijedlog temelji: PCE2: 7, 8, 9; Nizozemska nacionalna kontaktna točka: 1.3, 4.3.</w:t>
      </w:r>
    </w:p>
  </w:endnote>
  <w:endnote w:id="53">
    <w:p>
      <w:pPr>
        <w:pStyle w:val="Notedefin"/>
        <w:suppressLineNumbers/>
        <w:spacing w:before="57" w:after="57"/>
        <w:ind w:left="339" w:right="0" w:hanging="339"/>
        <w:rPr/>
      </w:pPr>
      <w:r>
        <w:rPr>
          <w:rStyle w:val="Caractresdenotedefin"/>
        </w:rPr>
        <w:endnoteRef/>
      </w:r>
      <w:r>
        <w:rPr/>
        <w:tab/>
      </w:r>
      <w:r>
        <w:rPr/>
        <w:t>Preporuka br. 7 ECP2. Rasprava u radnoj skupini.</w:t>
      </w:r>
    </w:p>
  </w:endnote>
  <w:endnote w:id="54">
    <w:p>
      <w:pPr>
        <w:pStyle w:val="Notedefin"/>
        <w:suppressLineNumbers/>
        <w:spacing w:before="57" w:after="57"/>
        <w:ind w:left="339" w:right="0" w:hanging="339"/>
        <w:rPr/>
      </w:pPr>
      <w:r>
        <w:rPr>
          <w:rStyle w:val="Caractresdenotedefin"/>
        </w:rPr>
        <w:endnoteRef/>
      </w:r>
      <w:r>
        <w:rPr/>
        <w:tab/>
      </w:r>
      <w:r>
        <w:rPr/>
        <w:t>O tom pitanju raspravljala je i Radna skupina za digitalnu transformaciju.</w:t>
      </w:r>
    </w:p>
  </w:endnote>
  <w:endnote w:id="55">
    <w:p>
      <w:pPr>
        <w:pStyle w:val="Notedefin"/>
        <w:suppressLineNumbers/>
        <w:spacing w:before="57" w:after="57"/>
        <w:ind w:left="339" w:right="0" w:hanging="339"/>
        <w:rPr/>
      </w:pPr>
      <w:r>
        <w:rPr>
          <w:rStyle w:val="Caractresdenotedefin"/>
        </w:rPr>
        <w:endnoteRef/>
      </w:r>
      <w:r>
        <w:rPr/>
        <w:tab/>
      </w:r>
      <w:r>
        <w:rPr/>
        <w:t>Preporuka br. 9 ECP2.</w:t>
      </w:r>
    </w:p>
  </w:endnote>
  <w:endnote w:id="56">
    <w:p>
      <w:pPr>
        <w:pStyle w:val="Notedefin"/>
        <w:suppressLineNumbers/>
        <w:spacing w:before="57" w:after="57"/>
        <w:ind w:left="339" w:right="0" w:hanging="339"/>
        <w:rPr/>
      </w:pPr>
      <w:r>
        <w:rPr>
          <w:rStyle w:val="Caractresdenotedefin"/>
        </w:rPr>
        <w:endnoteRef/>
      </w:r>
      <w:r>
        <w:rPr/>
        <w:tab/>
      </w:r>
      <w:r>
        <w:rPr/>
        <w:t>O tom pitanju raspravljala je i Radna skupina za digitalnu transformaciju.</w:t>
      </w:r>
    </w:p>
  </w:endnote>
  <w:endnote w:id="57">
    <w:p>
      <w:pPr>
        <w:pStyle w:val="Notedefin"/>
        <w:suppressLineNumbers/>
        <w:spacing w:before="57" w:after="57"/>
        <w:ind w:left="339" w:right="0" w:hanging="339"/>
        <w:rPr/>
      </w:pPr>
      <w:r>
        <w:rPr>
          <w:rStyle w:val="Caractresdenotedefin"/>
        </w:rPr>
        <w:endnoteRef/>
      </w:r>
      <w:r>
        <w:rPr/>
        <w:tab/>
      </w:r>
      <w:r>
        <w:rPr/>
        <w:t>Preporuka br. 8 ECP2. Preporuke 1.3. i 4.3. nizozemske nacionalne kontaktne točke.</w:t>
      </w:r>
    </w:p>
  </w:endnote>
  <w:endnote w:id="58">
    <w:p>
      <w:pPr>
        <w:pStyle w:val="Notedefin"/>
        <w:suppressLineNumbers/>
        <w:spacing w:before="57" w:after="57"/>
        <w:ind w:left="339" w:right="0" w:hanging="339"/>
        <w:rPr/>
      </w:pPr>
      <w:r>
        <w:rPr>
          <w:rStyle w:val="Caractresdenotedefin"/>
        </w:rPr>
        <w:endnoteRef/>
      </w:r>
      <w:r>
        <w:rPr/>
        <w:tab/>
      </w:r>
      <w:r>
        <w:rPr/>
        <w:t>Preporuke br. 7 i 8 ECP2.</w:t>
      </w:r>
    </w:p>
  </w:endnote>
  <w:endnote w:id="59">
    <w:p>
      <w:pPr>
        <w:pStyle w:val="Notedefin"/>
        <w:suppressLineNumbers/>
        <w:spacing w:before="57" w:after="57"/>
        <w:ind w:left="339" w:right="0" w:hanging="339"/>
        <w:rPr/>
      </w:pPr>
      <w:r>
        <w:rPr>
          <w:rStyle w:val="Caractresdenotedefin"/>
        </w:rPr>
        <w:endnoteRef/>
      </w:r>
      <w:r>
        <w:rPr/>
        <w:tab/>
      </w:r>
      <w:r>
        <w:rPr/>
        <w:t>O tom pitanju raspravljala je i Radna skupina za digitalnu transformaciju.</w:t>
      </w:r>
    </w:p>
  </w:endnote>
  <w:endnote w:id="60">
    <w:p>
      <w:pPr>
        <w:pStyle w:val="Notedefin"/>
        <w:suppressLineNumbers/>
        <w:spacing w:before="57" w:after="57"/>
        <w:ind w:left="339" w:right="0" w:hanging="339"/>
        <w:rPr/>
      </w:pPr>
      <w:r>
        <w:rPr>
          <w:rStyle w:val="Caractresdenotedefin"/>
        </w:rPr>
        <w:endnoteRef/>
      </w:r>
      <w:r>
        <w:rPr/>
        <w:tab/>
      </w:r>
      <w:r>
        <w:rPr/>
        <w:t>Preporuke građana na kojima se prijedlog temelji: PCE2: 5, 12, 13, 17, 28; Belgijska nacionalna kontaktna točka: 1.5.1., 2.1.1. do 2.4.3.; Nizozemska nacionalna kontaktna točka: 3.1.</w:t>
      </w:r>
    </w:p>
  </w:endnote>
  <w:endnote w:id="61">
    <w:p>
      <w:pPr>
        <w:pStyle w:val="Notedefin"/>
        <w:suppressLineNumbers/>
        <w:spacing w:before="57" w:after="57"/>
        <w:ind w:left="339" w:right="0" w:hanging="339"/>
        <w:rPr/>
      </w:pPr>
      <w:r>
        <w:rPr>
          <w:rStyle w:val="Caractresdenotedefin"/>
        </w:rPr>
        <w:endnoteRef/>
      </w:r>
      <w:r>
        <w:rPr/>
        <w:tab/>
      </w:r>
      <w:r>
        <w:rPr/>
        <w:t>Preporuka br. 5 ECP2. Preporuka 2.1.1. belgijskog NKT-a. Preporuka 3.1. nizozemske nacionalne kontaktne točke.</w:t>
      </w:r>
    </w:p>
  </w:endnote>
  <w:endnote w:id="62">
    <w:p>
      <w:pPr>
        <w:pStyle w:val="Notedefin"/>
        <w:suppressLineNumbers/>
        <w:spacing w:before="57" w:after="57"/>
        <w:ind w:left="339" w:right="0" w:hanging="339"/>
        <w:rPr/>
      </w:pPr>
      <w:r>
        <w:rPr>
          <w:rStyle w:val="Caractresdenotedefin"/>
        </w:rPr>
        <w:endnoteRef/>
      </w:r>
      <w:r>
        <w:rPr/>
        <w:tab/>
      </w:r>
      <w:r>
        <w:rPr/>
        <w:t>Preporuka ECP-a br. 122. Preporuka 2.1.4. belgijskog NKT-a.</w:t>
      </w:r>
    </w:p>
  </w:endnote>
  <w:endnote w:id="63">
    <w:p>
      <w:pPr>
        <w:pStyle w:val="Notedefin"/>
        <w:suppressLineNumbers/>
        <w:spacing w:before="57" w:after="57"/>
        <w:ind w:left="339" w:right="0" w:hanging="339"/>
        <w:rPr/>
      </w:pPr>
      <w:r>
        <w:rPr>
          <w:rStyle w:val="Caractresdenotedefin"/>
        </w:rPr>
        <w:endnoteRef/>
      </w:r>
      <w:r>
        <w:rPr/>
        <w:tab/>
      </w:r>
      <w:r>
        <w:rPr/>
        <w:t>Preporuke PCE2 br. 17 i 28. Preporuke 1.5.1., 2.1.3., 2.2.1. i 2.2.2. belgijske nacionalne kontaktne točke.</w:t>
      </w:r>
    </w:p>
  </w:endnote>
  <w:endnote w:id="64">
    <w:p>
      <w:pPr>
        <w:pStyle w:val="Notedefin"/>
        <w:suppressLineNumbers/>
        <w:spacing w:before="57" w:after="57"/>
        <w:ind w:left="339" w:right="0" w:hanging="339"/>
        <w:rPr/>
      </w:pPr>
      <w:r>
        <w:rPr>
          <w:rStyle w:val="Caractresdenotedefin"/>
        </w:rPr>
        <w:endnoteRef/>
      </w:r>
      <w:r>
        <w:rPr/>
        <w:tab/>
      </w:r>
      <w:r>
        <w:rPr/>
        <w:t>O tom pitanju raspravljala je i Radna skupina za digitalnu transformaciju.</w:t>
      </w:r>
    </w:p>
  </w:endnote>
  <w:endnote w:id="65">
    <w:p>
      <w:pPr>
        <w:pStyle w:val="Notedefin"/>
        <w:suppressLineNumbers/>
        <w:spacing w:before="57" w:after="57"/>
        <w:ind w:left="339" w:right="0" w:hanging="339"/>
        <w:rPr/>
      </w:pPr>
      <w:r>
        <w:rPr>
          <w:rStyle w:val="Caractresdenotedefin"/>
        </w:rPr>
        <w:endnoteRef/>
      </w:r>
      <w:r>
        <w:rPr/>
        <w:tab/>
      </w:r>
      <w:r>
        <w:rPr/>
        <w:t>Preporuke PCE2 br. 5 i 28. Preporuke 2.3.2. i 2.3.3. belgijskog NKT-a.</w:t>
      </w:r>
    </w:p>
  </w:endnote>
  <w:endnote w:id="66">
    <w:p>
      <w:pPr>
        <w:pStyle w:val="Notedefin"/>
        <w:suppressLineNumbers/>
        <w:spacing w:before="57" w:after="57"/>
        <w:ind w:left="339" w:right="0" w:hanging="339"/>
        <w:rPr/>
      </w:pPr>
      <w:r>
        <w:rPr>
          <w:rStyle w:val="Caractresdenotedefin"/>
        </w:rPr>
        <w:endnoteRef/>
      </w:r>
      <w:r>
        <w:rPr/>
        <w:tab/>
      </w:r>
      <w:r>
        <w:rPr/>
        <w:t>Preporuka ECP-a br. 282. Preporuke 2.3.1., 2.4.1. i 2.4.2. belgijskog NKT-a.</w:t>
      </w:r>
    </w:p>
  </w:endnote>
  <w:endnote w:id="67">
    <w:p>
      <w:pPr>
        <w:pStyle w:val="Notedefin"/>
        <w:suppressLineNumbers/>
        <w:spacing w:before="57" w:after="57"/>
        <w:ind w:left="339" w:right="0" w:hanging="339"/>
        <w:rPr/>
      </w:pPr>
      <w:r>
        <w:rPr>
          <w:rStyle w:val="Caractresdenotedefin"/>
        </w:rPr>
        <w:endnoteRef/>
      </w:r>
      <w:r>
        <w:rPr/>
        <w:tab/>
      </w:r>
      <w:r>
        <w:rPr/>
        <w:t>O tom pitanju raspravljala je i Radna skupina za digitalnu transformaciju.</w:t>
      </w:r>
    </w:p>
  </w:endnote>
  <w:endnote w:id="68">
    <w:p>
      <w:pPr>
        <w:pStyle w:val="Notedefin"/>
        <w:suppressLineNumbers/>
        <w:spacing w:before="57" w:after="57"/>
        <w:ind w:left="339" w:right="0" w:hanging="339"/>
        <w:rPr/>
      </w:pPr>
      <w:r>
        <w:rPr>
          <w:rStyle w:val="Caractresdenotedefin"/>
        </w:rPr>
        <w:endnoteRef/>
      </w:r>
      <w:r>
        <w:rPr/>
        <w:tab/>
      </w:r>
      <w:r>
        <w:rPr/>
        <w:t>Preporuka ECP-a br. 132.</w:t>
      </w:r>
    </w:p>
  </w:endnote>
  <w:endnote w:id="69">
    <w:p>
      <w:pPr>
        <w:pStyle w:val="Notedefin"/>
        <w:suppressLineNumbers/>
        <w:spacing w:before="57" w:after="57"/>
        <w:ind w:left="339" w:right="0" w:hanging="339"/>
        <w:rPr/>
      </w:pPr>
      <w:r>
        <w:rPr>
          <w:rStyle w:val="Caractresdenotedefin"/>
        </w:rPr>
        <w:endnoteRef/>
      </w:r>
      <w:r>
        <w:rPr/>
        <w:tab/>
      </w:r>
      <w:r>
        <w:rPr/>
        <w:t>O tom pitanju raspravljala je i Radna skupina za digitalnu transformaciju.</w:t>
      </w:r>
    </w:p>
  </w:endnote>
  <w:endnote w:id="70">
    <w:p>
      <w:pPr>
        <w:pStyle w:val="Notedefin"/>
        <w:suppressLineNumbers/>
        <w:spacing w:before="57" w:after="57"/>
        <w:ind w:left="339" w:right="0" w:hanging="339"/>
        <w:rPr/>
      </w:pPr>
      <w:r>
        <w:rPr>
          <w:rStyle w:val="Caractresdenotedefin"/>
        </w:rPr>
        <w:endnoteRef/>
      </w:r>
      <w:r>
        <w:rPr/>
        <w:tab/>
      </w:r>
      <w:r>
        <w:rPr/>
        <w:t>Preporuka ECP-a br. 132.</w:t>
      </w:r>
    </w:p>
  </w:endnote>
  <w:endnote w:id="71">
    <w:p>
      <w:pPr>
        <w:pStyle w:val="Notedefin"/>
        <w:suppressLineNumbers/>
        <w:spacing w:before="57" w:after="57"/>
        <w:ind w:left="339" w:right="0" w:hanging="339"/>
        <w:rPr/>
      </w:pPr>
      <w:r>
        <w:rPr>
          <w:rStyle w:val="Caractresdenotedefin"/>
        </w:rPr>
        <w:endnoteRef/>
      </w:r>
      <w:r>
        <w:rPr/>
        <w:tab/>
      </w:r>
      <w:r>
        <w:rPr/>
        <w:t>O tom pitanju raspravljala je i Radna skupina za digitalnu transformaciju.</w:t>
      </w:r>
    </w:p>
  </w:endnote>
  <w:endnote w:id="72">
    <w:p>
      <w:pPr>
        <w:pStyle w:val="Notedefin"/>
        <w:suppressLineNumbers/>
        <w:spacing w:before="57" w:after="57"/>
        <w:ind w:left="339" w:right="0" w:hanging="339"/>
        <w:rPr/>
      </w:pPr>
      <w:r>
        <w:rPr>
          <w:rStyle w:val="Caractresdenotedefin"/>
        </w:rPr>
        <w:endnoteRef/>
      </w:r>
      <w:r>
        <w:rPr/>
        <w:tab/>
      </w:r>
      <w:r>
        <w:rPr/>
        <w:t>Preporuke građana na kojima se prijedlog temelji: PCE2: 1, 2, 21, 22, 23; Nizozemska nacionalna kontaktna točka: 1.1.</w:t>
      </w:r>
    </w:p>
  </w:endnote>
  <w:endnote w:id="73">
    <w:p>
      <w:pPr>
        <w:pStyle w:val="Notedefin"/>
        <w:suppressLineNumbers/>
        <w:spacing w:before="57" w:after="57"/>
        <w:ind w:left="339" w:right="0" w:hanging="339"/>
        <w:rPr/>
      </w:pPr>
      <w:r>
        <w:rPr>
          <w:rStyle w:val="Caractresdenotedefin"/>
        </w:rPr>
        <w:endnoteRef/>
      </w:r>
      <w:r>
        <w:rPr/>
        <w:tab/>
      </w:r>
      <w:r>
        <w:rPr/>
        <w:t>Preporuka ECP-a br. 222. Rasprava u radnoj skupini.</w:t>
      </w:r>
    </w:p>
  </w:endnote>
  <w:endnote w:id="74">
    <w:p>
      <w:pPr>
        <w:pStyle w:val="Notedefin"/>
        <w:suppressLineNumbers/>
        <w:spacing w:before="57" w:after="57"/>
        <w:ind w:left="339" w:right="0" w:hanging="339"/>
        <w:rPr/>
      </w:pPr>
      <w:r>
        <w:rPr>
          <w:rStyle w:val="Caractresdenotedefin"/>
        </w:rPr>
        <w:endnoteRef/>
      </w:r>
      <w:r>
        <w:rPr/>
        <w:tab/>
      </w:r>
      <w:r>
        <w:rPr/>
        <w:t>O pitanju je raspravljala i Radna skupina za snažnije gospodarstvo, socijalnu pravdu i zapošljavanje.</w:t>
      </w:r>
    </w:p>
  </w:endnote>
  <w:endnote w:id="75">
    <w:p>
      <w:pPr>
        <w:pStyle w:val="Notedefin"/>
        <w:suppressLineNumbers/>
        <w:spacing w:before="57" w:after="57"/>
        <w:ind w:left="339" w:right="0" w:hanging="339"/>
        <w:rPr/>
      </w:pPr>
      <w:r>
        <w:rPr>
          <w:rStyle w:val="Caractresdenotedefin"/>
        </w:rPr>
        <w:endnoteRef/>
      </w:r>
      <w:r>
        <w:rPr/>
        <w:tab/>
      </w:r>
      <w:r>
        <w:rPr/>
        <w:t>Preporuka ECP-a br. 212. Preporuka 1.1. nizozemske nacionalne kontaktne točke.</w:t>
      </w:r>
    </w:p>
  </w:endnote>
  <w:endnote w:id="76">
    <w:p>
      <w:pPr>
        <w:pStyle w:val="Notedefin"/>
        <w:suppressLineNumbers/>
        <w:spacing w:before="57" w:after="57"/>
        <w:ind w:left="339" w:right="0" w:hanging="339"/>
        <w:rPr/>
      </w:pPr>
      <w:r>
        <w:rPr>
          <w:rStyle w:val="Caractresdenotedefin"/>
        </w:rPr>
        <w:endnoteRef/>
      </w:r>
      <w:r>
        <w:rPr/>
        <w:tab/>
      </w:r>
      <w:r>
        <w:rPr/>
        <w:t>Preporuka ECP-a br. 232.</w:t>
      </w:r>
    </w:p>
  </w:endnote>
  <w:endnote w:id="77">
    <w:p>
      <w:pPr>
        <w:pStyle w:val="Notedefin"/>
        <w:suppressLineNumbers/>
        <w:spacing w:before="57" w:after="57"/>
        <w:ind w:left="339" w:right="0" w:hanging="339"/>
        <w:rPr/>
      </w:pPr>
      <w:r>
        <w:rPr>
          <w:rStyle w:val="Caractresdenotedefin"/>
        </w:rPr>
        <w:endnoteRef/>
      </w:r>
      <w:r>
        <w:rPr/>
        <w:tab/>
      </w:r>
      <w:r>
        <w:rPr/>
        <w:t>O pitanju je raspravljala i Radna skupina za snažnije gospodarstvo, socijalnu pravdu i zapošljavanje.</w:t>
      </w:r>
    </w:p>
  </w:endnote>
  <w:endnote w:id="78">
    <w:p>
      <w:pPr>
        <w:pStyle w:val="Notedefin"/>
        <w:suppressLineNumbers/>
        <w:spacing w:before="57" w:after="57"/>
        <w:ind w:left="339" w:right="0" w:hanging="339"/>
        <w:rPr/>
      </w:pPr>
      <w:r>
        <w:rPr>
          <w:rStyle w:val="Caractresdenotedefin"/>
        </w:rPr>
        <w:endnoteRef/>
      </w:r>
      <w:r>
        <w:rPr/>
        <w:tab/>
      </w:r>
      <w:r>
        <w:rPr/>
        <w:t>Preporuka 1. ECP2. Rasprava u radnoj skupini.</w:t>
      </w:r>
    </w:p>
  </w:endnote>
  <w:endnote w:id="79">
    <w:p>
      <w:pPr>
        <w:pStyle w:val="Notedefin"/>
        <w:suppressLineNumbers/>
        <w:spacing w:before="57" w:after="57"/>
        <w:ind w:left="339" w:right="0" w:hanging="339"/>
        <w:rPr/>
      </w:pPr>
      <w:r>
        <w:rPr>
          <w:rStyle w:val="Caractresdenotedefin"/>
        </w:rPr>
        <w:endnoteRef/>
      </w:r>
      <w:r>
        <w:rPr/>
        <w:tab/>
      </w:r>
      <w:r>
        <w:rPr/>
        <w:t>2. preporuka ECP2. Rasprava u radnoj skupini.</w:t>
      </w:r>
    </w:p>
  </w:endnote>
  <w:endnote w:id="80">
    <w:p>
      <w:pPr>
        <w:pStyle w:val="Notedefin"/>
        <w:suppressLineNumbers/>
        <w:spacing w:before="57" w:after="57"/>
        <w:ind w:left="339" w:right="0" w:hanging="339"/>
        <w:rPr/>
      </w:pPr>
      <w:r>
        <w:rPr>
          <w:rStyle w:val="Caractresdenotedefin"/>
        </w:rPr>
        <w:endnoteRef/>
      </w:r>
      <w:r>
        <w:rPr/>
        <w:tab/>
      </w:r>
      <w:r>
        <w:rPr/>
        <w:t>Preporuke građana na kojima se prijedlog temelji: PCE2: 3, 4, 6.</w:t>
      </w:r>
    </w:p>
  </w:endnote>
  <w:endnote w:id="81">
    <w:p>
      <w:pPr>
        <w:pStyle w:val="Notedefin"/>
        <w:suppressLineNumbers/>
        <w:spacing w:before="57" w:after="57"/>
        <w:ind w:left="339" w:right="0" w:hanging="339"/>
        <w:rPr/>
      </w:pPr>
      <w:r>
        <w:rPr>
          <w:rStyle w:val="Caractresdenotedefin"/>
        </w:rPr>
        <w:endnoteRef/>
      </w:r>
      <w:r>
        <w:rPr/>
        <w:tab/>
      </w:r>
      <w:r>
        <w:rPr/>
        <w:t>Preporuka br. 3 ECP2.</w:t>
      </w:r>
    </w:p>
  </w:endnote>
  <w:endnote w:id="82">
    <w:p>
      <w:pPr>
        <w:pStyle w:val="Notedefin"/>
        <w:suppressLineNumbers/>
        <w:spacing w:before="57" w:after="57"/>
        <w:ind w:left="339" w:right="0" w:hanging="339"/>
        <w:rPr/>
      </w:pPr>
      <w:r>
        <w:rPr>
          <w:rStyle w:val="Caractresdenotedefin"/>
        </w:rPr>
        <w:endnoteRef/>
      </w:r>
      <w:r>
        <w:rPr/>
        <w:tab/>
      </w:r>
      <w:r>
        <w:rPr/>
        <w:t>O tom pitanju raspravljala je i Radna skupina za klimatske promjene i okoliš.</w:t>
      </w:r>
    </w:p>
  </w:endnote>
  <w:endnote w:id="83">
    <w:p>
      <w:pPr>
        <w:pStyle w:val="Notedefin"/>
        <w:suppressLineNumbers/>
        <w:spacing w:before="57" w:after="57"/>
        <w:ind w:left="339" w:right="0" w:hanging="339"/>
        <w:rPr/>
      </w:pPr>
      <w:r>
        <w:rPr>
          <w:rStyle w:val="Caractresdenotedefin"/>
        </w:rPr>
        <w:endnoteRef/>
      </w:r>
      <w:r>
        <w:rPr/>
        <w:tab/>
      </w:r>
      <w:r>
        <w:rPr/>
        <w:t>Preporuka br. 4 ECP2.</w:t>
      </w:r>
    </w:p>
  </w:endnote>
  <w:endnote w:id="84">
    <w:p>
      <w:pPr>
        <w:pStyle w:val="Notedefin"/>
        <w:suppressLineNumbers/>
        <w:spacing w:before="57" w:after="57"/>
        <w:ind w:left="339" w:right="0" w:hanging="339"/>
        <w:rPr/>
      </w:pPr>
      <w:r>
        <w:rPr>
          <w:rStyle w:val="Caractresdenotedefin"/>
        </w:rPr>
        <w:endnoteRef/>
      </w:r>
      <w:r>
        <w:rPr/>
        <w:tab/>
      </w:r>
      <w:r>
        <w:rPr/>
        <w:t>Preporuka br. 6 ECP2.</w:t>
      </w:r>
    </w:p>
  </w:endnote>
  <w:endnote w:id="85">
    <w:p>
      <w:pPr>
        <w:pStyle w:val="Notedefin"/>
        <w:suppressLineNumbers/>
        <w:spacing w:before="57" w:after="57"/>
        <w:ind w:left="339" w:right="0" w:hanging="339"/>
        <w:rPr/>
      </w:pPr>
      <w:r>
        <w:rPr>
          <w:rStyle w:val="Caractresdenotedefin"/>
        </w:rPr>
        <w:endnoteRef/>
      </w:r>
      <w:r>
        <w:rPr/>
        <w:tab/>
      </w:r>
      <w:r>
        <w:rPr/>
        <w:t>O tom pitanju raspravljala je i Radna skupina za klimatske promjene i okoliš.</w:t>
      </w:r>
    </w:p>
  </w:endnote>
  <w:endnote w:id="86">
    <w:p>
      <w:pPr>
        <w:pStyle w:val="Notedefin"/>
        <w:suppressLineNumbers/>
        <w:spacing w:before="57" w:after="57"/>
        <w:ind w:left="339" w:right="0" w:hanging="339"/>
        <w:rPr/>
      </w:pPr>
      <w:r>
        <w:rPr>
          <w:rStyle w:val="Caractresdenotedefin"/>
        </w:rPr>
        <w:endnoteRef/>
      </w:r>
      <w:r>
        <w:rPr/>
        <w:tab/>
      </w:r>
      <w:r>
        <w:rPr/>
        <w:t>Preporuke građana na kojima se prijedlog temelji: Europski panel građana i građanki 1 (ECP 1): 17, 40, 47; Nizozemski nacionalni panel građana (NCP) br. 1.</w:t>
      </w:r>
    </w:p>
  </w:endnote>
  <w:endnote w:id="87">
    <w:p>
      <w:pPr>
        <w:pStyle w:val="Notedefin"/>
        <w:suppressLineNumbers/>
        <w:spacing w:before="57" w:after="57"/>
        <w:ind w:left="339" w:right="0" w:hanging="339"/>
        <w:rPr/>
      </w:pPr>
      <w:r>
        <w:rPr>
          <w:rStyle w:val="Caractresdenotedefin"/>
        </w:rPr>
        <w:endnoteRef/>
      </w:r>
      <w:r>
        <w:rPr/>
        <w:tab/>
      </w:r>
      <w:r>
        <w:rPr/>
        <w:t>Vidjeti poveznicu na preporuku br. 38 ECP-a u pogledu infrastrukture za električna vozila.</w:t>
      </w:r>
    </w:p>
  </w:endnote>
  <w:endnote w:id="88">
    <w:p>
      <w:pPr>
        <w:pStyle w:val="Notedefin"/>
        <w:suppressLineNumbers/>
        <w:spacing w:before="57" w:after="57"/>
        <w:ind w:left="339" w:right="0" w:hanging="339"/>
        <w:rPr/>
      </w:pPr>
      <w:r>
        <w:rPr>
          <w:rStyle w:val="Caractresdenotedefin"/>
        </w:rPr>
        <w:endnoteRef/>
      </w:r>
      <w:r>
        <w:rPr/>
        <w:tab/>
      </w:r>
      <w:r>
        <w:rPr/>
        <w:t>Preporuke građana na kojima se prijedlog temelji: Europski panel građana i građanki 1 (ECP 1): 8, 34 i 47; Talijanski nacionalni panel građana (NCP) 5.2.</w:t>
      </w:r>
    </w:p>
  </w:endnote>
  <w:endnote w:id="89">
    <w:p>
      <w:pPr>
        <w:pStyle w:val="Notedefin"/>
        <w:suppressLineNumbers/>
        <w:spacing w:before="57" w:after="57"/>
        <w:ind w:left="339" w:right="0" w:hanging="339"/>
        <w:rPr/>
      </w:pPr>
      <w:r>
        <w:rPr>
          <w:rStyle w:val="Caractresdenotedefin"/>
        </w:rPr>
        <w:endnoteRef/>
      </w:r>
      <w:r>
        <w:rPr/>
        <w:tab/>
      </w:r>
      <w:r>
        <w:rPr/>
        <w:t>Preporuke građana na kojima se prijedlog temelji: preporuke 39. i 46. Europskog panela građana i građanki 1 (CEP 1) i preporuke 2.6 litavskog nacionalnog panela građana i građanki (NCP) i nizozemskog nacionalnog kontaktnog mjesta.</w:t>
      </w:r>
    </w:p>
  </w:endnote>
  <w:endnote w:id="90">
    <w:p>
      <w:pPr>
        <w:pStyle w:val="Notedefin"/>
        <w:suppressLineNumbers/>
        <w:spacing w:before="57" w:after="57"/>
        <w:ind w:left="339" w:right="0" w:hanging="339"/>
        <w:rPr/>
      </w:pPr>
      <w:r>
        <w:rPr>
          <w:rStyle w:val="Caractresdenotedefin"/>
        </w:rPr>
        <w:endnoteRef/>
      </w:r>
      <w:r>
        <w:rPr/>
        <w:tab/>
      </w:r>
      <w:r>
        <w:rPr/>
        <w:t>Preporuke građana na kojima se prijedlog temelji: preporuke 42., 43., 44. i 45. europskog panela građana br. 1 (PCE 1) i preporuka br. 2 nizozemskog nacionalnog panela građana (NCP).</w:t>
      </w:r>
    </w:p>
  </w:endnote>
  <w:endnote w:id="91">
    <w:p>
      <w:pPr>
        <w:pStyle w:val="Notedefin"/>
        <w:suppressLineNumbers/>
        <w:spacing w:before="57" w:after="57"/>
        <w:ind w:left="339" w:right="0" w:hanging="339"/>
        <w:rPr/>
      </w:pPr>
      <w:r>
        <w:rPr>
          <w:rStyle w:val="Caractresdenotedefin"/>
        </w:rPr>
        <w:endnoteRef/>
      </w:r>
      <w:r>
        <w:rPr/>
        <w:tab/>
      </w:r>
      <w:r>
        <w:rPr/>
        <w:t>Preporuke građana na kojima se prijedlog temelji: Europski panel građana br. 1 (PCE 1) br. 7, 16 i 17 i nacionalni paneli građana Njemačke i Italije 1.3.</w:t>
      </w:r>
    </w:p>
  </w:endnote>
  <w:endnote w:id="92">
    <w:p>
      <w:pPr>
        <w:pStyle w:val="Notedefin"/>
        <w:suppressLineNumbers/>
        <w:spacing w:before="57" w:after="57"/>
        <w:ind w:left="339" w:right="0" w:hanging="339"/>
        <w:rPr/>
      </w:pPr>
      <w:r>
        <w:rPr>
          <w:rStyle w:val="Caractresdenotedefin"/>
        </w:rPr>
        <w:endnoteRef/>
      </w:r>
      <w:r>
        <w:rPr/>
        <w:tab/>
      </w:r>
      <w:r>
        <w:rPr/>
        <w:t>Treba ga razmotriti u vezi s prijedlozima Radne skupine za snažnije gospodarstvo.</w:t>
      </w:r>
    </w:p>
  </w:endnote>
  <w:endnote w:id="93">
    <w:p>
      <w:pPr>
        <w:pStyle w:val="Notedefin"/>
        <w:suppressLineNumbers/>
        <w:spacing w:before="57" w:after="57"/>
        <w:ind w:left="339" w:right="0" w:hanging="339"/>
        <w:rPr/>
      </w:pPr>
      <w:r>
        <w:rPr>
          <w:rStyle w:val="Caractresdenotedefin"/>
        </w:rPr>
        <w:endnoteRef/>
      </w:r>
      <w:r>
        <w:rPr/>
        <w:tab/>
      </w:r>
      <w:r>
        <w:rPr/>
        <w:t>Amandmani br. 3A i 3B Radne skupine (WG).</w:t>
      </w:r>
    </w:p>
  </w:endnote>
  <w:endnote w:id="94">
    <w:p>
      <w:pPr>
        <w:pStyle w:val="Notedefin"/>
        <w:suppressLineNumbers/>
        <w:spacing w:before="57" w:after="57"/>
        <w:ind w:left="339" w:right="0" w:hanging="339"/>
        <w:rPr/>
      </w:pPr>
      <w:r>
        <w:rPr>
          <w:rStyle w:val="Caractresdenotedefin"/>
        </w:rPr>
        <w:endnoteRef/>
      </w:r>
      <w:r>
        <w:rPr/>
        <w:tab/>
      </w:r>
      <w:r>
        <w:rPr/>
        <w:t>Preporuke 32. i 37. europskog panela građana i građanki 2 (PCE 2); nacionalni paneli BE, FR i NL.</w:t>
      </w:r>
    </w:p>
  </w:endnote>
  <w:endnote w:id="95">
    <w:p>
      <w:pPr>
        <w:pStyle w:val="Notedefin"/>
        <w:suppressLineNumbers/>
        <w:spacing w:before="57" w:after="57"/>
        <w:ind w:left="339" w:right="0" w:hanging="339"/>
        <w:rPr/>
      </w:pPr>
      <w:r>
        <w:rPr>
          <w:rStyle w:val="Caractresdenotedefin"/>
        </w:rPr>
        <w:endnoteRef/>
      </w:r>
      <w:r>
        <w:rPr/>
        <w:tab/>
      </w:r>
      <w:r>
        <w:rPr/>
        <w:t>Nacionalni odbor FR.</w:t>
      </w:r>
    </w:p>
  </w:endnote>
  <w:endnote w:id="96">
    <w:p>
      <w:pPr>
        <w:pStyle w:val="Notedefin"/>
        <w:suppressLineNumbers/>
        <w:spacing w:before="57" w:after="57"/>
        <w:ind w:left="339" w:right="0" w:hanging="339"/>
        <w:rPr/>
      </w:pPr>
      <w:r>
        <w:rPr>
          <w:rStyle w:val="Caractresdenotedefin"/>
        </w:rPr>
        <w:endnoteRef/>
      </w:r>
      <w:r>
        <w:rPr/>
        <w:tab/>
      </w:r>
      <w:r>
        <w:rPr/>
        <w:t>Izmjena br. 8. radne skupine, sažetiji tekst.</w:t>
      </w:r>
    </w:p>
  </w:endnote>
  <w:endnote w:id="97">
    <w:p>
      <w:pPr>
        <w:pStyle w:val="Notedefin"/>
        <w:suppressLineNumbers/>
        <w:spacing w:before="57" w:after="57"/>
        <w:ind w:left="339" w:right="0" w:hanging="339"/>
        <w:rPr/>
      </w:pPr>
      <w:r>
        <w:rPr>
          <w:rStyle w:val="Caractresdenotedefin"/>
        </w:rPr>
        <w:endnoteRef/>
      </w:r>
      <w:r>
        <w:rPr/>
        <w:tab/>
      </w:r>
      <w:r>
        <w:rPr/>
        <w:t>Preporuka ECP-a br. 29 2.</w:t>
      </w:r>
    </w:p>
  </w:endnote>
  <w:endnote w:id="98">
    <w:p>
      <w:pPr>
        <w:pStyle w:val="Notedefin"/>
        <w:suppressLineNumbers/>
        <w:spacing w:before="57" w:after="57"/>
        <w:ind w:left="339" w:right="0" w:hanging="339"/>
        <w:rPr/>
      </w:pPr>
      <w:r>
        <w:rPr>
          <w:rStyle w:val="Caractresdenotedefin"/>
        </w:rPr>
        <w:endnoteRef/>
      </w:r>
      <w:r>
        <w:rPr/>
        <w:tab/>
      </w:r>
      <w:r>
        <w:rPr/>
        <w:t>Preporuke br. 19 i 32 ECP-a; nacionalni paneli BE i FR te predstavnik DK za nacionalna događanja.</w:t>
      </w:r>
    </w:p>
  </w:endnote>
  <w:endnote w:id="99">
    <w:p>
      <w:pPr>
        <w:pStyle w:val="Notedefin"/>
        <w:suppressLineNumbers/>
        <w:spacing w:before="57" w:after="57"/>
        <w:ind w:left="339" w:right="0" w:hanging="339"/>
        <w:rPr/>
      </w:pPr>
      <w:r>
        <w:rPr>
          <w:rStyle w:val="Caractresdenotedefin"/>
        </w:rPr>
        <w:endnoteRef/>
      </w:r>
      <w:r>
        <w:rPr/>
        <w:tab/>
      </w:r>
      <w:r>
        <w:rPr/>
        <w:t>Nacionalni panel BE.</w:t>
      </w:r>
    </w:p>
  </w:endnote>
  <w:endnote w:id="100">
    <w:p>
      <w:pPr>
        <w:pStyle w:val="Notedefin"/>
        <w:suppressLineNumbers/>
        <w:spacing w:before="57" w:after="57"/>
        <w:ind w:left="339" w:right="0" w:hanging="339"/>
        <w:rPr/>
      </w:pPr>
      <w:r>
        <w:rPr>
          <w:rStyle w:val="Caractresdenotedefin"/>
        </w:rPr>
        <w:endnoteRef/>
      </w:r>
      <w:r>
        <w:rPr/>
        <w:tab/>
      </w:r>
      <w:r>
        <w:rPr/>
        <w:t>Izmjena br. 7B radne skupine.</w:t>
      </w:r>
    </w:p>
  </w:endnote>
  <w:endnote w:id="101">
    <w:p>
      <w:pPr>
        <w:pStyle w:val="Notedefin"/>
        <w:suppressLineNumbers/>
        <w:spacing w:before="57" w:after="57"/>
        <w:ind w:left="339" w:right="0" w:hanging="339"/>
        <w:rPr/>
      </w:pPr>
      <w:r>
        <w:rPr>
          <w:rStyle w:val="Caractresdenotedefin"/>
        </w:rPr>
        <w:endnoteRef/>
      </w:r>
      <w:r>
        <w:rPr/>
        <w:tab/>
      </w:r>
      <w:r>
        <w:rPr/>
        <w:t>Nacionalni panel BE.</w:t>
      </w:r>
    </w:p>
  </w:endnote>
  <w:endnote w:id="102">
    <w:p>
      <w:pPr>
        <w:pStyle w:val="Notedefin"/>
        <w:suppressLineNumbers/>
        <w:spacing w:before="57" w:after="57"/>
        <w:ind w:left="339" w:right="0" w:hanging="339"/>
        <w:rPr/>
      </w:pPr>
      <w:r>
        <w:rPr>
          <w:rStyle w:val="Caractresdenotedefin"/>
        </w:rPr>
        <w:endnoteRef/>
      </w:r>
      <w:r>
        <w:rPr/>
        <w:tab/>
      </w:r>
      <w:r>
        <w:rPr/>
        <w:t>Završno izvješće Kantara, str. 85.</w:t>
      </w:r>
    </w:p>
  </w:endnote>
  <w:endnote w:id="103">
    <w:p>
      <w:pPr>
        <w:pStyle w:val="Notedefin"/>
        <w:suppressLineNumbers/>
        <w:spacing w:before="57" w:after="57"/>
        <w:ind w:left="339" w:right="0" w:hanging="339"/>
        <w:rPr/>
      </w:pPr>
      <w:r>
        <w:rPr>
          <w:rStyle w:val="Caractresdenotedefin"/>
        </w:rPr>
        <w:endnoteRef/>
      </w:r>
      <w:r>
        <w:rPr/>
        <w:tab/>
      </w:r>
      <w:r>
        <w:rPr/>
        <w:t>Preporuka br. 39 ECP-a 2; nacionalni odbor br. 3 BE.</w:t>
      </w:r>
    </w:p>
  </w:endnote>
  <w:endnote w:id="104">
    <w:p>
      <w:pPr>
        <w:pStyle w:val="Notedefin"/>
        <w:suppressLineNumbers/>
        <w:spacing w:before="57" w:after="57"/>
        <w:ind w:left="339" w:right="0" w:hanging="339"/>
        <w:rPr/>
      </w:pPr>
      <w:r>
        <w:rPr>
          <w:rStyle w:val="Caractresdenotedefin"/>
        </w:rPr>
        <w:endnoteRef/>
      </w:r>
      <w:r>
        <w:rPr/>
        <w:tab/>
      </w:r>
      <w:r>
        <w:rPr/>
        <w:t>Amandman 10.A radne skupine, sažetiji tekst.</w:t>
      </w:r>
    </w:p>
  </w:endnote>
  <w:endnote w:id="105">
    <w:p>
      <w:pPr>
        <w:pStyle w:val="Notedefin"/>
        <w:suppressLineNumbers/>
        <w:spacing w:before="57" w:after="57"/>
        <w:ind w:left="339" w:right="0" w:hanging="339"/>
        <w:rPr/>
      </w:pPr>
      <w:r>
        <w:rPr>
          <w:rStyle w:val="Caractresdenotedefin"/>
        </w:rPr>
        <w:endnoteRef/>
      </w:r>
      <w:r>
        <w:rPr/>
        <w:tab/>
      </w:r>
      <w:r>
        <w:rPr/>
        <w:t>Predstavnik DK za nacionalna događanja.</w:t>
      </w:r>
    </w:p>
  </w:endnote>
  <w:endnote w:id="106">
    <w:p>
      <w:pPr>
        <w:pStyle w:val="Notedefin"/>
        <w:suppressLineNumbers/>
        <w:spacing w:before="57" w:after="57"/>
        <w:ind w:left="339" w:right="0" w:hanging="339"/>
        <w:rPr/>
      </w:pPr>
      <w:r>
        <w:rPr>
          <w:rStyle w:val="Caractresdenotedefin"/>
        </w:rPr>
        <w:endnoteRef/>
      </w:r>
      <w:r>
        <w:rPr/>
        <w:tab/>
      </w:r>
      <w:r>
        <w:rPr/>
        <w:t>Izmjena br. 54C radne skupine.</w:t>
      </w:r>
    </w:p>
  </w:endnote>
  <w:endnote w:id="107">
    <w:p>
      <w:pPr>
        <w:pStyle w:val="Notedefin"/>
        <w:suppressLineNumbers/>
        <w:spacing w:before="57" w:after="57"/>
        <w:ind w:left="339" w:right="0" w:hanging="339"/>
        <w:rPr/>
      </w:pPr>
      <w:r>
        <w:rPr>
          <w:rStyle w:val="Caractresdenotedefin"/>
        </w:rPr>
        <w:endnoteRef/>
      </w:r>
      <w:r>
        <w:rPr/>
        <w:tab/>
      </w:r>
      <w:r>
        <w:rPr/>
        <w:t>Predstavnik DK za nacionalna događanja.</w:t>
      </w:r>
    </w:p>
  </w:endnote>
  <w:endnote w:id="108">
    <w:p>
      <w:pPr>
        <w:pStyle w:val="Notedefin"/>
        <w:suppressLineNumbers/>
        <w:spacing w:before="57" w:after="57"/>
        <w:ind w:left="339" w:right="0" w:hanging="339"/>
        <w:rPr/>
      </w:pPr>
      <w:r>
        <w:rPr>
          <w:rStyle w:val="Caractresdenotedefin"/>
        </w:rPr>
        <w:endnoteRef/>
      </w:r>
      <w:r>
        <w:rPr/>
        <w:tab/>
      </w:r>
      <w:r>
        <w:rPr/>
        <w:t>Predstavnik DK za nacionalna događanja.</w:t>
      </w:r>
    </w:p>
  </w:endnote>
  <w:endnote w:id="109">
    <w:p>
      <w:pPr>
        <w:pStyle w:val="Notedefin"/>
        <w:suppressLineNumbers/>
        <w:spacing w:before="57" w:after="57"/>
        <w:ind w:left="339" w:right="0" w:hanging="339"/>
        <w:rPr/>
      </w:pPr>
      <w:r>
        <w:rPr>
          <w:rStyle w:val="Caractresdenotedefin"/>
        </w:rPr>
        <w:endnoteRef/>
      </w:r>
      <w:r>
        <w:rPr/>
        <w:tab/>
      </w:r>
      <w:r>
        <w:rPr/>
        <w:t>Izmjena br. 15A radne skupine, kompromisni tekst.</w:t>
      </w:r>
    </w:p>
  </w:endnote>
  <w:endnote w:id="110">
    <w:p>
      <w:pPr>
        <w:pStyle w:val="Notedefin"/>
        <w:suppressLineNumbers/>
        <w:spacing w:before="57" w:after="57"/>
        <w:ind w:left="339" w:right="0" w:hanging="339"/>
        <w:rPr/>
      </w:pPr>
      <w:r>
        <w:rPr>
          <w:rStyle w:val="Caractresdenotedefin"/>
        </w:rPr>
        <w:endnoteRef/>
      </w:r>
      <w:r>
        <w:rPr/>
        <w:tab/>
      </w:r>
      <w:r>
        <w:rPr/>
        <w:t>Preporuke PCE 2 24., 36. i 38.; nacionalni panel BE.</w:t>
      </w:r>
    </w:p>
  </w:endnote>
  <w:endnote w:id="111">
    <w:p>
      <w:pPr>
        <w:pStyle w:val="Notedefin"/>
        <w:suppressLineNumbers/>
        <w:spacing w:before="57" w:after="57"/>
        <w:ind w:left="339" w:right="0" w:hanging="339"/>
        <w:rPr/>
      </w:pPr>
      <w:r>
        <w:rPr>
          <w:rStyle w:val="Caractresdenotedefin"/>
        </w:rPr>
        <w:endnoteRef/>
      </w:r>
      <w:r>
        <w:rPr/>
        <w:tab/>
      </w:r>
      <w:r>
        <w:rPr/>
        <w:t>Izmjena br. 16C radne skupine.</w:t>
      </w:r>
    </w:p>
  </w:endnote>
  <w:endnote w:id="112">
    <w:p>
      <w:pPr>
        <w:pStyle w:val="Notedefin"/>
        <w:suppressLineNumbers/>
        <w:spacing w:before="57" w:after="57"/>
        <w:ind w:left="339" w:right="0" w:hanging="339"/>
        <w:rPr/>
      </w:pPr>
      <w:r>
        <w:rPr>
          <w:rStyle w:val="Caractresdenotedefin"/>
        </w:rPr>
        <w:endnoteRef/>
      </w:r>
      <w:r>
        <w:rPr/>
        <w:tab/>
      </w:r>
      <w:r>
        <w:rPr/>
        <w:t>Preporuka br. 33 ECP-a 2; nacionalni paneli BE, FR i NL.</w:t>
      </w:r>
    </w:p>
  </w:endnote>
  <w:endnote w:id="113">
    <w:p>
      <w:pPr>
        <w:pStyle w:val="Notedefin"/>
        <w:suppressLineNumbers/>
        <w:spacing w:before="57" w:after="57"/>
        <w:ind w:left="339" w:right="0" w:hanging="339"/>
        <w:rPr/>
      </w:pPr>
      <w:r>
        <w:rPr>
          <w:rStyle w:val="Caractresdenotedefin"/>
        </w:rPr>
        <w:endnoteRef/>
      </w:r>
      <w:r>
        <w:rPr/>
        <w:tab/>
      </w:r>
      <w:r>
        <w:rPr/>
        <w:t>Preporuka ECP-a br. 26 2.</w:t>
      </w:r>
    </w:p>
  </w:endnote>
  <w:endnote w:id="114">
    <w:p>
      <w:pPr>
        <w:pStyle w:val="Notedefin"/>
        <w:suppressLineNumbers/>
        <w:spacing w:before="57" w:after="57"/>
        <w:ind w:left="339" w:right="0" w:hanging="339"/>
        <w:rPr/>
      </w:pPr>
      <w:r>
        <w:rPr>
          <w:rStyle w:val="Caractresdenotedefin"/>
        </w:rPr>
        <w:endnoteRef/>
      </w:r>
      <w:r>
        <w:rPr/>
        <w:tab/>
      </w:r>
      <w:r>
        <w:rPr/>
        <w:t>Izmjena br. 17 Radne skupine.</w:t>
      </w:r>
    </w:p>
  </w:endnote>
  <w:endnote w:id="115">
    <w:p>
      <w:pPr>
        <w:pStyle w:val="Notedefin"/>
        <w:suppressLineNumbers/>
        <w:spacing w:before="57" w:after="57"/>
        <w:ind w:left="339" w:right="0" w:hanging="339"/>
        <w:rPr/>
      </w:pPr>
      <w:r>
        <w:rPr>
          <w:rStyle w:val="Caractresdenotedefin"/>
        </w:rPr>
        <w:endnoteRef/>
      </w:r>
      <w:r>
        <w:rPr/>
        <w:tab/>
      </w:r>
      <w:r>
        <w:rPr/>
        <w:t>Nacionalni panel BE.</w:t>
      </w:r>
    </w:p>
  </w:endnote>
  <w:endnote w:id="116">
    <w:p>
      <w:pPr>
        <w:pStyle w:val="Notedefin"/>
        <w:suppressLineNumbers/>
        <w:spacing w:before="57" w:after="57"/>
        <w:ind w:left="339" w:right="0" w:hanging="339"/>
        <w:rPr/>
      </w:pPr>
      <w:r>
        <w:rPr>
          <w:rStyle w:val="Caractresdenotedefin"/>
        </w:rPr>
        <w:endnoteRef/>
      </w:r>
      <w:r>
        <w:rPr/>
        <w:tab/>
      </w:r>
      <w:r>
        <w:rPr/>
        <w:t>Izmjena radne skupine br. 18A.</w:t>
      </w:r>
    </w:p>
  </w:endnote>
  <w:endnote w:id="117">
    <w:p>
      <w:pPr>
        <w:pStyle w:val="Notedefin"/>
        <w:suppressLineNumbers/>
        <w:spacing w:before="57" w:after="57"/>
        <w:ind w:left="339" w:right="0" w:hanging="339"/>
        <w:rPr/>
      </w:pPr>
      <w:r>
        <w:rPr>
          <w:rStyle w:val="Caractresdenotedefin"/>
        </w:rPr>
        <w:endnoteRef/>
      </w:r>
      <w:r>
        <w:rPr/>
        <w:tab/>
      </w:r>
      <w:r>
        <w:rPr/>
        <w:t>Preporuka ECP-a br. 252.</w:t>
      </w:r>
    </w:p>
  </w:endnote>
  <w:endnote w:id="118">
    <w:p>
      <w:pPr>
        <w:pStyle w:val="Notedefin"/>
        <w:suppressLineNumbers/>
        <w:spacing w:before="57" w:after="57"/>
        <w:ind w:left="339" w:right="0" w:hanging="339"/>
        <w:rPr/>
      </w:pPr>
      <w:r>
        <w:rPr>
          <w:rStyle w:val="Caractresdenotedefin"/>
        </w:rPr>
        <w:endnoteRef/>
      </w:r>
      <w:r>
        <w:rPr/>
        <w:tab/>
      </w:r>
      <w:r>
        <w:rPr/>
        <w:t>Izmjena br. 18B radne skupine.</w:t>
      </w:r>
    </w:p>
  </w:endnote>
  <w:endnote w:id="119">
    <w:p>
      <w:pPr>
        <w:pStyle w:val="Notedefin"/>
        <w:suppressLineNumbers/>
        <w:spacing w:before="57" w:after="57"/>
        <w:ind w:left="339" w:right="0" w:hanging="339"/>
        <w:rPr/>
      </w:pPr>
      <w:r>
        <w:rPr>
          <w:rStyle w:val="Caractresdenotedefin"/>
        </w:rPr>
        <w:endnoteRef/>
      </w:r>
      <w:r>
        <w:rPr/>
        <w:tab/>
      </w:r>
      <w:r>
        <w:rPr/>
        <w:t>Preporuka br. 31 ECP-a 2; nacionalni paneli BE i NL.</w:t>
      </w:r>
    </w:p>
  </w:endnote>
  <w:endnote w:id="120">
    <w:p>
      <w:pPr>
        <w:pStyle w:val="Notedefin"/>
        <w:suppressLineNumbers/>
        <w:spacing w:before="57" w:after="57"/>
        <w:ind w:left="339" w:right="0" w:hanging="339"/>
        <w:rPr/>
      </w:pPr>
      <w:r>
        <w:rPr>
          <w:rStyle w:val="Caractresdenotedefin"/>
        </w:rPr>
        <w:endnoteRef/>
      </w:r>
      <w:r>
        <w:rPr/>
        <w:tab/>
      </w:r>
      <w:r>
        <w:rPr/>
        <w:t>Amandmani br. 19A Radne skupine, koji su izmijenjeni kako bi se izradio prikladniji tekst.</w:t>
      </w:r>
    </w:p>
  </w:endnote>
  <w:endnote w:id="121">
    <w:p>
      <w:pPr>
        <w:pStyle w:val="Notedefin"/>
        <w:suppressLineNumbers/>
        <w:spacing w:before="57" w:after="57"/>
        <w:ind w:left="339" w:right="0" w:hanging="339"/>
        <w:rPr/>
      </w:pPr>
      <w:r>
        <w:rPr>
          <w:rStyle w:val="Caractresdenotedefin"/>
        </w:rPr>
        <w:endnoteRef/>
      </w:r>
      <w:r>
        <w:rPr/>
        <w:tab/>
      </w:r>
      <w:r>
        <w:rPr/>
        <w:t>Izmjena br. 21 Radne skupine, kompromis.</w:t>
      </w:r>
    </w:p>
  </w:endnote>
  <w:endnote w:id="122">
    <w:p>
      <w:pPr>
        <w:pStyle w:val="Notedefin"/>
        <w:suppressLineNumbers/>
        <w:spacing w:before="57" w:after="57"/>
        <w:ind w:left="339" w:right="0" w:hanging="339"/>
        <w:rPr/>
      </w:pPr>
      <w:r>
        <w:rPr>
          <w:rStyle w:val="Caractresdenotedefin"/>
        </w:rPr>
        <w:endnoteRef/>
      </w:r>
      <w:r>
        <w:rPr/>
        <w:tab/>
      </w:r>
      <w:r>
        <w:rPr/>
        <w:t>Nacionalni paneli BE i FR.</w:t>
      </w:r>
    </w:p>
  </w:endnote>
  <w:endnote w:id="123">
    <w:p>
      <w:pPr>
        <w:pStyle w:val="Notedefin"/>
        <w:suppressLineNumbers/>
        <w:spacing w:before="57" w:after="57"/>
        <w:ind w:left="339" w:right="0" w:hanging="339"/>
        <w:rPr/>
      </w:pPr>
      <w:r>
        <w:rPr>
          <w:rStyle w:val="Caractresdenotedefin"/>
        </w:rPr>
        <w:endnoteRef/>
      </w:r>
      <w:r>
        <w:rPr/>
        <w:tab/>
      </w:r>
      <w:r>
        <w:rPr/>
        <w:t>Izmjena br. 23B radne skupine.</w:t>
      </w:r>
    </w:p>
  </w:endnote>
  <w:endnote w:id="124">
    <w:p>
      <w:pPr>
        <w:pStyle w:val="Notedefin"/>
        <w:suppressLineNumbers/>
        <w:spacing w:before="57" w:after="57"/>
        <w:ind w:left="339" w:right="0" w:hanging="339"/>
        <w:rPr/>
      </w:pPr>
      <w:r>
        <w:rPr>
          <w:rStyle w:val="Caractresdenotedefin"/>
        </w:rPr>
        <w:endnoteRef/>
      </w:r>
      <w:r>
        <w:rPr/>
        <w:tab/>
      </w:r>
      <w:r>
        <w:rPr/>
        <w:t>27. preporuka 2. ECP-a; nacionalni panel BE.</w:t>
      </w:r>
    </w:p>
  </w:endnote>
  <w:endnote w:id="125">
    <w:p>
      <w:pPr>
        <w:pStyle w:val="Notedefin"/>
        <w:suppressLineNumbers/>
        <w:spacing w:before="57" w:after="57"/>
        <w:ind w:left="339" w:right="0" w:hanging="339"/>
        <w:rPr/>
      </w:pPr>
      <w:r>
        <w:rPr>
          <w:rStyle w:val="Caractresdenotedefin"/>
        </w:rPr>
        <w:endnoteRef/>
      </w:r>
      <w:r>
        <w:rPr/>
        <w:tab/>
      </w:r>
      <w:r>
        <w:rPr/>
        <w:t>Izmjena br. 25C radne skupine.</w:t>
      </w:r>
    </w:p>
  </w:endnote>
  <w:endnote w:id="126">
    <w:p>
      <w:pPr>
        <w:pStyle w:val="Notedefin"/>
        <w:suppressLineNumbers/>
        <w:spacing w:before="57" w:after="57"/>
        <w:ind w:left="339" w:right="0" w:hanging="339"/>
        <w:rPr/>
      </w:pPr>
      <w:r>
        <w:rPr>
          <w:rStyle w:val="Caractresdenotedefin"/>
        </w:rPr>
        <w:endnoteRef/>
      </w:r>
      <w:r>
        <w:rPr/>
        <w:tab/>
      </w:r>
      <w:r>
        <w:rPr/>
        <w:t>Preporuka br. 14 ECP-a.</w:t>
      </w:r>
    </w:p>
  </w:endnote>
  <w:endnote w:id="127">
    <w:p>
      <w:pPr>
        <w:pStyle w:val="Notedefin"/>
        <w:suppressLineNumbers/>
        <w:spacing w:before="57" w:after="57"/>
        <w:ind w:left="339" w:right="0" w:hanging="339"/>
        <w:rPr/>
      </w:pPr>
      <w:r>
        <w:rPr>
          <w:rStyle w:val="Caractresdenotedefin"/>
        </w:rPr>
        <w:endnoteRef/>
      </w:r>
      <w:r>
        <w:rPr/>
        <w:tab/>
      </w:r>
      <w:r>
        <w:rPr/>
        <w:t>Preporuka ECP-a br. 18. NAPOMENA: Predstavnici građana objasnili su da bi taj mehanizam trebalo osmisliti i upotrebljavati s oprezom.</w:t>
      </w:r>
    </w:p>
  </w:endnote>
  <w:endnote w:id="128">
    <w:p>
      <w:pPr>
        <w:pStyle w:val="Notedefin"/>
        <w:suppressLineNumbers/>
        <w:spacing w:before="57" w:after="57"/>
        <w:ind w:left="339" w:right="0" w:hanging="339"/>
        <w:rPr/>
      </w:pPr>
      <w:r>
        <w:rPr>
          <w:rStyle w:val="Caractresdenotedefin"/>
        </w:rPr>
        <w:endnoteRef/>
      </w:r>
      <w:r>
        <w:rPr/>
        <w:tab/>
      </w:r>
      <w:r>
        <w:rPr/>
        <w:t>Izmjene br. 28E, 28.G i 28.H Radne skupine.</w:t>
      </w:r>
    </w:p>
  </w:endnote>
  <w:endnote w:id="129">
    <w:p>
      <w:pPr>
        <w:pStyle w:val="Notedefin"/>
        <w:suppressLineNumbers/>
        <w:spacing w:before="57" w:after="57"/>
        <w:ind w:left="339" w:right="0" w:hanging="339"/>
        <w:rPr/>
      </w:pPr>
      <w:r>
        <w:rPr>
          <w:rStyle w:val="Caractresdenotedefin"/>
        </w:rPr>
        <w:endnoteRef/>
      </w:r>
      <w:r>
        <w:rPr/>
        <w:tab/>
      </w:r>
      <w:r>
        <w:rPr/>
        <w:t>16. preporuka 2. ECP-a; NL Nacionalni panel br. 20, podijeljen na transnacionalne popise.</w:t>
      </w:r>
    </w:p>
  </w:endnote>
  <w:endnote w:id="130">
    <w:p>
      <w:pPr>
        <w:pStyle w:val="Notedefin"/>
        <w:suppressLineNumbers/>
        <w:spacing w:before="57" w:after="57"/>
        <w:ind w:left="339" w:right="0" w:hanging="339"/>
        <w:rPr/>
      </w:pPr>
      <w:r>
        <w:rPr>
          <w:rStyle w:val="Caractresdenotedefin"/>
        </w:rPr>
        <w:endnoteRef/>
      </w:r>
      <w:r>
        <w:rPr/>
        <w:tab/>
      </w:r>
      <w:r>
        <w:rPr/>
        <w:t>Na temelju Preporuke br. 16 ECP-a 2; rasprava u GT.</w:t>
      </w:r>
    </w:p>
  </w:endnote>
  <w:endnote w:id="131">
    <w:p>
      <w:pPr>
        <w:pStyle w:val="Notedefin"/>
        <w:suppressLineNumbers/>
        <w:spacing w:before="57" w:after="57"/>
        <w:ind w:left="339" w:right="0" w:hanging="339"/>
        <w:rPr/>
      </w:pPr>
      <w:r>
        <w:rPr>
          <w:rStyle w:val="Caractresdenotedefin"/>
        </w:rPr>
        <w:endnoteRef/>
      </w:r>
      <w:r>
        <w:rPr/>
        <w:tab/>
      </w:r>
      <w:r>
        <w:rPr/>
        <w:t>Preporuka br. 19 ECP-a i višejezična digitalna platforma (MNP).</w:t>
      </w:r>
    </w:p>
  </w:endnote>
  <w:endnote w:id="132">
    <w:p>
      <w:pPr>
        <w:pStyle w:val="Notedefin"/>
        <w:suppressLineNumbers/>
        <w:spacing w:before="57" w:after="57"/>
        <w:ind w:left="339" w:right="0" w:hanging="339"/>
        <w:rPr/>
      </w:pPr>
      <w:r>
        <w:rPr>
          <w:rStyle w:val="Caractresdenotedefin"/>
        </w:rPr>
        <w:endnoteRef/>
      </w:r>
      <w:r>
        <w:rPr/>
        <w:tab/>
      </w:r>
      <w:r>
        <w:rPr/>
        <w:t>ŠTO? -OD EGSO-A.</w:t>
      </w:r>
    </w:p>
  </w:endnote>
  <w:endnote w:id="133">
    <w:p>
      <w:pPr>
        <w:pStyle w:val="Notedefin"/>
        <w:suppressLineNumbers/>
        <w:spacing w:before="57" w:after="57"/>
        <w:ind w:left="339" w:right="0" w:hanging="339"/>
        <w:rPr/>
      </w:pPr>
      <w:r>
        <w:rPr>
          <w:rStyle w:val="Caractresdenotedefin"/>
        </w:rPr>
        <w:endnoteRef/>
      </w:r>
      <w:r>
        <w:rPr/>
        <w:tab/>
      </w:r>
      <w:r>
        <w:rPr/>
        <w:t>Izmjena br. 32B radne skupine.</w:t>
      </w:r>
    </w:p>
  </w:endnote>
  <w:endnote w:id="134">
    <w:p>
      <w:pPr>
        <w:pStyle w:val="Notedefin"/>
        <w:suppressLineNumbers/>
        <w:spacing w:before="57" w:after="57"/>
        <w:ind w:left="339" w:right="0" w:hanging="339"/>
        <w:rPr/>
      </w:pPr>
      <w:r>
        <w:rPr>
          <w:rStyle w:val="Caractresdenotedefin"/>
        </w:rPr>
        <w:endnoteRef/>
      </w:r>
      <w:r>
        <w:rPr/>
        <w:tab/>
      </w:r>
      <w:r>
        <w:rPr/>
        <w:t>Preporuka br. 36 ECP-a 2; nacionalni paneli BE i FR.</w:t>
      </w:r>
    </w:p>
  </w:endnote>
  <w:endnote w:id="135">
    <w:p>
      <w:pPr>
        <w:pStyle w:val="Notedefin"/>
        <w:suppressLineNumbers/>
        <w:spacing w:before="57" w:after="57"/>
        <w:ind w:left="339" w:right="0" w:hanging="339"/>
        <w:rPr/>
      </w:pPr>
      <w:r>
        <w:rPr>
          <w:rStyle w:val="Caractresdenotedefin"/>
        </w:rPr>
        <w:endnoteRef/>
      </w:r>
      <w:r>
        <w:rPr/>
        <w:tab/>
      </w:r>
      <w:r>
        <w:rPr/>
        <w:t>Nacionalni odbor FR („izbor predsjednika Europske komisije općim izborima”); PNM (završno izvješće Kantara: skupina doprinosa odnosi se na izravan izbor predsjednika Komisije od strane građana).</w:t>
      </w:r>
    </w:p>
  </w:endnote>
  <w:endnote w:id="136">
    <w:p>
      <w:pPr>
        <w:pStyle w:val="Notedefin"/>
        <w:suppressLineNumbers/>
        <w:spacing w:before="57" w:after="57"/>
        <w:ind w:left="339" w:right="0" w:hanging="339"/>
        <w:rPr/>
      </w:pPr>
      <w:r>
        <w:rPr>
          <w:rStyle w:val="Caractresdenotedefin"/>
        </w:rPr>
        <w:endnoteRef/>
      </w:r>
      <w:r>
        <w:rPr/>
        <w:tab/>
      </w:r>
      <w:r>
        <w:rPr/>
        <w:t>Izmjena br. 34C radne skupine.</w:t>
      </w:r>
    </w:p>
  </w:endnote>
  <w:endnote w:id="137">
    <w:p>
      <w:pPr>
        <w:pStyle w:val="Notedefin"/>
        <w:suppressLineNumbers/>
        <w:spacing w:before="57" w:after="57"/>
        <w:ind w:left="339" w:right="0" w:hanging="339"/>
        <w:rPr/>
      </w:pPr>
      <w:r>
        <w:rPr>
          <w:rStyle w:val="Caractresdenotedefin"/>
        </w:rPr>
        <w:endnoteRef/>
      </w:r>
      <w:r>
        <w:rPr/>
        <w:tab/>
      </w:r>
      <w:r>
        <w:rPr/>
        <w:t>Nacionalni odbor BE (3.2.), nacionalni odbor FR (11) PNM (završno izvješće Kantar: „Što se tiče Europskog parlamenta, sudionici i sudionice najčešće zahtijevaju da mu se dodijeli stvarna ovlast zakonodavne inicijative”).</w:t>
      </w:r>
    </w:p>
  </w:endnote>
  <w:endnote w:id="138">
    <w:p>
      <w:pPr>
        <w:pStyle w:val="Notedefin"/>
        <w:suppressLineNumbers/>
        <w:spacing w:before="57" w:after="57"/>
        <w:ind w:left="339" w:right="0" w:hanging="339"/>
        <w:rPr/>
      </w:pPr>
      <w:r>
        <w:rPr>
          <w:rStyle w:val="Caractresdenotedefin"/>
        </w:rPr>
        <w:endnoteRef/>
      </w:r>
      <w:r>
        <w:rPr/>
        <w:tab/>
      </w:r>
      <w:r>
        <w:rPr/>
        <w:t>PNM (završno izvješće Kantara: „Što se tiče Europskog parlamenta, (...) postoje i zahtjevi da mu se dodijele proračunske ovlasti”).</w:t>
      </w:r>
    </w:p>
  </w:endnote>
  <w:endnote w:id="139">
    <w:p>
      <w:pPr>
        <w:pStyle w:val="Notedefin"/>
        <w:suppressLineNumbers/>
        <w:spacing w:before="57" w:after="57"/>
        <w:ind w:left="339" w:right="0" w:hanging="339"/>
        <w:rPr/>
      </w:pPr>
      <w:r>
        <w:rPr>
          <w:rStyle w:val="Caractresdenotedefin"/>
        </w:rPr>
        <w:endnoteRef/>
      </w:r>
      <w:r>
        <w:rPr/>
        <w:tab/>
      </w:r>
      <w:r>
        <w:rPr/>
        <w:t>PNM (završno izvješće Kantara: U skladu s drugim doprinosom stranke bi trebale postati dostupnije osobama različitog kulturnog ili socioekonomskog podrijetla.</w:t>
      </w:r>
    </w:p>
  </w:endnote>
  <w:endnote w:id="140">
    <w:p>
      <w:pPr>
        <w:pStyle w:val="Notedefin"/>
        <w:suppressLineNumbers/>
        <w:spacing w:before="57" w:after="57"/>
        <w:ind w:left="339" w:right="0" w:hanging="339"/>
        <w:rPr/>
      </w:pPr>
      <w:r>
        <w:rPr>
          <w:rStyle w:val="Caractresdenotedefin"/>
        </w:rPr>
        <w:endnoteRef/>
      </w:r>
      <w:r>
        <w:rPr/>
        <w:tab/>
      </w:r>
      <w:r>
        <w:rPr/>
        <w:t>OR u radnoj skupini.</w:t>
      </w:r>
    </w:p>
  </w:endnote>
  <w:endnote w:id="141">
    <w:p>
      <w:pPr>
        <w:pStyle w:val="Notedefin"/>
        <w:suppressLineNumbers/>
        <w:spacing w:before="57" w:after="57"/>
        <w:ind w:left="339" w:right="0" w:hanging="339"/>
        <w:rPr/>
      </w:pPr>
      <w:r>
        <w:rPr>
          <w:rStyle w:val="Caractresdenotedefin"/>
        </w:rPr>
        <w:endnoteRef/>
      </w:r>
      <w:r>
        <w:rPr/>
        <w:tab/>
      </w:r>
      <w:r>
        <w:rPr/>
        <w:t>Amandman 38. radne skupine, kompromisni tekst.</w:t>
      </w:r>
    </w:p>
  </w:endnote>
  <w:endnote w:id="142">
    <w:p>
      <w:pPr>
        <w:pStyle w:val="Notedefin"/>
        <w:suppressLineNumbers/>
        <w:spacing w:before="57" w:after="57"/>
        <w:ind w:left="339" w:right="0" w:hanging="339"/>
        <w:rPr/>
      </w:pPr>
      <w:r>
        <w:rPr>
          <w:rStyle w:val="Caractresdenotedefin"/>
        </w:rPr>
        <w:endnoteRef/>
      </w:r>
      <w:r>
        <w:rPr/>
        <w:tab/>
      </w:r>
      <w:r>
        <w:rPr/>
        <w:t>Preporuka ECP-a br. 20 2.</w:t>
      </w:r>
    </w:p>
  </w:endnote>
  <w:endnote w:id="143">
    <w:p>
      <w:pPr>
        <w:pStyle w:val="Notedefin"/>
        <w:suppressLineNumbers/>
        <w:spacing w:before="57" w:after="57"/>
        <w:ind w:left="339" w:right="0" w:hanging="339"/>
        <w:rPr/>
      </w:pPr>
      <w:r>
        <w:rPr>
          <w:rStyle w:val="Caractresdenotedefin"/>
        </w:rPr>
        <w:endnoteRef/>
      </w:r>
      <w:r>
        <w:rPr/>
        <w:tab/>
      </w:r>
      <w:r>
        <w:rPr/>
        <w:t>Preporuka ECP-a br. 21 4.</w:t>
      </w:r>
    </w:p>
  </w:endnote>
  <w:endnote w:id="144">
    <w:p>
      <w:pPr>
        <w:pStyle w:val="Notedefin"/>
        <w:suppressLineNumbers/>
        <w:spacing w:before="57" w:after="57"/>
        <w:ind w:left="339" w:right="0" w:hanging="339"/>
        <w:rPr/>
      </w:pPr>
      <w:r>
        <w:rPr>
          <w:rStyle w:val="Caractresdenotedefin"/>
        </w:rPr>
        <w:endnoteRef/>
      </w:r>
      <w:r>
        <w:rPr/>
        <w:tab/>
      </w:r>
      <w:r>
        <w:rPr/>
        <w:t>Izmjena br. 43 radne skupine.</w:t>
      </w:r>
    </w:p>
  </w:endnote>
  <w:endnote w:id="145">
    <w:p>
      <w:pPr>
        <w:pStyle w:val="Notedefin"/>
        <w:suppressLineNumbers/>
        <w:spacing w:before="57" w:after="57"/>
        <w:ind w:left="339" w:right="0" w:hanging="339"/>
        <w:rPr/>
      </w:pPr>
      <w:r>
        <w:rPr>
          <w:rStyle w:val="Caractresdenotedefin"/>
        </w:rPr>
        <w:endnoteRef/>
      </w:r>
      <w:r>
        <w:rPr/>
        <w:tab/>
      </w:r>
      <w:r>
        <w:rPr/>
        <w:t>Preporuka br. 34 ECP-a 2; nacionalni odbor NL.</w:t>
      </w:r>
    </w:p>
  </w:endnote>
  <w:endnote w:id="146">
    <w:p>
      <w:pPr>
        <w:pStyle w:val="Notedefin"/>
        <w:suppressLineNumbers/>
        <w:spacing w:before="57" w:after="57"/>
        <w:ind w:left="339" w:right="0" w:hanging="339"/>
        <w:rPr/>
      </w:pPr>
      <w:r>
        <w:rPr>
          <w:rStyle w:val="Caractresdenotedefin"/>
        </w:rPr>
        <w:endnoteRef/>
      </w:r>
      <w:r>
        <w:rPr/>
        <w:tab/>
      </w:r>
      <w:r>
        <w:rPr/>
        <w:t>Rasprava radne skupine na temelju preporuke br. 34 ECP-a; nacionalno povjerenstvo NL; PNM (završno izvješće Kantara: „Podupira se i povećanje transparentnosti i veće sudjelovanje građana u postupku donošenja odluka u EU-u”.</w:t>
      </w:r>
    </w:p>
  </w:endnote>
  <w:endnote w:id="147">
    <w:p>
      <w:pPr>
        <w:pStyle w:val="Notedefin"/>
        <w:suppressLineNumbers/>
        <w:spacing w:before="57" w:after="57"/>
        <w:ind w:left="339" w:right="0" w:hanging="339"/>
        <w:rPr/>
      </w:pPr>
      <w:r>
        <w:rPr>
          <w:rStyle w:val="Caractresdenotedefin"/>
        </w:rPr>
        <w:endnoteRef/>
      </w:r>
      <w:r>
        <w:rPr/>
        <w:tab/>
      </w:r>
      <w:r>
        <w:rPr/>
        <w:t>Izmjena br. 44A radne skupine.</w:t>
      </w:r>
    </w:p>
  </w:endnote>
  <w:endnote w:id="148">
    <w:p>
      <w:pPr>
        <w:pStyle w:val="Notedefin"/>
        <w:suppressLineNumbers/>
        <w:spacing w:before="57" w:after="57"/>
        <w:ind w:left="339" w:right="0" w:hanging="339"/>
        <w:rPr/>
      </w:pPr>
      <w:r>
        <w:rPr>
          <w:rStyle w:val="Caractresdenotedefin"/>
        </w:rPr>
        <w:endnoteRef/>
      </w:r>
      <w:r>
        <w:rPr/>
        <w:tab/>
      </w:r>
      <w:r>
        <w:rPr/>
        <w:t>Rasprava radne skupine (predstavljanje nacionalnih parlamenata i OR-a).</w:t>
      </w:r>
    </w:p>
  </w:endnote>
  <w:endnote w:id="149">
    <w:p>
      <w:pPr>
        <w:pStyle w:val="Notedefin"/>
        <w:suppressLineNumbers/>
        <w:spacing w:before="57" w:after="57"/>
        <w:ind w:left="339" w:right="0" w:hanging="339"/>
        <w:rPr/>
      </w:pPr>
      <w:r>
        <w:rPr>
          <w:rStyle w:val="Caractresdenotedefin"/>
        </w:rPr>
        <w:endnoteRef/>
      </w:r>
      <w:r>
        <w:rPr/>
        <w:tab/>
      </w:r>
      <w:r>
        <w:rPr/>
        <w:t>Izmjena br. 45C radne skupine.</w:t>
      </w:r>
    </w:p>
  </w:endnote>
  <w:endnote w:id="150">
    <w:p>
      <w:pPr>
        <w:pStyle w:val="Notedefin"/>
        <w:suppressLineNumbers/>
        <w:spacing w:before="57" w:after="57"/>
        <w:ind w:left="339" w:right="0" w:hanging="339"/>
        <w:rPr/>
      </w:pPr>
      <w:r>
        <w:rPr>
          <w:rStyle w:val="Caractresdenotedefin"/>
        </w:rPr>
        <w:endnoteRef/>
      </w:r>
      <w:r>
        <w:rPr/>
        <w:tab/>
      </w:r>
      <w:r>
        <w:rPr/>
        <w:t>Izmjena br. 46B radne skupine.</w:t>
      </w:r>
    </w:p>
  </w:endnote>
  <w:endnote w:id="151">
    <w:p>
      <w:pPr>
        <w:pStyle w:val="Notedefin"/>
        <w:suppressLineNumbers/>
        <w:spacing w:before="57" w:after="57"/>
        <w:ind w:left="339" w:right="0" w:hanging="339"/>
        <w:rPr/>
      </w:pPr>
      <w:r>
        <w:rPr>
          <w:rStyle w:val="Caractresdenotedefin"/>
        </w:rPr>
        <w:endnoteRef/>
      </w:r>
      <w:r>
        <w:rPr/>
        <w:tab/>
      </w:r>
      <w:r>
        <w:rPr/>
        <w:t>Preporuka ECP-a br. 15 2.</w:t>
      </w:r>
    </w:p>
  </w:endnote>
  <w:endnote w:id="152">
    <w:p>
      <w:pPr>
        <w:pStyle w:val="Notedefin"/>
        <w:suppressLineNumbers/>
        <w:spacing w:before="57" w:after="57"/>
        <w:ind w:left="339" w:right="0" w:hanging="339"/>
        <w:rPr/>
      </w:pPr>
      <w:r>
        <w:rPr>
          <w:rStyle w:val="Caractresdenotedefin"/>
        </w:rPr>
        <w:endnoteRef/>
      </w:r>
      <w:r>
        <w:rPr/>
        <w:tab/>
      </w:r>
      <w:r>
        <w:rPr/>
        <w:t>Rasprava radne skupine na temelju potrebe izražene u preporuci 15. ECP-a br. 2 da se „pojasne funkcije europskih institucija”; PNM (završno izvješće Kantara: „Postoje i prijedlozi za produbljivanje dvodomne zakonodavne ovlasti u EU-u.”)</w:t>
      </w:r>
    </w:p>
  </w:endnote>
  <w:endnote w:id="153">
    <w:p>
      <w:pPr>
        <w:pStyle w:val="Notedefin"/>
        <w:suppressLineNumbers/>
        <w:spacing w:before="57" w:after="57"/>
        <w:ind w:left="339" w:right="0" w:hanging="339"/>
        <w:rPr/>
      </w:pPr>
      <w:r>
        <w:rPr>
          <w:rStyle w:val="Caractresdenotedefin"/>
        </w:rPr>
        <w:endnoteRef/>
      </w:r>
      <w:r>
        <w:rPr/>
        <w:tab/>
      </w:r>
      <w:r>
        <w:rPr/>
        <w:t>Izmjena br. 48B radne skupine.</w:t>
      </w:r>
    </w:p>
  </w:endnote>
  <w:endnote w:id="154">
    <w:p>
      <w:pPr>
        <w:pStyle w:val="Notedefin"/>
        <w:suppressLineNumbers/>
        <w:spacing w:before="57" w:after="57"/>
        <w:ind w:left="339" w:right="0" w:hanging="339"/>
        <w:rPr/>
      </w:pPr>
      <w:r>
        <w:rPr>
          <w:rStyle w:val="Caractresdenotedefin"/>
        </w:rPr>
        <w:endnoteRef/>
      </w:r>
      <w:r>
        <w:rPr/>
        <w:tab/>
      </w:r>
      <w:r>
        <w:rPr/>
        <w:t>Preporuka ECP-a br. 15 2.</w:t>
      </w:r>
    </w:p>
  </w:endnote>
  <w:endnote w:id="155">
    <w:p>
      <w:pPr>
        <w:pStyle w:val="Notedefin"/>
        <w:suppressLineNumbers/>
        <w:spacing w:before="57" w:after="57"/>
        <w:ind w:left="339" w:right="0" w:hanging="339"/>
        <w:rPr/>
      </w:pPr>
      <w:r>
        <w:rPr>
          <w:rStyle w:val="Caractresdenotedefin"/>
        </w:rPr>
        <w:endnoteRef/>
      </w:r>
      <w:r>
        <w:rPr/>
        <w:tab/>
      </w:r>
      <w:r>
        <w:rPr/>
        <w:t>Rasprave u radnoj skupini.</w:t>
      </w:r>
    </w:p>
  </w:endnote>
  <w:endnote w:id="156">
    <w:p>
      <w:pPr>
        <w:pStyle w:val="Notedefin"/>
        <w:suppressLineNumbers/>
        <w:spacing w:before="57" w:after="57"/>
        <w:ind w:left="339" w:right="0" w:hanging="339"/>
        <w:rPr/>
      </w:pPr>
      <w:r>
        <w:rPr>
          <w:rStyle w:val="Caractresdenotedefin"/>
        </w:rPr>
        <w:endnoteRef/>
      </w:r>
      <w:r>
        <w:rPr/>
        <w:tab/>
      </w:r>
      <w:r>
        <w:rPr/>
        <w:t>Izmjena br. 52A radne skupine.</w:t>
      </w:r>
    </w:p>
  </w:endnote>
  <w:endnote w:id="157">
    <w:p>
      <w:pPr>
        <w:pStyle w:val="Notedefin"/>
        <w:suppressLineNumbers/>
        <w:spacing w:before="57" w:after="57"/>
        <w:ind w:left="339" w:right="0" w:hanging="339"/>
        <w:rPr/>
      </w:pPr>
      <w:r>
        <w:rPr>
          <w:rStyle w:val="Caractresdenotedefin"/>
        </w:rPr>
        <w:endnoteRef/>
      </w:r>
      <w:r>
        <w:rPr/>
        <w:tab/>
      </w:r>
      <w:r>
        <w:rPr/>
        <w:t>EGSO, kompromisna formulacija.</w:t>
      </w:r>
    </w:p>
  </w:endnote>
  <w:endnote w:id="158">
    <w:p>
      <w:pPr>
        <w:pStyle w:val="Notedefin"/>
        <w:suppressLineNumbers/>
        <w:spacing w:before="57" w:after="57"/>
        <w:ind w:left="339" w:right="0" w:hanging="339"/>
        <w:rPr/>
      </w:pPr>
      <w:r>
        <w:rPr>
          <w:rStyle w:val="Caractresdenotedefin"/>
        </w:rPr>
        <w:endnoteRef/>
      </w:r>
      <w:r>
        <w:rPr/>
        <w:tab/>
      </w:r>
      <w:r>
        <w:rPr/>
        <w:t>Preporuka 35 ECP-a, FR Nacionalni odbor i kombinirane izmjene radne skupine 51C i 51D.</w:t>
      </w:r>
    </w:p>
  </w:endnote>
  <w:endnote w:id="159">
    <w:p>
      <w:pPr>
        <w:pStyle w:val="Notedefin"/>
        <w:suppressLineNumbers/>
        <w:spacing w:before="57" w:after="57"/>
        <w:ind w:left="339" w:right="0" w:hanging="339"/>
        <w:rPr/>
      </w:pPr>
      <w:r>
        <w:rPr>
          <w:rStyle w:val="Caractresdenotedefin"/>
        </w:rPr>
        <w:endnoteRef/>
      </w:r>
      <w:r>
        <w:rPr/>
        <w:tab/>
      </w:r>
      <w:r>
        <w:rPr/>
        <w:t>Izmjena br. 53D radne skupine.</w:t>
      </w:r>
    </w:p>
  </w:endnote>
  <w:endnote w:id="160">
    <w:p>
      <w:pPr>
        <w:pStyle w:val="Notedefin"/>
        <w:suppressLineNumbers/>
        <w:spacing w:before="57" w:after="57"/>
        <w:ind w:left="339" w:right="0" w:hanging="339"/>
        <w:rPr/>
      </w:pPr>
      <w:r>
        <w:rPr>
          <w:rStyle w:val="Caractresdenotedefin"/>
        </w:rPr>
        <w:endnoteRef/>
      </w:r>
      <w:r>
        <w:rPr/>
        <w:tab/>
      </w:r>
      <w:r>
        <w:rPr/>
        <w:t>Rasprava u radnoj skupini; nacionalni parlamenti.</w:t>
      </w:r>
    </w:p>
  </w:endnote>
  <w:endnote w:id="161">
    <w:p>
      <w:pPr>
        <w:pStyle w:val="Notedefin"/>
        <w:spacing w:before="57" w:after="57"/>
        <w:rPr/>
      </w:pPr>
      <w:r>
        <w:rPr>
          <w:rStyle w:val="Caractresdenotedefin"/>
        </w:rPr>
        <w:endnoteRef/>
      </w:r>
      <w:r>
        <w:rPr/>
        <w:tab/>
      </w:r>
      <w:r>
        <w:rPr/>
        <w:t>Rasprava u radnoj skupini; OR i EGSO; Završno izvješće Kantara, str. 85.</w:t>
      </w:r>
    </w:p>
  </w:endnote>
  <w:endnote w:id="162">
    <w:p>
      <w:pPr>
        <w:pStyle w:val="Notedefin"/>
        <w:suppressLineNumbers/>
        <w:spacing w:before="57" w:after="57"/>
        <w:ind w:left="339" w:right="0" w:hanging="339"/>
        <w:rPr/>
      </w:pPr>
      <w:r>
        <w:rPr>
          <w:rStyle w:val="Caractresdenotedefin"/>
        </w:rPr>
        <w:endnoteRef/>
      </w:r>
      <w:r>
        <w:rPr/>
        <w:tab/>
      </w:r>
      <w:r>
        <w:rPr/>
        <w:t>Izmjena br. 58B radne skupine.</w:t>
      </w:r>
    </w:p>
  </w:endnote>
  <w:endnote w:id="163">
    <w:p>
      <w:pPr>
        <w:pStyle w:val="Notedefin"/>
        <w:suppressLineNumbers/>
        <w:spacing w:before="57" w:after="57"/>
        <w:ind w:left="339" w:right="0" w:hanging="339"/>
        <w:rPr/>
      </w:pPr>
      <w:r>
        <w:rPr>
          <w:rStyle w:val="Caractresdenotedefin"/>
        </w:rPr>
        <w:endnoteRef/>
      </w:r>
      <w:r>
        <w:rPr/>
        <w:tab/>
      </w:r>
      <w:r>
        <w:rPr/>
        <w:t>Izmjena br. 59B radne skupine.</w:t>
      </w:r>
    </w:p>
  </w:endnote>
  <w:endnote w:id="164">
    <w:p>
      <w:pPr>
        <w:pStyle w:val="Notedefin"/>
        <w:suppressLineNumbers/>
        <w:spacing w:before="57" w:after="57"/>
        <w:ind w:left="339" w:right="0" w:hanging="339"/>
        <w:rPr/>
      </w:pPr>
      <w:r>
        <w:rPr>
          <w:rStyle w:val="Caractresdenotedefin"/>
        </w:rPr>
        <w:endnoteRef/>
      </w:r>
      <w:r>
        <w:rPr/>
        <w:tab/>
      </w:r>
      <w:r>
        <w:rPr/>
        <w:t>Rasprava u radnoj skupini; socijalni partneri i drugi članovi.</w:t>
      </w:r>
    </w:p>
  </w:endnote>
  <w:endnote w:id="165">
    <w:p>
      <w:pPr>
        <w:pStyle w:val="Notedefin"/>
        <w:suppressLineNumbers/>
        <w:spacing w:before="57" w:after="57"/>
        <w:ind w:left="339" w:right="0" w:hanging="339"/>
        <w:rPr/>
      </w:pPr>
      <w:r>
        <w:rPr>
          <w:rStyle w:val="Caractresdenotedefin"/>
        </w:rPr>
        <w:endnoteRef/>
      </w:r>
      <w:r>
        <w:rPr/>
        <w:tab/>
      </w:r>
      <w:r>
        <w:rPr/>
        <w:t>Amandman 63.A radne skupine, kompromisni tekst.</w:t>
      </w:r>
    </w:p>
  </w:endnote>
  <w:endnote w:id="166">
    <w:p>
      <w:pPr>
        <w:pStyle w:val="Notedefin"/>
        <w:suppressLineNumbers/>
        <w:spacing w:before="57" w:after="57"/>
        <w:ind w:left="339" w:right="0" w:hanging="339"/>
        <w:rPr/>
      </w:pPr>
      <w:r>
        <w:rPr>
          <w:rStyle w:val="Caractresdenotedefin"/>
        </w:rPr>
        <w:endnoteRef/>
      </w:r>
      <w:r>
        <w:rPr/>
        <w:tab/>
      </w:r>
      <w:r>
        <w:rPr/>
        <w:t>Preporuke građana na kojima se prijedlog temelji: Europski panel građana br. 4 (ECP 4) br.</w:t>
      </w:r>
      <w:r>
        <w:rPr>
          <w:vertAlign w:val="superscript"/>
        </w:rPr>
        <w:t>6</w:t>
      </w:r>
      <w:r>
        <w:rPr/>
        <w:t>, 7, 9, 28 i 30, Litva br. 9.</w:t>
      </w:r>
    </w:p>
  </w:endnote>
  <w:endnote w:id="167">
    <w:p>
      <w:pPr>
        <w:pStyle w:val="Notedefin"/>
        <w:suppressLineNumbers/>
        <w:spacing w:before="57" w:after="57"/>
        <w:ind w:left="339" w:right="0" w:hanging="339"/>
        <w:rPr/>
      </w:pPr>
      <w:r>
        <w:rPr>
          <w:rStyle w:val="Caractresdenotedefin"/>
        </w:rPr>
        <w:endnoteRef/>
      </w:r>
      <w:r>
        <w:rPr/>
        <w:tab/>
      </w:r>
      <w:r>
        <w:rPr/>
        <w:t>Preporuke građana na kojima se prijedlog temelji: Europski panel građana br. 4 (ECP 4) br.</w:t>
      </w:r>
      <w:r>
        <w:rPr>
          <w:vertAlign w:val="superscript"/>
        </w:rPr>
        <w:t>8</w:t>
      </w:r>
      <w:r>
        <w:rPr/>
        <w:t xml:space="preserve"> i 27, Litva br. 10, Nizozemska br. 3.</w:t>
      </w:r>
    </w:p>
  </w:endnote>
  <w:endnote w:id="168">
    <w:p>
      <w:pPr>
        <w:pStyle w:val="Notedefin"/>
        <w:suppressLineNumbers/>
        <w:spacing w:before="57" w:after="57"/>
        <w:ind w:left="339" w:right="0" w:hanging="339"/>
        <w:rPr/>
      </w:pPr>
      <w:r>
        <w:rPr>
          <w:rStyle w:val="Caractresdenotedefin"/>
        </w:rPr>
        <w:endnoteRef/>
      </w:r>
      <w:r>
        <w:rPr/>
        <w:tab/>
        <w:t xml:space="preserve"> </w:t>
      </w:r>
      <w:r>
        <w:rPr/>
        <w:t>Preporuke građana na kojima se prijedlog temelji: Europski panel građana br. 4 (PCE 4)</w:t>
      </w:r>
      <w:r>
        <w:rPr>
          <w:vertAlign w:val="superscript"/>
        </w:rPr>
        <w:t>br.</w:t>
      </w:r>
      <w:r>
        <w:rPr/>
        <w:t xml:space="preserve"> 10, 35 i 38.</w:t>
      </w:r>
    </w:p>
  </w:endnote>
  <w:endnote w:id="169">
    <w:p>
      <w:pPr>
        <w:pStyle w:val="Notedefin"/>
        <w:suppressLineNumbers/>
        <w:spacing w:before="57" w:after="57"/>
        <w:ind w:left="339" w:right="0" w:hanging="339"/>
        <w:rPr/>
      </w:pPr>
      <w:r>
        <w:rPr>
          <w:rStyle w:val="Caractresdenotedefin"/>
        </w:rPr>
        <w:endnoteRef/>
      </w:r>
      <w:r>
        <w:rPr/>
        <w:tab/>
        <w:t xml:space="preserve"> </w:t>
      </w:r>
      <w:r>
        <w:rPr/>
        <w:t>Preporuke građana na kojima se prijedlog temelji: Europski panel građana br. 4 (ECP 4) br.</w:t>
      </w:r>
      <w:r>
        <w:rPr>
          <w:vertAlign w:val="superscript"/>
        </w:rPr>
        <w:t>29</w:t>
      </w:r>
      <w:r>
        <w:rPr/>
        <w:t>, 31, 33, 36, 37, 38, 39 i 40, Italija br.</w:t>
      </w:r>
      <w:r>
        <w:rPr>
          <w:vertAlign w:val="superscript"/>
        </w:rPr>
        <w:t>3.8</w:t>
      </w:r>
      <w:r>
        <w:rPr/>
        <w:t>, 4.4 (str. 15.) i 5.6. (str. 11.), Litva</w:t>
      </w:r>
      <w:r>
        <w:rPr>
          <w:vertAlign w:val="superscript"/>
        </w:rPr>
        <w:t>br.</w:t>
      </w:r>
      <w:r>
        <w:rPr/>
        <w:t xml:space="preserve"> 2 i 3, Nizozemska br. 1 i 2.</w:t>
      </w:r>
    </w:p>
  </w:endnote>
  <w:endnote w:id="170">
    <w:p>
      <w:pPr>
        <w:pStyle w:val="Notedefin"/>
        <w:spacing w:before="57" w:after="57"/>
        <w:rPr/>
      </w:pPr>
      <w:r>
        <w:rPr>
          <w:rStyle w:val="Caractresdenotedefin"/>
        </w:rPr>
        <w:endnoteRef/>
      </w:r>
      <w:r>
        <w:rPr/>
        <w:tab/>
        <w:t xml:space="preserve"> </w:t>
      </w:r>
      <w:r>
        <w:rPr/>
        <w:t>Preporuke građana na kojima se prijedlog temelji: Europski panel građana br. 4 (PCE 4)</w:t>
      </w:r>
      <w:r>
        <w:rPr>
          <w:vertAlign w:val="superscript"/>
        </w:rPr>
        <w:t>br.</w:t>
      </w:r>
      <w:r>
        <w:rPr/>
        <w:t xml:space="preserve"> 7 i 32, Francuska br. 13.</w:t>
      </w:r>
    </w:p>
  </w:endnote>
  <w:endnote w:id="171">
    <w:p>
      <w:pPr>
        <w:pStyle w:val="Notedefin"/>
        <w:suppressLineNumbers/>
        <w:spacing w:before="57" w:after="57"/>
        <w:ind w:left="339" w:right="0" w:hanging="339"/>
        <w:rPr/>
      </w:pPr>
      <w:r>
        <w:rPr>
          <w:rStyle w:val="Caractresdenotedefin"/>
        </w:rPr>
        <w:endnoteRef/>
      </w:r>
      <w:r>
        <w:rPr/>
        <w:tab/>
        <w:t xml:space="preserve"> </w:t>
      </w:r>
      <w:r>
        <w:rPr/>
        <w:t>Francuski PCN, promjena 6.</w:t>
      </w:r>
    </w:p>
  </w:endnote>
  <w:endnote w:id="172">
    <w:p>
      <w:pPr>
        <w:pStyle w:val="Notedefin"/>
        <w:suppressLineNumbers/>
        <w:spacing w:before="57" w:after="57"/>
        <w:ind w:left="339" w:right="0" w:hanging="339"/>
        <w:rPr/>
      </w:pPr>
      <w:r>
        <w:rPr>
          <w:rStyle w:val="Caractresdenotedefin"/>
        </w:rPr>
        <w:endnoteRef/>
      </w:r>
      <w:r>
        <w:rPr/>
        <w:tab/>
      </w:r>
      <w:r>
        <w:rPr/>
        <w:t>Preporuka ECP-a 37 1.</w:t>
      </w:r>
    </w:p>
  </w:endnote>
  <w:endnote w:id="173">
    <w:p>
      <w:pPr>
        <w:pStyle w:val="Notedefin"/>
        <w:suppressLineNumbers/>
        <w:spacing w:before="57" w:after="57"/>
        <w:ind w:left="339" w:right="0" w:hanging="339"/>
        <w:rPr/>
      </w:pPr>
      <w:r>
        <w:rPr>
          <w:rStyle w:val="Caractresdenotedefin"/>
        </w:rPr>
        <w:endnoteRef/>
      </w:r>
      <w:r>
        <w:rPr/>
        <w:tab/>
      </w:r>
      <w:r>
        <w:rPr/>
        <w:t>3. preporuka ECP-a. Francuski PCN, promjena 6.</w:t>
      </w:r>
    </w:p>
  </w:endnote>
  <w:endnote w:id="174">
    <w:p>
      <w:pPr>
        <w:pStyle w:val="Notedefin"/>
        <w:suppressLineNumbers/>
        <w:spacing w:before="57" w:after="57"/>
        <w:ind w:left="339" w:right="0" w:hanging="339"/>
        <w:rPr/>
      </w:pPr>
      <w:r>
        <w:rPr>
          <w:rStyle w:val="Caractresdenotedefin"/>
        </w:rPr>
        <w:endnoteRef/>
      </w:r>
      <w:r>
        <w:rPr/>
        <w:tab/>
        <w:t xml:space="preserve"> </w:t>
      </w:r>
      <w:r>
        <w:rPr/>
        <w:t>Preporuka 41 1. ECP-a.</w:t>
      </w:r>
    </w:p>
  </w:endnote>
  <w:endnote w:id="175">
    <w:p>
      <w:pPr>
        <w:pStyle w:val="Notedefin"/>
        <w:suppressLineNumbers/>
        <w:spacing w:before="57" w:after="57"/>
        <w:ind w:left="339" w:right="0" w:hanging="339"/>
        <w:rPr/>
      </w:pPr>
      <w:r>
        <w:rPr>
          <w:rStyle w:val="Caractresdenotedefin"/>
        </w:rPr>
        <w:endnoteRef/>
      </w:r>
      <w:r>
        <w:rPr/>
        <w:tab/>
        <w:t xml:space="preserve"> </w:t>
      </w:r>
      <w:r>
        <w:rPr/>
        <w:t>O tome detaljnije raspravlja Radna skupina za europsku demokraciju. Vidjeti Preporuku br. 24 ECP 2, Preporuke 1.1., 1.2. i 2.12 belgijskog NKT-a i Preporuku talijanskih nacionalnih kontaktnih točaka o „politikama uključivanja”.</w:t>
      </w:r>
    </w:p>
  </w:endnote>
  <w:endnote w:id="176">
    <w:p>
      <w:pPr>
        <w:pStyle w:val="Notedefin"/>
        <w:suppressLineNumbers/>
        <w:spacing w:before="57" w:after="57"/>
        <w:ind w:left="339" w:right="0" w:hanging="339"/>
        <w:rPr/>
      </w:pPr>
      <w:r>
        <w:rPr>
          <w:rStyle w:val="Caractresdenotedefin"/>
        </w:rPr>
        <w:endnoteRef/>
      </w:r>
      <w:r>
        <w:rPr/>
        <w:tab/>
      </w:r>
      <w:r>
        <w:rPr/>
        <w:t>Preporuka talijanske nacionalne kontaktne točke o „politikama uključivanja”.</w:t>
      </w:r>
    </w:p>
  </w:endnote>
  <w:endnote w:id="177">
    <w:p>
      <w:pPr>
        <w:pStyle w:val="Notedefin"/>
        <w:suppressLineNumbers/>
        <w:spacing w:before="57" w:after="57"/>
        <w:ind w:left="339" w:right="0" w:hanging="339"/>
        <w:rPr/>
      </w:pPr>
      <w:r>
        <w:rPr>
          <w:rStyle w:val="Caractresdenotedefin"/>
        </w:rPr>
        <w:endnoteRef/>
      </w:r>
      <w:r>
        <w:rPr/>
        <w:tab/>
      </w:r>
      <w:r>
        <w:rPr/>
        <w:t>O tome detaljnije raspravlja Radna skupina za digitalnu transformaciju. Vidjeti preporuke br. 8 i 34 ECP-a 1.</w:t>
      </w:r>
    </w:p>
  </w:endnote>
  <w:endnote w:id="178">
    <w:p>
      <w:pPr>
        <w:pStyle w:val="Notedefin"/>
        <w:suppressLineNumbers/>
        <w:spacing w:before="57" w:after="57"/>
        <w:ind w:left="339" w:right="0" w:hanging="339"/>
        <w:rPr/>
      </w:pPr>
      <w:r>
        <w:rPr>
          <w:rStyle w:val="Caractresdenotedefin"/>
        </w:rPr>
        <w:endnoteRef/>
      </w:r>
      <w:r>
        <w:rPr/>
        <w:tab/>
      </w:r>
      <w:r>
        <w:rPr/>
        <w:t>Preporuka talijanske nacionalne kontaktne točke „Poticanje mladih da studiraju znanstvene predmete”.</w:t>
      </w:r>
    </w:p>
  </w:endnote>
  <w:endnote w:id="179">
    <w:p>
      <w:pPr>
        <w:pStyle w:val="Notedefin"/>
        <w:suppressLineNumbers/>
        <w:spacing w:before="57" w:after="57"/>
        <w:ind w:left="339" w:right="0" w:hanging="339"/>
        <w:rPr/>
      </w:pPr>
      <w:r>
        <w:rPr>
          <w:rStyle w:val="Caractresdenotedefin"/>
        </w:rPr>
        <w:endnoteRef/>
      </w:r>
      <w:r>
        <w:rPr/>
        <w:tab/>
      </w:r>
      <w:r>
        <w:rPr/>
        <w:t>Preporuke PCE-a 33 i 48 1. Bavila se i radna skupina za digitalnu transformaciju. Vidjeti preporuku br. 47 ECP-a br. 1 o zdravom korištenju interneta.</w:t>
      </w:r>
    </w:p>
  </w:endnote>
  <w:endnote w:id="180">
    <w:p>
      <w:pPr>
        <w:pStyle w:val="Notedefin"/>
        <w:suppressLineNumbers/>
        <w:spacing w:before="57" w:after="57"/>
        <w:ind w:left="339" w:right="0" w:hanging="339"/>
        <w:rPr/>
      </w:pPr>
      <w:r>
        <w:rPr>
          <w:rStyle w:val="Caractresdenotedefin"/>
        </w:rPr>
        <w:endnoteRef/>
      </w:r>
      <w:r>
        <w:rPr/>
        <w:tab/>
      </w:r>
      <w:r>
        <w:rPr/>
        <w:t>Preporuka br. 5 ECP-a 1.</w:t>
      </w:r>
    </w:p>
  </w:endnote>
  <w:endnote w:id="181">
    <w:p>
      <w:pPr>
        <w:pStyle w:val="Notedefin"/>
        <w:suppressLineNumbers/>
        <w:spacing w:before="57" w:after="57"/>
        <w:ind w:left="339" w:right="0" w:hanging="339"/>
        <w:rPr/>
      </w:pPr>
      <w:r>
        <w:rPr>
          <w:rStyle w:val="Caractresdenotedefin"/>
        </w:rPr>
        <w:endnoteRef/>
      </w:r>
      <w:r>
        <w:rPr/>
        <w:tab/>
      </w:r>
      <w:r>
        <w:rPr/>
        <w:t>Preporuke br. 15 i 18 ECP-a 1.</w:t>
      </w:r>
    </w:p>
  </w:endnote>
  <w:endnote w:id="182">
    <w:p>
      <w:pPr>
        <w:pStyle w:val="Notedefin"/>
        <w:suppressLineNumbers/>
        <w:spacing w:before="57" w:after="57"/>
        <w:ind w:left="339" w:right="0" w:hanging="339"/>
        <w:rPr/>
      </w:pPr>
      <w:r>
        <w:rPr>
          <w:rStyle w:val="Caractresdenotedefin"/>
        </w:rPr>
        <w:endnoteRef/>
      </w:r>
      <w:r>
        <w:rPr/>
        <w:tab/>
        <w:t xml:space="preserve"> </w:t>
      </w:r>
      <w:r>
        <w:rPr/>
        <w:t>Preporuka talijanske nacionalne kontaktne točke „Europa u svijetu”</w:t>
      </w:r>
    </w:p>
  </w:endnote>
  <w:endnote w:id="183">
    <w:p>
      <w:pPr>
        <w:pStyle w:val="Notedefin"/>
        <w:suppressLineNumbers/>
        <w:spacing w:before="57" w:after="57"/>
        <w:ind w:left="339" w:right="0" w:hanging="339"/>
        <w:rPr/>
      </w:pPr>
      <w:r>
        <w:rPr>
          <w:rStyle w:val="Caractresdenotedefin"/>
        </w:rPr>
        <w:endnoteRef/>
      </w:r>
      <w:r>
        <w:rPr/>
        <w:tab/>
      </w:r>
      <w:r>
        <w:rPr/>
        <w:t>Preporuke br.</w:t>
      </w:r>
      <w:r>
        <w:rPr>
          <w:vertAlign w:val="superscript"/>
        </w:rPr>
        <w:t>18</w:t>
      </w:r>
      <w:r>
        <w:rPr/>
        <w:t xml:space="preserve"> i 41 ECP 1 i preporuka talijanskog NKT-a o „Ulaganju u osposobljavanje instruktora”.</w:t>
      </w:r>
    </w:p>
  </w:endnote>
  <w:endnote w:id="184">
    <w:p>
      <w:pPr>
        <w:pStyle w:val="Notedefin"/>
        <w:suppressLineNumbers/>
        <w:spacing w:before="57" w:after="57"/>
        <w:ind w:left="339" w:right="0" w:hanging="339"/>
        <w:rPr/>
      </w:pPr>
      <w:r>
        <w:rPr>
          <w:rStyle w:val="Caractresdenotedefin"/>
        </w:rPr>
        <w:endnoteRef/>
      </w:r>
      <w:r>
        <w:rPr/>
        <w:tab/>
      </w:r>
      <w:r>
        <w:rPr/>
        <w:t>PCE 1 Preporuka br. 17 upućena je u cijelosti radnoj skupini za digitalizaciju.</w:t>
      </w:r>
    </w:p>
  </w:endnote>
  <w:endnote w:id="185">
    <w:p>
      <w:pPr>
        <w:pStyle w:val="Notedefin"/>
        <w:suppressLineNumbers/>
        <w:spacing w:before="57" w:after="57"/>
        <w:ind w:left="339" w:right="0" w:hanging="339"/>
        <w:rPr/>
      </w:pPr>
      <w:r>
        <w:rPr>
          <w:rStyle w:val="Caractresdenotedefin"/>
        </w:rPr>
        <w:endnoteRef/>
      </w:r>
      <w:r>
        <w:rPr/>
        <w:tab/>
        <w:t xml:space="preserve"> </w:t>
      </w:r>
      <w:r>
        <w:rPr/>
        <w:t>Preporuka ECP-a br. 15 1. Preporuka njemačke nacionalne kontaktne točke o „informacijskoj platformi za razmjenu znanja i iskustava na razini EU-a”.</w:t>
      </w:r>
    </w:p>
  </w:endnote>
  <w:endnote w:id="186">
    <w:p>
      <w:pPr>
        <w:pStyle w:val="Notedefin"/>
        <w:suppressLineNumbers/>
        <w:spacing w:before="57" w:after="57"/>
        <w:ind w:left="339" w:right="0" w:hanging="339"/>
        <w:rPr/>
      </w:pPr>
      <w:r>
        <w:rPr>
          <w:rStyle w:val="Caractresdenotedefin"/>
        </w:rPr>
        <w:endnoteRef/>
      </w:r>
      <w:r>
        <w:rPr/>
        <w:tab/>
      </w:r>
      <w:r>
        <w:rPr/>
        <w:t>Preporuka 6.1. belgijskog NKT-a. Francuski PCN, promjena 7.</w:t>
      </w:r>
    </w:p>
  </w:endnote>
  <w:endnote w:id="187">
    <w:p>
      <w:pPr>
        <w:pStyle w:val="Notedefin"/>
        <w:suppressLineNumbers/>
        <w:spacing w:before="57" w:after="57"/>
        <w:ind w:left="339" w:right="0" w:hanging="339"/>
        <w:rPr/>
      </w:pPr>
      <w:r>
        <w:rPr>
          <w:rStyle w:val="Caractresdenotedefin"/>
        </w:rPr>
        <w:endnoteRef/>
      </w:r>
      <w:r>
        <w:rPr/>
        <w:tab/>
        <w:t xml:space="preserve"> </w:t>
      </w:r>
      <w:r>
        <w:rPr/>
        <w:t>Preporuka 7.2. belgijskog NKT-a.</w:t>
      </w:r>
    </w:p>
  </w:endnote>
  <w:endnote w:id="188">
    <w:p>
      <w:pPr>
        <w:pStyle w:val="Notedefin"/>
        <w:suppressLineNumbers/>
        <w:spacing w:before="57" w:after="57"/>
        <w:ind w:left="339" w:right="0" w:hanging="339"/>
        <w:rPr/>
      </w:pPr>
      <w:r>
        <w:rPr>
          <w:rStyle w:val="Caractresdenotedefin"/>
        </w:rPr>
        <w:endnoteRef/>
      </w:r>
      <w:r>
        <w:rPr/>
        <w:tab/>
      </w:r>
      <w:r>
        <w:rPr/>
        <w:t>4. preporuka ECP-a 1.</w:t>
      </w:r>
    </w:p>
  </w:endnote>
  <w:endnote w:id="189">
    <w:p>
      <w:pPr>
        <w:pStyle w:val="Notedefin"/>
        <w:suppressLineNumbers/>
        <w:spacing w:before="57" w:after="57"/>
        <w:ind w:left="339" w:right="0" w:hanging="339"/>
        <w:rPr/>
      </w:pPr>
      <w:r>
        <w:rPr>
          <w:rStyle w:val="Caractresdenotedefin"/>
        </w:rPr>
        <w:endnoteRef/>
      </w:r>
      <w:r>
        <w:rPr/>
        <w:tab/>
      </w:r>
      <w:r>
        <w:rPr/>
        <w:t>Prijedlog za dopunu preporuka</w:t>
      </w:r>
      <w:r>
        <w:rPr>
          <w:vertAlign w:val="superscript"/>
        </w:rPr>
        <w:t>br.</w:t>
      </w:r>
      <w:r>
        <w:rPr/>
        <w:t xml:space="preserve"> 1 ECP-a 1 i 30 koje obuhvaća Radna skupina za snažnije gospodarstvo, socijalnu pravdu i zapošljavanje.</w:t>
      </w:r>
    </w:p>
  </w:endnote>
  <w:endnote w:id="190">
    <w:p>
      <w:pPr>
        <w:pStyle w:val="Notedefin"/>
        <w:suppressLineNumbers/>
        <w:spacing w:before="57" w:after="57"/>
        <w:ind w:left="339" w:right="0" w:hanging="339"/>
        <w:rPr/>
      </w:pPr>
      <w:r>
        <w:rPr>
          <w:rStyle w:val="Caractresdenotedefin"/>
        </w:rPr>
        <w:endnoteRef/>
      </w:r>
      <w:r>
        <w:rPr/>
        <w:tab/>
        <w:t xml:space="preserve"> </w:t>
      </w:r>
      <w:r>
        <w:rPr/>
        <w:t>Prijedlog za dopunu preporuke 25. ECP-a 1. koji je obuhvaćena Radna skupina za snažnije gospodarstvo, socijalnu pravdu i zapošljavanje.</w:t>
      </w:r>
    </w:p>
  </w:endnote>
  <w:endnote w:id="191">
    <w:p>
      <w:pPr>
        <w:pStyle w:val="Notedefin"/>
        <w:suppressLineNumbers/>
        <w:spacing w:before="57" w:after="57"/>
        <w:ind w:left="339" w:right="0" w:hanging="339"/>
        <w:rPr/>
      </w:pPr>
      <w:r>
        <w:rPr>
          <w:rStyle w:val="Caractresdenotedefin"/>
        </w:rPr>
        <w:endnoteRef/>
      </w:r>
      <w:r>
        <w:rPr/>
        <w:tab/>
        <w:t xml:space="preserve"> </w:t>
      </w:r>
      <w:r>
        <w:rPr/>
        <w:t>Preporuka ECP-a br. 28 4. Nizozemska nacionalna kontaktna točka („Naša vizija za kulturu, mlade i sport”), 1. preporuka. Francuski PCN, promjena 6.</w:t>
      </w:r>
    </w:p>
  </w:endnote>
  <w:endnote w:id="192">
    <w:p>
      <w:pPr>
        <w:pStyle w:val="Notedefin"/>
        <w:suppressLineNumbers/>
        <w:spacing w:before="57" w:after="57"/>
        <w:ind w:left="339" w:right="0" w:hanging="339"/>
        <w:rPr/>
      </w:pPr>
      <w:r>
        <w:rPr>
          <w:rStyle w:val="Caractresdenotedefin"/>
        </w:rPr>
        <w:endnoteRef/>
      </w:r>
      <w:r>
        <w:rPr/>
        <w:tab/>
        <w:t xml:space="preserve"> </w:t>
      </w:r>
      <w:r>
        <w:rPr/>
        <w:t>Preporuka br. 6 ECP-a 1.</w:t>
      </w:r>
    </w:p>
  </w:endnote>
  <w:endnote w:id="193">
    <w:p>
      <w:pPr>
        <w:pStyle w:val="Notedefin"/>
        <w:suppressLineNumbers/>
        <w:spacing w:before="57" w:after="57"/>
        <w:ind w:left="339" w:right="0" w:hanging="339"/>
        <w:rPr/>
      </w:pPr>
      <w:r>
        <w:rPr>
          <w:rStyle w:val="Caractresdenotedefin"/>
        </w:rPr>
        <w:endnoteRef/>
      </w:r>
      <w:r>
        <w:rPr/>
        <w:tab/>
      </w:r>
      <w:r>
        <w:rPr/>
        <w:t>Nizozemska nacionalna kontaktna točka („Naša vizija za kulturu, mlade i sport”), Preporuka br. 2.</w:t>
      </w:r>
    </w:p>
  </w:endnote>
  <w:endnote w:id="194">
    <w:p>
      <w:pPr>
        <w:pStyle w:val="Notedefin"/>
        <w:suppressLineNumbers/>
        <w:spacing w:before="57" w:after="57"/>
        <w:ind w:left="339" w:right="0" w:hanging="339"/>
        <w:rPr/>
      </w:pPr>
      <w:r>
        <w:rPr>
          <w:rStyle w:val="Caractresdenotedefin"/>
        </w:rPr>
        <w:endnoteRef/>
      </w:r>
      <w:r>
        <w:rPr/>
        <w:tab/>
      </w:r>
      <w:r>
        <w:rPr/>
        <w:t>Preporuka ECP-a 36 1. Francuski PCN, promjena 6. Preporuke br. 2.10. i 2.11. belgijskog NKT-a. Njemačka nacionalna kontaktna točka, „Stvaranje više mogućnosti razmjene za studente u Europi”. Nizozemska nacionalna kontaktna točka („Naša vizija za kulturu, mlade i sport”), preporuke</w:t>
      </w:r>
      <w:r>
        <w:rPr>
          <w:vertAlign w:val="superscript"/>
        </w:rPr>
        <w:t>1.</w:t>
      </w:r>
      <w:r>
        <w:rPr/>
        <w:t xml:space="preserve"> i 3. Talijanska nacionalna kontaktna točka, preporuka da „Uspostavi ured za povezivanje Istoka ili Zapada, promicanje kulturnih razmjena i zajedničkih kulturnih inicijativa”.</w:t>
      </w:r>
    </w:p>
  </w:endnote>
  <w:endnote w:id="195">
    <w:p>
      <w:pPr>
        <w:pStyle w:val="Notedefin"/>
        <w:suppressLineNumbers/>
        <w:spacing w:before="57" w:after="57"/>
        <w:ind w:left="339" w:right="0" w:hanging="339"/>
        <w:rPr/>
      </w:pPr>
      <w:r>
        <w:rPr>
          <w:rStyle w:val="Caractresdenotedefin"/>
        </w:rPr>
        <w:endnoteRef/>
      </w:r>
      <w:r>
        <w:rPr/>
        <w:tab/>
        <w:t xml:space="preserve"> </w:t>
      </w:r>
      <w:r>
        <w:rPr>
          <w:vertAlign w:val="superscript"/>
        </w:rPr>
        <w:t>Preporuke</w:t>
      </w:r>
      <w:r>
        <w:rPr/>
        <w:t xml:space="preserve"> ECP-a 32 i 38 1. Nizozemska nacionalna kontaktna točka („Naša vizija za kulturu, mlade i sport”), 3. preporuka.</w:t>
      </w:r>
    </w:p>
  </w:endnote>
  <w:endnote w:id="196">
    <w:p>
      <w:pPr>
        <w:pStyle w:val="Notedefin"/>
        <w:suppressLineNumbers/>
        <w:spacing w:before="57" w:after="57"/>
        <w:ind w:left="339" w:right="0" w:hanging="339"/>
        <w:rPr/>
      </w:pPr>
      <w:r>
        <w:rPr>
          <w:rStyle w:val="Caractresdenotedefin"/>
        </w:rPr>
        <w:endnoteRef/>
      </w:r>
      <w:r>
        <w:rPr/>
        <w:tab/>
      </w:r>
      <w:r>
        <w:rPr/>
        <w:t>Preporuka talijanske nacionalne kontaktne točke „Europa u svijetu”</w:t>
      </w:r>
    </w:p>
  </w:endnote>
  <w:endnote w:id="197">
    <w:p>
      <w:pPr>
        <w:pStyle w:val="Notedefin"/>
        <w:suppressLineNumbers/>
        <w:spacing w:before="57" w:after="57"/>
        <w:ind w:left="339" w:right="0" w:hanging="339"/>
        <w:rPr/>
      </w:pPr>
      <w:r>
        <w:rPr>
          <w:rStyle w:val="Caractresdenotedefin"/>
        </w:rPr>
        <w:endnoteRef/>
      </w:r>
      <w:r>
        <w:rPr/>
        <w:tab/>
      </w:r>
      <w:r>
        <w:rPr/>
        <w:t>Francuski PCN, promjena 7. Preporuke</w:t>
      </w:r>
      <w:r>
        <w:rPr>
          <w:vertAlign w:val="superscript"/>
        </w:rPr>
        <w:t>2.5</w:t>
      </w:r>
      <w:r>
        <w:rPr/>
        <w:t>., 6.1. i 8.7. belgijske nacionalne kontaktne točke. Talijanska nacionalna kontaktna točka, Preporuka o „Jačanju europskih kulturnih vrijednosti i značajki, kao i regionalnih posebnosti”.</w:t>
      </w:r>
    </w:p>
  </w:endnote>
  <w:endnote w:id="198">
    <w:p>
      <w:pPr>
        <w:pStyle w:val="Notedefin"/>
        <w:suppressLineNumbers/>
        <w:spacing w:before="57" w:after="57"/>
        <w:ind w:left="339" w:right="0" w:hanging="339"/>
        <w:rPr/>
      </w:pPr>
      <w:r>
        <w:rPr>
          <w:rStyle w:val="Caractresdenotedefin"/>
        </w:rPr>
        <w:endnoteRef/>
      </w:r>
      <w:r>
        <w:rPr/>
        <w:tab/>
      </w:r>
      <w:r>
        <w:rPr/>
        <w:t>Nizozemska nacionalna kontaktna točka („Naša vizija za kulturu, mlade i sport”), Preporuka br. 2.</w:t>
      </w:r>
    </w:p>
  </w:endnote>
  <w:endnote w:id="199">
    <w:p>
      <w:pPr>
        <w:pStyle w:val="Notedefin"/>
        <w:suppressLineNumbers/>
        <w:spacing w:before="57" w:after="57"/>
        <w:ind w:left="339" w:right="0" w:hanging="339"/>
        <w:rPr/>
      </w:pPr>
      <w:r>
        <w:rPr>
          <w:rStyle w:val="Caractresdenotedefin"/>
        </w:rPr>
        <w:endnoteRef/>
      </w:r>
      <w:r>
        <w:rPr/>
        <w:tab/>
        <w:t xml:space="preserve"> </w:t>
      </w:r>
      <w:r>
        <w:rPr/>
        <w:t>Preporuka talijanskog NKT-a da „prekorači proizvodni model prošlog stoljeća”</w:t>
      </w:r>
    </w:p>
  </w:endnote>
  <w:endnote w:id="200">
    <w:p>
      <w:pPr>
        <w:pStyle w:val="Notedefin"/>
        <w:suppressLineNumbers/>
        <w:spacing w:before="57" w:after="57"/>
        <w:ind w:left="339" w:right="0" w:hanging="339"/>
        <w:rPr/>
      </w:pPr>
      <w:r>
        <w:rPr>
          <w:rStyle w:val="Caractresdenotedefin"/>
        </w:rPr>
        <w:endnoteRef/>
      </w:r>
      <w:r>
        <w:rPr/>
        <w:tab/>
      </w:r>
      <w:r>
        <w:rPr/>
        <w:t>Preporuka ECP-a br. 29 1.</w:t>
      </w:r>
    </w:p>
  </w:endnote>
  <w:endnote w:id="201">
    <w:p>
      <w:pPr>
        <w:pStyle w:val="Notedefin"/>
        <w:suppressLineNumbers/>
        <w:spacing w:before="57" w:after="57"/>
        <w:ind w:left="339" w:right="0" w:hanging="339"/>
        <w:rPr/>
      </w:pPr>
      <w:r>
        <w:rPr>
          <w:rStyle w:val="Caractresdenotedefin"/>
        </w:rPr>
        <w:endnoteRef/>
      </w:r>
      <w:r>
        <w:rPr/>
        <w:tab/>
      </w:r>
      <w:r>
        <w:rPr/>
        <w:t>Preporuka ECP-a 36 1.</w:t>
      </w:r>
    </w:p>
  </w:endnote>
</w:endnotes>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Arial">
    <w:charset w:val="00"/>
    <w:family w:val="roman"/>
    <w:pitch w:val="variable"/>
  </w:font>
  <w:font w:name="Calibri">
    <w:charset w:val="00"/>
    <w:family w:val="roman"/>
    <w:pitch w:val="variable"/>
  </w:font>
  <w:font w:name="Garamond">
    <w:charset w:val="00"/>
    <w:family w:val="roman"/>
    <w:pitch w:val="variable"/>
  </w:font>
  <w:font w:name="Roboto">
    <w:charset w:val="00"/>
    <w:family w:val="roman"/>
    <w:pitch w:val="variable"/>
  </w:font>
  <w:font w:name="Wingdings">
    <w:charset w:val="00"/>
    <w:family w:val="roman"/>
    <w:pitch w:val="variable"/>
  </w:font>
  <w:font w:name="Symbol">
    <w:charset w:val="00"/>
    <w:family w:val="roman"/>
    <w:pitch w:val="variable"/>
  </w:font>
  <w:font w:name="Verdana">
    <w:charset w:val="00"/>
    <w:family w:val="roman"/>
    <w:pitch w:val="variable"/>
  </w:font>
  <w:font w:name="Cambria">
    <w:charset w:val="00"/>
    <w:family w:val="roman"/>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ieddepage"/>
      <w:spacing w:before="57" w:after="57"/>
      <w:jc w:val="center"/>
      <w:rPr/>
    </w:pPr>
    <w:r>
      <w:rPr/>
      <w:fldChar w:fldCharType="begin"/>
    </w:r>
    <w:r>
      <w:rPr/>
      <w:instrText> PAGE </w:instrText>
    </w:r>
    <w:r>
      <w:rPr/>
      <w:fldChar w:fldCharType="separate"/>
    </w:r>
    <w:r>
      <w:rPr/>
      <w:t>2</w:t>
    </w:r>
    <w:r>
      <w:rPr/>
      <w:fldChar w:fldCharType="end"/>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ieddepage"/>
      <w:spacing w:before="57" w:after="57"/>
      <w:jc w:val="center"/>
      <w:rPr/>
    </w:pPr>
    <w:r>
      <w:rPr/>
      <w:fldChar w:fldCharType="begin"/>
    </w:r>
    <w:r>
      <w:rPr/>
      <w:instrText> PAGE </w:instrText>
    </w:r>
    <w:r>
      <w:rPr/>
      <w:fldChar w:fldCharType="separate"/>
    </w:r>
    <w:r>
      <w:rPr/>
      <w:t>287</w:t>
    </w:r>
    <w:r>
      <w:rPr/>
      <w:fldChar w:fldCharType="end"/>
    </w:r>
  </w:p>
</w:ftr>
</file>

<file path=word/footnotes.xml><?xml version="1.0" encoding="utf-8"?>
<w:footnote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footnote w:id="0" w:type="separator">
    <w:p>
      <w:r>
        <w:separator/>
      </w:r>
    </w:p>
  </w:footnote>
  <w:footnote w:id="1" w:type="continuationSeparator">
    <w:p>
      <w:r>
        <w:continuationSeparator/>
      </w:r>
    </w:p>
  </w:footnote>
  <w:footnote w:id="2">
    <w:p>
      <w:pPr>
        <w:pStyle w:val="Notedebasdepage"/>
        <w:suppressLineNumbers/>
        <w:spacing w:before="57" w:after="57"/>
        <w:ind w:left="339" w:right="0" w:hanging="339"/>
        <w:rPr/>
      </w:pPr>
      <w:r>
        <w:rPr>
          <w:rStyle w:val="Caractresdenotedebasdepage"/>
        </w:rPr>
        <w:footnoteRef/>
      </w:r>
      <w:r>
        <w:rPr>
          <w:rStyle w:val="Caractresdenotedebasdepage"/>
        </w:rPr>
        <w:tab/>
      </w:r>
      <w:hyperlink r:id="rId1">
        <w:r>
          <w:rPr>
            <w:rStyle w:val="LienInternet"/>
          </w:rPr>
          <w:t>https://futureu.europa.eu/</w:t>
        </w:r>
      </w:hyperlink>
      <w:r>
        <w:rPr/>
        <w:t xml:space="preserve"> </w:t>
      </w:r>
    </w:p>
  </w:footnote>
  <w:footnote w:id="3">
    <w:p>
      <w:pPr>
        <w:pStyle w:val="Notedebasdepage"/>
        <w:suppressLineNumbers/>
        <w:spacing w:before="57" w:after="57"/>
        <w:ind w:left="339" w:right="0" w:hanging="339"/>
        <w:rPr/>
      </w:pPr>
      <w:r>
        <w:rPr>
          <w:rStyle w:val="Caractresdenotedebasdepage"/>
        </w:rPr>
        <w:footnoteRef/>
      </w:r>
      <w:r>
        <w:rPr>
          <w:rStyle w:val="Caractresdenotedebasdepage"/>
        </w:rPr>
        <w:tab/>
      </w:r>
      <w:hyperlink r:id="rId2">
        <w:r>
          <w:rPr>
            <w:rStyle w:val="LienInternet"/>
          </w:rPr>
          <w:t>https://futureu.europa.eu/uploads/decidim/attachment/file/4595/Conference_Charter_fr.pdf</w:t>
        </w:r>
      </w:hyperlink>
      <w:r>
        <w:rPr/>
        <w:t xml:space="preserve"> </w:t>
      </w:r>
    </w:p>
  </w:footnote>
  <w:footnote w:id="4">
    <w:p>
      <w:pPr>
        <w:pStyle w:val="Notedebasdepage"/>
        <w:suppressLineNumbers/>
        <w:spacing w:before="57" w:after="57"/>
        <w:ind w:left="339" w:right="0" w:hanging="339"/>
        <w:rPr/>
      </w:pPr>
      <w:r>
        <w:rPr>
          <w:rStyle w:val="Caractresdenotedebasdepage"/>
        </w:rPr>
        <w:footnoteRef/>
      </w:r>
      <w:r>
        <w:rPr/>
        <w:tab/>
      </w:r>
      <w:r>
        <w:rPr/>
        <w:t xml:space="preserve">III OECD, Innovative Citizen Participation and New Democratic Institution (Inovativno sudjelovanje građana i nove demokratske institucije), 2020. </w:t>
      </w:r>
      <w:hyperlink r:id="rId3">
        <w:r>
          <w:rPr>
            <w:rStyle w:val="LienInternet"/>
          </w:rPr>
          <w:t xml:space="preserve"> – https://www.oecd.org/gov/open-government/innovative-citizen-participation-new-democratic-institutions-catching-the-deliberative-wave-highlights.pdf</w:t>
        </w:r>
      </w:hyperlink>
      <w:r>
        <w:rPr/>
        <w:t>.</w:t>
      </w:r>
    </w:p>
  </w:footnote>
  <w:footnote w:id="5">
    <w:p>
      <w:pPr>
        <w:pStyle w:val="Notedebasdepage"/>
        <w:suppressLineNumbers/>
        <w:spacing w:before="57" w:after="57"/>
        <w:ind w:left="339" w:right="0" w:hanging="339"/>
        <w:rPr/>
      </w:pPr>
      <w:r>
        <w:rPr>
          <w:rStyle w:val="Caractresdenotedebasdepage"/>
        </w:rPr>
        <w:footnoteRef/>
      </w:r>
      <w:r>
        <w:rPr/>
        <w:tab/>
        <w:t xml:space="preserve"> </w:t>
      </w:r>
      <w:r>
        <w:rPr/>
        <w:t xml:space="preserve">OECD, Innovative Citizen Participation and New Democratic Institution (Inovativno sudjelovanje građana i nove demokratske institucije), 2020. – </w:t>
      </w:r>
      <w:hyperlink r:id="rId4">
        <w:r>
          <w:rPr>
            <w:rStyle w:val="LienInternet"/>
          </w:rPr>
          <w:t>https://www.oecd.org/gov/open-government/innovative-citizen-participation-new-democratic-institutions-catching-the-deliberative-wave-highlights.pdf</w:t>
        </w:r>
      </w:hyperlink>
      <w:r>
        <w:rPr/>
        <w:t xml:space="preserve"> </w:t>
      </w:r>
    </w:p>
  </w:footnote>
  <w:footnote w:id="6">
    <w:p>
      <w:pPr>
        <w:pStyle w:val="Normal"/>
        <w:spacing w:before="57" w:after="57"/>
        <w:rPr/>
      </w:pPr>
      <w:r>
        <w:rPr>
          <w:rStyle w:val="Caractresdenotedebasdepage"/>
        </w:rPr>
        <w:footnoteRef/>
      </w:r>
      <w:r>
        <w:rPr/>
        <w:tab/>
      </w:r>
      <w:r>
        <w:rPr/>
        <w:t>Posjetite višejezičnu digitalnu platformu kako biste pristupili svim informacijama o tim događanjima.</w:t>
      </w:r>
    </w:p>
  </w:footnote>
  <w:footnote w:id="7">
    <w:p>
      <w:pPr>
        <w:pStyle w:val="Notedebasdepage"/>
        <w:suppressLineNumbers/>
        <w:spacing w:before="57" w:after="57"/>
        <w:ind w:left="339" w:right="0" w:hanging="339"/>
        <w:rPr/>
      </w:pPr>
      <w:r>
        <w:rPr>
          <w:rStyle w:val="Caractresdenotedebasdepage"/>
        </w:rPr>
        <w:footnoteRef/>
      </w:r>
      <w:r>
        <w:rPr/>
        <w:tab/>
      </w:r>
      <w:r>
        <w:rPr/>
        <w:t>Trebalo je postići konsenzus barem između predstavnika Europskog parlamenta, Vijeća, Europske komisije i predstavnika nacionalnih parlamenata na ravnopravnoj osnovi. Ako se položaj predstavnika građana u nacionalnim događanjima i/ili europskih ili nacionalnih panela građana očito razlikuje, to stajalište trebalo bi uključiti u ovo izvješće.</w:t>
      </w:r>
    </w:p>
  </w:footnote>
  <w:footnote w:id="8">
    <w:p>
      <w:pPr>
        <w:pStyle w:val="Notedebasdepage"/>
        <w:suppressLineNumbers/>
        <w:spacing w:before="57" w:after="57"/>
        <w:ind w:left="339" w:right="0" w:hanging="339"/>
        <w:rPr/>
      </w:pPr>
      <w:r>
        <w:rPr>
          <w:rStyle w:val="Caractresdenotedebasdepage"/>
        </w:rPr>
        <w:footnoteRef/>
      </w:r>
      <w:r>
        <w:rPr/>
        <w:tab/>
      </w:r>
      <w:r>
        <w:rPr/>
        <w:t>Ostali članovi Europske komisije pozvani su na plenarnu sjednicu, posebno kada se raspravljalo o pitanjima iz njihovih resora.</w:t>
      </w:r>
    </w:p>
  </w:footnote>
  <w:footnote w:id="9">
    <w:p>
      <w:pPr>
        <w:pStyle w:val="Notedebasdepage"/>
        <w:suppressLineNumbers/>
        <w:spacing w:before="57" w:after="57"/>
        <w:ind w:left="339" w:right="0" w:hanging="339"/>
        <w:rPr/>
      </w:pPr>
      <w:r>
        <w:rPr>
          <w:rStyle w:val="Caractresdenotedebasdepage"/>
        </w:rPr>
        <w:footnoteRef/>
      </w:r>
      <w:r>
        <w:rPr/>
        <w:tab/>
      </w:r>
      <w:r>
        <w:rPr/>
        <w:t>Po jedan po državi članici.</w:t>
      </w:r>
    </w:p>
  </w:footnote>
  <w:footnote w:id="10">
    <w:p>
      <w:pPr>
        <w:pStyle w:val="Notedebasdepage"/>
        <w:suppressLineNumbers/>
        <w:spacing w:before="57" w:after="57"/>
        <w:ind w:left="339" w:right="0" w:hanging="339"/>
        <w:rPr/>
      </w:pPr>
      <w:r>
        <w:rPr>
          <w:rStyle w:val="Caractresdenotedebasdepage"/>
        </w:rPr>
        <w:footnoteRef/>
      </w:r>
      <w:r>
        <w:rPr/>
        <w:tab/>
      </w:r>
      <w:r>
        <w:rPr/>
        <w:t>Prvo događanje posvećeno europskim građanima održano je 17. lipnja 2021. u Lisabonu u hibridnom obliku uoči konstituirajuće plenarne sjednice 19. lipnja kako bi se pokrenulo sudjelovanje građana na konferenciji.</w:t>
      </w:r>
    </w:p>
  </w:footnote>
  <w:footnote w:id="11">
    <w:p>
      <w:pPr>
        <w:pStyle w:val="Notedebasdepage"/>
        <w:suppressLineNumbers/>
        <w:spacing w:before="57" w:after="57"/>
        <w:ind w:left="339" w:right="0" w:hanging="339"/>
        <w:rPr/>
      </w:pPr>
      <w:r>
        <w:rPr>
          <w:rStyle w:val="Caractresdenotedebasdepage"/>
        </w:rPr>
        <w:footnoteRef/>
      </w:r>
      <w:r>
        <w:rPr/>
        <w:tab/>
        <w:t xml:space="preserve"> </w:t>
      </w:r>
      <w:r>
        <w:rPr/>
        <w:t>Predstavnici Europske komisije objasnili su da bi bilo potrebno proći prijelazno razdoblje kako bi se izbjegao previše nagli razvoj događaja.</w:t>
      </w:r>
    </w:p>
  </w:footnote>
  <w:footnote w:id="12">
    <w:p>
      <w:pPr>
        <w:pStyle w:val="Notedebasdepage"/>
        <w:suppressLineNumbers/>
        <w:spacing w:before="57" w:after="57"/>
        <w:ind w:left="339" w:right="0" w:hanging="339"/>
        <w:rPr/>
      </w:pPr>
      <w:r>
        <w:rPr>
          <w:rStyle w:val="Caractresdenotedebasdepage"/>
        </w:rPr>
        <w:footnoteRef/>
      </w:r>
      <w:r>
        <w:rPr/>
        <w:tab/>
      </w:r>
      <w:r>
        <w:rPr/>
        <w:t xml:space="preserve">Stajalište Parlamenta: prva lista europske političke stranke s najvećim brojem glasova na europskim izborima i potporom većine zastupnika u Europskom parlamentu trebala bi biti izabrana za predsjednika Europske komisije. U slučaju da se ne pojavi većina sa sjedištem u koaliciji, mjesto bi se trebalo vratiti na sljedeći vrh liste. U tu svrhu europske političke stranke mogle bi nominirati kandidate za kandidate za predsjednika Komisije. Paulo Rangel: kako bi se ojačao proces vodećih kandidata, trebalo bi poništiti uloge Europskog parlamenta i Europskog vijeća, što podrazumijeva izmjenu Ugovorâ: predsjednika Komisije predložio bi Parlament, a odobrilo Europsko vijeće. PNM (završno izvješće Kantara: „skupina doprinosa obuhvaća izbor predsjednika Komisije i imenovanje povjerenika, uključujući sustav kandidata na vrhu.”) EYE, str. 23.: Kandidati za mjesto predsjednika Komisije ne bi trebali biti izabrani u pregovorima iza kulisa između pobjedničkih stranaka. Trebali bismo primijeniti sustav vodećih kandidata, u kojem svaka stranka prije izborne kampanje objavljuje kandidata koji će biti predsjednik Komisije ako ta stranka osvoji većinu. Aktivnim sudjelovanjem u kampanji i izravnom interakcijom s europskim građanima budući predsjednik mogao bi im biti bliži.” rasprava u GT. </w:t>
      </w:r>
    </w:p>
  </w:footnote>
  <w:footnote w:id="13">
    <w:p>
      <w:pPr>
        <w:pStyle w:val="Notedebasdepage"/>
        <w:suppressLineNumbers/>
        <w:spacing w:before="57" w:after="57"/>
        <w:ind w:left="339" w:right="0" w:hanging="339"/>
        <w:rPr/>
      </w:pPr>
      <w:r>
        <w:rPr>
          <w:rStyle w:val="Caractresdenotedebasdepage"/>
        </w:rPr>
        <w:footnoteRef/>
      </w:r>
      <w:r>
        <w:rPr/>
        <w:tab/>
      </w:r>
      <w:r>
        <w:rPr/>
        <w:t>Vijeće smatra da se ovaj prijedlog ne temelji na preporuci građana. Stoga nije u skladu s dogovorenom metodologijom. Vidjeti i stajalište sastavnog dijela za građane izraženo na stranici 42.</w:t>
      </w:r>
    </w:p>
  </w:footnote>
  <w:footnote w:id="14">
    <w:p>
      <w:pPr>
        <w:pStyle w:val="Notedebasdepage"/>
        <w:suppressLineNumbers/>
        <w:spacing w:before="57" w:after="57"/>
        <w:ind w:left="339" w:right="0" w:hanging="339"/>
        <w:rPr/>
      </w:pPr>
      <w:r>
        <w:rPr>
          <w:rStyle w:val="Caractresdenotedebasdepage"/>
        </w:rPr>
        <w:footnoteRef/>
      </w:r>
      <w:r>
        <w:rPr>
          <w:rStyle w:val="Caractresdenotedebasdepage"/>
        </w:rPr>
        <w:tab/>
      </w:r>
      <w:hyperlink r:id="rId5">
        <w:r>
          <w:rPr>
            <w:rStyle w:val="LienInternet"/>
          </w:rPr>
          <w:t>www.participation-citoyenne.gouv.fr</w:t>
        </w:r>
      </w:hyperlink>
      <w:r>
        <w:rPr/>
        <w:t xml:space="preserve"> </w:t>
      </w:r>
    </w:p>
  </w:footnote>
  <w:footnote w:id="15">
    <w:p>
      <w:pPr>
        <w:pStyle w:val="Notedebasdepage"/>
        <w:suppressLineNumbers/>
        <w:spacing w:before="57" w:after="57"/>
        <w:ind w:left="339" w:right="0" w:hanging="339"/>
        <w:rPr/>
      </w:pPr>
      <w:r>
        <w:rPr>
          <w:rStyle w:val="Caractresdenotedebasdepage"/>
        </w:rPr>
        <w:footnoteRef/>
      </w:r>
      <w:r>
        <w:rPr/>
        <w:tab/>
        <w:t xml:space="preserve"> </w:t>
      </w:r>
      <w:hyperlink r:id="rId6">
        <w:r>
          <w:rPr>
            <w:rStyle w:val="LienInternet"/>
          </w:rPr>
          <w:t>https://futureu.europa.eu/processes?locale=fr</w:t>
        </w:r>
      </w:hyperlink>
      <w:r>
        <w:rPr/>
        <w:t xml:space="preserve"> </w:t>
      </w:r>
    </w:p>
  </w:footnote>
  <w:footnote w:id="16">
    <w:p>
      <w:pPr>
        <w:pStyle w:val="Notedebasdepage"/>
        <w:suppressLineNumbers/>
        <w:spacing w:before="57" w:after="57"/>
        <w:ind w:left="339" w:right="0" w:hanging="339"/>
        <w:rPr/>
      </w:pPr>
      <w:r>
        <w:rPr>
          <w:rStyle w:val="Caractresdenotedebasdepage"/>
        </w:rPr>
        <w:footnoteRef/>
      </w:r>
      <w:r>
        <w:rPr/>
        <w:tab/>
        <w:t xml:space="preserve"> </w:t>
      </w:r>
      <w:r>
        <w:rPr/>
        <w:t xml:space="preserve">Uzorak građana koji predstavljaju Vilnius, Kaunas, Klaipėda, Šiauliai i Panevėžys te okruge (apskritis) Vilnius, Kaunas, Klaipėda, Šiauliai, Panevėžys, Alytus, Marijampolė, Tauragė, Telšiai i Utena, na temelju podataka litavskog Odjela za statistiku (Lietuvos statistikos departamentas). </w:t>
      </w:r>
    </w:p>
  </w:footnote>
</w:footnotes>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Entte"/>
      <w:spacing w:before="57" w:after="57"/>
      <w:jc w:val="right"/>
      <w:rPr>
        <w:sz w:val="18"/>
      </w:rPr>
    </w:pPr>
    <w:r>
      <w:rPr>
        <w:sz w:val="18"/>
      </w:rPr>
    </w:r>
  </w:p>
</w:hdr>
</file>

<file path=word/header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68B1DB1Entte134"/>
      <w:spacing w:before="57" w:after="57"/>
      <w:jc w:val="right"/>
      <w:rPr>
        <w:sz w:val="18"/>
      </w:rPr>
    </w:pPr>
    <w:r>
      <w:rPr/>
      <w:t>Konferencija o budućnosti Europe | IZVJEŠĆE O konačnim rezultatima</w:t>
    </w:r>
  </w:p>
</w:hdr>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
      <w:pStyle w:val="Titre1"/>
      <w:numFmt w:val="none"/>
      <w:suff w:val="nothing"/>
      <w:lvlText w:val=""/>
      <w:lvlJc w:val="left"/>
      <w:pPr>
        <w:ind w:left="0" w:hanging="0"/>
      </w:pPr>
    </w:lvl>
    <w:lvl w:ilvl="1">
      <w:start w:val="1"/>
      <w:pStyle w:val="Titre2"/>
      <w:numFmt w:val="none"/>
      <w:suff w:val="nothing"/>
      <w:lvlText w:val=""/>
      <w:lvlJc w:val="left"/>
      <w:pPr>
        <w:ind w:left="0" w:hanging="0"/>
      </w:pPr>
    </w:lvl>
    <w:lvl w:ilvl="2">
      <w:start w:val="1"/>
      <w:pStyle w:val="Titre3"/>
      <w:numFmt w:val="none"/>
      <w:suff w:val="nothing"/>
      <w:lvlText w:val=""/>
      <w:lvlJc w:val="left"/>
      <w:pPr>
        <w:ind w:left="0" w:hanging="0"/>
      </w:pPr>
    </w:lvl>
    <w:lvl w:ilvl="3">
      <w:start w:val="1"/>
      <w:pStyle w:val="Titre4"/>
      <w:numFmt w:val="none"/>
      <w:suff w:val="nothing"/>
      <w:lvlText w:val=""/>
      <w:lvlJc w:val="left"/>
      <w:pPr>
        <w:ind w:left="0" w:hanging="0"/>
      </w:pPr>
    </w:lvl>
    <w:lvl w:ilvl="4">
      <w:start w:val="1"/>
      <w:pStyle w:val="Titre5"/>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abstractNum w:abstractNumId="2">
    <w:lvl w:ilvl="0">
      <w:start w:val="1"/>
      <w:numFmt w:val="none"/>
      <w:suff w:val="nothing"/>
      <w:lvlText w:val=""/>
      <w:lvlJc w:val="left"/>
      <w:pPr>
        <w:ind w:left="0" w:hanging="0"/>
      </w:pPr>
    </w:lvl>
    <w:lvl w:ilvl="1">
      <w:start w:val="1"/>
      <w:numFmt w:val="none"/>
      <w:suff w:val="nothing"/>
      <w:lvlText w:val=""/>
      <w:lvlJc w:val="left"/>
      <w:pPr>
        <w:ind w:left="0" w:hanging="0"/>
      </w:pPr>
    </w:lvl>
    <w:lvl w:ilvl="2">
      <w:start w:val="1"/>
      <w:numFmt w:val="none"/>
      <w:suff w:val="nothing"/>
      <w:lvlText w:val=""/>
      <w:lvlJc w:val="left"/>
      <w:pPr>
        <w:ind w:left="0" w:hanging="0"/>
      </w:pPr>
    </w:lvl>
    <w:lvl w:ilvl="3">
      <w:start w:val="1"/>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abstractNum w:abstractNumId="3">
    <w:lvl w:ilvl="0">
      <w:start w:val="1"/>
      <w:numFmt w:val="bullet"/>
      <w:lvlText w:val=""/>
      <w:lvlJc w:val="left"/>
      <w:pPr>
        <w:tabs>
          <w:tab w:val="num" w:pos="227"/>
        </w:tabs>
        <w:ind w:left="227" w:hanging="227"/>
      </w:pPr>
      <w:rPr>
        <w:rFonts w:ascii="Symbol" w:hAnsi="Symbol" w:cs="Symbol" w:hint="default"/>
        <w:rFonts w:cs="Symbol"/>
      </w:rPr>
    </w:lvl>
    <w:lvl w:ilvl="1">
      <w:start w:val="1"/>
      <w:numFmt w:val="bullet"/>
      <w:lvlText w:val=""/>
      <w:lvlJc w:val="left"/>
      <w:pPr>
        <w:tabs>
          <w:tab w:val="num" w:pos="454"/>
        </w:tabs>
        <w:ind w:left="454" w:hanging="227"/>
      </w:pPr>
      <w:rPr>
        <w:rFonts w:ascii="Symbol" w:hAnsi="Symbol" w:cs="Symbol" w:hint="default"/>
        <w:rFonts w:cs="Symbol"/>
      </w:rPr>
    </w:lvl>
    <w:lvl w:ilvl="2">
      <w:start w:val="1"/>
      <w:numFmt w:val="bullet"/>
      <w:lvlText w:val=""/>
      <w:lvlJc w:val="left"/>
      <w:pPr>
        <w:tabs>
          <w:tab w:val="num" w:pos="680"/>
        </w:tabs>
        <w:ind w:left="680" w:hanging="227"/>
      </w:pPr>
      <w:rPr>
        <w:rFonts w:ascii="Symbol" w:hAnsi="Symbol" w:cs="Symbol" w:hint="default"/>
        <w:rFonts w:cs="Symbol"/>
      </w:rPr>
    </w:lvl>
    <w:lvl w:ilvl="3">
      <w:start w:val="1"/>
      <w:numFmt w:val="bullet"/>
      <w:lvlText w:val=""/>
      <w:lvlJc w:val="left"/>
      <w:pPr>
        <w:tabs>
          <w:tab w:val="num" w:pos="907"/>
        </w:tabs>
        <w:ind w:left="907" w:hanging="227"/>
      </w:pPr>
      <w:rPr>
        <w:rFonts w:ascii="Symbol" w:hAnsi="Symbol" w:cs="Symbol" w:hint="default"/>
        <w:rFonts w:cs="Symbol"/>
      </w:rPr>
    </w:lvl>
    <w:lvl w:ilvl="4">
      <w:start w:val="1"/>
      <w:numFmt w:val="bullet"/>
      <w:lvlText w:val=""/>
      <w:lvlJc w:val="left"/>
      <w:pPr>
        <w:tabs>
          <w:tab w:val="num" w:pos="1134"/>
        </w:tabs>
        <w:ind w:left="1134" w:hanging="227"/>
      </w:pPr>
      <w:rPr>
        <w:rFonts w:ascii="Symbol" w:hAnsi="Symbol" w:cs="Symbol" w:hint="default"/>
        <w:rFonts w:cs="Symbol"/>
      </w:rPr>
    </w:lvl>
    <w:lvl w:ilvl="5">
      <w:start w:val="1"/>
      <w:numFmt w:val="bullet"/>
      <w:lvlText w:val=""/>
      <w:lvlJc w:val="left"/>
      <w:pPr>
        <w:tabs>
          <w:tab w:val="num" w:pos="1361"/>
        </w:tabs>
        <w:ind w:left="1361" w:hanging="227"/>
      </w:pPr>
      <w:rPr>
        <w:rFonts w:ascii="Symbol" w:hAnsi="Symbol" w:cs="Symbol" w:hint="default"/>
        <w:rFonts w:cs="Symbol"/>
      </w:rPr>
    </w:lvl>
    <w:lvl w:ilvl="6">
      <w:start w:val="1"/>
      <w:numFmt w:val="bullet"/>
      <w:lvlText w:val=""/>
      <w:lvlJc w:val="left"/>
      <w:pPr>
        <w:tabs>
          <w:tab w:val="num" w:pos="1587"/>
        </w:tabs>
        <w:ind w:left="1587" w:hanging="227"/>
      </w:pPr>
      <w:rPr>
        <w:rFonts w:ascii="Symbol" w:hAnsi="Symbol" w:cs="Symbol" w:hint="default"/>
        <w:rFonts w:cs="Symbol"/>
      </w:rPr>
    </w:lvl>
    <w:lvl w:ilvl="7">
      <w:start w:val="1"/>
      <w:numFmt w:val="bullet"/>
      <w:lvlText w:val=""/>
      <w:lvlJc w:val="left"/>
      <w:pPr>
        <w:tabs>
          <w:tab w:val="num" w:pos="1814"/>
        </w:tabs>
        <w:ind w:left="1814" w:hanging="227"/>
      </w:pPr>
      <w:rPr>
        <w:rFonts w:ascii="Symbol" w:hAnsi="Symbol" w:cs="Symbol" w:hint="default"/>
        <w:rFonts w:cs="Symbol"/>
      </w:rPr>
    </w:lvl>
    <w:lvl w:ilvl="8">
      <w:start w:val="1"/>
      <w:numFmt w:val="bullet"/>
      <w:lvlText w:val=""/>
      <w:lvlJc w:val="left"/>
      <w:pPr>
        <w:tabs>
          <w:tab w:val="num" w:pos="2041"/>
        </w:tabs>
        <w:ind w:left="2041" w:hanging="227"/>
      </w:pPr>
      <w:rPr>
        <w:rFonts w:ascii="Symbol" w:hAnsi="Symbol" w:cs="Symbol" w:hint="default"/>
        <w:rFonts w:cs="Symbol"/>
      </w:rPr>
    </w:lvl>
  </w:abstractNum>
  <w:num w:numId="1">
    <w:abstractNumId w:val="1"/>
  </w:num>
  <w:num w:numId="2">
    <w:abstractNumId w:val="2"/>
  </w:num>
  <w:num w:numId="3">
    <w:abstractNumId w:val="3"/>
  </w:num>
</w:numbering>
</file>

<file path=word/settings.xml><?xml version="1.0" encoding="utf-8"?>
<w:settings xmlns:w="http://schemas.openxmlformats.org/wordprocessingml/2006/main">
  <w:zoom w:percent="100"/>
  <w:defaultTabStop w:val="720"/>
  <w:autoHyphenation w:val="false"/>
  <w:evenAndOddHeaders/>
  <w:footnotePr>
    <w:numFmt w:val="upperRoman"/>
    <w:footnote w:id="0"/>
    <w:footnote w:id="1"/>
  </w:footnotePr>
  <w:endnotePr>
    <w:numFmt w:val="decimal"/>
    <w:endnote w:id="0"/>
    <w:endnote w:id="1"/>
  </w:endnotePr>
  <w:compat>
    <w:compatSetting w:name="compatibilityMode" w:uri="http://schemas.microsoft.com/office/word" w:val="15"/>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Times New Roman" w:hAnsi="Times New Roman" w:eastAsia="SimSun" w:cs="Mangal"/>
        <w:kern w:val="2"/>
        <w:sz w:val="24"/>
        <w:lang w:val="hr" w:eastAsia="zh-CN" w:bidi="hi-IN"/>
      </w:rPr>
    </w:rPrDefault>
    <w:pPrDefault>
      <w:pPr/>
    </w:pPrDefault>
  </w:docDefaults>
  <w:style w:type="paragraph" w:styleId="Normal">
    <w:name w:val="Normal"/>
    <w:qFormat/>
    <w:pPr>
      <w:widowControl/>
      <w:suppressAutoHyphens w:val="true"/>
      <w:overflowPunct w:val="false"/>
      <w:bidi w:val="0"/>
      <w:spacing w:before="57" w:after="57"/>
      <w:ind w:left="0" w:right="0" w:hanging="0"/>
      <w:jc w:val="left"/>
    </w:pPr>
    <w:rPr>
      <w:rFonts w:ascii="Arial" w:hAnsi="Arial" w:eastAsia="SimSun" w:cs="Mangal"/>
      <w:color w:val="00000A"/>
      <w:kern w:val="2"/>
      <w:sz w:val="22"/>
      <w:szCs w:val="20"/>
      <w:lang w:val="hr" w:eastAsia="zh-CN" w:bidi="hi-IN"/>
    </w:rPr>
  </w:style>
  <w:style w:type="paragraph" w:styleId="Titre1">
    <w:name w:val="Heading 1"/>
    <w:basedOn w:val="Titre"/>
    <w:qFormat/>
    <w:pPr>
      <w:numPr>
        <w:ilvl w:val="0"/>
        <w:numId w:val="1"/>
      </w:numPr>
      <w:spacing w:before="238" w:after="567"/>
      <w:outlineLvl w:val="0"/>
    </w:pPr>
    <w:rPr>
      <w:b w:val="false"/>
      <w:color w:val="0066B3"/>
      <w:sz w:val="64"/>
    </w:rPr>
  </w:style>
  <w:style w:type="paragraph" w:styleId="Titre2">
    <w:name w:val="Heading 2"/>
    <w:basedOn w:val="Titre"/>
    <w:qFormat/>
    <w:pPr>
      <w:numPr>
        <w:ilvl w:val="1"/>
        <w:numId w:val="1"/>
      </w:numPr>
      <w:spacing w:before="200" w:after="120"/>
      <w:outlineLvl w:val="1"/>
    </w:pPr>
    <w:rPr>
      <w:b/>
      <w:sz w:val="28"/>
    </w:rPr>
  </w:style>
  <w:style w:type="paragraph" w:styleId="Titre3">
    <w:name w:val="Heading 3"/>
    <w:basedOn w:val="Titre"/>
    <w:qFormat/>
    <w:pPr>
      <w:numPr>
        <w:ilvl w:val="2"/>
        <w:numId w:val="1"/>
      </w:numPr>
      <w:spacing w:before="140" w:after="120"/>
      <w:outlineLvl w:val="2"/>
    </w:pPr>
    <w:rPr>
      <w:b/>
      <w:sz w:val="28"/>
    </w:rPr>
  </w:style>
  <w:style w:type="paragraph" w:styleId="Titre4">
    <w:name w:val="Heading 4"/>
    <w:basedOn w:val="Titre"/>
    <w:qFormat/>
    <w:pPr>
      <w:numPr>
        <w:ilvl w:val="3"/>
        <w:numId w:val="1"/>
      </w:numPr>
      <w:spacing w:before="120" w:after="120"/>
      <w:outlineLvl w:val="3"/>
    </w:pPr>
    <w:rPr>
      <w:b/>
      <w:i/>
      <w:sz w:val="24"/>
    </w:rPr>
  </w:style>
  <w:style w:type="paragraph" w:styleId="Titre5">
    <w:name w:val="Heading 5"/>
    <w:basedOn w:val="Titre"/>
    <w:qFormat/>
    <w:pPr>
      <w:numPr>
        <w:ilvl w:val="4"/>
        <w:numId w:val="1"/>
      </w:numPr>
      <w:spacing w:before="120" w:after="60"/>
      <w:outlineLvl w:val="4"/>
    </w:pPr>
    <w:rPr>
      <w:b/>
      <w:sz w:val="22"/>
      <w:u w:val="none"/>
    </w:rPr>
  </w:style>
  <w:style w:type="character" w:styleId="Caractresdenotedebasdepage">
    <w:name w:val="Caractères de note de bas de page"/>
    <w:qFormat/>
    <w:rPr/>
  </w:style>
  <w:style w:type="character" w:styleId="Ancredenotedebasdepage">
    <w:name w:val="Ancre de note de bas de page"/>
    <w:rPr>
      <w:vertAlign w:val="superscript"/>
    </w:rPr>
  </w:style>
  <w:style w:type="character" w:styleId="LienInternet">
    <w:name w:val="Lien Internet"/>
    <w:rPr>
      <w:color w:val="000080"/>
      <w:u w:val="single"/>
    </w:rPr>
  </w:style>
  <w:style w:type="character" w:styleId="Caractresdenumrotation">
    <w:name w:val="Caractères de numérotation"/>
    <w:qFormat/>
    <w:rPr/>
  </w:style>
  <w:style w:type="character" w:styleId="Ancredenotedefin">
    <w:name w:val="Ancre de note de fin"/>
    <w:rPr>
      <w:vertAlign w:val="superscript"/>
    </w:rPr>
  </w:style>
  <w:style w:type="character" w:styleId="Caractresdenotedefin">
    <w:name w:val="Caractères de note de fin"/>
    <w:qFormat/>
    <w:rPr/>
  </w:style>
  <w:style w:type="character" w:styleId="Accentuationforte">
    <w:name w:val="Accentuation forte"/>
    <w:qFormat/>
    <w:rPr>
      <w:b/>
    </w:rPr>
  </w:style>
  <w:style w:type="character" w:styleId="Sautdindex">
    <w:name w:val="Saut d'index"/>
    <w:qFormat/>
    <w:rPr/>
  </w:style>
  <w:style w:type="character" w:styleId="ListLabel1">
    <w:name w:val="ListLabel 1"/>
    <w:qFormat/>
    <w:rPr>
      <w:rFonts w:cs="Symbol"/>
    </w:rPr>
  </w:style>
  <w:style w:type="character" w:styleId="ListLabel2">
    <w:name w:val="ListLabel 2"/>
    <w:qFormat/>
    <w:rPr>
      <w:rFonts w:cs="Symbol"/>
    </w:rPr>
  </w:style>
  <w:style w:type="character" w:styleId="ListLabel3">
    <w:name w:val="ListLabel 3"/>
    <w:qFormat/>
    <w:rPr>
      <w:rFonts w:cs="Symbol"/>
    </w:rPr>
  </w:style>
  <w:style w:type="character" w:styleId="ListLabel4">
    <w:name w:val="ListLabel 4"/>
    <w:qFormat/>
    <w:rPr>
      <w:rFonts w:cs="Symbol"/>
    </w:rPr>
  </w:style>
  <w:style w:type="character" w:styleId="ListLabel5">
    <w:name w:val="ListLabel 5"/>
    <w:qFormat/>
    <w:rPr>
      <w:rFonts w:cs="Symbol"/>
    </w:rPr>
  </w:style>
  <w:style w:type="character" w:styleId="ListLabel6">
    <w:name w:val="ListLabel 6"/>
    <w:qFormat/>
    <w:rPr>
      <w:rFonts w:cs="Symbol"/>
    </w:rPr>
  </w:style>
  <w:style w:type="character" w:styleId="ListLabel7">
    <w:name w:val="ListLabel 7"/>
    <w:qFormat/>
    <w:rPr>
      <w:rFonts w:cs="Symbol"/>
    </w:rPr>
  </w:style>
  <w:style w:type="character" w:styleId="ListLabel8">
    <w:name w:val="ListLabel 8"/>
    <w:qFormat/>
    <w:rPr>
      <w:rFonts w:cs="Symbol"/>
    </w:rPr>
  </w:style>
  <w:style w:type="character" w:styleId="ListLabel9">
    <w:name w:val="ListLabel 9"/>
    <w:qFormat/>
    <w:rPr>
      <w:rFonts w:cs="Symbol"/>
    </w:rPr>
  </w:style>
  <w:style w:type="character" w:styleId="ListLabel10">
    <w:name w:val="ListLabel 10"/>
    <w:qFormat/>
    <w:rPr>
      <w:rFonts w:ascii="Times New Roman" w:hAnsi="Times New Roman"/>
      <w:sz w:val="24"/>
    </w:rPr>
  </w:style>
  <w:style w:type="character" w:styleId="ListLabel11">
    <w:name w:val="ListLabel 11"/>
    <w:qFormat/>
    <w:rPr/>
  </w:style>
  <w:style w:type="character" w:styleId="ListLabel12">
    <w:name w:val="ListLabel 12"/>
    <w:qFormat/>
    <w:rPr/>
  </w:style>
  <w:style w:type="character" w:styleId="ListLabel13">
    <w:name w:val="ListLabel 13"/>
    <w:qFormat/>
    <w:rPr>
      <w:color w:val="0563C1"/>
    </w:rPr>
  </w:style>
  <w:style w:type="character" w:styleId="ListLabel14">
    <w:name w:val="ListLabel 14"/>
    <w:qFormat/>
    <w:rPr>
      <w:rFonts w:ascii="Times New Roman" w:hAnsi="Times New Roman"/>
      <w:b/>
      <w:color w:val="0000FF"/>
    </w:rPr>
  </w:style>
  <w:style w:type="character" w:styleId="ListLabel15">
    <w:name w:val="ListLabel 15"/>
    <w:qFormat/>
    <w:rPr>
      <w:color w:val="0000FF"/>
      <w:sz w:val="24"/>
    </w:rPr>
  </w:style>
  <w:style w:type="paragraph" w:styleId="Titre">
    <w:name w:val="Titre"/>
    <w:basedOn w:val="Normal"/>
    <w:next w:val="Corpsdetexte"/>
    <w:qFormat/>
    <w:pPr>
      <w:keepNext w:val="true"/>
      <w:spacing w:before="240" w:after="120"/>
    </w:pPr>
    <w:rPr>
      <w:rFonts w:ascii="Arial" w:hAnsi="Arial" w:eastAsia="Microsoft YaHei" w:cs="Lucida Sans"/>
      <w:sz w:val="28"/>
    </w:rPr>
  </w:style>
  <w:style w:type="paragraph" w:styleId="Corpsdetexte">
    <w:name w:val="Body Text"/>
    <w:basedOn w:val="Normal"/>
    <w:pPr>
      <w:spacing w:lineRule="auto" w:line="240" w:before="57" w:after="57"/>
    </w:pPr>
    <w:rPr/>
  </w:style>
  <w:style w:type="paragraph" w:styleId="Liste">
    <w:name w:val="List"/>
    <w:basedOn w:val="Corpsdetexte"/>
    <w:pPr/>
    <w:rPr>
      <w:rFonts w:cs="Lucida Sans"/>
    </w:rPr>
  </w:style>
  <w:style w:type="paragraph" w:styleId="Lgende">
    <w:name w:val="Caption"/>
    <w:basedOn w:val="Normal"/>
    <w:qFormat/>
    <w:pPr>
      <w:suppressLineNumbers/>
      <w:spacing w:before="120" w:after="120"/>
    </w:pPr>
    <w:rPr>
      <w:rFonts w:cs="Lucida Sans"/>
      <w:i/>
      <w:sz w:val="24"/>
    </w:rPr>
  </w:style>
  <w:style w:type="paragraph" w:styleId="Index">
    <w:name w:val="Index"/>
    <w:basedOn w:val="Normal"/>
    <w:qFormat/>
    <w:pPr>
      <w:suppressLineNumbers/>
    </w:pPr>
    <w:rPr>
      <w:rFonts w:cs="Lucida Sans"/>
    </w:rPr>
  </w:style>
  <w:style w:type="paragraph" w:styleId="Contenudecadre">
    <w:name w:val="Contenu de cadre"/>
    <w:basedOn w:val="Normal"/>
    <w:qFormat/>
    <w:pPr/>
    <w:rPr/>
  </w:style>
  <w:style w:type="paragraph" w:styleId="Entteetpieddepage">
    <w:name w:val="En-tête et pied de page"/>
    <w:basedOn w:val="Normal"/>
    <w:qFormat/>
    <w:pPr>
      <w:suppressLineNumbers/>
      <w:tabs>
        <w:tab w:val="center" w:pos="4819" w:leader="none"/>
        <w:tab w:val="right" w:pos="9638" w:leader="none"/>
      </w:tabs>
    </w:pPr>
    <w:rPr/>
  </w:style>
  <w:style w:type="paragraph" w:styleId="Entte">
    <w:name w:val="Header"/>
    <w:basedOn w:val="Entteetpieddepage"/>
    <w:pPr>
      <w:suppressLineNumbers/>
    </w:pPr>
    <w:rPr>
      <w:rFonts w:ascii="Arial" w:hAnsi="Arial"/>
      <w:sz w:val="22"/>
    </w:rPr>
  </w:style>
  <w:style w:type="paragraph" w:styleId="Pieddepage">
    <w:name w:val="Footer"/>
    <w:basedOn w:val="Entteetpieddepage"/>
    <w:pPr>
      <w:suppressLineNumbers/>
    </w:pPr>
    <w:rPr/>
  </w:style>
  <w:style w:type="paragraph" w:styleId="Titre1sansnumro">
    <w:name w:val="Titre 1 sans numéro"/>
    <w:basedOn w:val="Titre1"/>
    <w:qFormat/>
    <w:pPr>
      <w:numPr>
        <w:ilvl w:val="0"/>
        <w:numId w:val="0"/>
      </w:numPr>
      <w:ind w:left="0" w:right="0" w:hanging="0"/>
    </w:pPr>
    <w:rPr>
      <w:color w:val="0066B3"/>
    </w:rPr>
  </w:style>
  <w:style w:type="paragraph" w:styleId="Notedebasdepage">
    <w:name w:val="Footnote Text"/>
    <w:basedOn w:val="Normal"/>
    <w:pPr>
      <w:suppressLineNumbers/>
      <w:ind w:left="339" w:right="0" w:hanging="339"/>
    </w:pPr>
    <w:rPr>
      <w:sz w:val="20"/>
    </w:rPr>
  </w:style>
  <w:style w:type="paragraph" w:styleId="Alinangatif">
    <w:name w:val="Alinéa négatif"/>
    <w:basedOn w:val="Corpsdetexte"/>
    <w:qFormat/>
    <w:pPr>
      <w:tabs>
        <w:tab w:val="left" w:pos="0" w:leader="none"/>
      </w:tabs>
      <w:ind w:left="567" w:right="0" w:hanging="283"/>
    </w:pPr>
    <w:rPr/>
  </w:style>
  <w:style w:type="paragraph" w:styleId="Alineanegatifpuce">
    <w:name w:val="Alinea negatif puce"/>
    <w:basedOn w:val="Normal"/>
    <w:qFormat/>
    <w:pPr/>
    <w:rPr/>
  </w:style>
  <w:style w:type="paragraph" w:styleId="Puce3">
    <w:name w:val="List Bullet 4"/>
    <w:basedOn w:val="Liste"/>
    <w:pPr>
      <w:spacing w:before="0" w:after="120"/>
      <w:ind w:left="360" w:right="0" w:hanging="360"/>
    </w:pPr>
    <w:rPr/>
  </w:style>
  <w:style w:type="paragraph" w:styleId="Contenudetableau">
    <w:name w:val="Contenu de tableau"/>
    <w:basedOn w:val="Normal"/>
    <w:qFormat/>
    <w:pPr>
      <w:widowControl w:val="false"/>
      <w:suppressLineNumbers/>
    </w:pPr>
    <w:rPr/>
  </w:style>
  <w:style w:type="paragraph" w:styleId="Titredetableau">
    <w:name w:val="Titre de tableau"/>
    <w:basedOn w:val="Contenudetableau"/>
    <w:qFormat/>
    <w:pPr>
      <w:suppressLineNumbers/>
      <w:jc w:val="center"/>
    </w:pPr>
    <w:rPr>
      <w:b/>
    </w:rPr>
  </w:style>
  <w:style w:type="paragraph" w:styleId="Notedefin">
    <w:name w:val="Endnote Text"/>
    <w:basedOn w:val="Normal"/>
    <w:pPr>
      <w:suppressLineNumbers/>
      <w:ind w:left="339" w:right="0" w:hanging="339"/>
    </w:pPr>
    <w:rPr>
      <w:sz w:val="20"/>
    </w:rPr>
  </w:style>
  <w:style w:type="paragraph" w:styleId="StyleParDefautjustifie">
    <w:name w:val="StyleParDefaut_justifie"/>
    <w:basedOn w:val="Normal"/>
    <w:qFormat/>
    <w:pPr>
      <w:jc w:val="both"/>
    </w:pPr>
    <w:rPr/>
  </w:style>
  <w:style w:type="paragraph" w:styleId="Indexlexicaltitre">
    <w:name w:val="Index Heading"/>
    <w:basedOn w:val="Titre"/>
    <w:pPr>
      <w:suppressLineNumbers/>
      <w:ind w:left="0" w:right="0" w:hanging="0"/>
    </w:pPr>
    <w:rPr>
      <w:b/>
      <w:sz w:val="32"/>
    </w:rPr>
  </w:style>
  <w:style w:type="paragraph" w:styleId="TOAHeading">
    <w:name w:val="TOA Heading"/>
    <w:basedOn w:val="Titre"/>
    <w:qFormat/>
    <w:pPr>
      <w:suppressLineNumbers/>
      <w:ind w:left="0" w:right="0" w:hanging="0"/>
    </w:pPr>
    <w:rPr>
      <w:b/>
      <w:sz w:val="32"/>
    </w:rPr>
  </w:style>
  <w:style w:type="paragraph" w:styleId="Tabledesmatiresniveau1">
    <w:name w:val="TOC 1"/>
    <w:basedOn w:val="Index"/>
    <w:pPr>
      <w:tabs>
        <w:tab w:val="right" w:pos="9638" w:leader="dot"/>
      </w:tabs>
      <w:ind w:left="0" w:right="0" w:hanging="0"/>
    </w:pPr>
    <w:rPr/>
  </w:style>
  <w:style w:type="paragraph" w:styleId="Tabledesmatiresniveau2">
    <w:name w:val="TOC 2"/>
    <w:basedOn w:val="Index"/>
    <w:pPr>
      <w:tabs>
        <w:tab w:val="right" w:pos="9355" w:leader="dot"/>
      </w:tabs>
      <w:ind w:left="283" w:right="0" w:hanging="0"/>
    </w:pPr>
    <w:rPr/>
  </w:style>
  <w:style w:type="paragraph" w:styleId="Tabledesmatiresniveau3">
    <w:name w:val="TOC 3"/>
    <w:basedOn w:val="Index"/>
    <w:pPr>
      <w:tabs>
        <w:tab w:val="right" w:pos="9072" w:leader="dot"/>
      </w:tabs>
      <w:ind w:left="566" w:right="0" w:hanging="0"/>
    </w:pPr>
    <w:rPr/>
  </w:style>
  <w:style w:type="paragraph" w:styleId="Tabledesmatiresniveau4">
    <w:name w:val="TOC 4"/>
    <w:basedOn w:val="Index"/>
    <w:pPr>
      <w:tabs>
        <w:tab w:val="right" w:pos="8789" w:leader="dot"/>
      </w:tabs>
      <w:ind w:left="849" w:right="0" w:hanging="0"/>
    </w:pPr>
    <w:rPr/>
  </w:style>
  <w:style w:type="paragraph" w:styleId="Tabledesmatiresniveau5">
    <w:name w:val="TOC 5"/>
    <w:basedOn w:val="Index"/>
    <w:pPr>
      <w:tabs>
        <w:tab w:val="right" w:pos="8506" w:leader="dot"/>
      </w:tabs>
      <w:ind w:left="1132" w:right="0" w:hanging="0"/>
    </w:pPr>
    <w:rPr/>
  </w:style>
  <w:style w:type="paragraph" w:styleId="P68B1DB1Normal1">
    <w:name w:val="P68B1DB1-Normal1"/>
    <w:basedOn w:val="Normal"/>
    <w:qFormat/>
    <w:pPr/>
    <w:rPr>
      <w:rFonts w:ascii="Arial" w:hAnsi="Arial"/>
      <w:b/>
      <w:color w:val="000000"/>
      <w:sz w:val="76"/>
    </w:rPr>
  </w:style>
  <w:style w:type="paragraph" w:styleId="P68B1DB1Normal2">
    <w:name w:val="P68B1DB1-Normal2"/>
    <w:basedOn w:val="Normal"/>
    <w:qFormat/>
    <w:pPr/>
    <w:rPr>
      <w:rFonts w:ascii="Arial" w:hAnsi="Arial"/>
      <w:color w:val="0000BE"/>
      <w:sz w:val="44"/>
    </w:rPr>
  </w:style>
  <w:style w:type="paragraph" w:styleId="P68B1DB1Normal3">
    <w:name w:val="P68B1DB1-Normal3"/>
    <w:basedOn w:val="Normal"/>
    <w:qFormat/>
    <w:pPr/>
    <w:rPr>
      <w:color w:val="0000BE"/>
      <w:sz w:val="28"/>
    </w:rPr>
  </w:style>
  <w:style w:type="paragraph" w:styleId="P68B1DB1Normal4">
    <w:name w:val="P68B1DB1-Normal4"/>
    <w:basedOn w:val="Normal"/>
    <w:qFormat/>
    <w:pPr/>
    <w:rPr>
      <w:rFonts w:ascii="Arial" w:hAnsi="Arial"/>
      <w:color w:val="414345"/>
      <w:sz w:val="32"/>
    </w:rPr>
  </w:style>
  <w:style w:type="paragraph" w:styleId="P68B1DB1Normal5">
    <w:name w:val="P68B1DB1-Normal5"/>
    <w:basedOn w:val="Normal"/>
    <w:qFormat/>
    <w:pPr/>
    <w:rPr>
      <w:rFonts w:ascii="Arial" w:hAnsi="Arial"/>
      <w:b/>
      <w:color w:val="0000BE"/>
      <w:sz w:val="48"/>
    </w:rPr>
  </w:style>
  <w:style w:type="paragraph" w:styleId="P68B1DB1Normal6">
    <w:name w:val="P68B1DB1-Normal6"/>
    <w:basedOn w:val="Normal"/>
    <w:qFormat/>
    <w:pPr/>
    <w:rPr>
      <w:rFonts w:ascii="Times New Roman" w:hAnsi="Times New Roman"/>
      <w:b/>
      <w:sz w:val="24"/>
    </w:rPr>
  </w:style>
  <w:style w:type="paragraph" w:styleId="P68B1DB1Normal7">
    <w:name w:val="P68B1DB1-Normal7"/>
    <w:basedOn w:val="Normal"/>
    <w:qFormat/>
    <w:pPr/>
    <w:rPr>
      <w:rFonts w:ascii="Times New Roman" w:hAnsi="Times New Roman"/>
      <w:sz w:val="24"/>
    </w:rPr>
  </w:style>
  <w:style w:type="paragraph" w:styleId="P68B1DB1Contenudetableau8">
    <w:name w:val="P68B1DB1-Contenudetableau8"/>
    <w:basedOn w:val="Contenudetableau"/>
    <w:qFormat/>
    <w:pPr/>
    <w:rPr>
      <w:sz w:val="32"/>
    </w:rPr>
  </w:style>
  <w:style w:type="paragraph" w:styleId="P68B1DB1Contenudetableau9">
    <w:name w:val="P68B1DB1-Contenudetableau9"/>
    <w:basedOn w:val="Contenudetableau"/>
    <w:qFormat/>
    <w:pPr/>
    <w:rPr>
      <w:sz w:val="16"/>
    </w:rPr>
  </w:style>
  <w:style w:type="paragraph" w:styleId="P68B1DB1Contenudetableau10">
    <w:name w:val="P68B1DB1-Contenudetableau10"/>
    <w:basedOn w:val="Contenudetableau"/>
    <w:qFormat/>
    <w:pPr/>
    <w:rPr>
      <w:b/>
    </w:rPr>
  </w:style>
  <w:style w:type="paragraph" w:styleId="P68B1DB1Lgende11">
    <w:name w:val="P68B1DB1-Lgende11"/>
    <w:basedOn w:val="Lgende"/>
    <w:qFormat/>
    <w:pPr/>
    <w:rPr>
      <w:sz w:val="18"/>
    </w:rPr>
  </w:style>
  <w:style w:type="paragraph" w:styleId="P68B1DB1Corpsdetexte12">
    <w:name w:val="P68B1DB1-Corpsdetexte12"/>
    <w:basedOn w:val="Corpsdetexte"/>
    <w:qFormat/>
    <w:pPr/>
    <w:rPr>
      <w:b/>
      <w:i/>
      <w:u w:val="single"/>
    </w:rPr>
  </w:style>
  <w:style w:type="paragraph" w:styleId="P68B1DB1Normal13">
    <w:name w:val="P68B1DB1-Normal13"/>
    <w:basedOn w:val="Normal"/>
    <w:qFormat/>
    <w:pPr/>
    <w:rPr>
      <w:i/>
      <w:sz w:val="20"/>
    </w:rPr>
  </w:style>
  <w:style w:type="paragraph" w:styleId="P68B1DB1Normal14">
    <w:name w:val="P68B1DB1-Normal14"/>
    <w:basedOn w:val="Normal"/>
    <w:qFormat/>
    <w:pPr/>
    <w:rPr>
      <w:sz w:val="20"/>
    </w:rPr>
  </w:style>
  <w:style w:type="paragraph" w:styleId="P68B1DB1Normal15">
    <w:name w:val="P68B1DB1-Normal15"/>
    <w:basedOn w:val="Normal"/>
    <w:qFormat/>
    <w:pPr/>
    <w:rPr>
      <w:b/>
    </w:rPr>
  </w:style>
  <w:style w:type="paragraph" w:styleId="P68B1DB1Normal16">
    <w:name w:val="P68B1DB1-Normal16"/>
    <w:basedOn w:val="Normal"/>
    <w:qFormat/>
    <w:pPr/>
    <w:rPr>
      <w:color w:val="FFFFFF"/>
      <w:sz w:val="72"/>
    </w:rPr>
  </w:style>
  <w:style w:type="paragraph" w:styleId="P68B1DB1Normal17">
    <w:name w:val="P68B1DB1-Normal17"/>
    <w:basedOn w:val="Normal"/>
    <w:qFormat/>
    <w:pPr/>
    <w:rPr>
      <w:color w:val="FFFFFF"/>
    </w:rPr>
  </w:style>
  <w:style w:type="paragraph" w:styleId="P68B1DB1Normal18">
    <w:name w:val="P68B1DB1-Normal18"/>
    <w:basedOn w:val="Normal"/>
    <w:qFormat/>
    <w:pPr/>
    <w:rPr>
      <w:rFonts w:ascii="Calibri" w:hAnsi="Calibri"/>
      <w:sz w:val="28"/>
    </w:rPr>
  </w:style>
  <w:style w:type="paragraph" w:styleId="P68B1DB1Normal19">
    <w:name w:val="P68B1DB1-Normal19"/>
    <w:basedOn w:val="Normal"/>
    <w:qFormat/>
    <w:pPr/>
    <w:rPr>
      <w:rFonts w:ascii="Times New Roman" w:hAnsi="Times New Roman"/>
      <w:color w:val="000000"/>
      <w:sz w:val="24"/>
    </w:rPr>
  </w:style>
  <w:style w:type="paragraph" w:styleId="P68B1DB1Normal20">
    <w:name w:val="P68B1DB1-Normal20"/>
    <w:basedOn w:val="Normal"/>
    <w:qFormat/>
    <w:pPr/>
    <w:rPr>
      <w:rFonts w:ascii="Calibri" w:hAnsi="Calibri"/>
      <w:color w:val="000000"/>
      <w:sz w:val="24"/>
    </w:rPr>
  </w:style>
  <w:style w:type="paragraph" w:styleId="P68B1DB1Normal21">
    <w:name w:val="P68B1DB1-Normal21"/>
    <w:basedOn w:val="Normal"/>
    <w:qFormat/>
    <w:pPr/>
    <w:rPr>
      <w:rFonts w:ascii="Calibri" w:hAnsi="Calibri"/>
      <w:sz w:val="24"/>
    </w:rPr>
  </w:style>
  <w:style w:type="paragraph" w:styleId="P68B1DB1Contenudecadre22">
    <w:name w:val="P68B1DB1-Contenudecadre22"/>
    <w:basedOn w:val="Contenudecadre"/>
    <w:qFormat/>
    <w:pPr/>
    <w:rPr>
      <w:color w:val="FFFFFF"/>
    </w:rPr>
  </w:style>
  <w:style w:type="paragraph" w:styleId="P68B1DB1Normal23">
    <w:name w:val="P68B1DB1-Normal23"/>
    <w:basedOn w:val="Normal"/>
    <w:qFormat/>
    <w:pPr/>
    <w:rPr>
      <w:rFonts w:ascii="Times New Roman" w:hAnsi="Times New Roman"/>
      <w:color w:val="000000"/>
      <w:sz w:val="24"/>
      <w:u w:val="single"/>
    </w:rPr>
  </w:style>
  <w:style w:type="paragraph" w:styleId="P68B1DB1Normal24">
    <w:name w:val="P68B1DB1-Normal24"/>
    <w:basedOn w:val="Normal"/>
    <w:qFormat/>
    <w:pPr/>
    <w:rPr>
      <w:rFonts w:ascii="Times New Roman" w:hAnsi="Times New Roman"/>
      <w:color w:val="000000"/>
    </w:rPr>
  </w:style>
  <w:style w:type="paragraph" w:styleId="P68B1DB1style25">
    <w:name w:val="P68B1DB1-style25"/>
    <w:qFormat/>
    <w:pPr>
      <w:widowControl/>
      <w:bidi w:val="0"/>
      <w:jc w:val="left"/>
    </w:pPr>
    <w:rPr>
      <w:rFonts w:ascii="Arial" w:hAnsi="Arial" w:eastAsia="Microsoft YaHei" w:cs="Mangal"/>
      <w:color w:val="00000A"/>
      <w:kern w:val="2"/>
      <w:sz w:val="52"/>
      <w:szCs w:val="20"/>
      <w:lang w:val="hr" w:eastAsia="zh-CN" w:bidi="hi-IN"/>
    </w:rPr>
  </w:style>
  <w:style w:type="paragraph" w:styleId="P68B1DB1style26">
    <w:name w:val="P68B1DB1-style26"/>
    <w:qFormat/>
    <w:pPr>
      <w:widowControl/>
      <w:bidi w:val="0"/>
      <w:jc w:val="left"/>
    </w:pPr>
    <w:rPr>
      <w:rFonts w:ascii="Arial" w:hAnsi="Arial" w:eastAsia="Microsoft YaHei" w:cs="Mangal"/>
      <w:color w:val="00000A"/>
      <w:kern w:val="2"/>
      <w:sz w:val="36"/>
      <w:szCs w:val="20"/>
      <w:lang w:val="hr" w:eastAsia="zh-CN" w:bidi="hi-IN"/>
    </w:rPr>
  </w:style>
  <w:style w:type="paragraph" w:styleId="P68B1DB1style27">
    <w:name w:val="P68B1DB1-style27"/>
    <w:qFormat/>
    <w:pPr>
      <w:widowControl/>
      <w:bidi w:val="0"/>
      <w:jc w:val="left"/>
    </w:pPr>
    <w:rPr>
      <w:rFonts w:ascii="Arial" w:hAnsi="Arial" w:eastAsia="Microsoft YaHei" w:cs="Mangal"/>
      <w:color w:val="00000A"/>
      <w:kern w:val="2"/>
      <w:sz w:val="21"/>
      <w:szCs w:val="20"/>
      <w:lang w:val="hr" w:eastAsia="zh-CN" w:bidi="hi-IN"/>
    </w:rPr>
  </w:style>
  <w:style w:type="paragraph" w:styleId="P68B1DB1style28">
    <w:name w:val="P68B1DB1-style28"/>
    <w:qFormat/>
    <w:pPr>
      <w:widowControl/>
      <w:bidi w:val="0"/>
      <w:jc w:val="left"/>
    </w:pPr>
    <w:rPr>
      <w:rFonts w:ascii="Arial" w:hAnsi="Arial" w:eastAsia="Microsoft YaHei" w:cs="Mangal"/>
      <w:color w:val="00000A"/>
      <w:kern w:val="2"/>
      <w:sz w:val="48"/>
      <w:szCs w:val="20"/>
      <w:lang w:val="hr" w:eastAsia="zh-CN" w:bidi="hi-IN"/>
    </w:rPr>
  </w:style>
  <w:style w:type="paragraph" w:styleId="P68B1DB1style29">
    <w:name w:val="P68B1DB1-style29"/>
    <w:qFormat/>
    <w:pPr>
      <w:widowControl/>
      <w:bidi w:val="0"/>
      <w:jc w:val="left"/>
    </w:pPr>
    <w:rPr>
      <w:rFonts w:ascii="Arial" w:hAnsi="Arial" w:eastAsia="Microsoft YaHei" w:cs="Mangal"/>
      <w:color w:val="CE181E"/>
      <w:kern w:val="2"/>
      <w:sz w:val="44"/>
      <w:szCs w:val="20"/>
      <w:lang w:val="hr" w:eastAsia="zh-CN" w:bidi="hi-IN"/>
    </w:rPr>
  </w:style>
  <w:style w:type="paragraph" w:styleId="P68B1DB1style30">
    <w:name w:val="P68B1DB1-style30"/>
    <w:qFormat/>
    <w:pPr>
      <w:widowControl/>
      <w:bidi w:val="0"/>
      <w:jc w:val="left"/>
    </w:pPr>
    <w:rPr>
      <w:rFonts w:ascii="Arial" w:hAnsi="Arial" w:eastAsia="Microsoft YaHei" w:cs="Mangal"/>
      <w:color w:val="00000A"/>
      <w:kern w:val="2"/>
      <w:sz w:val="28"/>
      <w:szCs w:val="20"/>
      <w:lang w:val="hr" w:eastAsia="zh-CN" w:bidi="hi-IN"/>
    </w:rPr>
  </w:style>
  <w:style w:type="paragraph" w:styleId="P68B1DB1style31">
    <w:name w:val="P68B1DB1-style31"/>
    <w:qFormat/>
    <w:pPr>
      <w:widowControl/>
      <w:bidi w:val="0"/>
      <w:jc w:val="left"/>
    </w:pPr>
    <w:rPr>
      <w:rFonts w:ascii="Arial" w:hAnsi="Arial" w:eastAsia="Microsoft YaHei" w:cs="Mangal"/>
      <w:b/>
      <w:color w:val="00000A"/>
      <w:kern w:val="2"/>
      <w:sz w:val="36"/>
      <w:szCs w:val="20"/>
      <w:lang w:val="hr" w:eastAsia="zh-CN" w:bidi="hi-IN"/>
    </w:rPr>
  </w:style>
  <w:style w:type="paragraph" w:styleId="P68B1DB1Normal32">
    <w:name w:val="P68B1DB1-Normal32"/>
    <w:basedOn w:val="Normal"/>
    <w:qFormat/>
    <w:pPr/>
    <w:rPr>
      <w:b/>
      <w:color w:val="000000"/>
      <w:sz w:val="24"/>
    </w:rPr>
  </w:style>
  <w:style w:type="paragraph" w:styleId="P68B1DB1Normal33">
    <w:name w:val="P68B1DB1-Normal33"/>
    <w:basedOn w:val="Normal"/>
    <w:qFormat/>
    <w:pPr/>
    <w:rPr>
      <w:rFonts w:ascii="Times New Roman" w:hAnsi="Times New Roman"/>
      <w:b/>
      <w:color w:val="000000"/>
      <w:sz w:val="24"/>
    </w:rPr>
  </w:style>
  <w:style w:type="paragraph" w:styleId="P68B1DB1Normal34">
    <w:name w:val="P68B1DB1-Normal34"/>
    <w:basedOn w:val="Normal"/>
    <w:qFormat/>
    <w:pPr/>
    <w:rPr>
      <w:color w:val="000000"/>
      <w:sz w:val="24"/>
    </w:rPr>
  </w:style>
  <w:style w:type="paragraph" w:styleId="P68B1DB1Normal35">
    <w:name w:val="P68B1DB1-Normal35"/>
    <w:basedOn w:val="Normal"/>
    <w:qFormat/>
    <w:pPr/>
    <w:rPr>
      <w:b/>
      <w:color w:val="000000"/>
    </w:rPr>
  </w:style>
  <w:style w:type="paragraph" w:styleId="P68B1DB1Titre236">
    <w:name w:val="P68B1DB1-Titre236"/>
    <w:basedOn w:val="Titre2"/>
    <w:qFormat/>
    <w:pPr>
      <w:numPr>
        <w:ilvl w:val="0"/>
        <w:numId w:val="0"/>
      </w:numPr>
      <w:ind w:left="0" w:right="0" w:hanging="0"/>
    </w:pPr>
    <w:rPr>
      <w:rFonts w:ascii="Times New Roman" w:hAnsi="Times New Roman"/>
      <w:color w:val="000070"/>
      <w:sz w:val="36"/>
    </w:rPr>
  </w:style>
  <w:style w:type="paragraph" w:styleId="P68B1DB1style37">
    <w:name w:val="P68B1DB1-style37"/>
    <w:qFormat/>
    <w:pPr>
      <w:widowControl/>
      <w:bidi w:val="0"/>
      <w:jc w:val="left"/>
    </w:pPr>
    <w:rPr>
      <w:rFonts w:ascii="Arial" w:hAnsi="Arial" w:eastAsia="Microsoft YaHei" w:cs="Mangal"/>
      <w:color w:val="FFFFFF"/>
      <w:kern w:val="2"/>
      <w:sz w:val="24"/>
      <w:szCs w:val="20"/>
      <w:lang w:val="hr" w:eastAsia="zh-CN" w:bidi="hi-IN"/>
    </w:rPr>
  </w:style>
  <w:style w:type="paragraph" w:styleId="P68B1DB1style38">
    <w:name w:val="P68B1DB1-style38"/>
    <w:qFormat/>
    <w:pPr>
      <w:widowControl/>
      <w:bidi w:val="0"/>
      <w:jc w:val="left"/>
    </w:pPr>
    <w:rPr>
      <w:rFonts w:ascii="Arial" w:hAnsi="Arial" w:eastAsia="Microsoft YaHei" w:cs="Mangal"/>
      <w:color w:val="00000A"/>
      <w:kern w:val="2"/>
      <w:sz w:val="18"/>
      <w:szCs w:val="20"/>
      <w:lang w:val="hr" w:eastAsia="zh-CN" w:bidi="hi-IN"/>
    </w:rPr>
  </w:style>
  <w:style w:type="paragraph" w:styleId="P68B1DB1Normal39">
    <w:name w:val="P68B1DB1-Normal39"/>
    <w:basedOn w:val="Normal"/>
    <w:qFormat/>
    <w:pPr/>
    <w:rPr>
      <w:rFonts w:ascii="Times New Roman" w:hAnsi="Times New Roman"/>
      <w:b/>
      <w:color w:val="000000"/>
      <w:sz w:val="12"/>
    </w:rPr>
  </w:style>
  <w:style w:type="paragraph" w:styleId="P68B1DB1Normal40">
    <w:name w:val="P68B1DB1-Normal40"/>
    <w:basedOn w:val="Normal"/>
    <w:qFormat/>
    <w:pPr/>
    <w:rPr>
      <w:color w:val="273375"/>
    </w:rPr>
  </w:style>
  <w:style w:type="paragraph" w:styleId="P68B1DB1Normal41">
    <w:name w:val="P68B1DB1-Normal41"/>
    <w:basedOn w:val="Normal"/>
    <w:qFormat/>
    <w:pPr/>
    <w:rPr>
      <w:sz w:val="18"/>
    </w:rPr>
  </w:style>
  <w:style w:type="paragraph" w:styleId="P68B1DB1Normal42">
    <w:name w:val="P68B1DB1-Normal42"/>
    <w:basedOn w:val="Normal"/>
    <w:qFormat/>
    <w:pPr/>
    <w:rPr>
      <w:rFonts w:ascii="Times New Roman" w:hAnsi="Times New Roman"/>
      <w:b/>
      <w:color w:val="000000"/>
      <w:sz w:val="28"/>
    </w:rPr>
  </w:style>
  <w:style w:type="paragraph" w:styleId="P68B1DB1Normal43">
    <w:name w:val="P68B1DB1-Normal43"/>
    <w:basedOn w:val="Normal"/>
    <w:qFormat/>
    <w:pPr/>
    <w:rPr>
      <w:rFonts w:ascii="Times New Roman" w:hAnsi="Times New Roman"/>
      <w:b/>
      <w:i/>
      <w:color w:val="808080"/>
      <w:sz w:val="24"/>
    </w:rPr>
  </w:style>
  <w:style w:type="paragraph" w:styleId="P68B1DB1Normal44">
    <w:name w:val="P68B1DB1-Normal44"/>
    <w:basedOn w:val="Normal"/>
    <w:qFormat/>
    <w:pPr/>
    <w:rPr>
      <w:rFonts w:ascii="Times New Roman" w:hAnsi="Times New Roman"/>
      <w:i/>
      <w:color w:val="000000"/>
      <w:sz w:val="24"/>
    </w:rPr>
  </w:style>
  <w:style w:type="paragraph" w:styleId="P68B1DB1Normal45">
    <w:name w:val="P68B1DB1-Normal45"/>
    <w:basedOn w:val="Normal"/>
    <w:qFormat/>
    <w:pPr/>
    <w:rPr>
      <w:rFonts w:ascii="Times New Roman" w:hAnsi="Times New Roman"/>
      <w:color w:val="000000"/>
      <w:sz w:val="20"/>
    </w:rPr>
  </w:style>
  <w:style w:type="paragraph" w:styleId="P68B1DB1Normal46">
    <w:name w:val="P68B1DB1-Normal46"/>
    <w:basedOn w:val="Normal"/>
    <w:qFormat/>
    <w:pPr/>
    <w:rPr>
      <w:rFonts w:ascii="Times New Roman" w:hAnsi="Times New Roman"/>
      <w:b/>
      <w:color w:val="F79646"/>
      <w:sz w:val="24"/>
    </w:rPr>
  </w:style>
  <w:style w:type="paragraph" w:styleId="P68B1DB1Normal47">
    <w:name w:val="P68B1DB1-Normal47"/>
    <w:basedOn w:val="Normal"/>
    <w:qFormat/>
    <w:pPr/>
    <w:rPr>
      <w:rFonts w:ascii="Times New Roman" w:hAnsi="Times New Roman"/>
      <w:b/>
      <w:color w:val="1F497D"/>
      <w:sz w:val="12"/>
    </w:rPr>
  </w:style>
  <w:style w:type="paragraph" w:styleId="P68B1DB1Normal48">
    <w:name w:val="P68B1DB1-Normal48"/>
    <w:basedOn w:val="Normal"/>
    <w:qFormat/>
    <w:pPr/>
    <w:rPr>
      <w:rFonts w:ascii="Times New Roman" w:hAnsi="Times New Roman"/>
      <w:color w:val="F79646"/>
      <w:sz w:val="24"/>
    </w:rPr>
  </w:style>
  <w:style w:type="paragraph" w:styleId="P68B1DB1Normal49">
    <w:name w:val="P68B1DB1-Normal49"/>
    <w:basedOn w:val="Normal"/>
    <w:qFormat/>
    <w:pPr/>
    <w:rPr>
      <w:rFonts w:ascii="Times New Roman" w:hAnsi="Times New Roman"/>
      <w:color w:val="000000"/>
      <w:sz w:val="12"/>
    </w:rPr>
  </w:style>
  <w:style w:type="paragraph" w:styleId="P68B1DB1Normal50">
    <w:name w:val="P68B1DB1-Normal50"/>
    <w:basedOn w:val="Normal"/>
    <w:qFormat/>
    <w:pPr/>
    <w:rPr>
      <w:rFonts w:ascii="Times New Roman" w:hAnsi="Times New Roman"/>
      <w:color w:val="222222"/>
      <w:sz w:val="24"/>
    </w:rPr>
  </w:style>
  <w:style w:type="paragraph" w:styleId="P68B1DB1Normal51">
    <w:name w:val="P68B1DB1-Normal51"/>
    <w:basedOn w:val="Normal"/>
    <w:qFormat/>
    <w:pPr/>
    <w:rPr>
      <w:rFonts w:ascii="Times New Roman" w:hAnsi="Times New Roman"/>
      <w:b/>
      <w:color w:val="222222"/>
      <w:sz w:val="24"/>
    </w:rPr>
  </w:style>
  <w:style w:type="paragraph" w:styleId="P68B1DB1Normal52">
    <w:name w:val="P68B1DB1-Normal52"/>
    <w:basedOn w:val="Normal"/>
    <w:qFormat/>
    <w:pPr/>
    <w:rPr>
      <w:rFonts w:ascii="Times New Roman" w:hAnsi="Times New Roman"/>
      <w:i/>
      <w:sz w:val="24"/>
    </w:rPr>
  </w:style>
  <w:style w:type="paragraph" w:styleId="P68B1DB1Contenudetableau53">
    <w:name w:val="P68B1DB1-Contenudetableau53"/>
    <w:basedOn w:val="Contenudetableau"/>
    <w:qFormat/>
    <w:pPr/>
    <w:rPr>
      <w:color w:val="FFFFFF"/>
      <w:sz w:val="18"/>
      <w:shd w:fill="00A65D" w:val="clear"/>
    </w:rPr>
  </w:style>
  <w:style w:type="paragraph" w:styleId="P68B1DB1Contenudetableau54">
    <w:name w:val="P68B1DB1-Contenudetableau54"/>
    <w:basedOn w:val="Contenudetableau"/>
    <w:qFormat/>
    <w:pPr/>
    <w:rPr>
      <w:sz w:val="18"/>
    </w:rPr>
  </w:style>
  <w:style w:type="paragraph" w:styleId="P68B1DB1Contenudetableau55">
    <w:name w:val="P68B1DB1-Contenudetableau55"/>
    <w:basedOn w:val="Contenudetableau"/>
    <w:qFormat/>
    <w:pPr/>
    <w:rPr>
      <w:color w:val="FFFFFF"/>
      <w:sz w:val="18"/>
      <w:shd w:fill="0066B3" w:val="clear"/>
    </w:rPr>
  </w:style>
  <w:style w:type="paragraph" w:styleId="P68B1DB1Contenudetableau56">
    <w:name w:val="P68B1DB1-Contenudetableau56"/>
    <w:basedOn w:val="Contenudetableau"/>
    <w:qFormat/>
    <w:pPr/>
    <w:rPr>
      <w:color w:val="FFFFFF"/>
      <w:sz w:val="18"/>
      <w:shd w:fill="ED1C24" w:val="clear"/>
    </w:rPr>
  </w:style>
  <w:style w:type="paragraph" w:styleId="P68B1DB1Contenudetableau57">
    <w:name w:val="P68B1DB1-Contenudetableau57"/>
    <w:basedOn w:val="Contenudetableau"/>
    <w:qFormat/>
    <w:pPr/>
    <w:rPr>
      <w:rFonts w:ascii="Arial" w:hAnsi="Arial"/>
      <w:color w:val="FFFFFF"/>
      <w:sz w:val="18"/>
      <w:shd w:fill="7DA7D8" w:val="clear"/>
    </w:rPr>
  </w:style>
  <w:style w:type="paragraph" w:styleId="P68B1DB1Contenudetableau58">
    <w:name w:val="P68B1DB1-Contenudetableau58"/>
    <w:basedOn w:val="Contenudetableau"/>
    <w:qFormat/>
    <w:pPr/>
    <w:rPr>
      <w:rFonts w:ascii="Arial" w:hAnsi="Arial"/>
      <w:color w:val="FFFFFF"/>
      <w:sz w:val="18"/>
      <w:shd w:fill="A3238E" w:val="clear"/>
    </w:rPr>
  </w:style>
  <w:style w:type="paragraph" w:styleId="P68B1DB1Contenudetableau59">
    <w:name w:val="P68B1DB1-Contenudetableau59"/>
    <w:basedOn w:val="Contenudetableau"/>
    <w:qFormat/>
    <w:pPr/>
    <w:rPr>
      <w:color w:val="F58220"/>
      <w:sz w:val="18"/>
    </w:rPr>
  </w:style>
  <w:style w:type="paragraph" w:styleId="P68B1DB1Contenudetableau60">
    <w:name w:val="P68B1DB1-Contenudetableau60"/>
    <w:basedOn w:val="Contenudetableau"/>
    <w:qFormat/>
    <w:pPr/>
    <w:rPr>
      <w:rFonts w:ascii="Arial" w:hAnsi="Arial"/>
      <w:color w:val="FFFFFF"/>
      <w:sz w:val="18"/>
      <w:shd w:fill="ADC5E7" w:val="clear"/>
    </w:rPr>
  </w:style>
  <w:style w:type="paragraph" w:styleId="P68B1DB1Contenudetableau61">
    <w:name w:val="P68B1DB1-Contenudetableau61"/>
    <w:basedOn w:val="Contenudetableau"/>
    <w:qFormat/>
    <w:pPr/>
    <w:rPr>
      <w:rFonts w:ascii="Arial" w:hAnsi="Arial"/>
      <w:color w:val="FFFFFF"/>
      <w:sz w:val="18"/>
      <w:shd w:fill="21409A" w:val="clear"/>
    </w:rPr>
  </w:style>
  <w:style w:type="paragraph" w:styleId="P68B1DB1Contenudetableau62">
    <w:name w:val="P68B1DB1-Contenudetableau62"/>
    <w:basedOn w:val="Contenudetableau"/>
    <w:qFormat/>
    <w:pPr/>
    <w:rPr>
      <w:rFonts w:ascii="Arial" w:hAnsi="Arial"/>
      <w:color w:val="FFFFFF"/>
      <w:sz w:val="18"/>
      <w:shd w:fill="8CCFB7" w:val="clear"/>
    </w:rPr>
  </w:style>
  <w:style w:type="paragraph" w:styleId="P68B1DB1Contenudetableau63">
    <w:name w:val="P68B1DB1-Contenudetableau63"/>
    <w:basedOn w:val="Contenudetableau"/>
    <w:qFormat/>
    <w:pPr/>
    <w:rPr>
      <w:rFonts w:ascii="Arial" w:hAnsi="Arial"/>
      <w:color w:val="FFFFFF"/>
      <w:sz w:val="18"/>
      <w:shd w:fill="F58220" w:val="clear"/>
    </w:rPr>
  </w:style>
  <w:style w:type="paragraph" w:styleId="P68B1DB1Contenudetableau64">
    <w:name w:val="P68B1DB1-Contenudetableau64"/>
    <w:basedOn w:val="Contenudetableau"/>
    <w:qFormat/>
    <w:pPr/>
    <w:rPr>
      <w:color w:val="000000"/>
      <w:sz w:val="18"/>
    </w:rPr>
  </w:style>
  <w:style w:type="paragraph" w:styleId="P68B1DB1Normal65">
    <w:name w:val="P68B1DB1-Normal65"/>
    <w:basedOn w:val="Normal"/>
    <w:qFormat/>
    <w:pPr/>
    <w:rPr>
      <w:rFonts w:ascii="Times New Roman" w:hAnsi="Times New Roman"/>
      <w:b/>
      <w:i/>
      <w:color w:val="273375"/>
      <w:sz w:val="26"/>
    </w:rPr>
  </w:style>
  <w:style w:type="paragraph" w:styleId="P68B1DB1Normal66">
    <w:name w:val="P68B1DB1-Normal66"/>
    <w:basedOn w:val="Normal"/>
    <w:qFormat/>
    <w:pPr/>
    <w:rPr>
      <w:rFonts w:ascii="Times New Roman" w:hAnsi="Times New Roman"/>
      <w:i/>
      <w:color w:val="632423"/>
      <w:sz w:val="24"/>
    </w:rPr>
  </w:style>
  <w:style w:type="paragraph" w:styleId="P68B1DB1Normal67">
    <w:name w:val="P68B1DB1-Normal67"/>
    <w:basedOn w:val="Normal"/>
    <w:qFormat/>
    <w:pPr/>
    <w:rPr>
      <w:rFonts w:ascii="Calibri" w:hAnsi="Calibri"/>
      <w:b/>
      <w:color w:val="000000"/>
      <w:sz w:val="36"/>
    </w:rPr>
  </w:style>
  <w:style w:type="paragraph" w:styleId="P68B1DB1Normal68">
    <w:name w:val="P68B1DB1-Normal68"/>
    <w:basedOn w:val="Normal"/>
    <w:qFormat/>
    <w:pPr/>
    <w:rPr>
      <w:rFonts w:ascii="Calibri" w:hAnsi="Calibri"/>
      <w:b/>
      <w:color w:val="000000"/>
      <w:sz w:val="24"/>
    </w:rPr>
  </w:style>
  <w:style w:type="paragraph" w:styleId="P68B1DB1Normal69">
    <w:name w:val="P68B1DB1-Normal69"/>
    <w:basedOn w:val="Normal"/>
    <w:qFormat/>
    <w:pPr/>
    <w:rPr>
      <w:rFonts w:ascii="Calibri" w:hAnsi="Calibri"/>
      <w:b/>
      <w:color w:val="000000"/>
      <w:sz w:val="20"/>
    </w:rPr>
  </w:style>
  <w:style w:type="paragraph" w:styleId="P68B1DB1Normal70">
    <w:name w:val="P68B1DB1-Normal70"/>
    <w:basedOn w:val="Normal"/>
    <w:qFormat/>
    <w:pPr/>
    <w:rPr>
      <w:color w:val="000000"/>
      <w:sz w:val="44"/>
    </w:rPr>
  </w:style>
  <w:style w:type="paragraph" w:styleId="P68B1DB1Normal71">
    <w:name w:val="P68B1DB1-Normal71"/>
    <w:basedOn w:val="Normal"/>
    <w:qFormat/>
    <w:pPr/>
    <w:rPr>
      <w:color w:val="BD1271"/>
      <w:sz w:val="56"/>
    </w:rPr>
  </w:style>
  <w:style w:type="paragraph" w:styleId="P68B1DB1Normal72">
    <w:name w:val="P68B1DB1-Normal72"/>
    <w:basedOn w:val="Normal"/>
    <w:qFormat/>
    <w:pPr/>
    <w:rPr>
      <w:color w:val="BD1271"/>
      <w:sz w:val="44"/>
    </w:rPr>
  </w:style>
  <w:style w:type="paragraph" w:styleId="P68B1DB1Titre273">
    <w:name w:val="P68B1DB1-Titre273"/>
    <w:basedOn w:val="Titre2"/>
    <w:qFormat/>
    <w:pPr>
      <w:numPr>
        <w:ilvl w:val="0"/>
        <w:numId w:val="0"/>
      </w:numPr>
      <w:ind w:left="0" w:right="0" w:hanging="0"/>
    </w:pPr>
    <w:rPr>
      <w:rFonts w:ascii="Arial" w:hAnsi="Arial"/>
      <w:color w:val="BD1271"/>
      <w:sz w:val="34"/>
    </w:rPr>
  </w:style>
  <w:style w:type="paragraph" w:styleId="P68B1DB1Normal74">
    <w:name w:val="P68B1DB1-Normal74"/>
    <w:basedOn w:val="Normal"/>
    <w:qFormat/>
    <w:pPr/>
    <w:rPr>
      <w:color w:val="2E74B5"/>
    </w:rPr>
  </w:style>
  <w:style w:type="paragraph" w:styleId="P68B1DB1Normal75">
    <w:name w:val="P68B1DB1-Normal75"/>
    <w:basedOn w:val="Normal"/>
    <w:qFormat/>
    <w:pPr/>
    <w:rPr>
      <w:sz w:val="24"/>
    </w:rPr>
  </w:style>
  <w:style w:type="paragraph" w:styleId="P68B1DB1Normal76">
    <w:name w:val="P68B1DB1-Normal76"/>
    <w:basedOn w:val="Normal"/>
    <w:qFormat/>
    <w:pPr/>
    <w:rPr>
      <w:color w:val="000000"/>
    </w:rPr>
  </w:style>
  <w:style w:type="paragraph" w:styleId="P68B1DB1Titre277">
    <w:name w:val="P68B1DB1-Titre277"/>
    <w:basedOn w:val="Titre2"/>
    <w:qFormat/>
    <w:pPr>
      <w:numPr>
        <w:ilvl w:val="0"/>
        <w:numId w:val="0"/>
      </w:numPr>
      <w:ind w:left="0" w:right="0" w:hanging="0"/>
    </w:pPr>
    <w:rPr>
      <w:color w:val="BD1271"/>
    </w:rPr>
  </w:style>
  <w:style w:type="paragraph" w:styleId="P68B1DB1style78">
    <w:name w:val="P68B1DB1-style78"/>
    <w:qFormat/>
    <w:pPr>
      <w:widowControl/>
      <w:bidi w:val="0"/>
      <w:jc w:val="left"/>
    </w:pPr>
    <w:rPr>
      <w:rFonts w:ascii="Arial" w:hAnsi="Arial" w:eastAsia="Microsoft YaHei" w:cs="Mangal"/>
      <w:color w:val="00000A"/>
      <w:kern w:val="2"/>
      <w:sz w:val="24"/>
      <w:szCs w:val="20"/>
      <w:lang w:val="hr" w:eastAsia="zh-CN" w:bidi="hi-IN"/>
    </w:rPr>
  </w:style>
  <w:style w:type="paragraph" w:styleId="P68B1DB1style79">
    <w:name w:val="P68B1DB1-style79"/>
    <w:qFormat/>
    <w:pPr>
      <w:widowControl/>
      <w:bidi w:val="0"/>
      <w:jc w:val="left"/>
    </w:pPr>
    <w:rPr>
      <w:rFonts w:ascii="Arial" w:hAnsi="Arial" w:eastAsia="Microsoft YaHei" w:cs="Mangal"/>
      <w:i/>
      <w:color w:val="00000A"/>
      <w:kern w:val="2"/>
      <w:sz w:val="24"/>
      <w:szCs w:val="20"/>
      <w:lang w:val="hr" w:eastAsia="zh-CN" w:bidi="hi-IN"/>
    </w:rPr>
  </w:style>
  <w:style w:type="paragraph" w:styleId="P68B1DB1Normal80">
    <w:name w:val="P68B1DB1-Normal80"/>
    <w:basedOn w:val="Normal"/>
    <w:qFormat/>
    <w:pPr/>
    <w:rPr>
      <w:color w:val="116E9A"/>
      <w:sz w:val="24"/>
    </w:rPr>
  </w:style>
  <w:style w:type="paragraph" w:styleId="P68B1DB1Titre481">
    <w:name w:val="P68B1DB1-Titre481"/>
    <w:basedOn w:val="Titre4"/>
    <w:qFormat/>
    <w:pPr>
      <w:numPr>
        <w:ilvl w:val="0"/>
        <w:numId w:val="0"/>
      </w:numPr>
      <w:ind w:left="0" w:right="0" w:hanging="0"/>
    </w:pPr>
    <w:rPr>
      <w:color w:val="0066B3"/>
    </w:rPr>
  </w:style>
  <w:style w:type="paragraph" w:styleId="P68B1DB1Normal82">
    <w:name w:val="P68B1DB1-Normal82"/>
    <w:basedOn w:val="Normal"/>
    <w:qFormat/>
    <w:pPr/>
    <w:rPr>
      <w:color w:val="2E74B5"/>
      <w:sz w:val="24"/>
    </w:rPr>
  </w:style>
  <w:style w:type="paragraph" w:styleId="P68B1DB1Normal83">
    <w:name w:val="P68B1DB1-Normal83"/>
    <w:basedOn w:val="Normal"/>
    <w:qFormat/>
    <w:pPr/>
    <w:rPr>
      <w:b/>
      <w:color w:val="2E74B5"/>
      <w:sz w:val="24"/>
    </w:rPr>
  </w:style>
  <w:style w:type="paragraph" w:styleId="P68B1DB1Normal84">
    <w:name w:val="P68B1DB1-Normal84"/>
    <w:basedOn w:val="Normal"/>
    <w:qFormat/>
    <w:pPr/>
    <w:rPr>
      <w:b/>
      <w:sz w:val="24"/>
    </w:rPr>
  </w:style>
  <w:style w:type="paragraph" w:styleId="P68B1DB1Normal85">
    <w:name w:val="P68B1DB1-Normal85"/>
    <w:basedOn w:val="Normal"/>
    <w:qFormat/>
    <w:pPr/>
    <w:rPr>
      <w:color w:val="FFFFFF"/>
      <w:sz w:val="28"/>
    </w:rPr>
  </w:style>
  <w:style w:type="paragraph" w:styleId="P68B1DB1Normal86">
    <w:name w:val="P68B1DB1-Normal86"/>
    <w:basedOn w:val="Normal"/>
    <w:qFormat/>
    <w:pPr/>
    <w:rPr>
      <w:color w:val="2E74B5"/>
      <w:sz w:val="28"/>
    </w:rPr>
  </w:style>
  <w:style w:type="paragraph" w:styleId="P68B1DB1Titre487">
    <w:name w:val="P68B1DB1-Titre487"/>
    <w:basedOn w:val="Titre4"/>
    <w:qFormat/>
    <w:pPr>
      <w:numPr>
        <w:ilvl w:val="0"/>
        <w:numId w:val="0"/>
      </w:numPr>
      <w:ind w:left="0" w:right="0" w:hanging="0"/>
    </w:pPr>
    <w:rPr>
      <w:rFonts w:ascii="Arial" w:hAnsi="Arial"/>
      <w:color w:val="365F91"/>
    </w:rPr>
  </w:style>
  <w:style w:type="paragraph" w:styleId="P68B1DB1Normal88">
    <w:name w:val="P68B1DB1-Normal88"/>
    <w:basedOn w:val="Normal"/>
    <w:qFormat/>
    <w:pPr/>
    <w:rPr>
      <w:color w:val="000000"/>
      <w:sz w:val="18"/>
    </w:rPr>
  </w:style>
  <w:style w:type="paragraph" w:styleId="P68B1DB1Normal89">
    <w:name w:val="P68B1DB1-Normal89"/>
    <w:basedOn w:val="Normal"/>
    <w:qFormat/>
    <w:pPr/>
    <w:rPr>
      <w:b/>
      <w:color w:val="BD1271"/>
      <w:sz w:val="24"/>
    </w:rPr>
  </w:style>
  <w:style w:type="paragraph" w:styleId="P68B1DB1Normal90">
    <w:name w:val="P68B1DB1-Normal90"/>
    <w:basedOn w:val="Normal"/>
    <w:qFormat/>
    <w:pPr/>
    <w:rPr>
      <w:color w:val="000000"/>
      <w:sz w:val="16"/>
    </w:rPr>
  </w:style>
  <w:style w:type="paragraph" w:styleId="P68B1DB1Normal91">
    <w:name w:val="P68B1DB1-Normal91"/>
    <w:basedOn w:val="Normal"/>
    <w:qFormat/>
    <w:pPr/>
    <w:rPr>
      <w:color w:val="000000"/>
      <w:sz w:val="28"/>
    </w:rPr>
  </w:style>
  <w:style w:type="paragraph" w:styleId="P68B1DB1Titre392">
    <w:name w:val="P68B1DB1-Titre392"/>
    <w:basedOn w:val="Titre3"/>
    <w:qFormat/>
    <w:pPr>
      <w:numPr>
        <w:ilvl w:val="0"/>
        <w:numId w:val="0"/>
      </w:numPr>
      <w:ind w:left="0" w:right="0" w:hanging="0"/>
    </w:pPr>
    <w:rPr>
      <w:color w:val="FFFFFF"/>
      <w:shd w:fill="0066B3" w:val="clear"/>
    </w:rPr>
  </w:style>
  <w:style w:type="paragraph" w:styleId="P68B1DB1style93">
    <w:name w:val="P68B1DB1-style93"/>
    <w:qFormat/>
    <w:pPr>
      <w:widowControl/>
      <w:bidi w:val="0"/>
      <w:jc w:val="left"/>
    </w:pPr>
    <w:rPr>
      <w:rFonts w:ascii="Times New Roman" w:hAnsi="Times New Roman" w:eastAsia="Microsoft YaHei" w:cs="Mangal"/>
      <w:color w:val="00000A"/>
      <w:kern w:val="2"/>
      <w:sz w:val="26"/>
      <w:szCs w:val="20"/>
      <w:lang w:val="hr" w:eastAsia="zh-CN" w:bidi="hi-IN"/>
    </w:rPr>
  </w:style>
  <w:style w:type="paragraph" w:styleId="P68B1DB1style94">
    <w:name w:val="P68B1DB1-style94"/>
    <w:qFormat/>
    <w:pPr>
      <w:widowControl/>
      <w:bidi w:val="0"/>
      <w:jc w:val="left"/>
    </w:pPr>
    <w:rPr>
      <w:rFonts w:ascii="Arial" w:hAnsi="Arial" w:eastAsia="Microsoft YaHei" w:cs="Mangal"/>
      <w:color w:val="00000A"/>
      <w:kern w:val="2"/>
      <w:sz w:val="20"/>
      <w:szCs w:val="20"/>
      <w:lang w:val="hr" w:eastAsia="zh-CN" w:bidi="hi-IN"/>
    </w:rPr>
  </w:style>
  <w:style w:type="paragraph" w:styleId="P68B1DB1Normal95">
    <w:name w:val="P68B1DB1-Normal95"/>
    <w:basedOn w:val="Normal"/>
    <w:qFormat/>
    <w:pPr/>
    <w:rPr>
      <w:color w:val="5A5A5A"/>
      <w:sz w:val="28"/>
    </w:rPr>
  </w:style>
  <w:style w:type="paragraph" w:styleId="P68B1DB1Normal96">
    <w:name w:val="P68B1DB1-Normal96"/>
    <w:basedOn w:val="Normal"/>
    <w:qFormat/>
    <w:pPr/>
    <w:rPr>
      <w:i/>
      <w:color w:val="404040"/>
      <w:sz w:val="32"/>
    </w:rPr>
  </w:style>
  <w:style w:type="paragraph" w:styleId="P68B1DB1Normal97">
    <w:name w:val="P68B1DB1-Normal97"/>
    <w:basedOn w:val="Normal"/>
    <w:qFormat/>
    <w:pPr/>
    <w:rPr>
      <w:rFonts w:ascii="Garamond" w:hAnsi="Garamond"/>
      <w:color w:val="000000"/>
    </w:rPr>
  </w:style>
  <w:style w:type="paragraph" w:styleId="P68B1DB1Normal98">
    <w:name w:val="P68B1DB1-Normal98"/>
    <w:basedOn w:val="Normal"/>
    <w:qFormat/>
    <w:pPr/>
    <w:rPr>
      <w:color w:val="404040"/>
      <w:sz w:val="32"/>
    </w:rPr>
  </w:style>
  <w:style w:type="paragraph" w:styleId="P68B1DB1Normal99">
    <w:name w:val="P68B1DB1-Normal99"/>
    <w:basedOn w:val="Normal"/>
    <w:qFormat/>
    <w:pPr/>
    <w:rPr>
      <w:color w:val="000000"/>
      <w:sz w:val="20"/>
    </w:rPr>
  </w:style>
  <w:style w:type="paragraph" w:styleId="P68B1DB1Normal100">
    <w:name w:val="P68B1DB1-Normal100"/>
    <w:basedOn w:val="Normal"/>
    <w:qFormat/>
    <w:pPr/>
    <w:rPr>
      <w:b/>
      <w:i/>
      <w:color w:val="000000"/>
    </w:rPr>
  </w:style>
  <w:style w:type="paragraph" w:styleId="P68B1DB1Contenudetableau101">
    <w:name w:val="P68B1DB1-Contenudetableau101"/>
    <w:basedOn w:val="Contenudetableau"/>
    <w:qFormat/>
    <w:pPr/>
    <w:rPr>
      <w:rFonts w:ascii="Garamond" w:hAnsi="Garamond"/>
      <w:b/>
      <w:color w:val="000000"/>
    </w:rPr>
  </w:style>
  <w:style w:type="paragraph" w:styleId="P68B1DB1Contenudetableau102">
    <w:name w:val="P68B1DB1-Contenudetableau102"/>
    <w:basedOn w:val="Contenudetableau"/>
    <w:qFormat/>
    <w:pPr/>
    <w:rPr>
      <w:rFonts w:ascii="Garamond" w:hAnsi="Garamond"/>
      <w:color w:val="000000"/>
    </w:rPr>
  </w:style>
  <w:style w:type="paragraph" w:styleId="P68B1DB1Normal103">
    <w:name w:val="P68B1DB1-Normal103"/>
    <w:basedOn w:val="Normal"/>
    <w:qFormat/>
    <w:pPr/>
    <w:rPr>
      <w:rFonts w:ascii="Calibri" w:hAnsi="Calibri"/>
      <w:i/>
      <w:color w:val="000000"/>
      <w:sz w:val="32"/>
    </w:rPr>
  </w:style>
  <w:style w:type="paragraph" w:styleId="P68B1DB1Normal104">
    <w:name w:val="P68B1DB1-Normal104"/>
    <w:basedOn w:val="Normal"/>
    <w:qFormat/>
    <w:pPr/>
    <w:rPr>
      <w:rFonts w:ascii="Calibri" w:hAnsi="Calibri"/>
      <w:color w:val="000000"/>
      <w:sz w:val="21"/>
    </w:rPr>
  </w:style>
  <w:style w:type="paragraph" w:styleId="P68B1DB1Normal105">
    <w:name w:val="P68B1DB1-Normal105"/>
    <w:basedOn w:val="Normal"/>
    <w:qFormat/>
    <w:pPr/>
    <w:rPr>
      <w:color w:val="000000"/>
      <w:sz w:val="21"/>
    </w:rPr>
  </w:style>
  <w:style w:type="paragraph" w:styleId="P68B1DB1Normal106">
    <w:name w:val="P68B1DB1-Normal106"/>
    <w:basedOn w:val="Normal"/>
    <w:qFormat/>
    <w:pPr/>
    <w:rPr>
      <w:rFonts w:ascii="Calibri" w:hAnsi="Calibri"/>
      <w:b/>
      <w:i/>
      <w:color w:val="000000"/>
      <w:sz w:val="36"/>
    </w:rPr>
  </w:style>
  <w:style w:type="paragraph" w:styleId="P68B1DB1Normal107">
    <w:name w:val="P68B1DB1-Normal107"/>
    <w:basedOn w:val="Normal"/>
    <w:qFormat/>
    <w:pPr/>
    <w:rPr>
      <w:rFonts w:ascii="Calibri" w:hAnsi="Calibri"/>
      <w:i/>
      <w:color w:val="000000"/>
      <w:sz w:val="24"/>
    </w:rPr>
  </w:style>
  <w:style w:type="paragraph" w:styleId="P68B1DB1Normal108">
    <w:name w:val="P68B1DB1-Normal108"/>
    <w:basedOn w:val="Normal"/>
    <w:qFormat/>
    <w:pPr/>
    <w:rPr>
      <w:rFonts w:ascii="Calibri" w:hAnsi="Calibri"/>
      <w:b/>
      <w:i/>
      <w:color w:val="000000"/>
      <w:sz w:val="24"/>
    </w:rPr>
  </w:style>
  <w:style w:type="paragraph" w:styleId="P68B1DB1Normal109">
    <w:name w:val="P68B1DB1-Normal109"/>
    <w:basedOn w:val="Normal"/>
    <w:qFormat/>
    <w:pPr/>
    <w:rPr>
      <w:rFonts w:ascii="Calibri" w:hAnsi="Calibri"/>
      <w:b/>
      <w:i/>
      <w:color w:val="000000"/>
      <w:sz w:val="32"/>
    </w:rPr>
  </w:style>
  <w:style w:type="paragraph" w:styleId="P68B1DB1Normal110">
    <w:name w:val="P68B1DB1-Normal110"/>
    <w:basedOn w:val="Normal"/>
    <w:qFormat/>
    <w:pPr/>
    <w:rPr>
      <w:rFonts w:ascii="Calibri" w:hAnsi="Calibri"/>
      <w:color w:val="000000"/>
    </w:rPr>
  </w:style>
  <w:style w:type="paragraph" w:styleId="P68B1DB1Normal111">
    <w:name w:val="P68B1DB1-Normal111"/>
    <w:basedOn w:val="Normal"/>
    <w:qFormat/>
    <w:pPr/>
    <w:rPr>
      <w:rFonts w:ascii="Calibri" w:hAnsi="Calibri"/>
      <w:b/>
      <w:color w:val="000000"/>
    </w:rPr>
  </w:style>
  <w:style w:type="paragraph" w:styleId="P68B1DB1Normal112">
    <w:name w:val="P68B1DB1-Normal112"/>
    <w:basedOn w:val="Normal"/>
    <w:qFormat/>
    <w:pPr/>
    <w:rPr>
      <w:rFonts w:ascii="Times New Roman" w:hAnsi="Times New Roman"/>
      <w:color w:val="000000"/>
      <w:sz w:val="16"/>
    </w:rPr>
  </w:style>
  <w:style w:type="paragraph" w:styleId="P68B1DB1Normal113">
    <w:name w:val="P68B1DB1-Normal113"/>
    <w:basedOn w:val="Normal"/>
    <w:qFormat/>
    <w:pPr/>
    <w:rPr>
      <w:rFonts w:ascii="Calibri" w:hAnsi="Calibri"/>
      <w:i/>
      <w:color w:val="000000"/>
      <w:sz w:val="26"/>
    </w:rPr>
  </w:style>
  <w:style w:type="paragraph" w:styleId="P68B1DB1Normal114">
    <w:name w:val="P68B1DB1-Normal114"/>
    <w:basedOn w:val="Normal"/>
    <w:qFormat/>
    <w:pPr/>
    <w:rPr>
      <w:rFonts w:ascii="Calibri" w:hAnsi="Calibri"/>
      <w:b/>
      <w:color w:val="000000"/>
      <w:sz w:val="21"/>
    </w:rPr>
  </w:style>
  <w:style w:type="paragraph" w:styleId="P68B1DB1Contenudetableau115">
    <w:name w:val="P68B1DB1-Contenudetableau115"/>
    <w:basedOn w:val="Contenudetableau"/>
    <w:qFormat/>
    <w:pPr/>
    <w:rPr>
      <w:rFonts w:ascii="Times New Roman" w:hAnsi="Times New Roman"/>
      <w:color w:val="000000"/>
      <w:sz w:val="16"/>
    </w:rPr>
  </w:style>
  <w:style w:type="paragraph" w:styleId="P68B1DB1Contenudetableau116">
    <w:name w:val="P68B1DB1-Contenudetableau116"/>
    <w:basedOn w:val="Contenudetableau"/>
    <w:qFormat/>
    <w:pPr/>
    <w:rPr>
      <w:color w:val="000000"/>
      <w:sz w:val="16"/>
    </w:rPr>
  </w:style>
  <w:style w:type="paragraph" w:styleId="P68B1DB1Normal117">
    <w:name w:val="P68B1DB1-Normal117"/>
    <w:basedOn w:val="Normal"/>
    <w:qFormat/>
    <w:pPr/>
    <w:rPr>
      <w:rFonts w:ascii="Calibri" w:hAnsi="Calibri"/>
      <w:b/>
      <w:i/>
      <w:color w:val="000000"/>
      <w:sz w:val="28"/>
    </w:rPr>
  </w:style>
  <w:style w:type="paragraph" w:styleId="P68B1DB1Normal118">
    <w:name w:val="P68B1DB1-Normal118"/>
    <w:basedOn w:val="Normal"/>
    <w:qFormat/>
    <w:pPr/>
    <w:rPr>
      <w:rFonts w:ascii="Calibri" w:hAnsi="Calibri"/>
      <w:i/>
      <w:color w:val="000000"/>
      <w:sz w:val="21"/>
    </w:rPr>
  </w:style>
  <w:style w:type="paragraph" w:styleId="P68B1DB1Normal119">
    <w:name w:val="P68B1DB1-Normal119"/>
    <w:basedOn w:val="Normal"/>
    <w:qFormat/>
    <w:pPr/>
    <w:rPr>
      <w:b/>
      <w:color w:val="000000"/>
      <w:sz w:val="21"/>
    </w:rPr>
  </w:style>
  <w:style w:type="paragraph" w:styleId="P68B1DB1Normal120">
    <w:name w:val="P68B1DB1-Normal120"/>
    <w:basedOn w:val="Normal"/>
    <w:qFormat/>
    <w:pPr/>
    <w:rPr>
      <w:rFonts w:ascii="Calibri" w:hAnsi="Calibri"/>
      <w:b/>
      <w:color w:val="000000"/>
      <w:sz w:val="21"/>
    </w:rPr>
  </w:style>
  <w:style w:type="paragraph" w:styleId="P68B1DB1Contenudetableau121">
    <w:name w:val="P68B1DB1-Contenudetableau121"/>
    <w:basedOn w:val="Contenudetableau"/>
    <w:qFormat/>
    <w:pPr/>
    <w:rPr>
      <w:color w:val="000000"/>
    </w:rPr>
  </w:style>
  <w:style w:type="paragraph" w:styleId="P68B1DB1Contenudetableau122">
    <w:name w:val="P68B1DB1-Contenudetableau122"/>
    <w:basedOn w:val="Contenudetableau"/>
    <w:qFormat/>
    <w:pPr/>
    <w:rPr>
      <w:b/>
      <w:color w:val="000000"/>
    </w:rPr>
  </w:style>
  <w:style w:type="paragraph" w:styleId="P68B1DB1Normal123">
    <w:name w:val="P68B1DB1-Normal123"/>
    <w:basedOn w:val="Normal"/>
    <w:qFormat/>
    <w:pPr/>
    <w:rPr>
      <w:rFonts w:ascii="Calibri" w:hAnsi="Calibri"/>
      <w:color w:val="000000"/>
      <w:sz w:val="32"/>
    </w:rPr>
  </w:style>
  <w:style w:type="paragraph" w:styleId="P68B1DB1Normal124">
    <w:name w:val="P68B1DB1-Normal124"/>
    <w:basedOn w:val="Normal"/>
    <w:qFormat/>
    <w:pPr/>
    <w:rPr>
      <w:rFonts w:ascii="Calibri" w:hAnsi="Calibri"/>
      <w:b/>
      <w:color w:val="0070C0"/>
      <w:sz w:val="72"/>
    </w:rPr>
  </w:style>
  <w:style w:type="paragraph" w:styleId="P68B1DB1Normal125">
    <w:name w:val="P68B1DB1-Normal125"/>
    <w:basedOn w:val="Normal"/>
    <w:qFormat/>
    <w:pPr/>
    <w:rPr>
      <w:rFonts w:ascii="Calibri" w:hAnsi="Calibri"/>
      <w:b/>
      <w:color w:val="0070C0"/>
      <w:sz w:val="32"/>
    </w:rPr>
  </w:style>
  <w:style w:type="paragraph" w:styleId="P68B1DB1Normal126">
    <w:name w:val="P68B1DB1-Normal126"/>
    <w:basedOn w:val="Normal"/>
    <w:qFormat/>
    <w:pPr/>
    <w:rPr>
      <w:rFonts w:ascii="Calibri" w:hAnsi="Calibri"/>
      <w:color w:val="0070C0"/>
      <w:sz w:val="24"/>
    </w:rPr>
  </w:style>
  <w:style w:type="paragraph" w:styleId="P68B1DB1Normal127">
    <w:name w:val="P68B1DB1-Normal127"/>
    <w:basedOn w:val="Normal"/>
    <w:qFormat/>
    <w:pPr/>
    <w:rPr>
      <w:rFonts w:ascii="Calibri" w:hAnsi="Calibri"/>
    </w:rPr>
  </w:style>
  <w:style w:type="paragraph" w:styleId="P68B1DB1Contenudetableau128">
    <w:name w:val="P68B1DB1-Contenudetableau128"/>
    <w:basedOn w:val="Contenudetableau"/>
    <w:qFormat/>
    <w:pPr/>
    <w:rPr>
      <w:color w:val="000000"/>
      <w:sz w:val="14"/>
    </w:rPr>
  </w:style>
  <w:style w:type="paragraph" w:styleId="P68B1DB1Normal129">
    <w:name w:val="P68B1DB1-Normal129"/>
    <w:basedOn w:val="Normal"/>
    <w:qFormat/>
    <w:pPr/>
    <w:rPr>
      <w:rFonts w:ascii="Calibri" w:hAnsi="Calibri"/>
      <w:i/>
      <w:color w:val="000000"/>
    </w:rPr>
  </w:style>
  <w:style w:type="paragraph" w:styleId="P68B1DB1Normal130">
    <w:name w:val="P68B1DB1-Normal130"/>
    <w:basedOn w:val="Normal"/>
    <w:qFormat/>
    <w:pPr/>
    <w:rPr>
      <w:rFonts w:ascii="Calibri" w:hAnsi="Calibri"/>
      <w:color w:val="0070C0"/>
      <w:sz w:val="21"/>
    </w:rPr>
  </w:style>
  <w:style w:type="paragraph" w:styleId="P68B1DB1Normal131">
    <w:name w:val="P68B1DB1-Normal131"/>
    <w:basedOn w:val="Normal"/>
    <w:qFormat/>
    <w:pPr/>
    <w:rPr>
      <w:color w:val="0000FF"/>
      <w:sz w:val="24"/>
    </w:rPr>
  </w:style>
  <w:style w:type="paragraph" w:styleId="P68B1DB1Normal132">
    <w:name w:val="P68B1DB1-Normal132"/>
    <w:basedOn w:val="Normal"/>
    <w:qFormat/>
    <w:pPr/>
    <w:rPr>
      <w:rFonts w:ascii="Roboto" w:hAnsi="Roboto"/>
      <w:color w:val="000000"/>
      <w:sz w:val="16"/>
    </w:rPr>
  </w:style>
  <w:style w:type="paragraph" w:styleId="P68B1DB1style133">
    <w:name w:val="P68B1DB1-style133"/>
    <w:qFormat/>
    <w:pPr>
      <w:widowControl/>
      <w:bidi w:val="0"/>
      <w:jc w:val="left"/>
    </w:pPr>
    <w:rPr>
      <w:rFonts w:ascii="Times New Roman" w:hAnsi="Times New Roman" w:eastAsia="SimSun" w:cs="Mangal"/>
      <w:color w:val="00000A"/>
      <w:kern w:val="2"/>
      <w:sz w:val="20"/>
      <w:szCs w:val="20"/>
      <w:lang w:val="hr" w:eastAsia="zh-CN" w:bidi="hi-IN"/>
    </w:rPr>
  </w:style>
  <w:style w:type="paragraph" w:styleId="P68B1DB1Entte134">
    <w:name w:val="P68B1DB1-Entte134"/>
    <w:basedOn w:val="Entte"/>
    <w:qFormat/>
    <w:pPr/>
    <w:rPr>
      <w:sz w:val="18"/>
    </w:rPr>
  </w:style>
  <w:style w:type="numbering" w:styleId="Puce">
    <w:name w:val="Puce •"/>
    <w:qFormat/>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image" Target="media/image2.png"/><Relationship Id="rId4" Type="http://schemas.openxmlformats.org/officeDocument/2006/relationships/image" Target="media/image3.png"/><Relationship Id="rId5" Type="http://schemas.openxmlformats.org/officeDocument/2006/relationships/hyperlink" Target="https://futureu.europa.eu/rails/active_storage/blobs/redirect/eyJfcmFpbHMiOnsibWVzc2FnZSI6IkJBaHBBMEl0QVE9PSIsImV4cCI6bnVsbCwicHVyIjoiYmxvYl9pZCJ9fQ==--f1e6ee90810e761866cf2b290e381a77ea51de72/CoFE_Report_FR_with annexes.pdf" TargetMode="External"/><Relationship Id="rId6" Type="http://schemas.openxmlformats.org/officeDocument/2006/relationships/hyperlink" Target="https://webgate.ec.europa.eu/etranslation" TargetMode="External"/><Relationship Id="rId7" Type="http://schemas.openxmlformats.org/officeDocument/2006/relationships/hyperlink" Target="https://e-d-e.org/" TargetMode="External"/><Relationship Id="rId8" Type="http://schemas.openxmlformats.org/officeDocument/2006/relationships/hyperlink" Target="http://www.demokratio.eu/" TargetMode="External"/><Relationship Id="rId9" Type="http://schemas.openxmlformats.org/officeDocument/2006/relationships/hyperlink" Target="https://e-d-e.fr/" TargetMode="External"/><Relationship Id="rId10" Type="http://schemas.openxmlformats.org/officeDocument/2006/relationships/hyperlink" Target="http://www.europokune.eu/" TargetMode="External"/><Relationship Id="rId11" Type="http://schemas.openxmlformats.org/officeDocument/2006/relationships/hyperlink" Target="https://futureu.europa.eu/rails/active_storage/blobs/redirect/eyJfcmFpbHMiOnsibWVzc2FnZSI6IkJBaHBBMEl0QVE9PSIsImV4cCI6bnVsbCwicHVyIjoiYmxvYl9pZCJ9fQ==--f1e6ee90810e761866cf2b290e381a77ea51de72/CoFE_Report_FR_with annexes.pdf" TargetMode="External"/><Relationship Id="rId12" Type="http://schemas.openxmlformats.org/officeDocument/2006/relationships/hyperlink" Target="https://webgate.ec.europa.eu/etranslation" TargetMode="External"/><Relationship Id="rId13" Type="http://schemas.openxmlformats.org/officeDocument/2006/relationships/hyperlink" Target="https://e-d-e.org/" TargetMode="External"/><Relationship Id="rId14" Type="http://schemas.openxmlformats.org/officeDocument/2006/relationships/hyperlink" Target="http://www.demokratio.eu/" TargetMode="External"/><Relationship Id="rId15" Type="http://schemas.openxmlformats.org/officeDocument/2006/relationships/hyperlink" Target="https://e-d-e.fr/" TargetMode="External"/><Relationship Id="rId16" Type="http://schemas.openxmlformats.org/officeDocument/2006/relationships/hyperlink" Target="http://www.europokune.eu/" TargetMode="External"/><Relationship Id="rId17" Type="http://schemas.openxmlformats.org/officeDocument/2006/relationships/image" Target="media/image4.png"/><Relationship Id="rId18" Type="http://schemas.openxmlformats.org/officeDocument/2006/relationships/header" Target="header1.xml"/><Relationship Id="rId19" Type="http://schemas.openxmlformats.org/officeDocument/2006/relationships/header" Target="header2.xml"/><Relationship Id="rId20" Type="http://schemas.openxmlformats.org/officeDocument/2006/relationships/footer" Target="footer1.xml"/><Relationship Id="rId21" Type="http://schemas.openxmlformats.org/officeDocument/2006/relationships/footer" Target="footer2.xml"/><Relationship Id="rId22" Type="http://schemas.openxmlformats.org/officeDocument/2006/relationships/image" Target="media/image5.png"/><Relationship Id="rId23" Type="http://schemas.openxmlformats.org/officeDocument/2006/relationships/hyperlink" Target="https://futureu.europa.eu/pages/our-guides" TargetMode="External"/><Relationship Id="rId24" Type="http://schemas.openxmlformats.org/officeDocument/2006/relationships/hyperlink" Target="https://futureu.europa.eu/pages/information-material" TargetMode="External"/><Relationship Id="rId25" Type="http://schemas.openxmlformats.org/officeDocument/2006/relationships/hyperlink" Target="https://futureu.europa.eu/assemblies/citizens-panels" TargetMode="External"/><Relationship Id="rId26" Type="http://schemas.openxmlformats.org/officeDocument/2006/relationships/hyperlink" Target="https://futureu.europa.eu/pages/ms-section" TargetMode="External"/><Relationship Id="rId27" Type="http://schemas.openxmlformats.org/officeDocument/2006/relationships/hyperlink" Target="https://futureu.europa.eu/pages/executive-board" TargetMode="External"/><Relationship Id="rId28" Type="http://schemas.openxmlformats.org/officeDocument/2006/relationships/hyperlink" Target="https://futureu.europa.eu/rails/active_storage/blobs/eyJfcmFpbHMiOnsibWVzc2FnZSI6IkJBaHBBcEVXIiwiZXhwIjpudWxsLCJwdXIiOiJibG9iX2lkIn19--ccb2609f3433ec020b3055170aacd363d84503e7/sn03411-re01.en21(1).pdf" TargetMode="External"/><Relationship Id="rId29" Type="http://schemas.openxmlformats.org/officeDocument/2006/relationships/hyperlink" Target="https://futureu.europa.eu/rails/active_storage/blobs/eyJfcmFpbHMiOnsibWVzc2FnZSI6IkJBaHBBbjFCIiwiZXhwIjpudWxsLCJwdXIiOiJibG9iX2lkIn19--f97dae84e07fcf9ea4e9276dd4b33fb3fd823dd6/COFE Second Interim Report September Kantar final.pdf" TargetMode="External"/><Relationship Id="rId30" Type="http://schemas.openxmlformats.org/officeDocument/2006/relationships/hyperlink" Target="https://futureu.europa.eu/rails/active_storage/blobs/eyJfcmFpbHMiOnsibWVzc2FnZSI6IkJBaHBBdWlFIiwiZXhwIjpudWxsLCJwdXIiOiJibG9iX2lkIn19--3fe1bd5c838d6e007a595afd9beefa8b4df1fb3f/Kantar Third Interim Report final version EN.pdf" TargetMode="External"/><Relationship Id="rId31" Type="http://schemas.openxmlformats.org/officeDocument/2006/relationships/image" Target="media/image6.png"/><Relationship Id="rId32" Type="http://schemas.openxmlformats.org/officeDocument/2006/relationships/hyperlink" Target="https://futureu.europa.eu/?locale=fr" TargetMode="External"/><Relationship Id="rId33" Type="http://schemas.openxmlformats.org/officeDocument/2006/relationships/hyperlink" Target="https://futureu.europa.eu/?locale=fr" TargetMode="External"/><Relationship Id="rId34" Type="http://schemas.openxmlformats.org/officeDocument/2006/relationships/hyperlink" Target="https://futureu.europa.eu/pages/charter" TargetMode="External"/><Relationship Id="rId35" Type="http://schemas.openxmlformats.org/officeDocument/2006/relationships/hyperlink" Target="https://futureu.europa.eu/pages/rules-of-participation" TargetMode="External"/><Relationship Id="rId36" Type="http://schemas.openxmlformats.org/officeDocument/2006/relationships/hyperlink" Target="https://futureu.europa.eu/pages/faq" TargetMode="External"/><Relationship Id="rId37" Type="http://schemas.openxmlformats.org/officeDocument/2006/relationships/image" Target="media/image7.png"/><Relationship Id="rId38" Type="http://schemas.openxmlformats.org/officeDocument/2006/relationships/image" Target="media/image8.png"/><Relationship Id="rId39" Type="http://schemas.openxmlformats.org/officeDocument/2006/relationships/image" Target="media/image9.png"/><Relationship Id="rId40" Type="http://schemas.openxmlformats.org/officeDocument/2006/relationships/image" Target="media/image10.png"/><Relationship Id="rId41" Type="http://schemas.openxmlformats.org/officeDocument/2006/relationships/image" Target="media/image11.png"/><Relationship Id="rId42" Type="http://schemas.openxmlformats.org/officeDocument/2006/relationships/image" Target="media/image12.png"/><Relationship Id="rId43" Type="http://schemas.openxmlformats.org/officeDocument/2006/relationships/image" Target="media/image13.png"/><Relationship Id="rId44" Type="http://schemas.openxmlformats.org/officeDocument/2006/relationships/image" Target="media/image14.png"/><Relationship Id="rId45" Type="http://schemas.openxmlformats.org/officeDocument/2006/relationships/image" Target="media/image15.png"/><Relationship Id="rId46" Type="http://schemas.openxmlformats.org/officeDocument/2006/relationships/image" Target="media/image16.png"/><Relationship Id="rId47" Type="http://schemas.openxmlformats.org/officeDocument/2006/relationships/image" Target="media/image17.png"/><Relationship Id="rId48" Type="http://schemas.openxmlformats.org/officeDocument/2006/relationships/hyperlink" Target="https://futureu.europa.eu/pages/ms-section" TargetMode="External"/><Relationship Id="rId49" Type="http://schemas.openxmlformats.org/officeDocument/2006/relationships/hyperlink" Target="https://futureu.europa.eu/pages/reporting" TargetMode="External"/><Relationship Id="rId50" Type="http://schemas.openxmlformats.org/officeDocument/2006/relationships/image" Target="media/image18.png"/><Relationship Id="rId51" Type="http://schemas.openxmlformats.org/officeDocument/2006/relationships/image" Target="media/image19.png"/><Relationship Id="rId52" Type="http://schemas.openxmlformats.org/officeDocument/2006/relationships/hyperlink" Target="http://www.eye2021.eu/" TargetMode="External"/><Relationship Id="rId53" Type="http://schemas.openxmlformats.org/officeDocument/2006/relationships/image" Target="media/image20.png"/><Relationship Id="rId54" Type="http://schemas.openxmlformats.org/officeDocument/2006/relationships/hyperlink" Target="https://european-youth-event.europarl.europa.eu/wp-content/uploads/2021/10/2021_EYE_Report-Booklet_A5_20-10-Accessible.pdf" TargetMode="External"/><Relationship Id="rId55" Type="http://schemas.openxmlformats.org/officeDocument/2006/relationships/hyperlink" Target="https://search.youthideas.eu/" TargetMode="External"/><Relationship Id="rId56" Type="http://schemas.openxmlformats.org/officeDocument/2006/relationships/hyperlink" Target="https://www.eesc.europa.eu/en/agenda/our-events/events/kickoff-event-conference-future-europe" TargetMode="External"/><Relationship Id="rId57" Type="http://schemas.openxmlformats.org/officeDocument/2006/relationships/hyperlink" Target="https://www.eesc.europa.eu/en/agenda/our-events/events/connecting-eu-2021" TargetMode="External"/><Relationship Id="rId58" Type="http://schemas.openxmlformats.org/officeDocument/2006/relationships/hyperlink" Target="https://www.eesc.europa.eu/en/agenda/our-events/events/shaping-europe-together" TargetMode="External"/><Relationship Id="rId59" Type="http://schemas.openxmlformats.org/officeDocument/2006/relationships/hyperlink" Target="https://cor.europa.eu/en/our-work/Pages/EURegionalBarometer-Survey-2021.aspx" TargetMode="External"/><Relationship Id="rId60" Type="http://schemas.openxmlformats.org/officeDocument/2006/relationships/hyperlink" Target="https://futureu.europa.eu/profiles/EU_COMMITTEE_REGIONS/activity" TargetMode="External"/><Relationship Id="rId61" Type="http://schemas.openxmlformats.org/officeDocument/2006/relationships/hyperlink" Target="https://cor.europa.eu/en/news/Pages/Report-of-the-High-Level-Group-on-European-Democracy.aspx" TargetMode="External"/><Relationship Id="rId62" Type="http://schemas.openxmlformats.org/officeDocument/2006/relationships/hyperlink" Target="https://cor.europa.eu/en/summits/2022" TargetMode="External"/><Relationship Id="rId63" Type="http://schemas.openxmlformats.org/officeDocument/2006/relationships/hyperlink" Target="https://cor.europa.eu/en/engage/brochures/Documents/Citizens, local politicians and the future of Europe/4666-final report lowres FIN.pdf" TargetMode="External"/><Relationship Id="rId64" Type="http://schemas.openxmlformats.org/officeDocument/2006/relationships/hyperlink" Target="https://urldefense.com/v3/__https:/eur01.safelinks.protection.outlook.com/?url=https*3A*2F*2Fwww.businesseurope.eu*2Fpublications*2Fconference-future-europe&amp;data=05*7C01*7Clrepetti*40etuc.org*7Cd0bf6bce94584f609b7f08da2436f672*7C7a57d45075f34a4da90dac04a367b91a*7C0*7C0*7C637862115734132632*7CUnknown*7CTWFpbGZsb3d8eyJWIjoiMC4wLjAwMDAiLCJQIjoiV2luMzIiLCJBTiI6Ik1haWwiLCJXVCI6Mn0*3D*7C3000*7C*7C*7C&amp;sdata=R0ZPyMIpzVtyVKxslbwXDoXM*2BAyxIZsOnd1d87UgzYk*3D&amp;reserved=0__;JSUlJSUlJSUlJSUlJSUlJSUlJSUlJQ!!DOxrgLBm!EVXnpmdPMnr1b8zwRLNfRbrIUw0-wYmbVL-_FRTf4p4-H6cCU3xBRXl67BONxyxUt7bSc5ygS0GnATILPoBus7eKzgaBFQ$" TargetMode="External"/><Relationship Id="rId65" Type="http://schemas.openxmlformats.org/officeDocument/2006/relationships/hyperlink" Target="https://urldefense.com/v3/__https:/eur01.safelinks.protection.outlook.com/?url=https*3A*2F*2Fsgieurope.org*2Fnews*2Fsgi-europe-contributions-to-the-digital-platform-of-the-conference-on-the-future-of-europe*2F&amp;data=05*7C01*7Clrepetti*40etuc.org*7Cd0bf6bce94584f609b7f08da2436f672*7C7a57d45075f34a4da90dac04a367b91a*7C0*7C0*7C637862115734132632*7CUnknown*7CTWFpbGZsb3d8eyJWIjoiMC4wLjAwMDAiLCJQIjoiV2luMzIiLCJBTiI6Ik1haWwiLCJXVCI6Mn0*3D*7C3000*7C*7C*7C&amp;sdata=*2FkaIN9DU1n02W6lwYRXRWxjl3k3NXQfTh4MXMd9o5ec*3D&amp;reserved=0__;JSUlJSUlJSUlJSUlJSUlJSUlJSUlJSU!!DOxrgLBm!EVXnpmdPMnr1b8zwRLNfRbrIUw0-wYmbVL-_FRTf4p4-H6cCU3xBRXl67BONxyxUt7bSc5ygS0GnATILPoBus7eSbklT4g$" TargetMode="External"/><Relationship Id="rId66" Type="http://schemas.openxmlformats.org/officeDocument/2006/relationships/hyperlink" Target="https://urldefense.com/v3/__https:/eur01.safelinks.protection.outlook.com/?url=https*3A*2F*2Fwww.smeunited.eu*2Fnews*2Fsmes-set-priorities-to-empower-the-future-of-europe&amp;data=05*7C01*7Clrepetti*40etuc.org*7Cd0bf6bce94584f609b7f08da2436f672*7C7a57d45075f34a4da90dac04a367b91a*7C0*7C0*7C637862115734132632*7CUnknown*7CTWFpbGZsb3d8eyJWIjoiMC4wLjAwMDAiLCJQIjoiV2luMzIiLCJBTiI6Ik1haWwiLCJXVCI6Mn0*3D*7C3000*7C*7C*7C&amp;sdata=UDlDXYbVN5kYwkeyMWsIBYVF*2BdigrVxYhjV2WuFcn4M*3D&amp;reserved=0__;JSUlJSUlJSUlJSUlJSUlJSUlJSUlJQ!!DOxrgLBm!EVXnpmdPMnr1b8zwRLNfRbrIUw0-wYmbVL-_FRTf4p4-H6cCU3xBRXl67BONxyxUt7bSc5ygS0GnATILPoBus7furzkJBA$" TargetMode="External"/><Relationship Id="rId67" Type="http://schemas.openxmlformats.org/officeDocument/2006/relationships/hyperlink" Target="https://urldefense.com/v3/__http:/civilsocietyeurope.eu/civil-society-convention-on-the-future-of-europe/__;!!DOxrgLBm!USrgw0ykk4Rr_7OEucFYoNO-h98D1sH5xfD-7Qmm48-t_TKrps6LcRBXC7_VkAjjVVGY7-clIExnQQ$" TargetMode="External"/><Relationship Id="rId68" Type="http://schemas.openxmlformats.org/officeDocument/2006/relationships/hyperlink" Target="https://urldefense.com/v3/__https:/europeanmovement.eu/__;!!DOxrgLBm!USrgw0ykk4Rr_7OEucFYoNO-h98D1sH5xfD-7Qmm48-t_TKrps6LcRBXC7_VkAjjVVGY7-cLezPKmw$" TargetMode="External"/><Relationship Id="rId69" Type="http://schemas.openxmlformats.org/officeDocument/2006/relationships/hyperlink" Target="https://urldefense.com/v3/__https:/europeanmovement.eu/event-category/emi-events/?content_type=event&amp;tax_id=44&amp;showpastevents=1&amp;eventdatedesc=1__;!!DOxrgLBm!USrgw0ykk4Rr_7OEucFYoNO-h98D1sH5xfD-7Qmm48-t_TKrps6LcRBXC7_VkAjjVVGY7-duHAsLmg$" TargetMode="External"/><Relationship Id="rId70" Type="http://schemas.openxmlformats.org/officeDocument/2006/relationships/hyperlink" Target="https://urldefense.com/v3/__http:/civilsocietyeurope.eu/4th-conference-on-the-future-of-europe-plenary/__;!!DOxrgLBm!USrgw0ykk4Rr_7OEucFYoNO-h98D1sH5xfD-7Qmm48-t_TKrps6LcRBXC7_VkAjjVVGY7-fF2tswkA$" TargetMode="External"/><Relationship Id="rId71" Type="http://schemas.openxmlformats.org/officeDocument/2006/relationships/hyperlink" Target="https://urldefense.com/v3/__http:/civilsocietyeurope.eu/civil-society-convention-on-the-future-of-europe/thematic-clusters/__;!!DOxrgLBm!USrgw0ykk4Rr_7OEucFYoNO-h98D1sH5xfD-7Qmm48-t_TKrps6LcRBXC7_VkAjjVVGY7-fwba3XGA$" TargetMode="External"/><Relationship Id="rId72" Type="http://schemas.openxmlformats.org/officeDocument/2006/relationships/hyperlink" Target="https://urldefense.com/v3/__https:/europeanmovement.eu/conference-on-the-future-of-europe/__;!!DOxrgLBm!USrgw0ykk4Rr_7OEucFYoNO-h98D1sH5xfD-7Qmm48-t_TKrps6LcRBXC7_VkAjjVVGY7-coTvKNzA$" TargetMode="External"/><Relationship Id="rId73" Type="http://schemas.openxmlformats.org/officeDocument/2006/relationships/image" Target="media/image21.png"/><Relationship Id="rId74" Type="http://schemas.openxmlformats.org/officeDocument/2006/relationships/image" Target="media/image22.png"/><Relationship Id="rId75" Type="http://schemas.openxmlformats.org/officeDocument/2006/relationships/image" Target="media/image23.png"/><Relationship Id="rId76" Type="http://schemas.openxmlformats.org/officeDocument/2006/relationships/image" Target="media/image24.png"/><Relationship Id="rId77" Type="http://schemas.openxmlformats.org/officeDocument/2006/relationships/image" Target="media/image25.png"/><Relationship Id="rId78" Type="http://schemas.openxmlformats.org/officeDocument/2006/relationships/image" Target="media/image26.png"/><Relationship Id="rId79" Type="http://schemas.openxmlformats.org/officeDocument/2006/relationships/image" Target="media/image27.png"/><Relationship Id="rId80" Type="http://schemas.openxmlformats.org/officeDocument/2006/relationships/image" Target="media/image28.png"/><Relationship Id="rId81" Type="http://schemas.openxmlformats.org/officeDocument/2006/relationships/image" Target="media/image29.png"/><Relationship Id="rId82" Type="http://schemas.openxmlformats.org/officeDocument/2006/relationships/image" Target="media/image30.png"/><Relationship Id="rId83" Type="http://schemas.openxmlformats.org/officeDocument/2006/relationships/image" Target="media/image31.png"/><Relationship Id="rId84" Type="http://schemas.openxmlformats.org/officeDocument/2006/relationships/image" Target="media/image32.png"/><Relationship Id="rId85" Type="http://schemas.openxmlformats.org/officeDocument/2006/relationships/image" Target="media/image33.png"/><Relationship Id="rId86" Type="http://schemas.openxmlformats.org/officeDocument/2006/relationships/hyperlink" Target="https://participation-citoyenne.gouv.fr/sites/default/files/2021-11/20211126 - COFE - Rapport final.pdf" TargetMode="External"/><Relationship Id="rId87" Type="http://schemas.openxmlformats.org/officeDocument/2006/relationships/hyperlink" Target="https://participation-citoyenne.gouv.fr/sites/default/files/2021-11/20211126 - COFE - Rapport final.pdf" TargetMode="External"/><Relationship Id="rId88" Type="http://schemas.openxmlformats.org/officeDocument/2006/relationships/image" Target="media/image34.png"/><Relationship Id="rId89" Type="http://schemas.openxmlformats.org/officeDocument/2006/relationships/image" Target="media/image35.png"/><Relationship Id="rId90" Type="http://schemas.openxmlformats.org/officeDocument/2006/relationships/image" Target="media/image36.png"/><Relationship Id="rId91" Type="http://schemas.openxmlformats.org/officeDocument/2006/relationships/image" Target="media/image37.png"/><Relationship Id="rId92" Type="http://schemas.openxmlformats.org/officeDocument/2006/relationships/image" Target="media/image38.png"/><Relationship Id="rId93" Type="http://schemas.openxmlformats.org/officeDocument/2006/relationships/image" Target="media/image39.png"/><Relationship Id="rId94" Type="http://schemas.openxmlformats.org/officeDocument/2006/relationships/image" Target="media/image40.png"/><Relationship Id="rId95" Type="http://schemas.openxmlformats.org/officeDocument/2006/relationships/image" Target="media/image41.png"/><Relationship Id="rId96" Type="http://schemas.openxmlformats.org/officeDocument/2006/relationships/image" Target="media/image42.png"/><Relationship Id="rId97" Type="http://schemas.openxmlformats.org/officeDocument/2006/relationships/image" Target="media/image43.png"/><Relationship Id="rId98" Type="http://schemas.openxmlformats.org/officeDocument/2006/relationships/image" Target="media/image44.png"/><Relationship Id="rId99" Type="http://schemas.openxmlformats.org/officeDocument/2006/relationships/image" Target="media/image45.wmf"/><Relationship Id="rId100" Type="http://schemas.openxmlformats.org/officeDocument/2006/relationships/image" Target="media/image46.png"/><Relationship Id="rId101" Type="http://schemas.openxmlformats.org/officeDocument/2006/relationships/image" Target="media/image47.png"/><Relationship Id="rId102" Type="http://schemas.openxmlformats.org/officeDocument/2006/relationships/image" Target="media/image48.png"/><Relationship Id="rId103" Type="http://schemas.openxmlformats.org/officeDocument/2006/relationships/image" Target="media/image49.png"/><Relationship Id="rId104" Type="http://schemas.openxmlformats.org/officeDocument/2006/relationships/image" Target="media/image50.png"/><Relationship Id="rId105" Type="http://schemas.openxmlformats.org/officeDocument/2006/relationships/image" Target="media/image51.png"/><Relationship Id="rId106" Type="http://schemas.openxmlformats.org/officeDocument/2006/relationships/image" Target="media/image52.png"/><Relationship Id="rId107" Type="http://schemas.openxmlformats.org/officeDocument/2006/relationships/image" Target="media/image53.png"/><Relationship Id="rId108" Type="http://schemas.openxmlformats.org/officeDocument/2006/relationships/image" Target="media/image54.png"/><Relationship Id="rId109" Type="http://schemas.openxmlformats.org/officeDocument/2006/relationships/image" Target="media/image55.png"/><Relationship Id="rId110" Type="http://schemas.openxmlformats.org/officeDocument/2006/relationships/image" Target="media/image56.png"/><Relationship Id="rId111" Type="http://schemas.openxmlformats.org/officeDocument/2006/relationships/image" Target="media/image57.png"/><Relationship Id="rId112" Type="http://schemas.openxmlformats.org/officeDocument/2006/relationships/image" Target="media/image58.png"/><Relationship Id="rId113" Type="http://schemas.openxmlformats.org/officeDocument/2006/relationships/image" Target="media/image59.png"/><Relationship Id="rId114" Type="http://schemas.openxmlformats.org/officeDocument/2006/relationships/hyperlink" Target="https://europa.eu/eurobarometer/surveys/detail/2256" TargetMode="External"/><Relationship Id="rId115" Type="http://schemas.openxmlformats.org/officeDocument/2006/relationships/hyperlink" Target="https://europa.eu/eurobarometer/surveys/detail/2256" TargetMode="External"/><Relationship Id="rId116" Type="http://schemas.openxmlformats.org/officeDocument/2006/relationships/hyperlink" Target="https://europa.eu/eurobarometer/surveys/detail/2256" TargetMode="External"/><Relationship Id="rId117" Type="http://schemas.openxmlformats.org/officeDocument/2006/relationships/hyperlink" Target="https://europa.eu/eurobarometer/surveys/detail/2532" TargetMode="External"/><Relationship Id="rId118" Type="http://schemas.openxmlformats.org/officeDocument/2006/relationships/image" Target="media/image60.png"/><Relationship Id="rId119" Type="http://schemas.openxmlformats.org/officeDocument/2006/relationships/hyperlink" Target="http://www.kijkopeuropa.nl/" TargetMode="External"/><Relationship Id="rId120" Type="http://schemas.openxmlformats.org/officeDocument/2006/relationships/image" Target="media/image61.png"/><Relationship Id="rId121" Type="http://schemas.openxmlformats.org/officeDocument/2006/relationships/hyperlink" Target="https://futureu.europa.eu/pages/belgium" TargetMode="External"/><Relationship Id="rId122" Type="http://schemas.openxmlformats.org/officeDocument/2006/relationships/hyperlink" Target="https://futureu.europa.eu/pages/bulgaria" TargetMode="External"/><Relationship Id="rId123" Type="http://schemas.openxmlformats.org/officeDocument/2006/relationships/hyperlink" Target="https://futureu.europa.eu/pages/czechia" TargetMode="External"/><Relationship Id="rId124" Type="http://schemas.openxmlformats.org/officeDocument/2006/relationships/hyperlink" Target="https://futureu.europa.eu/pages/czechia" TargetMode="External"/><Relationship Id="rId125" Type="http://schemas.openxmlformats.org/officeDocument/2006/relationships/hyperlink" Target="https://futureu.europa.eu/pages/denmark" TargetMode="External"/><Relationship Id="rId126" Type="http://schemas.openxmlformats.org/officeDocument/2006/relationships/hyperlink" Target="https://futureu.europa.eu/pages/germany" TargetMode="External"/><Relationship Id="rId127" Type="http://schemas.openxmlformats.org/officeDocument/2006/relationships/hyperlink" Target="https://futureu.europa.eu/pages/germany" TargetMode="External"/><Relationship Id="rId128" Type="http://schemas.openxmlformats.org/officeDocument/2006/relationships/hyperlink" Target="https://futureu.europa.eu/pages/estonia" TargetMode="External"/><Relationship Id="rId129" Type="http://schemas.openxmlformats.org/officeDocument/2006/relationships/hyperlink" Target="https://futureu.europa.eu/pages/ireland" TargetMode="External"/><Relationship Id="rId130" Type="http://schemas.openxmlformats.org/officeDocument/2006/relationships/hyperlink" Target="https://futureu.europa.eu/pages/greece" TargetMode="External"/><Relationship Id="rId131" Type="http://schemas.openxmlformats.org/officeDocument/2006/relationships/hyperlink" Target="https://futureu.europa.eu/pages/spain" TargetMode="External"/><Relationship Id="rId132" Type="http://schemas.openxmlformats.org/officeDocument/2006/relationships/hyperlink" Target="https://futureu.europa.eu/pages/france" TargetMode="External"/><Relationship Id="rId133" Type="http://schemas.openxmlformats.org/officeDocument/2006/relationships/hyperlink" Target="https://futureu.europa.eu/pages/croatia" TargetMode="External"/><Relationship Id="rId134" Type="http://schemas.openxmlformats.org/officeDocument/2006/relationships/hyperlink" Target="https://futureu.europa.eu/pages/italy" TargetMode="External"/><Relationship Id="rId135" Type="http://schemas.openxmlformats.org/officeDocument/2006/relationships/hyperlink" Target="https://futureu.europa.eu/pages/cyprus" TargetMode="External"/><Relationship Id="rId136" Type="http://schemas.openxmlformats.org/officeDocument/2006/relationships/hyperlink" Target="https://futureu.europa.eu/pages/latvia" TargetMode="External"/><Relationship Id="rId137" Type="http://schemas.openxmlformats.org/officeDocument/2006/relationships/hyperlink" Target="https://futureu.europa.eu/pages/lithuania" TargetMode="External"/><Relationship Id="rId138" Type="http://schemas.openxmlformats.org/officeDocument/2006/relationships/hyperlink" Target="https://futureu.europa.eu/pages/luxembourg" TargetMode="External"/><Relationship Id="rId139" Type="http://schemas.openxmlformats.org/officeDocument/2006/relationships/hyperlink" Target="https://futureu.europa.eu/pages/hungary" TargetMode="External"/><Relationship Id="rId140" Type="http://schemas.openxmlformats.org/officeDocument/2006/relationships/hyperlink" Target="https://futureu.europa.eu/pages/malta" TargetMode="External"/><Relationship Id="rId141" Type="http://schemas.openxmlformats.org/officeDocument/2006/relationships/hyperlink" Target="https://futureu.europa.eu/pages/netherlands" TargetMode="External"/><Relationship Id="rId142" Type="http://schemas.openxmlformats.org/officeDocument/2006/relationships/hyperlink" Target="https://futureu.europa.eu/pages/austria" TargetMode="External"/><Relationship Id="rId143" Type="http://schemas.openxmlformats.org/officeDocument/2006/relationships/hyperlink" Target="https://futureu.europa.eu/pages/poland" TargetMode="External"/><Relationship Id="rId144" Type="http://schemas.openxmlformats.org/officeDocument/2006/relationships/hyperlink" Target="https://futureu.europa.eu/pages/portugal" TargetMode="External"/><Relationship Id="rId145" Type="http://schemas.openxmlformats.org/officeDocument/2006/relationships/hyperlink" Target="https://futureu.europa.eu/pages/romania" TargetMode="External"/><Relationship Id="rId146" Type="http://schemas.openxmlformats.org/officeDocument/2006/relationships/hyperlink" Target="https://futureu.europa.eu/pages/slovenia" TargetMode="External"/><Relationship Id="rId147" Type="http://schemas.openxmlformats.org/officeDocument/2006/relationships/hyperlink" Target="https://futureu.europa.eu/pages/slovakia" TargetMode="External"/><Relationship Id="rId148" Type="http://schemas.openxmlformats.org/officeDocument/2006/relationships/hyperlink" Target="https://futureu.europa.eu/pages/finland" TargetMode="External"/><Relationship Id="rId149" Type="http://schemas.openxmlformats.org/officeDocument/2006/relationships/hyperlink" Target="https://futureu.europa.eu/pages/sweden" TargetMode="External"/><Relationship Id="rId150" Type="http://schemas.openxmlformats.org/officeDocument/2006/relationships/hyperlink" Target="https://futureu.europa.eu/rails/active_storage/blobs/eyJfcmFpbHMiOnsibWVzc2FnZSI6IkJBaHBBcm4rIiwiZXhwIjpudWxsLCJwdXIiOiJibG9iX2lkIn19--1ea88b90a6936d6de6f7774d037d12937083f5a2/Kantar Report March 2022 Final.en22.pdf" TargetMode="External"/><Relationship Id="rId151" Type="http://schemas.openxmlformats.org/officeDocument/2006/relationships/hyperlink" Target="https://futureu.europa.eu/rails/active_storage/blobs/eyJfcmFpbHMiOnsibWVzc2FnZSI6IkJBaHBBcm4rIiwiZXhwIjpudWxsLCJwdXIiOiJibG9iX2lkIn19--1ea88b90a6936d6de6f7774d037d12937083f5a2/Kantar Report March 2022 Final.en22.pdf" TargetMode="External"/><Relationship Id="rId152" Type="http://schemas.openxmlformats.org/officeDocument/2006/relationships/hyperlink" Target="https://futureu.europa.eu/rails/active_storage/blobs/eyJfcmFpbHMiOnsibWVzc2FnZSI6IkJBaHBBcm4rIiwiZXhwIjpudWxsLCJwdXIiOiJibG9iX2lkIn19--1ea88b90a6936d6de6f7774d037d12937083f5a2/Kantar Report March 2022 Final.en22.pdf" TargetMode="External"/><Relationship Id="rId153" Type="http://schemas.openxmlformats.org/officeDocument/2006/relationships/image" Target="media/image62.png"/><Relationship Id="rId154" Type="http://schemas.openxmlformats.org/officeDocument/2006/relationships/footnotes" Target="footnotes.xml"/><Relationship Id="rId155" Type="http://schemas.openxmlformats.org/officeDocument/2006/relationships/endnotes" Target="endnotes.xml"/><Relationship Id="rId156" Type="http://schemas.openxmlformats.org/officeDocument/2006/relationships/comments" Target="comments.xml"/><Relationship Id="rId157" Type="http://schemas.openxmlformats.org/officeDocument/2006/relationships/numbering" Target="numbering.xml"/><Relationship Id="rId158" Type="http://schemas.openxmlformats.org/officeDocument/2006/relationships/fontTable" Target="fontTable.xml"/><Relationship Id="rId159" Type="http://schemas.openxmlformats.org/officeDocument/2006/relationships/settings" Target="settings.xml"/>
</Relationships>
</file>

<file path=word/_rels/endnotes.xml.rels><?xml version="1.0" encoding="UTF-8"?>
<Relationships xmlns="http://schemas.openxmlformats.org/package/2006/relationships"><Relationship Id="rId1" Type="http://schemas.openxmlformats.org/officeDocument/2006/relationships/hyperlink" Target="https://futureu.europa.eu/processes/EUInTheWorld/f/16/proposals/197870?locale=fr" TargetMode="External"/>
</Relationships>
</file>

<file path=word/_rels/footnotes.xml.rels><?xml version="1.0" encoding="UTF-8"?>
<Relationships xmlns="http://schemas.openxmlformats.org/package/2006/relationships"><Relationship Id="rId1" Type="http://schemas.openxmlformats.org/officeDocument/2006/relationships/hyperlink" Target="https://futureu.europa.eu/" TargetMode="External"/><Relationship Id="rId2" Type="http://schemas.openxmlformats.org/officeDocument/2006/relationships/hyperlink" Target="https://futureu.europa.eu/uploads/decidim/attachment/file/4595/Conference_Charter_fr.pdf" TargetMode="External"/><Relationship Id="rId3" Type="http://schemas.openxmlformats.org/officeDocument/2006/relationships/hyperlink" Target="https://www.oecd.org/gov/open-government/innovative-citizen-participation-new-democratic-institutions-catching-the-deliberative-wave-highlights.pdf" TargetMode="External"/><Relationship Id="rId4" Type="http://schemas.openxmlformats.org/officeDocument/2006/relationships/hyperlink" Target="https://www.oecd.org/gov/open-government/innovative-citizen-participation-new-democratic-institutions-catching-the-deliberative-wave-highlights.pdf" TargetMode="External"/><Relationship Id="rId5" Type="http://schemas.openxmlformats.org/officeDocument/2006/relationships/hyperlink" Target="http://www.participation-citoyenne.gouv.fr/" TargetMode="External"/><Relationship Id="rId6" Type="http://schemas.openxmlformats.org/officeDocument/2006/relationships/hyperlink" Target="https://futureu.europa.eu/processes?locale=fr" TargetMode="External"/>
</Relationships>
</file>

<file path=docProps/app.xml><?xml version="1.0" encoding="utf-8"?>
<Properties xmlns="http://schemas.openxmlformats.org/officeDocument/2006/extended-properties" xmlns:vt="http://schemas.openxmlformats.org/officeDocument/2006/docPropsVTypes">
  <Template/>
  <TotalTime>2157</TotalTime>
  <Application>LibreOffice/6.0.2.1$Windows_x86 LibreOffice_project/f7f06a8f319e4b62f9bc5095aa112a65d2f3ac89</Application>
  <Pages>292</Pages>
  <Words>97399</Words>
  <Characters>588367</Characters>
  <CharactersWithSpaces>682693</CharactersWithSpaces>
  <Paragraphs>6026</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2022-05-31T09:31:16Z</dcterms:created>
  <dc:creator>Pierre Dieumegard</dc:creator>
  <dc:description/>
  <dc:language>fr-FR</dc:language>
  <cp:lastModifiedBy>Pierre Dieumegard</cp:lastModifiedBy>
  <dcterms:modified xsi:type="dcterms:W3CDTF">2022-09-01T16:46:12Z</dcterms:modified>
  <cp:revision>68</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15.0000</vt:lpwstr>
  </property>
</Properties>
</file>