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Conferință despre </w:t>
      </w:r>
      <w:r>
        <w:rPr/>
        <w:br/>
        <w:t>viitorul Europei</w:t>
      </w:r>
    </w:p>
    <w:p>
      <w:pPr>
        <w:pStyle w:val="P68B1DB1Normal2"/>
        <w:widowControl w:val="false"/>
        <w:spacing w:lineRule="exact" w:line="557"/>
        <w:ind w:left="56" w:right="1390" w:firstLine="8"/>
        <w:jc w:val="left"/>
        <w:rPr>
          <w:rFonts w:ascii="Arial" w:hAnsi="Arial"/>
          <w:color w:val="0000BE"/>
          <w:sz w:val="44"/>
        </w:rPr>
      </w:pPr>
      <w:r>
        <w:rPr/>
        <w:t xml:space="preserve">RAPORT PRIVIND REZULTATELE FINALE </w:t>
      </w:r>
    </w:p>
    <w:p>
      <w:pPr>
        <w:pStyle w:val="P68B1DB1Normal3"/>
        <w:widowControl w:val="false"/>
        <w:spacing w:lineRule="exact" w:line="557"/>
        <w:ind w:left="56" w:right="1390" w:hanging="0"/>
        <w:jc w:val="left"/>
        <w:rPr>
          <w:rFonts w:ascii="Roboto" w:hAnsi="Roboto"/>
          <w:color w:val="0000BE"/>
          <w:sz w:val="28"/>
        </w:rPr>
      </w:pPr>
      <w:r>
        <w:rPr/>
        <w:t>mai 2022</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Jocuri cu Jocul 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ocuri cu Jocul Image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Cadru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Jocuri cu Jocul 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curi cu Jocul Imag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Conferința privind</w:t>
                            </w:r>
                            <w:r>
                              <w:rPr>
                                <w:b/>
                              </w:rPr>
                              <w:t>viitorul</w:t>
                            </w:r>
                            <w:r>
                              <w:rPr/>
                              <w:t xml:space="preserve"> </w:t>
                            </w:r>
                            <w:r>
                              <w:rPr>
                                <w:b/>
                              </w:rPr>
                              <w:t>Europei</w:t>
                            </w:r>
                          </w:p>
                        </w:txbxContent>
                      </wps:txbx>
                      <wps:bodyPr lIns="54000" rIns="54000" tIns="54000" bIns="54000">
                        <a:noAutofit/>
                      </wps:bodyPr>
                    </wps:wsp>
                  </a:graphicData>
                </a:graphic>
              </wp:anchor>
            </w:drawing>
          </mc:Choice>
          <mc:Fallback>
            <w:pict>
              <v:rect id="shape_0" ID="Cadru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Jocuri cu Jocul 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ocuri cu Jocul Imag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Conferința privind</w:t>
                      </w:r>
                      <w:r>
                        <w:rPr>
                          <w:b/>
                        </w:rPr>
                        <w:t>viitorul</w:t>
                      </w:r>
                      <w:r>
                        <w:rPr/>
                        <w:t xml:space="preserve"> </w:t>
                      </w:r>
                      <w:r>
                        <w:rPr>
                          <w:b/>
                        </w:rPr>
                        <w:t>Europei</w:t>
                      </w:r>
                    </w:p>
                  </w:txbxContent>
                </v:textbox>
              </v:rect>
            </w:pict>
          </mc:Fallback>
        </mc:AlternateContent>
      </w:r>
      <w:r>
        <w:rPr>
          <w:b/>
          <w:color w:val="0000BE"/>
          <w:sz w:val="48"/>
        </w:rPr>
        <w:t>Viitorul</w:t>
      </w:r>
      <w:r>
        <w:rPr>
          <w:color w:val="0000BE"/>
          <w:sz w:val="48"/>
        </w:rPr>
        <w:t xml:space="preserve"> este</w:t>
      </w:r>
      <w:r>
        <w:rPr/>
        <w:t xml:space="preserve"> </w:t>
      </w:r>
    </w:p>
    <w:p>
      <w:pPr>
        <w:pStyle w:val="P68B1DB1Normal5"/>
        <w:widowControl w:val="false"/>
        <w:spacing w:lineRule="exact" w:line="576"/>
        <w:ind w:left="51" w:right="0" w:hanging="0"/>
        <w:jc w:val="left"/>
        <w:rPr>
          <w:rFonts w:ascii="Arial" w:hAnsi="Arial"/>
        </w:rPr>
      </w:pPr>
      <w:r>
        <w:rPr/>
        <w:t>în mâinile tale</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Cadru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Document elaborat de Pierre Dieumegard</w:t>
                            </w:r>
                            <w:r>
                              <w:rPr>
                                <w:color w:val="auto"/>
                              </w:rPr>
                              <w:drawing>
                                <wp:inline distT="0" distB="0" distL="0" distR="0">
                                  <wp:extent cx="2494280" cy="765175"/>
                                  <wp:effectExtent l="0" t="0" r="0" b="0"/>
                                  <wp:docPr id="8" name="Imagini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ini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pentru Europa-Democrație-Esperanto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Obiectivul acestui document „provizoriu” este de a permite unui număr mai mare de persoane din Uniunea Europeană să înțeleagă documentele elaborate pentru Uniunea Europeană (și finanțate prin contribuțiile lor). </w:t>
                            </w:r>
                            <w:hyperlink r:id="rId5">
                              <w:r>
                                <w:rPr>
                                  <w:rStyle w:val="LienInternet"/>
                                  <w:rFonts w:ascii="Times New Roman" w:hAnsi="Times New Roman"/>
                                  <w:color w:val="auto"/>
                                  <w:sz w:val="24"/>
                                </w:rPr>
                                <w:t xml:space="preserve">Documentul originalîn limba franceză în format pdf </w:t>
                              </w:r>
                            </w:hyperlink>
                            <w:r>
                              <w:rPr>
                                <w:rFonts w:ascii="Times New Roman" w:hAnsi="Times New Roman"/>
                                <w:color w:val="auto"/>
                                <w:sz w:val="24"/>
                              </w:rPr>
                              <w:t xml:space="preserve">a fost formatat folosind software-ul Libre Office. Traducerea în toate limbile oficiale ale Uniunii Europene se face prin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Am realizat această activitate din cauza necesității unui multilingvism mai bun în Uniunea Europeană: fără traduceri, o mare parte a populației este exclusă din dezbatere. </w:t>
                            </w:r>
                            <w:r>
                              <w:rPr>
                                <w:b/>
                                <w:color w:val="auto"/>
                              </w:rPr>
                              <w:t>Este de dorit ca administrația Uniunii Europene să preia traducerea unor documente importante, astfel încât toți europenii să poată înțelege despre ce este vorba și să discute împreună despre viitorul lor comun.</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Pentru o bună comunicare directă între cetățenii europeni, pentru traduceri fiabile, limba esperanto internațională ar fi foarte utilă datorită simplității, regularității și preciziei sale.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Pe internet: </w:t>
                            </w:r>
                          </w:p>
                          <w:p>
                            <w:pPr>
                              <w:pStyle w:val="Normal"/>
                              <w:rPr/>
                            </w:pPr>
                            <w:r>
                              <w:rPr>
                                <w:rFonts w:ascii="Times New Roman" w:hAnsi="Times New Roman"/>
                                <w:color w:val="auto"/>
                                <w:sz w:val="24"/>
                              </w:rPr>
                              <w:t xml:space="preserve"> </w:t>
                            </w:r>
                            <w:r>
                              <w:rPr>
                                <w:rFonts w:ascii="Times New Roman" w:hAnsi="Times New Roman"/>
                                <w:color w:val="auto"/>
                                <w:sz w:val="24"/>
                              </w:rPr>
                              <w:t>Federația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(sau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Asociația Europa-Democrație-Esperanto (Franța):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Documente europene în toate limbile oficiale: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În comparație cu documentul original, există unele modificări (îmbunătățiri?): </w:t>
                            </w:r>
                          </w:p>
                          <w:p>
                            <w:pPr>
                              <w:pStyle w:val="P68B1DB1Normal7"/>
                              <w:rPr>
                                <w:rFonts w:ascii="Times New Roman" w:hAnsi="Times New Roman"/>
                                <w:sz w:val="24"/>
                              </w:rPr>
                            </w:pPr>
                            <w:r>
                              <w:rPr>
                                <w:color w:val="auto"/>
                              </w:rPr>
                              <w:t>unele erori de ortografie au fost corectate. Poate au mai fost și alte greșeli?</w:t>
                            </w:r>
                          </w:p>
                          <w:p>
                            <w:pPr>
                              <w:pStyle w:val="P68B1DB1Normal7"/>
                              <w:rPr>
                                <w:rFonts w:ascii="Times New Roman" w:hAnsi="Times New Roman"/>
                                <w:sz w:val="24"/>
                              </w:rPr>
                            </w:pPr>
                            <w:r>
                              <w:rPr>
                                <w:color w:val="auto"/>
                              </w:rPr>
                              <w:t>aspectul a fost armonizat și toate paginile sunt numerotate în mod corespunzător (documentul inițial a fost o juxtapunere a fișierelor pdf separate cu numerotări independente).</w:t>
                            </w:r>
                          </w:p>
                          <w:p>
                            <w:pPr>
                              <w:pStyle w:val="P68B1DB1Normal7"/>
                              <w:rPr>
                                <w:rFonts w:ascii="Times New Roman" w:hAnsi="Times New Roman"/>
                                <w:sz w:val="24"/>
                              </w:rPr>
                            </w:pPr>
                            <w:r>
                              <w:rPr>
                                <w:color w:val="auto"/>
                              </w:rPr>
                              <w:t>notele finale au fost transformate în note de sfârșit de secțiune (în partea de jos a paginilor).</w:t>
                            </w:r>
                          </w:p>
                          <w:p>
                            <w:pPr>
                              <w:pStyle w:val="P68B1DB1Normal7"/>
                              <w:spacing w:before="57" w:after="57"/>
                              <w:rPr>
                                <w:color w:val="auto"/>
                              </w:rPr>
                            </w:pPr>
                            <w:r>
                              <w:rPr>
                                <w:color w:val="auto"/>
                              </w:rPr>
                              <w:t>documentele inițial sub formă de imagini au fost transformate în tabele pentru a fi traduse cu ușurință.</w:t>
                            </w:r>
                          </w:p>
                        </w:txbxContent>
                      </wps:txbx>
                      <wps:bodyPr lIns="54000" rIns="54000" tIns="54000" bIns="54000">
                        <a:noAutofit/>
                      </wps:bodyPr>
                    </wps:wsp>
                  </a:graphicData>
                </a:graphic>
              </wp:anchor>
            </w:drawing>
          </mc:Choice>
          <mc:Fallback>
            <w:pict>
              <v:rect id="shape_0" ID="Cadru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Document elaborat de Pierre Dieumegard</w:t>
                      </w:r>
                      <w:r>
                        <w:rPr>
                          <w:color w:val="auto"/>
                        </w:rPr>
                        <w:drawing>
                          <wp:inline distT="0" distB="0" distL="0" distR="0">
                            <wp:extent cx="2494280" cy="765175"/>
                            <wp:effectExtent l="0" t="0" r="0" b="0"/>
                            <wp:docPr id="9" name="Imagini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ini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pentru Europa-Democrație-Esperanto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Obiectivul acestui document „provizoriu” este de a permite unui număr mai mare de persoane din Uniunea Europeană să înțeleagă documentele elaborate pentru Uniunea Europeană (și finanțate prin contribuțiile lor). </w:t>
                      </w:r>
                      <w:hyperlink r:id="rId11">
                        <w:r>
                          <w:rPr>
                            <w:rStyle w:val="LienInternet"/>
                            <w:rFonts w:ascii="Times New Roman" w:hAnsi="Times New Roman"/>
                            <w:color w:val="auto"/>
                            <w:sz w:val="24"/>
                          </w:rPr>
                          <w:t xml:space="preserve">Documentul originalîn limba franceză în format pdf </w:t>
                        </w:r>
                      </w:hyperlink>
                      <w:r>
                        <w:rPr>
                          <w:rFonts w:ascii="Times New Roman" w:hAnsi="Times New Roman"/>
                          <w:color w:val="auto"/>
                          <w:sz w:val="24"/>
                        </w:rPr>
                        <w:t xml:space="preserve">a fost formatat folosind software-ul Libre Office. Traducerea în toate limbile oficiale ale Uniunii Europene se face prin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Am realizat această activitate din cauza necesității unui multilingvism mai bun în Uniunea Europeană: fără traduceri, o mare parte a populației este exclusă din dezbatere. </w:t>
                      </w:r>
                      <w:r>
                        <w:rPr>
                          <w:b/>
                          <w:color w:val="auto"/>
                        </w:rPr>
                        <w:t>Este de dorit ca administrația Uniunii Europene să preia traducerea unor documente importante, astfel încât toți europenii să poată înțelege despre ce este vorba și să discute împreună despre viitorul lor comun.</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Pentru o bună comunicare directă între cetățenii europeni, pentru traduceri fiabile, limba esperanto internațională ar fi foarte utilă datorită simplității, regularității și preciziei sale.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Pe internet: </w:t>
                      </w:r>
                    </w:p>
                    <w:p>
                      <w:pPr>
                        <w:pStyle w:val="Normal"/>
                        <w:rPr/>
                      </w:pPr>
                      <w:r>
                        <w:rPr>
                          <w:rFonts w:ascii="Times New Roman" w:hAnsi="Times New Roman"/>
                          <w:color w:val="auto"/>
                          <w:sz w:val="24"/>
                        </w:rPr>
                        <w:t xml:space="preserve"> </w:t>
                      </w:r>
                      <w:r>
                        <w:rPr>
                          <w:rFonts w:ascii="Times New Roman" w:hAnsi="Times New Roman"/>
                          <w:color w:val="auto"/>
                          <w:sz w:val="24"/>
                        </w:rPr>
                        <w:t>Federația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(sau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Asociația Europa-Democrație-Esperanto (Franța):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Documente europene în toate limbile oficiale: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În comparație cu documentul original, există unele modificări (îmbunătățiri?): </w:t>
                      </w:r>
                    </w:p>
                    <w:p>
                      <w:pPr>
                        <w:pStyle w:val="P68B1DB1Normal7"/>
                        <w:rPr>
                          <w:rFonts w:ascii="Times New Roman" w:hAnsi="Times New Roman"/>
                          <w:sz w:val="24"/>
                        </w:rPr>
                      </w:pPr>
                      <w:r>
                        <w:rPr>
                          <w:color w:val="auto"/>
                        </w:rPr>
                        <w:t>unele erori de ortografie au fost corectate. Poate au mai fost și alte greșeli?</w:t>
                      </w:r>
                    </w:p>
                    <w:p>
                      <w:pPr>
                        <w:pStyle w:val="P68B1DB1Normal7"/>
                        <w:rPr>
                          <w:rFonts w:ascii="Times New Roman" w:hAnsi="Times New Roman"/>
                          <w:sz w:val="24"/>
                        </w:rPr>
                      </w:pPr>
                      <w:r>
                        <w:rPr>
                          <w:color w:val="auto"/>
                        </w:rPr>
                        <w:t>aspectul a fost armonizat și toate paginile sunt numerotate în mod corespunzător (documentul inițial a fost o juxtapunere a fișierelor pdf separate cu numerotări independente).</w:t>
                      </w:r>
                    </w:p>
                    <w:p>
                      <w:pPr>
                        <w:pStyle w:val="P68B1DB1Normal7"/>
                        <w:rPr>
                          <w:rFonts w:ascii="Times New Roman" w:hAnsi="Times New Roman"/>
                          <w:sz w:val="24"/>
                        </w:rPr>
                      </w:pPr>
                      <w:r>
                        <w:rPr>
                          <w:color w:val="auto"/>
                        </w:rPr>
                        <w:t>notele finale au fost transformate în note de sfârșit de secțiune (în partea de jos a paginilor).</w:t>
                      </w:r>
                    </w:p>
                    <w:p>
                      <w:pPr>
                        <w:pStyle w:val="P68B1DB1Normal7"/>
                        <w:spacing w:before="57" w:after="57"/>
                        <w:rPr>
                          <w:color w:val="auto"/>
                        </w:rPr>
                      </w:pPr>
                      <w:r>
                        <w:rPr>
                          <w:color w:val="auto"/>
                        </w:rPr>
                        <w:t>documentele inițial sub formă de imagini au fost transformate în tabele pentru a fi traduse cu ușurință.</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Tabelul de conținut</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Arhitectura conferinței</w:t>
              <w:tab/>
              <w:t>7</w:t>
            </w:r>
          </w:hyperlink>
        </w:p>
        <w:p>
          <w:pPr>
            <w:pStyle w:val="Tabledesmatiresniveau2"/>
            <w:tabs>
              <w:tab w:val="right" w:pos="9638" w:leader="dot"/>
            </w:tabs>
            <w:rPr/>
          </w:pPr>
          <w:hyperlink w:anchor="__RefHeading___Toc298048_1346298689">
            <w:r>
              <w:rPr>
                <w:rStyle w:val="Sautdindex"/>
              </w:rPr>
              <w:t>1. Declarație comună</w:t>
              <w:tab/>
              <w:t>8</w:t>
            </w:r>
          </w:hyperlink>
        </w:p>
        <w:p>
          <w:pPr>
            <w:pStyle w:val="Tabledesmatiresniveau2"/>
            <w:tabs>
              <w:tab w:val="right" w:pos="9638" w:leader="dot"/>
            </w:tabs>
            <w:rPr/>
          </w:pPr>
          <w:hyperlink w:anchor="__RefHeading___Toc298050_1346298689">
            <w:r>
              <w:rPr>
                <w:rStyle w:val="Sautdindex"/>
              </w:rPr>
              <w:t>2. Regulamentul de procedură</w:t>
              <w:tab/>
              <w:t>9</w:t>
            </w:r>
          </w:hyperlink>
        </w:p>
        <w:p>
          <w:pPr>
            <w:pStyle w:val="Tabledesmatiresniveau2"/>
            <w:tabs>
              <w:tab w:val="right" w:pos="9638" w:leader="dot"/>
            </w:tabs>
            <w:rPr/>
          </w:pPr>
          <w:hyperlink w:anchor="__RefHeading___Toc298052_1346298689">
            <w:r>
              <w:rPr>
                <w:rStyle w:val="Sautdindex"/>
              </w:rPr>
              <w:t>3. Evenimente legate de conferință</w:t>
              <w:tab/>
              <w:t>9</w:t>
            </w:r>
          </w:hyperlink>
        </w:p>
        <w:p>
          <w:pPr>
            <w:pStyle w:val="Tabledesmatiresniveau2"/>
            <w:tabs>
              <w:tab w:val="right" w:pos="9638" w:leader="dot"/>
            </w:tabs>
            <w:rPr/>
          </w:pPr>
          <w:hyperlink w:anchor="__RefHeading___Toc298054_1346298689">
            <w:r>
              <w:rPr>
                <w:rStyle w:val="Sautdindex"/>
              </w:rPr>
              <w:t>4. Punerea în aplicare a platformei digitale multilingve</w:t>
              <w:tab/>
              <w:t>9</w:t>
            </w:r>
          </w:hyperlink>
        </w:p>
        <w:p>
          <w:pPr>
            <w:pStyle w:val="Tabledesmatiresniveau2"/>
            <w:tabs>
              <w:tab w:val="right" w:pos="9638" w:leader="dot"/>
            </w:tabs>
            <w:rPr/>
          </w:pPr>
          <w:hyperlink w:anchor="__RefHeading___Toc298056_1346298689">
            <w:r>
              <w:rPr>
                <w:rStyle w:val="Sautdindex"/>
              </w:rPr>
              <w:t>5. Grupurile cetățenești europene</w:t>
              <w:tab/>
              <w:t>10</w:t>
            </w:r>
          </w:hyperlink>
        </w:p>
        <w:p>
          <w:pPr>
            <w:pStyle w:val="Tabledesmatiresniveau2"/>
            <w:tabs>
              <w:tab w:val="right" w:pos="9638" w:leader="dot"/>
            </w:tabs>
            <w:rPr/>
          </w:pPr>
          <w:hyperlink w:anchor="__RefHeading___Toc298058_1346298689">
            <w:r>
              <w:rPr>
                <w:rStyle w:val="Sautdindex"/>
              </w:rPr>
              <w:t>6. Grupurile naționale cetățenești</w:t>
              <w:tab/>
              <w:t>10</w:t>
            </w:r>
          </w:hyperlink>
        </w:p>
        <w:p>
          <w:pPr>
            <w:pStyle w:val="Tabledesmatiresniveau1"/>
            <w:tabs>
              <w:tab w:val="right" w:pos="9638" w:leader="dot"/>
            </w:tabs>
            <w:rPr/>
          </w:pPr>
          <w:hyperlink w:anchor="__RefHeading___Toc298188_1346298689">
            <w:r>
              <w:rPr>
                <w:rStyle w:val="Sautdindex"/>
              </w:rPr>
              <w:t>NU, NU, NU, NU. Contribuțiile cetățenilor la conferință</w:t>
              <w:tab/>
              <w:t>11</w:t>
            </w:r>
          </w:hyperlink>
        </w:p>
        <w:p>
          <w:pPr>
            <w:pStyle w:val="Tabledesmatiresniveau2"/>
            <w:tabs>
              <w:tab w:val="right" w:pos="9638" w:leader="dot"/>
            </w:tabs>
            <w:rPr/>
          </w:pPr>
          <w:hyperlink w:anchor="__RefHeading___Toc298190_1346298689">
            <w:r>
              <w:rPr>
                <w:rStyle w:val="Sautdindex"/>
              </w:rPr>
              <w:t>A. Platforma digitală multilingvă</w:t>
              <w:tab/>
              <w:t>12</w:t>
            </w:r>
          </w:hyperlink>
        </w:p>
        <w:p>
          <w:pPr>
            <w:pStyle w:val="Tabledesmatiresniveau2"/>
            <w:tabs>
              <w:tab w:val="right" w:pos="9638" w:leader="dot"/>
            </w:tabs>
            <w:rPr/>
          </w:pPr>
          <w:hyperlink w:anchor="__RefHeading___Toc298192_1346298689">
            <w:r>
              <w:rPr>
                <w:rStyle w:val="Sautdindex"/>
              </w:rPr>
              <w:t>B. Grupurile cetățenești</w:t>
              <w:tab/>
              <w:t>17</w:t>
            </w:r>
          </w:hyperlink>
        </w:p>
        <w:p>
          <w:pPr>
            <w:pStyle w:val="Tabledesmatiresniveau2"/>
            <w:tabs>
              <w:tab w:val="right" w:pos="9638" w:leader="dot"/>
            </w:tabs>
            <w:rPr/>
          </w:pPr>
          <w:hyperlink w:anchor="__RefHeading___Toc298228_1346298689">
            <w:r>
              <w:rPr>
                <w:rStyle w:val="Sautdindex"/>
              </w:rPr>
              <w:t>C. Evenimente organizate în cadrul conferinței</w:t>
              <w:tab/>
              <w:t>27</w:t>
            </w:r>
          </w:hyperlink>
        </w:p>
        <w:p>
          <w:pPr>
            <w:pStyle w:val="Tabledesmatiresniveau1"/>
            <w:tabs>
              <w:tab w:val="right" w:pos="9638" w:leader="dot"/>
            </w:tabs>
            <w:rPr/>
          </w:pPr>
          <w:hyperlink w:anchor="__RefHeading___Toc298238_1346298689">
            <w:r>
              <w:rPr>
                <w:rStyle w:val="Sautdindex"/>
              </w:rPr>
              <w:t>III. Adunarea Plenară a Conferinței</w:t>
              <w:tab/>
              <w:t>37</w:t>
            </w:r>
          </w:hyperlink>
        </w:p>
        <w:p>
          <w:pPr>
            <w:pStyle w:val="Tabledesmatiresniveau2"/>
            <w:tabs>
              <w:tab w:val="right" w:pos="9638" w:leader="dot"/>
            </w:tabs>
            <w:rPr/>
          </w:pPr>
          <w:hyperlink w:anchor="__RefHeading___Toc298240_1346298689">
            <w:r>
              <w:rPr>
                <w:rStyle w:val="Sautdindex"/>
              </w:rPr>
              <w:t>A. Rolul și funcționarea Adunării Plenare</w:t>
              <w:tab/>
              <w:t>38</w:t>
            </w:r>
          </w:hyperlink>
        </w:p>
        <w:p>
          <w:pPr>
            <w:pStyle w:val="Tabledesmatiresniveau2"/>
            <w:tabs>
              <w:tab w:val="right" w:pos="9638" w:leader="dot"/>
            </w:tabs>
            <w:rPr/>
          </w:pPr>
          <w:hyperlink w:anchor="__RefHeading___Toc298242_1346298689">
            <w:r>
              <w:rPr>
                <w:rStyle w:val="Sautdindex"/>
              </w:rPr>
              <w:t>B. Grupuri de lucru</w:t>
              <w:tab/>
              <w:t>39</w:t>
            </w:r>
          </w:hyperlink>
        </w:p>
        <w:p>
          <w:pPr>
            <w:pStyle w:val="Tabledesmatiresniveau2"/>
            <w:tabs>
              <w:tab w:val="right" w:pos="9638" w:leader="dot"/>
            </w:tabs>
            <w:rPr/>
          </w:pPr>
          <w:hyperlink w:anchor="__RefHeading___Toc298244_1346298689">
            <w:r>
              <w:rPr>
                <w:rStyle w:val="Sautdindex"/>
              </w:rPr>
              <w:t>C. Rezumat cronologic</w:t>
              <w:tab/>
              <w:t>40</w:t>
            </w:r>
          </w:hyperlink>
        </w:p>
        <w:p>
          <w:pPr>
            <w:pStyle w:val="Tabledesmatiresniveau1"/>
            <w:tabs>
              <w:tab w:val="right" w:pos="9638" w:leader="dot"/>
            </w:tabs>
            <w:rPr/>
          </w:pPr>
          <w:hyperlink w:anchor="__RefHeading___Toc298246_1346298689">
            <w:r>
              <w:rPr>
                <w:rStyle w:val="Sautdindex"/>
              </w:rPr>
              <w:t>ÎN AL PATRULEA RÂND. Propunerile Adunării Plenare</w:t>
              <w:tab/>
              <w:t>46</w:t>
            </w:r>
          </w:hyperlink>
        </w:p>
        <w:p>
          <w:pPr>
            <w:pStyle w:val="Tabledesmatiresniveau2"/>
            <w:tabs>
              <w:tab w:val="right" w:pos="9638" w:leader="dot"/>
            </w:tabs>
            <w:rPr/>
          </w:pPr>
          <w:hyperlink w:anchor="__RefHeading___Toc298248_1346298689">
            <w:r>
              <w:rPr>
                <w:rStyle w:val="Sautdindex"/>
              </w:rPr>
              <w:t>Schimbările climatice și mediul</w:t>
              <w:tab/>
              <w:t>47</w:t>
            </w:r>
          </w:hyperlink>
        </w:p>
        <w:p>
          <w:pPr>
            <w:pStyle w:val="Tabledesmatiresniveau2"/>
            <w:tabs>
              <w:tab w:val="right" w:pos="9638" w:leader="dot"/>
            </w:tabs>
            <w:rPr/>
          </w:pPr>
          <w:hyperlink w:anchor="__RefHeading___Toc298272_1346298689">
            <w:r>
              <w:rPr>
                <w:rStyle w:val="Sautdindex"/>
              </w:rPr>
              <w:t>„</w:t>
            </w:r>
            <w:r>
              <w:rPr>
                <w:rStyle w:val="Sautdindex"/>
              </w:rPr>
              <w:t>Sănătate”</w:t>
              <w:tab/>
              <w:t>53</w:t>
            </w:r>
          </w:hyperlink>
        </w:p>
        <w:p>
          <w:pPr>
            <w:pStyle w:val="Tabledesmatiresniveau2"/>
            <w:tabs>
              <w:tab w:val="right" w:pos="9638" w:leader="dot"/>
            </w:tabs>
            <w:rPr/>
          </w:pPr>
          <w:hyperlink w:anchor="__RefHeading___Toc298288_1346298689">
            <w:r>
              <w:rPr>
                <w:rStyle w:val="Sautdindex"/>
              </w:rPr>
              <w:t>O economie mai puternică, justiție socială și ocuparea forței de muncă</w:t>
              <w:tab/>
              <w:t>57</w:t>
            </w:r>
          </w:hyperlink>
        </w:p>
        <w:p>
          <w:pPr>
            <w:pStyle w:val="Tabledesmatiresniveau2"/>
            <w:tabs>
              <w:tab w:val="right" w:pos="9638" w:leader="dot"/>
            </w:tabs>
            <w:rPr/>
          </w:pPr>
          <w:hyperlink w:anchor="__RefHeading___Toc298302_1346298689">
            <w:r>
              <w:rPr>
                <w:rStyle w:val="Sautdindex"/>
              </w:rPr>
              <w:t>„</w:t>
            </w:r>
            <w:r>
              <w:rPr>
                <w:rStyle w:val="Sautdindex"/>
              </w:rPr>
              <w:t>UE în lume”</w:t>
              <w:tab/>
              <w:t>66</w:t>
            </w:r>
          </w:hyperlink>
        </w:p>
        <w:p>
          <w:pPr>
            <w:pStyle w:val="Tabledesmatiresniveau2"/>
            <w:tabs>
              <w:tab w:val="right" w:pos="9638" w:leader="dot"/>
            </w:tabs>
            <w:rPr/>
          </w:pPr>
          <w:hyperlink w:anchor="__RefHeading___Toc298320_1346298689">
            <w:r>
              <w:rPr>
                <w:rStyle w:val="Sautdindex"/>
              </w:rPr>
              <w:t>Valori și drepturi, statul de drept, securitate</w:t>
              <w:tab/>
              <w:t>73</w:t>
            </w:r>
          </w:hyperlink>
        </w:p>
        <w:p>
          <w:pPr>
            <w:pStyle w:val="Tabledesmatiresniveau2"/>
            <w:tabs>
              <w:tab w:val="right" w:pos="9638" w:leader="dot"/>
            </w:tabs>
            <w:rPr/>
          </w:pPr>
          <w:hyperlink w:anchor="__RefHeading___Toc298334_1346298689">
            <w:r>
              <w:rPr>
                <w:rStyle w:val="Sautdindex"/>
              </w:rPr>
              <w:t>„</w:t>
            </w:r>
            <w:r>
              <w:rPr>
                <w:rStyle w:val="Sautdindex"/>
              </w:rPr>
              <w:t>Transformare digitală”</w:t>
              <w:tab/>
              <w:t>78</w:t>
            </w:r>
          </w:hyperlink>
        </w:p>
        <w:p>
          <w:pPr>
            <w:pStyle w:val="Tabledesmatiresniveau2"/>
            <w:tabs>
              <w:tab w:val="right" w:pos="9638" w:leader="dot"/>
            </w:tabs>
            <w:rPr/>
          </w:pPr>
          <w:hyperlink w:anchor="__RefHeading___Toc298346_1346298689">
            <w:r>
              <w:rPr>
                <w:rStyle w:val="Sautdindex"/>
              </w:rPr>
              <w:t>„</w:t>
            </w:r>
            <w:r>
              <w:rPr>
                <w:rStyle w:val="Sautdindex"/>
              </w:rPr>
              <w:t>Democrația europeană”</w:t>
              <w:tab/>
              <w:t>83</w:t>
            </w:r>
          </w:hyperlink>
        </w:p>
        <w:p>
          <w:pPr>
            <w:pStyle w:val="Tabledesmatiresniveau2"/>
            <w:tabs>
              <w:tab w:val="right" w:pos="9638" w:leader="dot"/>
            </w:tabs>
            <w:rPr/>
          </w:pPr>
          <w:hyperlink w:anchor="__RefHeading___Toc298358_1346298689">
            <w:r>
              <w:rPr>
                <w:rStyle w:val="Sautdindex"/>
              </w:rPr>
              <w:t>„</w:t>
            </w:r>
            <w:r>
              <w:rPr>
                <w:rStyle w:val="Sautdindex"/>
              </w:rPr>
              <w:t>Migrații”</w:t>
              <w:tab/>
              <w:t>89</w:t>
            </w:r>
          </w:hyperlink>
        </w:p>
        <w:p>
          <w:pPr>
            <w:pStyle w:val="Tabledesmatiresniveau2"/>
            <w:tabs>
              <w:tab w:val="right" w:pos="9638" w:leader="dot"/>
            </w:tabs>
            <w:rPr/>
          </w:pPr>
          <w:hyperlink w:anchor="__RefHeading___Toc298370_1346298689">
            <w:r>
              <w:rPr>
                <w:rStyle w:val="Sautdindex"/>
              </w:rPr>
              <w:t>Educație, cultură, tineret și sport</w:t>
              <w:tab/>
              <w:t>93</w:t>
            </w:r>
          </w:hyperlink>
        </w:p>
        <w:p>
          <w:pPr>
            <w:pStyle w:val="Tabledesmatiresniveau1"/>
            <w:tabs>
              <w:tab w:val="right" w:pos="9638" w:leader="dot"/>
            </w:tabs>
            <w:rPr/>
          </w:pPr>
          <w:hyperlink w:anchor="__RefHeading___Toc298380_1346298689">
            <w:r>
              <w:rPr>
                <w:rStyle w:val="Sautdindex"/>
              </w:rPr>
              <w:t>Considerațiile finale ale Comitetului executiv</w:t>
              <w:tab/>
              <w:t>97</w:t>
            </w:r>
          </w:hyperlink>
        </w:p>
        <w:p>
          <w:pPr>
            <w:pStyle w:val="Tabledesmatiresniveau1"/>
            <w:tabs>
              <w:tab w:val="right" w:pos="9638" w:leader="dot"/>
            </w:tabs>
            <w:rPr/>
          </w:pPr>
          <w:hyperlink w:anchor="__RefHeading___Toc297141_1346298689">
            <w:r>
              <w:rPr>
                <w:rStyle w:val="Sautdindex"/>
              </w:rPr>
              <w:t>Anexa I – Recomandările celor patru grupuri cetățenești europene</w:t>
              <w:tab/>
              <w:t>100</w:t>
            </w:r>
          </w:hyperlink>
        </w:p>
        <w:p>
          <w:pPr>
            <w:pStyle w:val="Tabledesmatiresniveau2"/>
            <w:tabs>
              <w:tab w:val="right" w:pos="9638" w:leader="dot"/>
            </w:tabs>
            <w:rPr/>
          </w:pPr>
          <w:hyperlink w:anchor="__RefHeading___Toc297143_1346298689">
            <w:r>
              <w:rPr>
                <w:rStyle w:val="Sautdindex"/>
              </w:rPr>
              <w:t>Grupul cetățenilor europeni 1: O economie mai puternică, justiție socială și ocuparea forței de muncă/educație, cultură, tineret și sport/transformare digitală</w:t>
              <w:tab/>
              <w:t>101</w:t>
            </w:r>
          </w:hyperlink>
        </w:p>
        <w:p>
          <w:pPr>
            <w:pStyle w:val="Tabledesmatiresniveau2"/>
            <w:tabs>
              <w:tab w:val="right" w:pos="9638" w:leader="dot"/>
            </w:tabs>
            <w:rPr/>
          </w:pPr>
          <w:hyperlink w:anchor="__RefHeading___Toc297195_1346298689">
            <w:r>
              <w:rPr>
                <w:rStyle w:val="Sautdindex"/>
              </w:rPr>
              <w:t>Grupul cetățenilor europeni 2: „Democrația europeană; valori și drepturi, statul de drept, securitate</w:t>
              <w:tab/>
              <w:t>118</w:t>
            </w:r>
          </w:hyperlink>
        </w:p>
        <w:p>
          <w:pPr>
            <w:pStyle w:val="Tabledesmatiresniveau2"/>
            <w:tabs>
              <w:tab w:val="right" w:pos="9638" w:leader="dot"/>
            </w:tabs>
            <w:rPr/>
          </w:pPr>
          <w:hyperlink w:anchor="__RefHeading___Toc297245_1346298689">
            <w:r>
              <w:rPr>
                <w:rStyle w:val="Sautdindex"/>
              </w:rPr>
              <w:t>Grupul cetățenilor europeni 3: Schimbări climatice și mediu/sănătate</w:t>
              <w:tab/>
              <w:t>132</w:t>
            </w:r>
          </w:hyperlink>
        </w:p>
        <w:p>
          <w:pPr>
            <w:pStyle w:val="Tabledesmatiresniveau2"/>
            <w:tabs>
              <w:tab w:val="right" w:pos="9638" w:leader="dot"/>
            </w:tabs>
            <w:rPr/>
          </w:pPr>
          <w:hyperlink w:anchor="__RefHeading___Toc297297_1346298689">
            <w:r>
              <w:rPr>
                <w:rStyle w:val="Sautdindex"/>
              </w:rPr>
              <w:t>Grupul Cetățenilor Europeni 4: „UE în lume/Migrație”</w:t>
              <w:tab/>
              <w:t>149</w:t>
            </w:r>
          </w:hyperlink>
        </w:p>
        <w:p>
          <w:pPr>
            <w:pStyle w:val="Tabledesmatiresniveau1"/>
            <w:tabs>
              <w:tab w:val="right" w:pos="9638" w:leader="dot"/>
            </w:tabs>
            <w:rPr/>
          </w:pPr>
          <w:hyperlink w:anchor="__RefHeading___Toc297345_1346298689">
            <w:r>
              <w:rPr>
                <w:rStyle w:val="Sautdindex"/>
              </w:rPr>
              <w:t>II A – Grupuri naționale: Belgia</w:t>
              <w:tab/>
              <w:t>162</w:t>
            </w:r>
          </w:hyperlink>
        </w:p>
        <w:p>
          <w:pPr>
            <w:pStyle w:val="Tabledesmatiresniveau1"/>
            <w:tabs>
              <w:tab w:val="right" w:pos="9638" w:leader="dot"/>
            </w:tabs>
            <w:rPr/>
          </w:pPr>
          <w:hyperlink w:anchor="__RefHeading___Toc297349_1346298689">
            <w:r>
              <w:rPr>
                <w:rStyle w:val="Sautdindex"/>
              </w:rPr>
              <w:t>Grupurile naționale II B: Franța</w:t>
              <w:tab/>
              <w:t>177</w:t>
            </w:r>
          </w:hyperlink>
        </w:p>
        <w:p>
          <w:pPr>
            <w:pStyle w:val="Tabledesmatiresniveau2"/>
            <w:tabs>
              <w:tab w:val="right" w:pos="9638" w:leader="dot"/>
            </w:tabs>
            <w:rPr/>
          </w:pPr>
          <w:hyperlink w:anchor="__RefHeading___Toc300448_1346298689">
            <w:r>
              <w:rPr>
                <w:rStyle w:val="Sautdindex"/>
              </w:rPr>
              <w:t>Introducere</w:t>
              <w:tab/>
              <w:t>180</w:t>
            </w:r>
          </w:hyperlink>
        </w:p>
        <w:p>
          <w:pPr>
            <w:pStyle w:val="Tabledesmatiresniveau2"/>
            <w:tabs>
              <w:tab w:val="right" w:pos="9638" w:leader="dot"/>
            </w:tabs>
            <w:rPr/>
          </w:pPr>
          <w:hyperlink w:anchor="__RefHeading___Toc300450_1346298689">
            <w:r>
              <w:rPr>
                <w:rStyle w:val="Sautdindex"/>
              </w:rPr>
              <w:t>Prezentarea principalelor rezultate</w:t>
              <w:tab/>
              <w:t>183</w:t>
            </w:r>
          </w:hyperlink>
        </w:p>
        <w:p>
          <w:pPr>
            <w:pStyle w:val="Tabledesmatiresniveau2"/>
            <w:tabs>
              <w:tab w:val="right" w:pos="9638" w:leader="dot"/>
            </w:tabs>
            <w:rPr/>
          </w:pPr>
          <w:hyperlink w:anchor="__RefHeading___Toc300452_1346298689">
            <w:r>
              <w:rPr>
                <w:rStyle w:val="Sautdindex"/>
              </w:rPr>
              <w:t>Prezentarea grupurilor de conferințe regionale</w:t>
              <w:tab/>
              <w:t>185</w:t>
            </w:r>
          </w:hyperlink>
        </w:p>
        <w:p>
          <w:pPr>
            <w:pStyle w:val="Tabledesmatiresniveau2"/>
            <w:tabs>
              <w:tab w:val="right" w:pos="9638" w:leader="dot"/>
            </w:tabs>
            <w:rPr/>
          </w:pPr>
          <w:hyperlink w:anchor="__RefHeading___Toc300454_1346298689">
            <w:r>
              <w:rPr>
                <w:rStyle w:val="Sautdindex"/>
              </w:rPr>
              <w:t>Angajamente metodologice și prejudecăți</w:t>
              <w:tab/>
              <w:t>188</w:t>
            </w:r>
          </w:hyperlink>
        </w:p>
        <w:p>
          <w:pPr>
            <w:pStyle w:val="Tabledesmatiresniveau2"/>
            <w:tabs>
              <w:tab w:val="right" w:pos="9638" w:leader="dot"/>
            </w:tabs>
            <w:rPr/>
          </w:pPr>
          <w:hyperlink w:anchor="__RefHeading___Toc297351_1346298689">
            <w:r>
              <w:rPr>
                <w:rStyle w:val="Sautdindex"/>
              </w:rPr>
              <w:t>A doua parte: prezentarea rezultatelor consultării „Cuvinte pentru tineret”</w:t>
              <w:tab/>
              <w:t>203</w:t>
            </w:r>
          </w:hyperlink>
        </w:p>
        <w:p>
          <w:pPr>
            <w:pStyle w:val="Tabledesmatiresniveau2"/>
            <w:tabs>
              <w:tab w:val="right" w:pos="9638" w:leader="dot"/>
            </w:tabs>
            <w:rPr/>
          </w:pPr>
          <w:hyperlink w:anchor="__RefHeading___Toc300458_1346298689">
            <w:r>
              <w:rPr>
                <w:rStyle w:val="Sautdindex"/>
              </w:rPr>
              <w:t>Concluzie</w:t>
              <w:tab/>
              <w:t>206</w:t>
            </w:r>
          </w:hyperlink>
        </w:p>
        <w:p>
          <w:pPr>
            <w:pStyle w:val="Tabledesmatiresniveau1"/>
            <w:tabs>
              <w:tab w:val="right" w:pos="9638" w:leader="dot"/>
            </w:tabs>
            <w:rPr/>
          </w:pPr>
          <w:hyperlink w:anchor="__RefHeading___Toc297353_1346298689">
            <w:r>
              <w:rPr>
                <w:rStyle w:val="Sautdindex"/>
              </w:rPr>
              <w:t>Grupurile naționale II C: Germania</w:t>
              <w:tab/>
              <w:t>207</w:t>
            </w:r>
          </w:hyperlink>
        </w:p>
        <w:p>
          <w:pPr>
            <w:pStyle w:val="Tabledesmatiresniveau1"/>
            <w:tabs>
              <w:tab w:val="right" w:pos="9638" w:leader="dot"/>
            </w:tabs>
            <w:rPr/>
          </w:pPr>
          <w:hyperlink w:anchor="__RefHeading___Toc297355_1346298689">
            <w:r>
              <w:rPr>
                <w:rStyle w:val="Sautdindex"/>
              </w:rPr>
              <w:t>Grupurile naționale II D: Italia</w:t>
              <w:tab/>
              <w:t>213</w:t>
            </w:r>
          </w:hyperlink>
        </w:p>
        <w:p>
          <w:pPr>
            <w:pStyle w:val="Tabledesmatiresniveau2"/>
            <w:tabs>
              <w:tab w:val="right" w:pos="9638" w:leader="dot"/>
            </w:tabs>
            <w:rPr/>
          </w:pPr>
          <w:hyperlink w:anchor="__RefHeading___Toc300314_1346298689">
            <w:r>
              <w:rPr>
                <w:rStyle w:val="Sautdindex"/>
              </w:rPr>
              <w:t>4. Programul de lucru</w:t>
              <w:tab/>
              <w:t>219</w:t>
            </w:r>
          </w:hyperlink>
        </w:p>
        <w:p>
          <w:pPr>
            <w:pStyle w:val="Tabledesmatiresniveau2"/>
            <w:tabs>
              <w:tab w:val="right" w:pos="9638" w:leader="dot"/>
            </w:tabs>
            <w:rPr/>
          </w:pPr>
          <w:hyperlink w:anchor="__RefHeading___Toc300322_1346298689">
            <w:r>
              <w:rPr>
                <w:rStyle w:val="Sautdindex"/>
              </w:rPr>
              <w:t>6. Evaluarea finală de către participanți</w:t>
              <w:tab/>
              <w:t>228</w:t>
            </w:r>
          </w:hyperlink>
        </w:p>
        <w:p>
          <w:pPr>
            <w:pStyle w:val="Tabledesmatiresniveau1"/>
            <w:tabs>
              <w:tab w:val="right" w:pos="9638" w:leader="dot"/>
            </w:tabs>
            <w:rPr/>
          </w:pPr>
          <w:hyperlink w:anchor="__RefHeading___Toc298382_1346298689">
            <w:r>
              <w:rPr>
                <w:rStyle w:val="Sautdindex"/>
              </w:rPr>
              <w:t>Grupurile naționale II E: Lituania</w:t>
              <w:tab/>
              <w:t>231</w:t>
            </w:r>
          </w:hyperlink>
        </w:p>
        <w:p>
          <w:pPr>
            <w:pStyle w:val="Tabledesmatiresniveau1"/>
            <w:tabs>
              <w:tab w:val="right" w:pos="9638" w:leader="dot"/>
            </w:tabs>
            <w:rPr/>
          </w:pPr>
          <w:hyperlink w:anchor="__RefHeading___Toc297357_1346298689">
            <w:r>
              <w:rPr>
                <w:rStyle w:val="Sautdindex"/>
              </w:rPr>
              <w:t>II F Grupuri naționale: Țările de Jos</w:t>
              <w:tab/>
              <w:t>239</w:t>
            </w:r>
          </w:hyperlink>
        </w:p>
        <w:p>
          <w:pPr>
            <w:pStyle w:val="Tabledesmatiresniveau1"/>
            <w:tabs>
              <w:tab w:val="right" w:pos="9638" w:leader="dot"/>
            </w:tabs>
            <w:rPr/>
          </w:pPr>
          <w:hyperlink w:anchor="__RefHeading___Toc297359_1346298689">
            <w:r>
              <w:rPr>
                <w:rStyle w:val="Sautdindex"/>
              </w:rPr>
              <w:t>III – Referințe la rezultatele evenimentelor naționale</w:t>
              <w:tab/>
              <w:t>292</w:t>
            </w:r>
          </w:hyperlink>
        </w:p>
        <w:p>
          <w:pPr>
            <w:pStyle w:val="Tabledesmatiresniveau1"/>
            <w:tabs>
              <w:tab w:val="right" w:pos="9638" w:leader="dot"/>
            </w:tabs>
            <w:rPr/>
          </w:pPr>
          <w:hyperlink w:anchor="__RefHeading___Toc344888_2081073262">
            <w:r>
              <w:rPr>
                <w:rStyle w:val="Sautdindex"/>
              </w:rPr>
              <w:t>IV – Referință la raportul platformei digitale multilingve</w:t>
              <w:tab/>
              <w:t>293</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Jocuri cu Jocul 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ocuri cu Jocul Image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Introducere</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La 10 martie 2021, președintele Parlamentului European, David Sassoli, prim-ministrul portughez António Costa, în numele Consiliului UE, și președinta Comisiei Europene, Ursula von der Leyen, au semnat Declarația comună privind Conferința privind viitorul Europei. Angajamentul pe care l-au făcut a fost simplu: acesta a fost un exercițiu centrat pe cetățeni, bazat pe o abordare ascendentă, pentru a se asigura că toți europenii au un cuvânt de spus în ceea ce se așteaptă de la Uniunea Europeană și joacă un rol mai important în modelarea viitorului Uniunii. Sarcina lor, pe de altă parte, a fost extrem de dificilă: scopul a fost de a organiza, pentru prima dată, un exercițiu transnațional, multilingv și interinstituțional de democrație deliberativă, care să implice mii de cetățeni europeni, precum și actori politici, parteneri sociali, reprezentanți ai societății civile și părți interesate cheie, în sensul articolului 16 din Regulamentul de procedură al conferinței.</w:t>
      </w:r>
    </w:p>
    <w:p>
      <w:pPr>
        <w:pStyle w:val="Normal"/>
        <w:rPr/>
      </w:pPr>
      <w:r>
        <w:rPr/>
        <w:t>La 9 mai 2022, după luni de dezbateri intense, Conferința și-a încheiat activitatea, prezentând celor trei instituții ale UE un raport privind rezultatele sale finale, cu 49 de propuneri. Aceste propuneri corespund așteptărilor cetățenilor europeni cu privire la nouă teme: O economie mai puternică, justiție socială și ocuparea forței de muncă; Educație, cultură, tineret și sport; Transformarea digitală; Democrația europeană; Valori și drepturi, statul de drept, securitate; Schimbările climatice și mediul; Sănătate; UE în lume; și migrația. Toate aceste teme sunt prezentate în prezentul raport final, care urmărește, de asemenea, să ofere o imagine de ansamblu a diferitelor activități întreprinse în contextul acestui proces unic, Conferința privind viitorul Europei.</w:t>
      </w:r>
    </w:p>
    <w:p>
      <w:pPr>
        <w:pStyle w:val="Corpsdetexte"/>
        <w:rPr/>
      </w:pPr>
      <w:r>
        <w:rPr/>
        <w:t>Condus de trei copreședinți (Guy Verhofstadt pentru Parlamentul European; Ana Paula Zacarias, Gašper Dovžan și Clément Beaune, succesiv pentru Consiliul UE; și Dubravka Šuica pentru Comisia Europeană) și condusă de un comitet executiv (în mod egal alcătuit din reprezentanți ai celor trei instituții, precum și observatori din partea principalelor părți interesate), conferința a reprezentat o experiență fără precedent a democrației deliberative transnaționale. De asemenea, și-a demonstrat relevanța istorică și importanța în contextul pandemiei de COVID-19 și al agresiunii Rusiei împotriva Ucrainei. Conferința privind viitorul Europei a avut drept rezultat crearea unei platforme digitale multilingve pentru cetățenii europeni care să contribuie în toate cele 24 de limbi ale UE și organizarea a patru grupuri de dezbatere ale cetățenilor europeni, a șase comitete naționale ale cetățenilor, a mii de evenimente naționale și locale și a șapte adunări plenare ale conferinței. Este rezultatul unei voințe fără precedent a instituțiilor UE, a statelor membre, dar și a cetățenilor europeni, de a discuta prioritățile Uniunii Europene și provocările cu care se confruntă și de a adopta o nouă abordare a proiectului european.</w:t>
      </w:r>
    </w:p>
    <w:p>
      <w:pPr>
        <w:pStyle w:val="Corpsdetexte"/>
        <w:rPr/>
      </w:pPr>
      <w:r>
        <w:rPr/>
        <w:t>Cu toate acestea, acesta este doar începutul. În conformitate cu textul fondator al conferinței, cele trei instituții vor analiza rapid modalitățile de punere în aplicare efectivă a prezentului raport, fiecare în cadrul competențelor sale și în conformitate cu tratatele. Determinarea celor trei instituții în această privință este extrem de importantă.</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Arhitectura conferinței</w:t>
      </w:r>
    </w:p>
    <w:p>
      <w:pPr>
        <w:pStyle w:val="Corpsdetexte"/>
        <w:rPr>
          <w:sz w:val="40"/>
        </w:rPr>
      </w:pPr>
      <w:r>
        <w:rPr>
          <w:sz w:val="40"/>
        </w:rPr>
        <w:t>Conferința privind viitorul Europei a</w:t>
      </w:r>
      <w:r>
        <w:rPr>
          <w:rStyle w:val="Ancredenotedebasdepage"/>
          <w:rStyle w:val="Ancredenotedebasdepage"/>
          <w:sz w:val="40"/>
        </w:rPr>
        <w:footnoteReference w:id="2"/>
      </w:r>
      <w:r>
        <w:rPr>
          <w:sz w:val="40"/>
        </w:rPr>
        <w:t xml:space="preserve"> fost un proces nou și inovator, care a deschis un nou spațiu de dezbatere cu cetățenii, pentru a examina prioritățile și provocările Europei, în vederea stabilirii legitimității democratice a proiectului european și a promovării aderării cetățenilor la valorile și obiectivele noastre comune. Conferința a fost un exercițiu centrat pe cetățeni, bazat pe o abordare ascendentă, cu scopul de a garanta că europenii au un cuvânt de spus în ceea ce așteaptă de la Uniunea Europeană. A fost o inițiativă comună a Parlamentului European, a Consiliului și a Comisiei Europene, acționând pe picior de egalitate cu statele membre ale Uniunii Europene.</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Declarație comună</w:t>
      </w:r>
    </w:p>
    <w:p>
      <w:pPr>
        <w:pStyle w:val="Normal"/>
        <w:rPr/>
      </w:pPr>
      <w:r>
        <w:rPr/>
      </w:r>
    </w:p>
    <w:p>
      <w:pPr>
        <w:pStyle w:val="Normal"/>
        <w:rPr/>
      </w:pPr>
      <w:r>
        <w:rPr/>
        <w:t>La 10 martie 2021, Declarația comună privind Conferința privind viitorul Europei („Declarația comună”) a fost semnată de defunctul președinte al Parlamentului European, David Sassoli, prim-ministrul portughez António Costa, în numele Consiliului UE, și de președinta Comisiei Europene, Ursula von der Leyen, deschizând calea pentru acest exercițiu democratic european fără precedent, deschis și favorabil incluziunii, care oferă un loc central cetățenilor.</w:t>
      </w:r>
    </w:p>
    <w:p>
      <w:pPr>
        <w:pStyle w:val="Normal"/>
        <w:rPr/>
      </w:pPr>
      <w:r>
        <w:rPr/>
        <w:t>Conferința a fost plasată sub autoritatea președinților celor trei instituții, acționând în calitate de Președinție mixtă. Președinția comună a fost asistată de un comitet executiv, coprezidat de câte un membru din fiecare dintre cele trei instituții ale UE.</w:t>
      </w:r>
    </w:p>
    <w:p>
      <w:pPr>
        <w:pStyle w:val="Normal"/>
        <w:rPr/>
      </w:pPr>
      <w:r>
        <w:rPr/>
        <w:t xml:space="preserve">În conformitate cu declarația comună, au fost înființate următoarele structuri: </w:t>
      </w:r>
    </w:p>
    <w:p>
      <w:pPr>
        <w:pStyle w:val="Alineanegatifpuce"/>
        <w:numPr>
          <w:ilvl w:val="0"/>
          <w:numId w:val="3"/>
        </w:numPr>
        <w:rPr/>
      </w:pPr>
      <w:r>
        <w:rPr/>
        <w:t>un consiliu executiv, care a supravegheat organizarea conferinței. Acesta a fost compus din reprezentanți ai celor trei instituții ale UE (trei membri și, respectiv, patru observatori), precum și din observatori ai troicii prezidențiale a Conferinței organismelor de afaceri comunitare (COSAC) ale parlamentelor naționale ale Uniunii Europene. Comitetul Regiunilor, Comitetul Economic și Social European și reprezentanții partenerilor sociali au fost invitați în calitate de observatori;</w:t>
      </w:r>
    </w:p>
    <w:p>
      <w:pPr>
        <w:pStyle w:val="Alineanegatifpuce"/>
        <w:numPr>
          <w:ilvl w:val="0"/>
          <w:numId w:val="3"/>
        </w:numPr>
        <w:rPr/>
      </w:pPr>
      <w:r>
        <w:rPr/>
        <w:t>un secretariat comun, care să asigure reprezentarea egală a celor trei instituții, care a sprijinit activitatea Comitetului executiv. În special, echipa – condusă de trei copreședinți ai celor trei instituții – a supravegheat organizarea și pregătirile pentru reuniunile Comitetului executiv, ale adunărilor plenare ale conferinței și ale grupurilor de dezbatere ale cetățenilor europeni. În cooperare cu furnizorii de servicii, ea a fost responsabilă de gestionarea platformei digitale multilingve și de raportarea cu privire la principalele etape ale procesului.</w:t>
        <w:br/>
        <w:t xml:space="preserve">Componența unică a acestei echipe a permis colegialitatea constantă a activității și a asigurat sinergii și câștiguri de eficiență în toate domeniile; </w:t>
      </w:r>
    </w:p>
    <w:p>
      <w:pPr>
        <w:pStyle w:val="Alineanegatifpuce"/>
        <w:numPr>
          <w:ilvl w:val="0"/>
          <w:numId w:val="3"/>
        </w:numPr>
        <w:rPr/>
      </w:pPr>
      <w:r>
        <w:rPr/>
        <w:t>o adunare plenară a conferinței (a se vedea capitolul III pentru mai multe informații), care a permis discutarea recomandărilor formulate de grupurile cetățenești naționale și europene, grupate pe teme, cu respectarea deplină a valorilor UE și a cartei conferinței,</w:t>
      </w:r>
      <w:r>
        <w:rPr>
          <w:rStyle w:val="Ancredenotedebasdepage"/>
          <w:rStyle w:val="Ancredenotedebasdepage"/>
        </w:rPr>
        <w:footnoteReference w:id="3"/>
      </w:r>
      <w:r>
        <w:rPr/>
        <w:t>fără ca rezultatul dezbaterilor să fie stabilit în prealabil sau ca domeniul lor de aplicare să fie limitat la domenii de politică predefinite. Contribuțiile colectate pe platforma digitală multilingvă au fost, de asemenea, discutate, după caz. Au fost înființate nouă grupuri de lucru tematice pentru a oferi contribuții pentru pregătirea dezbaterilor și propunerilor în plen.</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Jocuri cu Jocul 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ocuri cu Jocul Image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Regulamentul de procedură</w:t>
      </w:r>
    </w:p>
    <w:p>
      <w:pPr>
        <w:pStyle w:val="Normal"/>
        <w:rPr/>
      </w:pPr>
      <w:r>
        <w:rPr/>
        <w:t>La 9 mai 2021, Comitetul executiv a aprobat regulamentul de procedură al conferinței, instituit în conformitate cu Declarația comună privind Conferința privind viitorul Europei, care stabilește fundamentele și principiile conferinței.</w:t>
      </w:r>
    </w:p>
    <w:p>
      <w:pPr>
        <w:pStyle w:val="Normal"/>
        <w:rPr/>
      </w:pPr>
      <w:r>
        <w:rPr/>
        <w:t>Regulamentul de procedură stabilește cadrul pentru activitatea diferitelor structuri de conferințe și interacțiunile acestora.</w:t>
      </w:r>
    </w:p>
    <w:p>
      <w:pPr>
        <w:pStyle w:val="Titre2"/>
        <w:numPr>
          <w:ilvl w:val="1"/>
          <w:numId w:val="2"/>
        </w:numPr>
        <w:rPr/>
      </w:pPr>
      <w:bookmarkStart w:id="3" w:name="__RefHeading___Toc298052_1346298689"/>
      <w:bookmarkEnd w:id="3"/>
      <w:r>
        <w:rPr/>
        <w:t>3. Evenimente legate de conferință</w:t>
      </w:r>
    </w:p>
    <w:p>
      <w:pPr>
        <w:pStyle w:val="Corpsdetexte"/>
        <w:rPr/>
      </w:pPr>
      <w:r>
        <w:rPr/>
        <w:t>În conformitate cu declarația comună, fiecare stat membru sau instituție a UE ar putea organiza evenimente sub auspiciile conferinței, în funcție de particularitățile sale naționale sau instituționale, și ar putea aduce contribuții suplimentare la conferință (a se vedea capitolul II.C pentru mai multe informații).</w:t>
      </w:r>
    </w:p>
    <w:p>
      <w:pPr>
        <w:pStyle w:val="Corpsdetexte"/>
        <w:rPr/>
      </w:pPr>
      <w:r>
        <w:rPr/>
        <w:t>Instituțiile și organismele UE, statele membre, autoritățile regionale și locale, societatea civilă organizată, partenerii sociali și cetățenii au fost, prin urmare, invitate să organizeze evenimente în parteneriat cu societatea civilă și cu părțile interesate la nivel european, național, regional și local, într-o mare varietate de formate în întreaga Europă, și să publice rezultatele acestor evenimente pe platforma digitală. Au avut loc câteva mii de astfel de evenimente, la care au participat aproximativ 650.000 de participanți.</w:t>
      </w:r>
    </w:p>
    <w:p>
      <w:pPr>
        <w:pStyle w:val="Titre2"/>
        <w:numPr>
          <w:ilvl w:val="1"/>
          <w:numId w:val="2"/>
        </w:numPr>
        <w:rPr/>
      </w:pPr>
      <w:bookmarkStart w:id="4" w:name="__RefHeading___Toc298054_1346298689"/>
      <w:bookmarkEnd w:id="4"/>
      <w:r>
        <w:rPr/>
        <w:t>4.</w:t>
        <w:tab/>
        <w:t>Punerea în aplicare a platformei digitale multilingve</w:t>
      </w:r>
    </w:p>
    <w:p>
      <w:pPr>
        <w:pStyle w:val="Normal"/>
        <w:rPr/>
      </w:pPr>
      <w:r>
        <w:rPr/>
        <w:t>Platforma digitală multilingvă (a se vedea capitolul II.A pentru mai multe informații) a fost creată pentru a permite cetățenilor să își împărtășească ideile și să trimită contribuții online, în conformitate cu declarația comună. Acesta a fost principalul centru de contribuții și de informare a cetățenilor cu privire la diferitele părți ale conferinței și un instrument interactiv pentru a împărtăși și discuta ideile și contribuțiile la multitudinea de evenimente organizate în contextul conferinței. Platforma a fost lansată oficial la 19 aprilie 2021. Peste 17.000 de idei au fost publicate pe platformă.</w:t>
      </w:r>
    </w:p>
    <w:p>
      <w:pPr>
        <w:pStyle w:val="Corpsdetexte"/>
        <w:rPr/>
      </w:pPr>
      <w:r>
        <w:rPr/>
        <w:t>Pe parcursul conferinței, au fost elaborate rapoarte privind contribuțiile prezentate pe platformă.</w:t>
      </w:r>
    </w:p>
    <w:p>
      <w:pPr>
        <w:pStyle w:val="Normal"/>
        <w:rPr/>
      </w:pPr>
      <w:r>
        <w:rPr/>
        <w:t>Contribuțiile colectate prin intermediul platformei au fost luate în considerare de grupurile cetățenești europene și au fost discutate și discutate în sesiunea plenară a Conferinței.</w:t>
      </w:r>
    </w:p>
    <w:p>
      <w:pPr>
        <w:pStyle w:val="Titre2"/>
        <w:numPr>
          <w:ilvl w:val="1"/>
          <w:numId w:val="2"/>
        </w:numPr>
        <w:rPr/>
      </w:pPr>
      <w:bookmarkStart w:id="5" w:name="__RefHeading___Toc298056_1346298689"/>
      <w:bookmarkEnd w:id="5"/>
      <w:r>
        <w:rPr/>
        <w:t>5.</w:t>
        <w:tab/>
        <w:t>Grupurile cetățenești europene</w:t>
      </w:r>
    </w:p>
    <w:p>
      <w:pPr>
        <w:pStyle w:val="Normal"/>
        <w:rPr/>
      </w:pPr>
      <w:r>
        <w:rPr/>
        <w:t>În conformitate cu declarația comună, grupurile de dezbatere ale cetățenilor europeni, organizate în jurul principalelor teme ale conferinței, au reprezentat un element central și deosebit de inovator al conferinței (a se vedea capitolul II.B pentru mai multe informații).</w:t>
      </w:r>
    </w:p>
    <w:p>
      <w:pPr>
        <w:pStyle w:val="Normal"/>
        <w:rPr/>
      </w:pPr>
      <w:r>
        <w:rPr/>
        <w:t>Un total de 800 de cetățeni selectați aleatoriu care reprezintă diversitatea sociologică și geografică a UE și grupați în patru grupuri de 200 de cetățeni s-au reunit pentru trei sesiuni deliberative pentru fiecare juriu. Grupurile cetățenești europene au formulat recomandări care au contribuit la deliberările generale ale conferinței, în special în cadrul adunărilor plenare ale Conferinței.</w:t>
      </w:r>
    </w:p>
    <w:p>
      <w:pPr>
        <w:pStyle w:val="Normal"/>
        <w:rPr/>
      </w:pPr>
      <w:r>
        <w:rPr/>
        <w:t>Copreședinții Comitetului executiv au stabilit împreună modalitățile practice de organizare a grupurilor cetățenești europene, în conformitate cu declarația comună și cu Regulamentul de procedură, și au informat în prealabil Comitetul executiv.</w:t>
      </w:r>
    </w:p>
    <w:p>
      <w:pPr>
        <w:pStyle w:val="Normal"/>
        <w:rPr/>
      </w:pPr>
      <w:r>
        <w:rPr/>
        <w:t>Comitetul executiv a fost informat periodic cu privire la progresele înregistrate în ceea ce privește înființarea și organizarea grupurilor de dezbatere ale cetățenilor europeni.</w:t>
      </w:r>
    </w:p>
    <w:p>
      <w:pPr>
        <w:pStyle w:val="Normal"/>
        <w:rPr/>
      </w:pPr>
      <w:r>
        <w:rPr/>
      </w:r>
    </w:p>
    <w:p>
      <w:pPr>
        <w:pStyle w:val="Titre2"/>
        <w:numPr>
          <w:ilvl w:val="1"/>
          <w:numId w:val="2"/>
        </w:numPr>
        <w:rPr/>
      </w:pPr>
      <w:bookmarkStart w:id="6" w:name="__RefHeading___Toc298058_1346298689"/>
      <w:bookmarkEnd w:id="6"/>
      <w:r>
        <w:rPr/>
        <w:t>6.</w:t>
        <w:tab/>
        <w:t>Grupurile naționale cetățenești</w:t>
      </w:r>
    </w:p>
    <w:p>
      <w:pPr>
        <w:pStyle w:val="Normal"/>
        <w:rPr/>
      </w:pPr>
      <w:r>
        <w:rPr/>
        <w:t>În conformitate cu declarația comună, statele membre ar putea organiza grupuri naționale. Pentru a sprijini statele membre care intenționează să organizeze grupuri naționale de cetățeni, copreședinții au aprobat orientări și au fost transmise Comitetului executiv la 26 mai 2021, pentru a se asigura că grupurile naționale sunt organizate în conformitate cu aceleași principii ca și grupurile cetățenești europene. Aceste orientări au inclus principii de bună deliberare, bazate pe orientările OCDE</w:t>
      </w:r>
      <w:r>
        <w:rPr>
          <w:rStyle w:val="Ancredenotedebasdepage"/>
          <w:rStyle w:val="Ancredenotedebasdepage"/>
        </w:rPr>
        <w:footnoteReference w:id="4"/>
      </w:r>
      <w:r>
        <w:rPr/>
        <w:t>. Fiecare stat membru ar putea decide dacă să organizeze sau nu un grup de cetățeni naționali. Un total de șase state membre au organizat unul (Belgia, Franța, Germania, Italia, Lituania și Țările de Jos).</w:t>
      </w:r>
    </w:p>
    <w:p>
      <w:pPr>
        <w:pStyle w:val="Normal"/>
        <w:rPr/>
      </w:pPr>
      <w:r>
        <w:rPr/>
        <w:t>În conformitate cu declarația comună, recomandările grupurilor cetățenești naționale au fost prezentate și discutate în cadrul adunărilor plenare ale Conferinței, în paralel cu recomandările grupurilor cetățenești europene.</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NU, NU, NU, NU. Contribuțiile cetățenilor la conferință</w:t>
      </w:r>
    </w:p>
    <w:p>
      <w:pPr>
        <w:pStyle w:val="Normal"/>
        <w:rPr/>
      </w:pPr>
      <w:r>
        <w:rPr/>
      </w:r>
      <w:r>
        <w:br w:type="page"/>
      </w:r>
    </w:p>
    <w:p>
      <w:pPr>
        <w:pStyle w:val="Titre2"/>
        <w:numPr>
          <w:ilvl w:val="1"/>
          <w:numId w:val="2"/>
        </w:numPr>
        <w:rPr/>
      </w:pPr>
      <w:bookmarkStart w:id="8" w:name="__RefHeading___Toc298190_1346298689"/>
      <w:bookmarkEnd w:id="8"/>
      <w:r>
        <w:rPr/>
        <w:t>A. Platforma digitală multilingvă</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Platforma digitală multilingvă a fost lansată la 19 aprilie 2021 și a fost punctul central de contact al conferinței. Prin aceasta, toată lumea a putut participa la conferință: toți cetățenii din UE și din alte părți interesate, societatea civilă, partenerii sociali și diverse alte părți interesate.</w:t>
      </w:r>
    </w:p>
    <w:p>
      <w:pPr>
        <w:pStyle w:val="Normal"/>
        <w:rPr/>
      </w:pPr>
      <w:r>
        <w:rPr/>
        <w:t>Platforma a fost dezvoltată special pentru conferință, folosind Decidim, un software european liber dedicat participării cetățenilor. pe o asemenea scară și nivel de interactivitate și multilingvism, această realizare a fost o premieră, nu numai europeană, ci și globală. Toate contribuțiile au fost disponibile în toate cele 24 de limbi oficiale ale UE prin traducere automată. Dezbaterea a fost structurată în jurul a zece teme: „Schimbările climatice și mediul”, „Sănătatea”, „O economie mai puternică, justiția socială și ocuparea forței de muncă”, „UE în lume”, „Valorile și drepturile, statul de drept, securitatea”, „transformarea digitală”, „democrația europeană”, „Migrația”, „Educația, cultura, tineretul și sportul” și „Alte idei”.</w:t>
      </w:r>
    </w:p>
    <w:p>
      <w:pPr>
        <w:pStyle w:val="Normal"/>
        <w:rPr/>
      </w:pPr>
      <w:r>
        <w:rPr/>
        <w:t>A fost posibil să participi pe platformă în mai multe moduri diferite.</w:t>
      </w:r>
    </w:p>
    <w:p>
      <w:pPr>
        <w:pStyle w:val="Normal"/>
        <w:rPr/>
      </w:pPr>
      <w:r>
        <w:rPr/>
        <w:t>Oricine a vrut să-și împărtășească ideile despre una dintre cele zece teme. De asemenea, a fost posibil să comentăm ideile altora. Astfel, platforma a făcut posibilă o dezbatere paneuropeană reală între cetățeni.</w:t>
      </w:r>
    </w:p>
    <w:p>
      <w:pPr>
        <w:pStyle w:val="Normal"/>
        <w:rPr/>
      </w:pPr>
      <w:r>
        <w:rPr/>
        <w:t>Participanții ar putea susține, de asemenea, idei, indicând faptul că au suportat contribuții de la un alt utilizator.</w:t>
      </w:r>
    </w:p>
    <w:p>
      <w:pPr>
        <w:pStyle w:val="Normal"/>
        <w:rPr/>
      </w:pPr>
      <w:r>
        <w:rPr/>
        <w:t xml:space="preserve">O altă modalitate importantă de a contribui la conferință a fost de a organiza evenimente (virtuale, față în față sau hibride), de a le anunța pe platformă, de a raporta rezultatele lor și de a le conecta la idei. Pe platformă </w:t>
      </w:r>
      <w:hyperlink r:id="rId23">
        <w:r>
          <w:rPr>
            <w:rStyle w:val="LienInternet"/>
          </w:rPr>
          <w:t>au fost puse la dispoziția organizatorilorghiduri și materiale informative</w:t>
        </w:r>
      </w:hyperlink>
      <w:r>
        <w:rPr/>
        <w:t xml:space="preserve"> pentru a promova caracterul participativ și incluziv al evenimentelor.</w:t>
      </w:r>
    </w:p>
    <w:p>
      <w:pPr>
        <w:pStyle w:val="Normal"/>
        <w:rPr/>
      </w:pPr>
      <w:r>
        <w:rPr/>
        <w:t xml:space="preserve">Platforma a jucat un rol fundamental în transparența întregului proces și în ceea ce privește accesul tuturor la informațiile legate de conferință. Acesta a fost punctul în care toată lumea a putut găsi informații cu privire la metodele de lucru și organizarea conferinței în sine, de exemplu cu privire la procesul conferinței în sine (sesiunile plenare ale conferinței și grupurile de lucru ale acesteia, grupurile de </w:t>
      </w:r>
      <w:hyperlink r:id="rId24">
        <w:r>
          <w:rPr>
            <w:rStyle w:val="LienInternet"/>
          </w:rPr>
          <w:t>dezbatere ale cetățenilor europeni</w:t>
        </w:r>
      </w:hyperlink>
      <w:r>
        <w:rPr/>
        <w:t xml:space="preserve">, </w:t>
      </w:r>
      <w:hyperlink r:id="rId25">
        <w:r>
          <w:rPr>
            <w:rStyle w:val="LienInternet"/>
          </w:rPr>
          <w:t>grupurile și evenimentele naționale</w:t>
        </w:r>
      </w:hyperlink>
      <w:r>
        <w:rPr/>
        <w:t xml:space="preserve"> și </w:t>
      </w:r>
      <w:hyperlink r:id="rId26">
        <w:r>
          <w:rPr>
            <w:rStyle w:val="LienInternet"/>
          </w:rPr>
          <w:t>Comitetul executiv</w:t>
        </w:r>
      </w:hyperlink>
      <w:r>
        <w:rPr/>
        <w:t>). Dezbaterile din cadrul sesiunii plenare și al grupurilor sale de lucru au fost transmise în direct pe internet, la fel ca și reuniunile grupurilor de dezbatere ale cetățenilor europeni. Toate aceste informații vor rămâne disponibile pe platformă.</w:t>
      </w:r>
    </w:p>
    <w:p>
      <w:pPr>
        <w:pStyle w:val="Normal"/>
        <w:rPr/>
      </w:pPr>
      <w:r>
        <w:rPr/>
        <w:t>De-a lungul lucrărilor, s-au făcut îmbunătățiri ale platformei ori de câte ori a fost posibil, prin adăugarea de caracteristici sau medii vizuale, de exemplu. De-a lungul timpului, platforma a devenit, de asemenea, mai accesibilă persoanelor cu handicap.</w:t>
      </w:r>
    </w:p>
    <w:p>
      <w:pPr>
        <w:pStyle w:val="Normal"/>
        <w:rPr/>
      </w:pPr>
      <w:r>
        <w:rPr/>
        <w:t>Toate contribuțiile de pe platformă au fost publice: toată lumea le-ar putea accesa, precum și fișierele de date deschise legate de platforma digitală, ceea ce a asigurat transparența deplină. Pentru a facilita colectarea și analizarea contribuțiilor, Centrul Comun de Cercetare al Comisiei a elaborat un instrument automatizat de analiză a textului și o platformă de analiză, care a permis interpretarea multilingvă și analiza aprofundată a conținutului platformei. Platforma de analiză este un instrument care s-a dovedit a fi esențial pentru furnizarea de rapoarte periodice cu un nivel uniform de calitate în toate limbile. În plus, un „datathon” organizat în martie 2022 de Comisia Europeană a încurajat noi abordări în analiza seriilor de date deschise și a contribuit la transparența procesului de analiză a datelor.</w:t>
      </w:r>
    </w:p>
    <w:p>
      <w:pPr>
        <w:pStyle w:val="Normal"/>
        <w:rPr/>
      </w:pPr>
      <w:r>
        <w:rPr/>
        <w:t>Pentru a oferi o imagine de ansamblu asupra contribuțiilor de pe platformă, un furnizor extern de servicii a pregătit rapoarte, care au fost publicate chiar pe platformă.</w:t>
      </w:r>
    </w:p>
    <w:p>
      <w:pPr>
        <w:pStyle w:val="Normal"/>
        <w:rPr/>
      </w:pPr>
      <w:r>
        <w:rPr/>
        <w:t xml:space="preserve">Un </w:t>
      </w:r>
      <w:hyperlink r:id="rId27">
        <w:r>
          <w:rPr>
            <w:rStyle w:val="LienInternet"/>
          </w:rPr>
          <w:t>prim raport intermediar</w:t>
        </w:r>
      </w:hyperlink>
      <w:r>
        <w:rPr/>
        <w:t xml:space="preserve"> a fost publicat în septembrie: s-a axat pe contribuții</w:t>
      </w:r>
    </w:p>
    <w:p>
      <w:pPr>
        <w:pStyle w:val="Normal"/>
        <w:rPr/>
      </w:pPr>
      <w:r>
        <w:rPr/>
        <w:t xml:space="preserve">livrate până la 2 august 2021. Al </w:t>
      </w:r>
      <w:hyperlink r:id="rId28">
        <w:r>
          <w:rPr>
            <w:rStyle w:val="LienInternet"/>
          </w:rPr>
          <w:t>doilea raport intermediar</w:t>
        </w:r>
      </w:hyperlink>
      <w:r>
        <w:rPr/>
        <w:t xml:space="preserve">a fost publicat la jumătatea lunii octombrie 2021, acoperind contribuțiile transmise până la 7 septembrie 2021. Al </w:t>
      </w:r>
      <w:hyperlink r:id="rId29">
        <w:r>
          <w:rPr>
            <w:rStyle w:val="LienInternet"/>
          </w:rPr>
          <w:t>treilea raport intermediar</w:t>
        </w:r>
      </w:hyperlink>
      <w:r>
        <w:rPr/>
        <w:t xml:space="preserve"> a fost publicat în decembrie 2021 și a acoperit contribuțiile până la 3 noiembrie 2021. Întrucât lucrările la conferință au intrat în faza finală, cel mai recent raport menit să inspire activitatea adunărilor plenare ale conferinței a fost publicat la jumătatea lunii martie 2022, luând în considerare contribuțiile prezentate pe platforma digitală până la 20 februarie 2022. Acest calendar a fost anunțat în mod clar pe platformă și în alte părți, ceea ce a dus la o creștere a contribuțiilor în ianuarie și februarie 2022. Contribuțiile primite până la 9 mai vor fi tratate în raportul suplimentar. Rapoarte suplimentare privind contribuțiile prezentate pe platformă, pe state membre, au fost, de asemenea, puse la dispoziție în același timp cu rapoartele din septembrie și decembrie 2021 și martie 2022.</w:t>
      </w:r>
    </w:p>
    <w:p>
      <w:pPr>
        <w:pStyle w:val="Normal"/>
        <w:rPr/>
      </w:pPr>
      <w:r>
        <w:rPr/>
        <w:t xml:space="preserve">Accentul principal al acestor rapoarte a fost o analiză calitativă a contribuțiilor publicate pe platformă, pentru a oferi o imagine de ansamblu asupra domeniului de aplicare și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Jocuri cu Jocul 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ocuri cu Jocul Image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a</w:t>
      </w:r>
      <w:r>
        <w:rPr/>
        <w:t xml:space="preserve"> diversității ideilor propuse pe platformă și discutate în cadrul evenimentelor. În acest scop, o echipă de cercetare a efectuat o analiză textuală manuală și o punere în comun a contribuțiilor, utilizând instrumentele analitice furnizate de Centrul Comun de Cercetare al Comisiei. Acest lucru a făcut posibilă identificarea subiectelor comune și a subcategoriilor de subiecte, care au fost descrise în detaliu sub fiecare temă și sintetizate în scheme conceptuale care permit vizualizarea rapidă a acestora. Pentru a completa această abordare calitativă cu elemente cantitative, teme, subteme sau idei care au revenit adesea sau care au fost foarte comentate sau susținute au fost menționate în fiecare dintre rapoarte. Scopul a fost acela de a reflecta stadiul discuțiilor în diferite etape ale conferinței, inclusiv nivelul ridicat de interes sau dezbatere generat de anumite idei. Rapoartele au oferit, de asemenea, o imagine de ansamblu a datelor socio-demografice ale participanților. Contribuitorilor li s-a cerut să furnizeze informații cu privire la țara lor de reședință, nivelul de educație, vârsta, sexul și statutul profesional; cu toate acestea, caracterul opțional al acestor informații limitează claritatea care poate fi trasă cu privire la profilul participanților. De exemplu, 26,9 % din totalul contribuțiilor au provenit de la participanți care nu și-au indicat țara de reședință.</w:t>
      </w:r>
    </w:p>
    <w:p>
      <w:pPr>
        <w:pStyle w:val="Normal"/>
        <w:rPr/>
      </w:pPr>
      <w:r>
        <w:rPr/>
      </w:r>
      <w:r>
        <w:br w:type="page"/>
      </w:r>
    </w:p>
    <w:p>
      <w:pPr>
        <w:pStyle w:val="Normal"/>
        <w:rPr/>
      </w:pPr>
      <w:r>
        <w:rPr/>
        <w:t>De la lansarea platformei, tema „Democrația europeană” a fost cea pentru care s-a înregistrat cel mai mare număr de contribuții (idei, comentarii și evenimente). În al doilea rând, tema „Schimbările climatice și mediul înconjurător”. Contribuțiile prezentate la rubrica „Alte idei” s-au situat pe locul al treilea, înainte de „Valorile și drepturile, statul de drept, securitatea” și „O economie mai puternică, justiție socială și ocuparea forței de muncă”.</w:t>
      </w:r>
    </w:p>
    <w:p>
      <w:pPr>
        <w:pStyle w:val="Normal"/>
        <w:rPr/>
      </w:pPr>
      <w:r>
        <w:rPr/>
        <w:t>Rapoartele privind contribuțiile colectate pe platformă, inclusiv schemele conceptuale, au adus o contribuție valoroasă la activitatea grupurilor de dezbatere ale cetățenilor europeni. La începutul fiecăreia dintre cele trei sesiuni, principalele constatări ale raportului și schemele conceptuale au fost prezentate grupurilor, care au primit linkuri către rapoartele complete. Iată câte idei care au apărut pe platformă sunt reflectate în recomandările formulate de grupurile de dezbatere ale cetățenilor europeni.</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Cadru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Ce se întâmplă în cadrul Conferinței privind viitorul Europei?</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participanții la conferință</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participanții la eveniment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idei</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comentarii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evenimente</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aprobări</w:t>
                                  </w:r>
                                </w:p>
                              </w:tc>
                            </w:tr>
                          </w:tbl>
                          <w:p>
                            <w:pPr>
                              <w:pStyle w:val="Contenudecadre"/>
                              <w:spacing w:before="57" w:after="57"/>
                              <w:rPr/>
                            </w:pPr>
                            <w:r>
                              <w:rPr>
                                <w:color w:val="auto"/>
                              </w:rPr>
                              <w:t xml:space="preserve">Situația participării la 20 aprilie 2022 (sursa: </w:t>
                            </w:r>
                            <w:hyperlink r:id="rId31">
                              <w:r>
                                <w:rPr>
                                  <w:rStyle w:val="LienInternet"/>
                                  <w:color w:val="auto"/>
                                </w:rPr>
                                <w:t>Conferința privind viitorul Europei (europa.eu</w:t>
                              </w:r>
                            </w:hyperlink>
                            <w:r>
                              <w:rPr>
                                <w:color w:val="auto"/>
                              </w:rPr>
                              <w:t>)</w:t>
                            </w:r>
                          </w:p>
                        </w:txbxContent>
                      </wps:txbx>
                      <wps:bodyPr lIns="54000" rIns="54000" tIns="54000" bIns="54000">
                        <a:noAutofit/>
                      </wps:bodyPr>
                    </wps:wsp>
                  </a:graphicData>
                </a:graphic>
              </wp:anchor>
            </w:drawing>
          </mc:Choice>
          <mc:Fallback>
            <w:pict>
              <v:rect id="shape_0" ID="Cadru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Ce se întâmplă în cadrul Conferinței privind viitorul Europei?</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participanții la conferință</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participanții la eveniment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idei</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comentarii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evenimente</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aprobări</w:t>
                            </w:r>
                          </w:p>
                        </w:tc>
                      </w:tr>
                    </w:tbl>
                    <w:p>
                      <w:pPr>
                        <w:pStyle w:val="Contenudecadre"/>
                        <w:spacing w:before="57" w:after="57"/>
                        <w:rPr/>
                      </w:pPr>
                      <w:r>
                        <w:rPr>
                          <w:color w:val="auto"/>
                        </w:rPr>
                        <w:t xml:space="preserve">Situația participării la 20 aprilie 2022 (sursa: </w:t>
                      </w:r>
                      <w:hyperlink r:id="rId32">
                        <w:r>
                          <w:rPr>
                            <w:rStyle w:val="LienInternet"/>
                            <w:color w:val="auto"/>
                          </w:rPr>
                          <w:t>Conferința privind viitorul Europei (europa.eu</w:t>
                        </w:r>
                      </w:hyperlink>
                      <w:r>
                        <w:rPr>
                          <w:color w:val="auto"/>
                        </w:rPr>
                        <w:t>)</w:t>
                      </w:r>
                    </w:p>
                  </w:txbxContent>
                </v:textbox>
              </v:rect>
            </w:pict>
          </mc:Fallback>
        </mc:AlternateContent>
      </w:r>
      <w:r>
        <w:rPr/>
        <w:t>Rapoartele au fost discutate, de asemenea, în cadrul reuniunilor plenare ale conferinței, începând cu sesiunea plenară din 23 octombrie 2021, precum și în cadrul reuniunilor anterioare ale grupurilor de lucru. Prin urmare, contribuțiile platformei au continuat să îmbogățească propunerile elaborate în sesiunea plenară a Conferinței.</w:t>
      </w:r>
    </w:p>
    <w:p>
      <w:pPr>
        <w:pStyle w:val="Normal"/>
        <w:rPr/>
      </w:pPr>
      <w:r>
        <w:rPr/>
        <w:t>La 20 aprilie 2022, aproape cinci milioane de vizitatori unici au vizitat platforma digitală multilingvă, pe care erau activi peste 50.000 de participanți, 17.000 de idei dezbătute și peste 6 000 de evenimente înregistrate. În spatele acestor cifre se află mii de cetățeni dedicați care împărtășesc și dezbat multe idei și organizează o multitudine de evenimente originale și inovatoare în diferitele state membre.</w:t>
      </w:r>
    </w:p>
    <w:p>
      <w:pPr>
        <w:pStyle w:val="Normal"/>
        <w:rPr/>
      </w:pPr>
      <w:r>
        <w:rPr/>
        <w:t xml:space="preserve">Pentru a se asigura că platforma este un loc în care cetățenii din toate categoriile sociale și din toate colțurile Europei se simt confortabil și încurajați să contribuie la dezbatere, toți cei care utilizează platforma au trebuit să se aboneze </w:t>
      </w:r>
      <w:hyperlink r:id="rId33">
        <w:r>
          <w:rPr>
            <w:rStyle w:val="LienInternet"/>
          </w:rPr>
          <w:t>la Carta conferinței</w:t>
        </w:r>
      </w:hyperlink>
      <w:r>
        <w:rPr/>
        <w:t xml:space="preserve"> și la </w:t>
      </w:r>
      <w:hyperlink r:id="rId34">
        <w:r>
          <w:rPr>
            <w:rStyle w:val="LienInternet"/>
          </w:rPr>
          <w:t>regulile de participare</w:t>
        </w:r>
      </w:hyperlink>
      <w:r>
        <w:rPr/>
        <w:t>. A fost înființată o echipă de moderare care lucrează pe tot parcursul conferinței, sub supravegherea secretariatului comun, în numele Comitetului executiv, pentru a asigura respectarea Cartei și a regulilor de participare. Nu a avut loc nicio moderare prealabilă a conținutului. Când o contribuție a fost ascunsă, utilizatorul a primit un mesaj de la echipa de moderare explicând motivul. Detalii privind principiile și procesul de moderare au fost puse la dispoziție în secțiunea</w:t>
      </w:r>
      <w:hyperlink r:id="rId35">
        <w:r>
          <w:rPr>
            <w:rStyle w:val="LienInternet"/>
          </w:rPr>
          <w:t>Întrebări</w:t>
        </w:r>
      </w:hyperlink>
      <w:r>
        <w:rPr/>
        <w:t xml:space="preserve"> frecvente (FAQ) a platformei.</w:t>
      </w:r>
    </w:p>
    <w:p>
      <w:pPr>
        <w:pStyle w:val="Normal"/>
        <w:rPr/>
      </w:pPr>
      <w:r>
        <w:rPr/>
        <w:t>În perioada 19 aprilie 2021-20 aprilie 2022, au fost mascate 430 de idei (2,4 %), 312 comentarii (1,4 %) și 396 de evenimente (6,0 %). Aproximativ 71 % dintre idei au fost mascate pentru că nu conțineau propuneri, fie că erau spam, cereri ale utilizatorilor, fie pentru că conțineau informații personale sau o imagine asociată nepotrivită; aproximativ 17 % din ideile ascunse erau duplicate. Doar 11 % din ideile ascunse au fost din cauza conținutului lor ofensator. Marea majoritate a evenimentelor, 76 %, au fost mascate pentru că erau duplicate sau pentru că informațiile despre eveniment erau incomplete, la cererea organizatorilor sau pentru că nu aveau legătură cu conferința.</w:t>
      </w:r>
    </w:p>
    <w:p>
      <w:pPr>
        <w:pStyle w:val="Normal"/>
        <w:rPr/>
      </w:pPr>
      <w:r>
        <w:rPr/>
        <w:t>Posibilitatea de a aduce contribuții pe platformă a rămas deschisă până la 9 mai 2022. După această dată este programat un raport suplimentar pentru a completa rezumatul tuturor contribuțiilor primite în timpul conferinței.</w:t>
      </w:r>
    </w:p>
    <w:p>
      <w:pPr>
        <w:pStyle w:val="Normal"/>
        <w:rPr/>
      </w:pPr>
      <w:r>
        <w:rPr/>
        <w:t>Participarea la platformă a continuat să crească pe parcursul conferinței, dar a rămas inegală între statele membre și profilurile socio-demografice ale participanților. În general, platforma a oferit un spațiu inovator de deliberare, care a permis mai multor mii de cetățeni și diverse părți interesate din întreaga Europă și din afara acesteia să participe la o dezbatere multilingvă online pe teme europene în toate statele membre. Acesta s-a dovedit a fi un instrument valoros pentru democrația deliberativă la nivelul UE.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Jocuri cu Jocul 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ocuri cu Jocul Image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Grupurile cetățenești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Grupurile cetățenești europene</w:t>
      </w:r>
    </w:p>
    <w:p>
      <w:pPr>
        <w:pStyle w:val="Corpsdetexte"/>
        <w:rPr/>
      </w:pPr>
      <w:r>
        <w:rPr/>
        <w:t>Grupurile de dezbatere ale cetățenilor europeni au fost unul dintre pilonii principali ai conferinței, cu grupurile naționale, Platforma digitală multilingvă și sesiunea plenară a conferinței. Acestea se află în centrul Conferinței privind viitorul Europei și au reunit aproximativ 800 de cetățeni din toate mediile și regiunile Uniunii Europene. Deși conceptul de panouri sau adunări cetățenești a fost utilizat de zeci de ani la nivel municipal și este din ce în ce mai vizibil la nivel național sau regional, dimensiunea paneuropeană rămâne în mare măsură neexplorată în acest domeniu. Grupurile cetățenești europene au fost prima experiență transnațională și multilingvă de această amploare și nivel de ambiție. Sistemul remarcabil de interpretare care a însoțit procesul a condus la un dialog incluziv, respectuos și eficace între părțile interesate, asigurând respectarea multilingvismului.</w:t>
      </w:r>
    </w:p>
    <w:p>
      <w:pPr>
        <w:pStyle w:val="Corpsdetexte"/>
        <w:rPr/>
      </w:pPr>
      <w:r>
        <w:rPr/>
        <w:t>Grupurile cetățenești europene au fost organizate de cele trei instituții pe baza declarației comune, a Regulamentului de procedură și a modalităților stabilite de copreședinți, sub supravegherea Comitetului executiv. Aceștia au fost sprijiniți de un consorțiu de furnizori externi de servicii compus din diverși experți în domeniul democrației deliberative și de o echipă de sprijin logistic. Comitetul executiv a fost informat cu privire la activitatea grupurilor, au fost furnizate modalități practice actualizate și a adaptat calendarul provizoriu al sesiunilor grupurilor cetățenești europene pe parcursul procesului, după caz.</w:t>
      </w:r>
    </w:p>
    <w:p>
      <w:pPr>
        <w:pStyle w:val="Corpsdetexte"/>
        <w:rPr/>
      </w:pPr>
      <w:r>
        <w:rPr/>
        <w:t>Participanții la grupurile de dezbatere ale cetățenilor europeni au fost selectați în vara anului 2021. Cetățenii UE au fost selectați aleatoriu (în principal contactați de cele 27 de institute naționale de anchetă coordonate de un furnizor extern de servicii) cu scopul de a constitui „panouri” reprezentative pentru diversitatea UE, pe baza a cinci criterii: genul, vârsta, originea geografică (naționalitatea, precum și mediul urban/rural), mediul socio-economic și nivelul de educație. Numărul de cetățeni per stat membru a fost calculat în conformitate cu principiul proporționalității degresive aplicat componenței Parlamentului European, ținând seama de faptul că fiecare juriu ar trebui să includă cel puțin un cetățean și un cetățean pentru fiecare stat membru. Având în vedere că conferința a acordat o atenție deosebită tinerilor, o treime din cetățenii fiecărei comisii aveau între 16 și 24 de ani. Pentru fiecare grup de 200 de persoane, au fost selectați 50 de cetățeni suplimentari pentru a înființa o rezervă.</w:t>
      </w:r>
    </w:p>
    <w:p>
      <w:pPr>
        <w:pStyle w:val="Corpsdetexte"/>
        <w:rPr/>
      </w:pPr>
      <w:r>
        <w:rPr/>
        <w:t>Au fost organizate patru grupuri de dezbatere ale cetățenilor europeni. Pentru fiecare dintre acestea, subiectele de discuție au corespuns subiectelor identificate pe platforma digitală multilingvă și au fost grupate după cum urmează:</w:t>
      </w:r>
    </w:p>
    <w:p>
      <w:pPr>
        <w:pStyle w:val="Puce3"/>
        <w:rPr/>
      </w:pPr>
      <w:r>
        <w:rPr/>
        <w:t>1. O economie mai puternică, justiție socială și ocuparea forței de muncă; educație, cultură, tineret și sport; transformarea digitală;</w:t>
      </w:r>
    </w:p>
    <w:p>
      <w:pPr>
        <w:pStyle w:val="Puce3"/>
        <w:rPr/>
      </w:pPr>
      <w:r>
        <w:rPr/>
        <w:t>2. Democrația europeană; valori și drepturi, statul de drept, securitate;</w:t>
      </w:r>
    </w:p>
    <w:p>
      <w:pPr>
        <w:pStyle w:val="Puce3"/>
        <w:rPr/>
      </w:pPr>
      <w:r>
        <w:rPr/>
        <w:t>3. Schimbarea climei și mediul înconjurător; sănătate;</w:t>
      </w:r>
    </w:p>
    <w:p>
      <w:pPr>
        <w:pStyle w:val="Puce3"/>
        <w:tabs>
          <w:tab w:val="clear" w:pos="720"/>
        </w:tabs>
        <w:rPr/>
      </w:pPr>
      <w:r>
        <w:rPr/>
        <w:t>4.UE în lume; migrație.</w:t>
      </w:r>
    </w:p>
    <w:p>
      <w:pPr>
        <w:pStyle w:val="Corpsdetexte"/>
        <w:rPr/>
      </w:pPr>
      <w:r>
        <w:rPr/>
        <w:t>Fiecare grup s-a întâlnit timp de trei weekend-uri. Prima serie de sesiuni a avut loc la Strasbourg, a doua online și a treia în patru orașe (Dublin, Florența, Varșovia/Natolin și Maastricht), în instituțiile publice de învățământ superior și cu sprijinul autorităților locale.</w:t>
      </w:r>
    </w:p>
    <w:p>
      <w:pPr>
        <w:pStyle w:val="Titre4"/>
        <w:numPr>
          <w:ilvl w:val="3"/>
          <w:numId w:val="2"/>
        </w:numPr>
        <w:rPr/>
      </w:pPr>
      <w:bookmarkStart w:id="11" w:name="__RefHeading___Toc298196_1346298689"/>
      <w:bookmarkEnd w:id="11"/>
      <w:r>
        <w:rPr/>
        <w:t>PRIMA RUNDĂ DE SESIUNI DE PANEL</w:t>
      </w:r>
    </w:p>
    <w:p>
      <w:pPr>
        <w:pStyle w:val="Corpsdetexte"/>
        <w:rPr/>
      </w:pPr>
      <w:r>
        <w:rPr/>
        <w:t>Pentru prima sesiune a fiecărui juriu, participanții s-au reunit fizic la Strasbourg. Obiectivul sesiunii a fost de a defini ordinea de zi a deliberărilor. Cetățenii care au participat la panel au început prin reflectarea și dezvoltarea viziunii lor asupra Europei, pornind de la o pagină goală și identificând aspectele care urmează să fie discutate, în cadrul principalelor teme ale grupului. Apoi, aceștia au acordat prioritate temelor asupra cărora doresc să se concentreze într-o mai mare măsură, în vederea formulării de recomandări specifice instituțiilor UE în vederea monitorizării. Discuțiile și activitatea colectivă au avut loc în următoarele două formate:</w:t>
      </w:r>
    </w:p>
    <w:p>
      <w:pPr>
        <w:pStyle w:val="Alineanegatifpuce"/>
        <w:numPr>
          <w:ilvl w:val="0"/>
          <w:numId w:val="3"/>
        </w:numPr>
        <w:rPr/>
      </w:pPr>
      <w:r>
        <w:rPr/>
        <w:t xml:space="preserve"> </w:t>
      </w:r>
      <w:r>
        <w:rPr/>
        <w:t>în subgrupuri compuse din 12-14 cetățeni. Patru până la cinci limbi au fost vorbite în fiecare subgrup, în care cetățenii se puteau exprima în propria lor limbă. Activitatea subgrupurilor a fost ghidată de facilitatori profesioniști selectați de consorțiul de furnizori externi de servicii.</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Cadru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SESIUNEA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ZIUA 1 </w:t>
                                  </w:r>
                                </w:p>
                                <w:p>
                                  <w:pPr>
                                    <w:pStyle w:val="P68B1DB1Contenudetableau9"/>
                                    <w:spacing w:before="57" w:after="57"/>
                                    <w:jc w:val="center"/>
                                    <w:rPr>
                                      <w:sz w:val="16"/>
                                    </w:rPr>
                                  </w:pPr>
                                  <w:r>
                                    <w:rPr/>
                                    <w:t>O nouă întâlnire pentru juriu și pregătirea pentru 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ZIUA 2 </w:t>
                                  </w:r>
                                </w:p>
                                <w:p>
                                  <w:pPr>
                                    <w:pStyle w:val="P68B1DB1Contenudetableau9"/>
                                    <w:spacing w:before="57" w:after="57"/>
                                    <w:jc w:val="center"/>
                                    <w:rPr>
                                      <w:sz w:val="16"/>
                                    </w:rPr>
                                  </w:pPr>
                                  <w:r>
                                    <w:rPr/>
                                    <w:t>Contribuția experților, identificarea problemelor, producția de orientări</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ZIUA 3 </w:t>
                                  </w:r>
                                </w:p>
                                <w:p>
                                  <w:pPr>
                                    <w:pStyle w:val="P68B1DB1Contenudetableau9"/>
                                    <w:spacing w:before="57" w:after="57"/>
                                    <w:jc w:val="center"/>
                                    <w:rPr>
                                      <w:sz w:val="16"/>
                                    </w:rPr>
                                  </w:pPr>
                                  <w:r>
                                    <w:rPr/>
                                    <w:t>Finalizarea orientărilor, observații finale</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Contribuții din partea experților pe subteme</w:t>
                                  </w:r>
                                </w:p>
                              </w:tc>
                              <w:tc>
                                <w:tcPr>
                                  <w:tcW w:w="3120" w:type="dxa"/>
                                  <w:gridSpan w:val="2"/>
                                  <w:tcBorders/>
                                  <w:shd w:fill="0000FF" w:val="clear"/>
                                </w:tcPr>
                                <w:p>
                                  <w:pPr>
                                    <w:pStyle w:val="P68B1DB1Contenudetableau9"/>
                                    <w:spacing w:before="57" w:after="57"/>
                                    <w:jc w:val="center"/>
                                    <w:rPr>
                                      <w:sz w:val="16"/>
                                    </w:rPr>
                                  </w:pPr>
                                  <w:r>
                                    <w:rPr/>
                                    <w:t>Contribuții suplimentare din partea experților</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Bine ați venit, </w:t>
                                  </w:r>
                                </w:p>
                                <w:p>
                                  <w:pPr>
                                    <w:pStyle w:val="P68B1DB1Contenudetableau9"/>
                                    <w:spacing w:before="57" w:after="57"/>
                                    <w:jc w:val="center"/>
                                    <w:rPr>
                                      <w:sz w:val="16"/>
                                    </w:rPr>
                                  </w:pPr>
                                  <w:r>
                                    <w:rPr/>
                                    <w:t xml:space="preserve">Cuvinte adresate ambasadorilor cetățenilor pentru feedbackul lor, </w:t>
                                    <w:br/>
                                    <w:t>Actualizare platformă, agendă</w:t>
                                  </w:r>
                                </w:p>
                              </w:tc>
                              <w:tc>
                                <w:tcPr>
                                  <w:tcW w:w="3120" w:type="dxa"/>
                                  <w:gridSpan w:val="2"/>
                                  <w:tcBorders/>
                                  <w:shd w:fill="00FF00" w:val="clear"/>
                                </w:tcPr>
                                <w:p>
                                  <w:pPr>
                                    <w:pStyle w:val="P68B1DB1Contenudetableau9"/>
                                    <w:spacing w:before="57" w:after="57"/>
                                    <w:jc w:val="center"/>
                                    <w:rPr>
                                      <w:sz w:val="16"/>
                                    </w:rPr>
                                  </w:pPr>
                                  <w:r>
                                    <w:rPr/>
                                    <w:t>Elaborarea de orientări</w:t>
                                  </w:r>
                                </w:p>
                              </w:tc>
                              <w:tc>
                                <w:tcPr>
                                  <w:tcW w:w="3120" w:type="dxa"/>
                                  <w:gridSpan w:val="2"/>
                                  <w:tcBorders/>
                                  <w:shd w:fill="00FF00" w:val="clear"/>
                                </w:tcPr>
                                <w:p>
                                  <w:pPr>
                                    <w:pStyle w:val="P68B1DB1Contenudetableau9"/>
                                    <w:spacing w:before="57" w:after="57"/>
                                    <w:jc w:val="center"/>
                                    <w:rPr>
                                      <w:sz w:val="16"/>
                                    </w:rPr>
                                  </w:pPr>
                                  <w:r>
                                    <w:rPr/>
                                    <w:t xml:space="preserve"> </w:t>
                                  </w:r>
                                  <w:r>
                                    <w:rPr/>
                                    <w:t>Finalizarea orientărilor</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Împărtășirea anumitor orientări, </w:t>
                                    <w:br/>
                                    <w:t>Observații finale</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Sesiune plenară</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Sesiunea plenară a temei</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Sesiune subgrup</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Cadru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SESIUNEA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ZIUA 1 </w:t>
                            </w:r>
                          </w:p>
                          <w:p>
                            <w:pPr>
                              <w:pStyle w:val="P68B1DB1Contenudetableau9"/>
                              <w:spacing w:before="57" w:after="57"/>
                              <w:jc w:val="center"/>
                              <w:rPr>
                                <w:sz w:val="16"/>
                              </w:rPr>
                            </w:pPr>
                            <w:r>
                              <w:rPr/>
                              <w:t>O nouă întâlnire pentru juriu și pregătirea pentru 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ZIUA 2 </w:t>
                            </w:r>
                          </w:p>
                          <w:p>
                            <w:pPr>
                              <w:pStyle w:val="P68B1DB1Contenudetableau9"/>
                              <w:spacing w:before="57" w:after="57"/>
                              <w:jc w:val="center"/>
                              <w:rPr>
                                <w:sz w:val="16"/>
                              </w:rPr>
                            </w:pPr>
                            <w:r>
                              <w:rPr/>
                              <w:t>Contribuția experților, identificarea problemelor, producția de orientări</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ZIUA 3 </w:t>
                            </w:r>
                          </w:p>
                          <w:p>
                            <w:pPr>
                              <w:pStyle w:val="P68B1DB1Contenudetableau9"/>
                              <w:spacing w:before="57" w:after="57"/>
                              <w:jc w:val="center"/>
                              <w:rPr>
                                <w:sz w:val="16"/>
                              </w:rPr>
                            </w:pPr>
                            <w:r>
                              <w:rPr/>
                              <w:t>Finalizarea orientărilor, observații finale</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Contribuții din partea experților pe subteme</w:t>
                            </w:r>
                          </w:p>
                        </w:tc>
                        <w:tc>
                          <w:tcPr>
                            <w:tcW w:w="3120" w:type="dxa"/>
                            <w:gridSpan w:val="2"/>
                            <w:tcBorders/>
                            <w:shd w:fill="0000FF" w:val="clear"/>
                          </w:tcPr>
                          <w:p>
                            <w:pPr>
                              <w:pStyle w:val="P68B1DB1Contenudetableau9"/>
                              <w:spacing w:before="57" w:after="57"/>
                              <w:jc w:val="center"/>
                              <w:rPr>
                                <w:sz w:val="16"/>
                              </w:rPr>
                            </w:pPr>
                            <w:r>
                              <w:rPr/>
                              <w:t>Contribuții suplimentare din partea experților</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Bine ați venit, </w:t>
                            </w:r>
                          </w:p>
                          <w:p>
                            <w:pPr>
                              <w:pStyle w:val="P68B1DB1Contenudetableau9"/>
                              <w:spacing w:before="57" w:after="57"/>
                              <w:jc w:val="center"/>
                              <w:rPr>
                                <w:sz w:val="16"/>
                              </w:rPr>
                            </w:pPr>
                            <w:r>
                              <w:rPr/>
                              <w:t xml:space="preserve">Cuvinte adresate ambasadorilor cetățenilor pentru feedbackul lor, </w:t>
                              <w:br/>
                              <w:t>Actualizare platformă, agendă</w:t>
                            </w:r>
                          </w:p>
                        </w:tc>
                        <w:tc>
                          <w:tcPr>
                            <w:tcW w:w="3120" w:type="dxa"/>
                            <w:gridSpan w:val="2"/>
                            <w:tcBorders/>
                            <w:shd w:fill="00FF00" w:val="clear"/>
                          </w:tcPr>
                          <w:p>
                            <w:pPr>
                              <w:pStyle w:val="P68B1DB1Contenudetableau9"/>
                              <w:spacing w:before="57" w:after="57"/>
                              <w:jc w:val="center"/>
                              <w:rPr>
                                <w:sz w:val="16"/>
                              </w:rPr>
                            </w:pPr>
                            <w:r>
                              <w:rPr/>
                              <w:t>Elaborarea de orientări</w:t>
                            </w:r>
                          </w:p>
                        </w:tc>
                        <w:tc>
                          <w:tcPr>
                            <w:tcW w:w="3120" w:type="dxa"/>
                            <w:gridSpan w:val="2"/>
                            <w:tcBorders/>
                            <w:shd w:fill="00FF00" w:val="clear"/>
                          </w:tcPr>
                          <w:p>
                            <w:pPr>
                              <w:pStyle w:val="P68B1DB1Contenudetableau9"/>
                              <w:spacing w:before="57" w:after="57"/>
                              <w:jc w:val="center"/>
                              <w:rPr>
                                <w:sz w:val="16"/>
                              </w:rPr>
                            </w:pPr>
                            <w:r>
                              <w:rPr/>
                              <w:t xml:space="preserve"> </w:t>
                            </w:r>
                            <w:r>
                              <w:rPr/>
                              <w:t>Finalizarea orientărilor</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Împărtășirea anumitor orientări, </w:t>
                              <w:br/>
                              <w:t>Observații finale</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Sesiune plenară</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Sesiunea plenară a temei</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Sesiune subgrup</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în plen, cu toți participanții. Sesiunile plenare au fost conduse de doi moderatori principali. Temele prioritare rezultate în urma discuțiilor au fost subdivizate în „axă” (corespunzând clusterelor tematice) și „subaxă” și au servit drept bază pentru a doua serie de sesiuni. În acest scop, participanții au primit informații generale privind temele, precum și contribuții relevante, inclusiv analize și scheme conceptuale, de la primul raport intermediar al Platformei digitale multilingve și prezentările efectuate de experți externi la nivel înalt.</w:t>
      </w:r>
    </w:p>
    <w:p>
      <w:pPr>
        <w:pStyle w:val="Corpsdetexte"/>
        <w:rPr/>
      </w:pPr>
      <w:r>
        <w:rPr/>
        <w:t>În cadrul primelor sesiuni, cele 20 de persoane invitate să reprezinte fiecare dintre comisiile plenare au fost selectate dintre cetățenii voluntari; în acest sens, el a fost urmărit pentru diversitatea de vârstă și sex.</w:t>
      </w:r>
    </w:p>
    <w:p>
      <w:pPr>
        <w:pStyle w:val="Titre4"/>
        <w:numPr>
          <w:ilvl w:val="3"/>
          <w:numId w:val="2"/>
        </w:numPr>
        <w:rPr/>
      </w:pPr>
      <w:bookmarkStart w:id="12" w:name="__RefHeading___Toc298198_1346298689"/>
      <w:bookmarkEnd w:id="12"/>
      <w:r>
        <w:rPr/>
        <w:t>A DOUA RUNDĂ DE SESIUNI DE PANEL</w:t>
      </w:r>
    </w:p>
    <w:p>
      <w:pPr>
        <w:pStyle w:val="Corpsdetexte"/>
        <w:rPr/>
      </w:pPr>
      <w:r>
        <w:rPr/>
        <w:t>Grupurile cetățenești europene și-au continuat activitatea reunindu-se online pe tot parcursul lunii noiembrie. În acest scop, a fost instituit un regim special: un studio din Bruxelles a găzduit principalele sesiuni de moderare și sesiuni plenare, în timp ce cetățenii participanți din întreaga UE ar putea interveni printr-un sistem de conectare și interpretare.</w:t>
      </w:r>
    </w:p>
    <w:p>
      <w:pPr>
        <w:pStyle w:val="Corpsdetexte"/>
        <w:rPr/>
      </w:pPr>
      <w:r>
        <w:rPr/>
        <w:t>În cadrul celei de-a doua runde de sesiuni, cu sprijinul experților și al verificatorilor faptelor, cetățenii au identificat și discutat o serie de aspecte specifice și au elaborat orientări pentru fiecare dintre axele tematice pe care le-au identificat în timpul primei sesiuni. S-a acordat o atenție deosebită echilibrului de gen și geografic în cadrul grupului de experți și că fiecare dintre acești experți, prin contribuțiile lor, informează în profunzime cetățenii prin comunicarea faptelor și/sau progresul dezbaterii și prin abținerea de la exprimarea opiniilor personale. De asemenea, cetățenilor li s-au pus la dispoziție rapoartele intermediare ale platformei digitale multilingve.</w:t>
      </w:r>
    </w:p>
    <w:p>
      <w:pPr>
        <w:pStyle w:val="Corpsdetexte"/>
        <w:rPr/>
      </w:pPr>
      <w:r>
        <w:rPr/>
        <w:t>Astfel, au fost în măsură să identifice și să discute aspecte legate de temele care le-au fost atribuite, pe baza contribuției experților pe teme abordate și a cunoștințelor și experiențelor proprii, în cadrul deliberărilor care au avut loc în cadrul celei de-a doua runde de sesiuni. Problemele au fost definite ca probleme care necesită soluții sau situații care necesită schimbare.</w:t>
      </w:r>
    </w:p>
    <w:p>
      <w:pPr>
        <w:pStyle w:val="Corpsdetexte"/>
        <w:rPr/>
      </w:pPr>
      <w:r>
        <w:rPr/>
        <w:t>Cetățenii au abordat apoi aceste aspecte prin elaborarea de orientări, primul pas către formularea recomandărilor, care a fost obiectivul celei de-a treia serii de sesiuni. Cetățenilor li s-a cerut, de asemenea, să justifice aceste orientări.</w:t>
      </w:r>
    </w:p>
    <w:p>
      <w:pPr>
        <w:pStyle w:val="Corpsdetexte"/>
        <w:rPr/>
      </w:pPr>
      <w:r>
        <w:rPr/>
        <w:t>Discuțiile și activitatea colectivă au avut loc în trei formate:</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Cadru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SESIUNEA 3</w:t>
                                  </w:r>
                                </w:p>
                              </w:tc>
                            </w:tr>
                            <w:tr>
                              <w:trPr/>
                              <w:tc>
                                <w:tcPr>
                                  <w:tcW w:w="3138" w:type="dxa"/>
                                  <w:tcBorders/>
                                  <w:shd w:fill="0000FF" w:val="clear"/>
                                </w:tcPr>
                                <w:p>
                                  <w:pPr>
                                    <w:pStyle w:val="P68B1DB1Contenudetableau10"/>
                                    <w:spacing w:before="57" w:after="57"/>
                                    <w:jc w:val="center"/>
                                    <w:rPr>
                                      <w:b/>
                                      <w:b/>
                                    </w:rPr>
                                  </w:pPr>
                                  <w:r>
                                    <w:rPr/>
                                    <w:t xml:space="preserve">ZIUA 1 </w:t>
                                  </w:r>
                                </w:p>
                                <w:p>
                                  <w:pPr>
                                    <w:pStyle w:val="Contenudetableau"/>
                                    <w:spacing w:before="57" w:after="57"/>
                                    <w:jc w:val="center"/>
                                    <w:rPr/>
                                  </w:pPr>
                                  <w:r>
                                    <w:rPr/>
                                    <w:t>Reconectarea, prioritizarea și începerea activității</w:t>
                                  </w:r>
                                </w:p>
                              </w:tc>
                              <w:tc>
                                <w:tcPr>
                                  <w:tcW w:w="3138" w:type="dxa"/>
                                  <w:tcBorders/>
                                  <w:shd w:fill="0000FF" w:val="clear"/>
                                </w:tcPr>
                                <w:p>
                                  <w:pPr>
                                    <w:pStyle w:val="P68B1DB1Contenudetableau10"/>
                                    <w:spacing w:before="57" w:after="57"/>
                                    <w:jc w:val="center"/>
                                    <w:rPr>
                                      <w:b/>
                                      <w:b/>
                                    </w:rPr>
                                  </w:pPr>
                                  <w:r>
                                    <w:rPr/>
                                    <w:t xml:space="preserve">ZIUA 2 </w:t>
                                  </w:r>
                                </w:p>
                                <w:p>
                                  <w:pPr>
                                    <w:pStyle w:val="Contenudetableau"/>
                                    <w:jc w:val="center"/>
                                    <w:rPr/>
                                  </w:pPr>
                                  <w:r>
                                    <w:rPr/>
                                    <w:t xml:space="preserve">Transformarea orientărilor </w:t>
                                  </w:r>
                                </w:p>
                                <w:p>
                                  <w:pPr>
                                    <w:pStyle w:val="Contenudetableau"/>
                                    <w:spacing w:before="57" w:after="57"/>
                                    <w:jc w:val="center"/>
                                    <w:rPr/>
                                  </w:pPr>
                                  <w:r>
                                    <w:rPr/>
                                    <w:t>recomandări finale</w:t>
                                  </w:r>
                                </w:p>
                              </w:tc>
                              <w:tc>
                                <w:tcPr>
                                  <w:tcW w:w="3138" w:type="dxa"/>
                                  <w:tcBorders/>
                                  <w:shd w:fill="0000FF" w:val="clear"/>
                                </w:tcPr>
                                <w:p>
                                  <w:pPr>
                                    <w:pStyle w:val="P68B1DB1Contenudetableau10"/>
                                    <w:spacing w:before="57" w:after="57"/>
                                    <w:jc w:val="center"/>
                                    <w:rPr>
                                      <w:b/>
                                      <w:b/>
                                    </w:rPr>
                                  </w:pPr>
                                  <w:r>
                                    <w:rPr/>
                                    <w:t xml:space="preserve">ZIUA 3 </w:t>
                                  </w:r>
                                </w:p>
                                <w:p>
                                  <w:pPr>
                                    <w:pStyle w:val="Contenudetableau"/>
                                    <w:spacing w:before="57" w:after="57"/>
                                    <w:jc w:val="center"/>
                                    <w:rPr/>
                                  </w:pPr>
                                  <w:r>
                                    <w:rPr/>
                                    <w:t>Votarea recomandărilor finale</w:t>
                                  </w:r>
                                </w:p>
                              </w:tc>
                            </w:tr>
                            <w:tr>
                              <w:trPr/>
                              <w:tc>
                                <w:tcPr>
                                  <w:tcW w:w="3138" w:type="dxa"/>
                                  <w:tcBorders/>
                                  <w:shd w:fill="800000" w:val="clear"/>
                                </w:tcPr>
                                <w:p>
                                  <w:pPr>
                                    <w:pStyle w:val="Contenudetableau"/>
                                    <w:spacing w:before="57" w:after="57"/>
                                    <w:jc w:val="center"/>
                                    <w:rPr/>
                                  </w:pPr>
                                  <w:r>
                                    <w:rPr/>
                                    <w:t>Bun venit și obiectivele weekendului</w:t>
                                  </w:r>
                                </w:p>
                              </w:tc>
                              <w:tc>
                                <w:tcPr>
                                  <w:tcW w:w="3138" w:type="dxa"/>
                                  <w:tcBorders/>
                                  <w:shd w:fill="00FF00" w:val="clear"/>
                                </w:tcPr>
                                <w:p>
                                  <w:pPr>
                                    <w:pStyle w:val="Contenudetableau"/>
                                    <w:spacing w:before="57" w:after="57"/>
                                    <w:jc w:val="center"/>
                                    <w:rPr/>
                                  </w:pPr>
                                  <w:r>
                                    <w:rPr/>
                                    <w:t>Transformarea orientărilor în recomandări</w:t>
                                  </w:r>
                                </w:p>
                              </w:tc>
                              <w:tc>
                                <w:tcPr>
                                  <w:tcW w:w="3138" w:type="dxa"/>
                                  <w:tcBorders/>
                                  <w:shd w:fill="800000" w:val="clear"/>
                                </w:tcPr>
                                <w:p>
                                  <w:pPr>
                                    <w:pStyle w:val="Contenudetableau"/>
                                    <w:spacing w:before="57" w:after="57"/>
                                    <w:jc w:val="center"/>
                                    <w:rPr/>
                                  </w:pPr>
                                  <w:r>
                                    <w:rPr/>
                                    <w:t>Votarea recomandărilor finale</w:t>
                                  </w:r>
                                </w:p>
                              </w:tc>
                            </w:tr>
                            <w:tr>
                              <w:trPr/>
                              <w:tc>
                                <w:tcPr>
                                  <w:tcW w:w="3138" w:type="dxa"/>
                                  <w:tcBorders/>
                                  <w:shd w:fill="0000FF" w:val="clear"/>
                                </w:tcPr>
                                <w:p>
                                  <w:pPr>
                                    <w:pStyle w:val="Contenudetableau"/>
                                    <w:spacing w:before="57" w:after="57"/>
                                    <w:jc w:val="center"/>
                                    <w:rPr/>
                                  </w:pPr>
                                  <w:r>
                                    <w:rPr/>
                                    <w:t xml:space="preserve">Forum deschis, </w:t>
                                  </w:r>
                                </w:p>
                                <w:p>
                                  <w:pPr>
                                    <w:pStyle w:val="Contenudetableau"/>
                                    <w:spacing w:before="57" w:after="57"/>
                                    <w:jc w:val="center"/>
                                    <w:rPr/>
                                  </w:pPr>
                                  <w:r>
                                    <w:rPr/>
                                    <w:t>Citirea și prioritizarea orientărilor</w:t>
                                  </w:r>
                                </w:p>
                              </w:tc>
                              <w:tc>
                                <w:tcPr>
                                  <w:tcW w:w="3138" w:type="dxa"/>
                                  <w:tcBorders/>
                                  <w:shd w:fill="00FF00" w:val="clear"/>
                                </w:tcPr>
                                <w:p>
                                  <w:pPr>
                                    <w:pStyle w:val="Contenudetableau"/>
                                    <w:spacing w:before="57" w:after="57"/>
                                    <w:jc w:val="center"/>
                                    <w:rPr/>
                                  </w:pPr>
                                  <w:r>
                                    <w:rPr/>
                                    <w:t>Feedback către alte grupuri, Finalizarea recomandărilor</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Transformarea orientărilor în recomandări</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Sesiune plenară</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Forum Deschideți</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Activitatea subgrupului</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Cadru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SESIUNEA 3</w:t>
                            </w:r>
                          </w:p>
                        </w:tc>
                      </w:tr>
                      <w:tr>
                        <w:trPr/>
                        <w:tc>
                          <w:tcPr>
                            <w:tcW w:w="3138" w:type="dxa"/>
                            <w:tcBorders/>
                            <w:shd w:fill="0000FF" w:val="clear"/>
                          </w:tcPr>
                          <w:p>
                            <w:pPr>
                              <w:pStyle w:val="P68B1DB1Contenudetableau10"/>
                              <w:spacing w:before="57" w:after="57"/>
                              <w:jc w:val="center"/>
                              <w:rPr>
                                <w:b/>
                                <w:b/>
                              </w:rPr>
                            </w:pPr>
                            <w:r>
                              <w:rPr/>
                              <w:t xml:space="preserve">ZIUA 1 </w:t>
                            </w:r>
                          </w:p>
                          <w:p>
                            <w:pPr>
                              <w:pStyle w:val="Contenudetableau"/>
                              <w:spacing w:before="57" w:after="57"/>
                              <w:jc w:val="center"/>
                              <w:rPr/>
                            </w:pPr>
                            <w:r>
                              <w:rPr/>
                              <w:t>Reconectarea, prioritizarea și începerea activității</w:t>
                            </w:r>
                          </w:p>
                        </w:tc>
                        <w:tc>
                          <w:tcPr>
                            <w:tcW w:w="3138" w:type="dxa"/>
                            <w:tcBorders/>
                            <w:shd w:fill="0000FF" w:val="clear"/>
                          </w:tcPr>
                          <w:p>
                            <w:pPr>
                              <w:pStyle w:val="P68B1DB1Contenudetableau10"/>
                              <w:spacing w:before="57" w:after="57"/>
                              <w:jc w:val="center"/>
                              <w:rPr>
                                <w:b/>
                                <w:b/>
                              </w:rPr>
                            </w:pPr>
                            <w:r>
                              <w:rPr/>
                              <w:t xml:space="preserve">ZIUA 2 </w:t>
                            </w:r>
                          </w:p>
                          <w:p>
                            <w:pPr>
                              <w:pStyle w:val="Contenudetableau"/>
                              <w:jc w:val="center"/>
                              <w:rPr/>
                            </w:pPr>
                            <w:r>
                              <w:rPr/>
                              <w:t xml:space="preserve">Transformarea orientărilor </w:t>
                            </w:r>
                          </w:p>
                          <w:p>
                            <w:pPr>
                              <w:pStyle w:val="Contenudetableau"/>
                              <w:spacing w:before="57" w:after="57"/>
                              <w:jc w:val="center"/>
                              <w:rPr/>
                            </w:pPr>
                            <w:r>
                              <w:rPr/>
                              <w:t>recomandări finale</w:t>
                            </w:r>
                          </w:p>
                        </w:tc>
                        <w:tc>
                          <w:tcPr>
                            <w:tcW w:w="3138" w:type="dxa"/>
                            <w:tcBorders/>
                            <w:shd w:fill="0000FF" w:val="clear"/>
                          </w:tcPr>
                          <w:p>
                            <w:pPr>
                              <w:pStyle w:val="P68B1DB1Contenudetableau10"/>
                              <w:spacing w:before="57" w:after="57"/>
                              <w:jc w:val="center"/>
                              <w:rPr>
                                <w:b/>
                                <w:b/>
                              </w:rPr>
                            </w:pPr>
                            <w:r>
                              <w:rPr/>
                              <w:t xml:space="preserve">ZIUA 3 </w:t>
                            </w:r>
                          </w:p>
                          <w:p>
                            <w:pPr>
                              <w:pStyle w:val="Contenudetableau"/>
                              <w:spacing w:before="57" w:after="57"/>
                              <w:jc w:val="center"/>
                              <w:rPr/>
                            </w:pPr>
                            <w:r>
                              <w:rPr/>
                              <w:t>Votarea recomandărilor finale</w:t>
                            </w:r>
                          </w:p>
                        </w:tc>
                      </w:tr>
                      <w:tr>
                        <w:trPr/>
                        <w:tc>
                          <w:tcPr>
                            <w:tcW w:w="3138" w:type="dxa"/>
                            <w:tcBorders/>
                            <w:shd w:fill="800000" w:val="clear"/>
                          </w:tcPr>
                          <w:p>
                            <w:pPr>
                              <w:pStyle w:val="Contenudetableau"/>
                              <w:spacing w:before="57" w:after="57"/>
                              <w:jc w:val="center"/>
                              <w:rPr/>
                            </w:pPr>
                            <w:r>
                              <w:rPr/>
                              <w:t>Bun venit și obiectivele weekendului</w:t>
                            </w:r>
                          </w:p>
                        </w:tc>
                        <w:tc>
                          <w:tcPr>
                            <w:tcW w:w="3138" w:type="dxa"/>
                            <w:tcBorders/>
                            <w:shd w:fill="00FF00" w:val="clear"/>
                          </w:tcPr>
                          <w:p>
                            <w:pPr>
                              <w:pStyle w:val="Contenudetableau"/>
                              <w:spacing w:before="57" w:after="57"/>
                              <w:jc w:val="center"/>
                              <w:rPr/>
                            </w:pPr>
                            <w:r>
                              <w:rPr/>
                              <w:t>Transformarea orientărilor în recomandări</w:t>
                            </w:r>
                          </w:p>
                        </w:tc>
                        <w:tc>
                          <w:tcPr>
                            <w:tcW w:w="3138" w:type="dxa"/>
                            <w:tcBorders/>
                            <w:shd w:fill="800000" w:val="clear"/>
                          </w:tcPr>
                          <w:p>
                            <w:pPr>
                              <w:pStyle w:val="Contenudetableau"/>
                              <w:spacing w:before="57" w:after="57"/>
                              <w:jc w:val="center"/>
                              <w:rPr/>
                            </w:pPr>
                            <w:r>
                              <w:rPr/>
                              <w:t>Votarea recomandărilor finale</w:t>
                            </w:r>
                          </w:p>
                        </w:tc>
                      </w:tr>
                      <w:tr>
                        <w:trPr/>
                        <w:tc>
                          <w:tcPr>
                            <w:tcW w:w="3138" w:type="dxa"/>
                            <w:tcBorders/>
                            <w:shd w:fill="0000FF" w:val="clear"/>
                          </w:tcPr>
                          <w:p>
                            <w:pPr>
                              <w:pStyle w:val="Contenudetableau"/>
                              <w:spacing w:before="57" w:after="57"/>
                              <w:jc w:val="center"/>
                              <w:rPr/>
                            </w:pPr>
                            <w:r>
                              <w:rPr/>
                              <w:t xml:space="preserve">Forum deschis, </w:t>
                            </w:r>
                          </w:p>
                          <w:p>
                            <w:pPr>
                              <w:pStyle w:val="Contenudetableau"/>
                              <w:spacing w:before="57" w:after="57"/>
                              <w:jc w:val="center"/>
                              <w:rPr/>
                            </w:pPr>
                            <w:r>
                              <w:rPr/>
                              <w:t>Citirea și prioritizarea orientărilor</w:t>
                            </w:r>
                          </w:p>
                        </w:tc>
                        <w:tc>
                          <w:tcPr>
                            <w:tcW w:w="3138" w:type="dxa"/>
                            <w:tcBorders/>
                            <w:shd w:fill="00FF00" w:val="clear"/>
                          </w:tcPr>
                          <w:p>
                            <w:pPr>
                              <w:pStyle w:val="Contenudetableau"/>
                              <w:spacing w:before="57" w:after="57"/>
                              <w:jc w:val="center"/>
                              <w:rPr/>
                            </w:pPr>
                            <w:r>
                              <w:rPr/>
                              <w:t>Feedback către alte grupuri, Finalizarea recomandărilor</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Transformarea orientărilor în recomandări</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Sesiune plenară</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Forum Deschideți</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Activitatea subgrupului</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în subgrupuri. Fiecare dintre cele cincisprezece subgrupuri era format din doisprezece până la paisprezece cetățeni. Patru până la cinci limbi au fost folosite în fiecare subgrup pentru a permite cetățenilor să se exprime în propria lor limbă sau într-o limbă în care s-au simțit confortabil. Fiecare subgrup avea un facilitator profesionist din cadrul consorțiului de furnizori externi de servicii.</w:t>
      </w:r>
    </w:p>
    <w:p>
      <w:pPr>
        <w:pStyle w:val="Alineanegatifpuce"/>
        <w:numPr>
          <w:ilvl w:val="0"/>
          <w:numId w:val="3"/>
        </w:numPr>
        <w:rPr/>
      </w:pPr>
      <w:r>
        <w:rPr/>
        <w:t xml:space="preserve"> </w:t>
      </w:r>
      <w:r>
        <w:rPr/>
        <w:t>în sesiunea plenară dedicată unui flux de lucru. Fiecare sesiune plenară dedicată unei axe de lucru a reunit subgrupurile care lucrează pe aceeași axă tematică. Sesiunile plenare dedicate unui flux de lucru au fost facilitate de facilitatori profesioniști, interpretarea acoperind toate limbile solicitate de participanți.</w:t>
      </w:r>
    </w:p>
    <w:p>
      <w:pPr>
        <w:pStyle w:val="Alineanegatifpuce"/>
        <w:numPr>
          <w:ilvl w:val="0"/>
          <w:numId w:val="3"/>
        </w:numPr>
        <w:rPr/>
      </w:pPr>
      <w:r>
        <w:rPr/>
        <w:t xml:space="preserve"> </w:t>
      </w:r>
      <w:r>
        <w:rPr/>
        <w:t>în plen, cu toți cetățenii participanți, să prezinte și să închidă sesiunea. Sesiunile plenare au fost conduse de doi principali moderatori ai consorțiului, cu interpretare în cele 24 de limbi oficiale ale UE.</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A TREIA RUNDĂ DE SESIUNI DE PANEL</w:t>
      </w:r>
    </w:p>
    <w:p>
      <w:pPr>
        <w:pStyle w:val="Corpsdetexte"/>
        <w:rPr/>
      </w:pPr>
      <w:r>
        <w:rPr/>
        <w:t>Cea de-a treia și ultima rundă de sesiuni de grup au avut loc personal în instituții de învățământ din patru state membre. Din cauza pandemiei de COVID-19 și a măsurilor conexe în Irlanda și Țările de Jos, a treia sesiune a grupurilor de dezbatere 1 (O economie mai puternică, justiție socială și ocuparea forței de muncă); educație, cultură, tineret și sport; transformarea digitală) și 4 (UE în lume; migrația) a trebuit să fie amânată până în februarie 2022, în consultare cu autoritățile naționale și cu partenerii asociați.</w:t>
      </w:r>
    </w:p>
    <w:p>
      <w:pPr>
        <w:pStyle w:val="Corpsdetexte"/>
        <w:rPr/>
      </w:pPr>
      <w:r>
        <w:rPr/>
        <w:t xml:space="preserve">Discuțiile și activitatea colectivă au avut loc în următoarele formate: </w:t>
      </w:r>
    </w:p>
    <w:p>
      <w:pPr>
        <w:pStyle w:val="Alineanegatifpuce"/>
        <w:numPr>
          <w:ilvl w:val="0"/>
          <w:numId w:val="3"/>
        </w:numPr>
        <w:rPr/>
      </w:pPr>
      <w:r>
        <w:rPr/>
        <w:t xml:space="preserve"> </w:t>
      </w:r>
      <w:r>
        <w:rPr/>
        <w:t>în plen cu toți participanții, la începutul sesiunii pentru a prezenta programul și la sfârșitul sesiunii, după cum se explică mai jos. Sesiunile plenare au fost conduse de doi principali moderatori ai grupului de deliberare, cu interpretare în cele 24 de limbi oficiale ale UE.</w:t>
      </w:r>
    </w:p>
    <w:p>
      <w:pPr>
        <w:pStyle w:val="Alineanegatifpuce"/>
        <w:numPr>
          <w:ilvl w:val="0"/>
          <w:numId w:val="3"/>
        </w:numPr>
        <w:rPr/>
      </w:pPr>
      <w:r>
        <w:rPr/>
        <w:t xml:space="preserve"> </w:t>
      </w:r>
      <w:r>
        <w:rPr/>
        <w:t>Cetățenii au început prin examinarea tuturor orientărilor elaborate de juriu în timpul sesiunii 2, ca parte a unui „forum deschis”. Fiecare cetățean a acordat prioritate unui număr maxim de zece orientări pe axă de lucru. Odată ce acest proces de stabilire a priorităților a fost finalizat la nivel de grup, cetățenii s-au alăturat subgrupului în care au lucrat deja în timpul celei de-a doua sesiuni și au luat act în mod colectiv de orientările grupului care au fost prioritizate de restul grupului – o oportunitate de a compara această alegere cu propria evaluare. Pentru pregătirea recomandărilor, fiecărui subgrup i s-a oferit o gamă orientativă a numărului de recomandări care urmează să fie elaborate: de la unu la trei, cu maximum cinci.</w:t>
      </w:r>
    </w:p>
    <w:p>
      <w:pPr>
        <w:pStyle w:val="Alineanegatifpuce"/>
        <w:numPr>
          <w:ilvl w:val="0"/>
          <w:numId w:val="3"/>
        </w:numPr>
        <w:rPr/>
      </w:pPr>
      <w:r>
        <w:rPr/>
        <w:t xml:space="preserve"> </w:t>
      </w:r>
      <w:r>
        <w:rPr/>
        <w:t xml:space="preserve">Fiecare dintre cele 15 subgrupuri a lucrat pentru a elabora orientări pentru recomandări. Cetățenii au discutat orientările care au primit cel mai mult sprijin (în ordinea lor de prioritate) și au început procesul de elaborare a recomandărilor. </w:t>
      </w:r>
    </w:p>
    <w:p>
      <w:pPr>
        <w:pStyle w:val="Normal"/>
        <w:rPr/>
      </w:pPr>
      <w:r>
        <w:rPr/>
        <w:t>În cadrul celei de-a treia serii de sesiuni, expertiza și informațiile nu au fost aduse în interacțiune directă cu cetățenii, ci printr-un sistem special conceput, un „Punct de resurse și informații”. Acest sistem a fost utilizat pentru a centraliza toate cererile de informații și de verificare a faptelor la fața locului și pentru a oferi răspunsuri succinte și factuale din partea experților și verificatorilor veridicității informațiilor către subgrupuri. Acest sistem a fost conceput pentru a se asigura că contribuțiile experților și ale verificatorilor veridicității informațiilor sunt pregătite în conformitate cu cele mai înalte standarde de calitate și pentru a evita influența nejustificată în această etapă a procesului. De asemenea, cetățenilor li s-au pus la dispoziție rapoartele intermediare ale platformei digitale multilingve.</w:t>
      </w:r>
    </w:p>
    <w:p>
      <w:pPr>
        <w:pStyle w:val="Corpsdetexte"/>
        <w:rPr/>
      </w:pPr>
      <w:r>
        <w:rPr/>
        <w:t>În timpul activității subgrupului au fost organizate sesiuni de feedback pentru a-i ajuta pe participanți să înțeleagă activitatea celorlalte subgrupuri și să-și consolideze recomandările.</w:t>
      </w:r>
    </w:p>
    <w:p>
      <w:pPr>
        <w:pStyle w:val="Corpsdetexte"/>
        <w:rPr/>
      </w:pPr>
      <w:r>
        <w:rPr/>
        <w:t>Recomandările fiecărui subgrup au fost apoi votate de juriu în ultima zi a sesiunii. Înainte de vot, toți participanții au primit un document conținând toate proiectele de recomandări elaborate cu o zi înainte, astfel încât să le poată citi în propria lor limbă (traducere automată din limba engleză). Fiecare recomandare a fost citită în limba engleză în plen pentru a permite cetățenilor să audă interpretarea simultan. Una după alta, recomandările au fost supuse la vot participanților utilizând un formular online.</w:t>
      </w:r>
    </w:p>
    <w:p>
      <w:pPr>
        <w:pStyle w:val="Corpsdetexte"/>
        <w:rPr/>
      </w:pPr>
      <w:r>
        <w:rPr/>
        <w:t>Pe baza rezultatelor voturilor finale, recomandările au fost clasificate după cum urmează:</w:t>
      </w:r>
    </w:p>
    <w:p>
      <w:pPr>
        <w:pStyle w:val="Corpsdetexte"/>
        <w:rPr/>
      </w:pPr>
      <w:r>
        <w:rPr/>
        <w:t>Recomandările care au primit 70 % sau mai mult din voturile exprimate au fost adoptate de juriu; recomandările care nu au atins acest prag au fost considerate nevalidate de către juriu. În total, grupurile cetățenești europene au adoptat 178 de recomandări.</w:t>
      </w:r>
    </w:p>
    <w:p>
      <w:pPr>
        <w:pStyle w:val="Corpsdetexte"/>
        <w:rPr/>
      </w:pPr>
      <w:r>
        <w:rPr/>
        <w:t>Procedura de votare a fost supravegheată de un comitet de vot format din doi cetățeni care au propus îndeplinirea acestui rol.</w:t>
      </w:r>
    </w:p>
    <w:p>
      <w:pPr>
        <w:pStyle w:val="Titre4"/>
        <w:numPr>
          <w:ilvl w:val="3"/>
          <w:numId w:val="2"/>
        </w:numPr>
        <w:rPr/>
      </w:pPr>
      <w:bookmarkStart w:id="14" w:name="__RefHeading___Toc298202_1346298689"/>
      <w:bookmarkEnd w:id="14"/>
      <w:r>
        <w:rPr/>
        <w:t>REPREZENTANȚI AI GRUPURILOR DE DEZBATERE ALE CETĂȚENILOR EUROPENI ÎN PLEN</w:t>
      </w:r>
    </w:p>
    <w:p>
      <w:pPr>
        <w:pStyle w:val="Corpsdetexte"/>
        <w:rPr/>
      </w:pPr>
      <w:r>
        <w:rPr/>
        <w:t>Recomandările adoptate de cele patru grupuri de dezbatere ale cetățenilor europeni au fost apoi prezentate și discutate de cei 80 de reprezentanți ai grupurilor cetățenești europene în cadrul sesiunii plenare a Conferinței și în cadrul grupurilor de lucru din 21-22 ianuarie 2022 (Panelurile 2 și 3) și 11-12 martie 2022 (Panelurile 1 și 4). Cei 80 de reprezentanți ai grupurilor cetățenești europene (în medie 70 la fața locului și 10 online) au continuat să promoveze și să explice recomandările grupurilor cetățenești europene în cadrul a trei reuniuni consecutive ale Adunării Plenare și ale grupurilor de lucru (25-26 martie, 8-9 aprilie și 29-30 aprilie).</w:t>
      </w:r>
    </w:p>
    <w:p>
      <w:pPr>
        <w:pStyle w:val="Corpsdetexte"/>
        <w:rPr/>
      </w:pPr>
      <w:r>
        <w:rPr/>
        <w:t>Aceștia au desfășurat, de asemenea, schimburi periodice de opinii în cadrul reuniunilor din cadrul „componentei cetățenești” (în cadrul reuniunilor pregătitoare online și al reuniunilor plenare la fața locului), între ei și cu cei 27 de reprezentanți ai evenimentelor naționale și/sau ai grupurilor naționale. La 23 aprilie, reprezentanții grupurilor cetățenești europene s-au întâlnit online cu toți omologii lor pentru a explica modul în care recomandările au fost discutate și incluse în propunerile plenare și pentru a primi feedback din partea altor participanți. Un grup de membri ai secretariatului comun și ai consorțiului au sprijinit componenta cetățenească în timpul sesiunii plenare.</w:t>
      </w:r>
    </w:p>
    <w:p>
      <w:pPr>
        <w:pStyle w:val="Titre4"/>
        <w:numPr>
          <w:ilvl w:val="3"/>
          <w:numId w:val="2"/>
        </w:numPr>
        <w:rPr/>
      </w:pPr>
      <w:bookmarkStart w:id="15" w:name="__RefHeading___Toc298204_1346298689"/>
      <w:bookmarkEnd w:id="15"/>
      <w:r>
        <w:rPr/>
        <w:t>TRANSPARENȚA PROCESULUI</w:t>
      </w:r>
    </w:p>
    <w:p>
      <w:pPr>
        <w:pStyle w:val="Corpsdetexte"/>
        <w:rPr/>
      </w:pPr>
      <w:r>
        <w:rPr/>
        <w:t xml:space="preserve"> </w:t>
      </w:r>
      <w:r>
        <w:rPr/>
        <w:t>Întregul proces s-a desfășurat într-un mod transparent. Reuniunile plenare ale grupurilor cetățenești europene au fost transmise în direct, în timp ce documentele rezultate în urma discuțiilor și deliberărilor lor au fost puse la dispoziția publicului pe platforma digitală multilingvă. Raportul final al fiecărei sesiuni de grup este disponibil pe platformă, împreună cu recomandările. Rapoartele conțin, de asemenea, informații cu privire la toți experții care au sprijinit activitatea grupurilor de experți.</w:t>
      </w:r>
    </w:p>
    <w:p>
      <w:pPr>
        <w:pStyle w:val="Corpsdetexte"/>
        <w:rPr/>
      </w:pPr>
      <w:r>
        <w:rPr/>
        <w:t>Ca o adevărată inovație democratică, grupurile de dezbatere ale cetățenilor europeni au primit o atenție deosebită din partea comunității științifice. Cercetătorii au putut participa la reuniunile grupurilor cetățenești europene și au putut observa desfășurarea, în conformitate cu anumite norme, a activității desfășurate și a vieții private a participanților.</w:t>
      </w:r>
    </w:p>
    <w:p>
      <w:pPr>
        <w:pStyle w:val="Corpsdetexte"/>
        <w:rPr/>
      </w:pPr>
      <w:r>
        <w:rPr/>
      </w:r>
      <w:r>
        <w:br w:type="page"/>
      </w:r>
    </w:p>
    <w:p>
      <w:pPr>
        <w:pStyle w:val="Titre4"/>
        <w:numPr>
          <w:ilvl w:val="3"/>
          <w:numId w:val="2"/>
        </w:numPr>
        <w:rPr/>
      </w:pPr>
      <w:bookmarkStart w:id="16" w:name="__RefHeading___Toc298206_1346298689"/>
      <w:bookmarkEnd w:id="16"/>
      <w:r>
        <w:rPr/>
        <w:t xml:space="preserve">Panoul 1 </w:t>
        <w:br/>
        <w:t>O economie mai puternică, justiție socială și ocuparea forței de muncă; educație, cultură, tineret și sport; transformarea digitală</w:t>
      </w:r>
    </w:p>
    <w:p>
      <w:pPr>
        <w:pStyle w:val="Corpsdetexte"/>
        <w:rPr/>
      </w:pPr>
      <w:r>
        <w:rPr/>
        <w:t>Prima sesiune a grupului pe tema „O economie mai puternică, justiție socială și ocuparea forței de muncă; educație, cultură, tineret și sport; transformarea digitală” a avut loc în perioada 17-19 septembrie 2021 la Strasbourg. Acest grup a abordat viitorul economiilor și al locurilor de muncă, în special după pandemie, acordând atenția cuvenită aspectelor conexe legate de justiția socială. El a abordat, de asemenea, oportunitățile și provocările transformării digitale, unul dintre cele mai importante subiecte de discuție între cei care se referă la viitor.</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Cadru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Jocuri cu Jocul 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Jocuri cu Jocul Image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Fotografie: juriul 1 al cetățenilor europeni </w:t>
                              <w:tab/>
                              <w:t>Fotografie: juriul 2 al cetățenilor europeni</w:t>
                            </w:r>
                          </w:p>
                        </w:txbxContent>
                      </wps:txbx>
                      <wps:bodyPr lIns="0" rIns="0" tIns="0" bIns="0">
                        <a:noAutofit/>
                      </wps:bodyPr>
                    </wps:wsp>
                  </a:graphicData>
                </a:graphic>
              </wp:anchor>
            </w:drawing>
          </mc:Choice>
          <mc:Fallback>
            <w:pict>
              <v:rect id="shape_0" ID="Cadru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Jocuri cu Jocul 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Jocuri cu Jocul Image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Fotografie: juriul 1 al cetățenilor europeni </w:t>
                        <w:tab/>
                        <w:t>Fotografie: juriul 2 al cetățenilor europeni</w:t>
                      </w:r>
                    </w:p>
                  </w:txbxContent>
                </v:textbox>
              </v:rect>
            </w:pict>
          </mc:Fallback>
        </mc:AlternateContent>
      </w:r>
      <w:r>
        <w:rPr/>
        <w:t>Grupul a discutat, de asemenea, despre viitorul Europei în domeniile tineretului, sportului, culturii și educației. Cetățenii care au participat la juriu au fost întâmpinați de copreședintele Guy Verhofstadt. Lucrările primei sesiuni s-au încheiat cu privire la aprobarea celor cinci direcții de lucru: „Lucrarea în Europa”, „O economie pentru viitor”, „O societate justă”, „Învățarea în Europa” și „O transformare digitală sigură și etică”.</w:t>
      </w:r>
    </w:p>
    <w:p>
      <w:pPr>
        <w:pStyle w:val="Corpsdetexte"/>
        <w:rPr/>
      </w:pPr>
      <w:r>
        <w:rPr/>
        <w:t>În perioada 5-7 noiembrie 2021, Grupul 1 s-a reunit pentru a doua oară, de data aceasta în format virtual, și a continuat deliberările primei sesiuni. În timpul celei de-a doua sesiuni, membrii comisiei au stabilit „orientări” pentru elaborarea de recomandări concrete (la cea de-a treia sesiune) pentru fiecare dintre cele cinci axe identificate la prima sesiune. În total, cetățenii care au participat la grupul 1 au format 142 de grupuri de orientare.</w:t>
      </w:r>
    </w:p>
    <w:p>
      <w:pPr>
        <w:pStyle w:val="Corpsdetexte"/>
        <w:rPr/>
      </w:pPr>
      <w:r>
        <w:rPr/>
        <w:t>În perioada 25-27 februarie 2022, cetățenii care participă la grupul 1 s-au reunit pentru a treia oară, continuând deliberările desfășurate în cadrul sesiunilor 1 și 2. Pentru această sesiune finală, un grup de participanți a fost găzduit la Castelul Dublin de Institutul pentru Afaceri Internaționale și Europene (IIEA), cu posibilitatea de a participa online.</w:t>
      </w:r>
    </w:p>
    <w:p>
      <w:pPr>
        <w:pStyle w:val="Corpsdetexte"/>
        <w:rPr/>
      </w:pPr>
      <w:r>
        <w:rPr/>
        <w:t>pe baza orientărilor pe care le-au elaborat în cadrul sesiunii 2 ca bază pentru activitatea lor, cetățenii au elaborat și au aprobat 48 de recomandări finale.</w:t>
      </w:r>
    </w:p>
    <w:p>
      <w:pPr>
        <w:pStyle w:val="Titre4"/>
        <w:numPr>
          <w:ilvl w:val="3"/>
          <w:numId w:val="2"/>
        </w:numPr>
        <w:rPr/>
      </w:pPr>
      <w:bookmarkStart w:id="17" w:name="__RefHeading___Toc298208_1346298689"/>
      <w:bookmarkEnd w:id="17"/>
      <w:r>
        <w:rPr/>
        <w:t xml:space="preserve">Panoul 2 </w:t>
        <w:br/>
        <w:t>Democrația europeană; valori și drepturi, statul de drept, securitate</w:t>
      </w:r>
    </w:p>
    <w:p>
      <w:pPr>
        <w:pStyle w:val="Corpsdetexte"/>
        <w:rPr/>
      </w:pPr>
      <w:r>
        <w:rPr/>
        <w:t>Sesiunea 1 a panelului pe tema „Democrația europeană; valori și drepturi, statul de drept, securitate” a avut loc în perioada 24-26 septembrie la Strasbourg. Grupul s-a axat pe chestiuni legate de democrație, cum ar fi alegerile, participarea în afara perioadelor electorale, distanța percepută între cetățeni și reprezentanții lor aleși, libertatea mass-mediei și dezinformarea. Acesta a abordat, de asemenea, aspecte legate de drepturile și valorile fundamentale, statul de drept și lupta împotriva tuturor formelor de discriminare. În același timp, el s-a concentrat asupra securității interne a UE, cum ar fi protejarea europenilor împotriva actelor de terorism și a altor infracțiuni. Vorbitorii au fost întâmpinați de copreședintele Gašper Dovžan.</w:t>
      </w:r>
    </w:p>
    <w:p>
      <w:pPr>
        <w:pStyle w:val="Corpsdetexte"/>
        <w:rPr/>
      </w:pPr>
      <w:r>
        <w:rPr/>
        <w:t>Lucrările acestei prime sesiuni s-au încheiat cu privire la aprobarea celor cinci direcții de lucru: „Asigurarea respectării drepturilor și a nediscriminării”, „Protejarea democrației și a statului de drept”, „Reforma UE”, „Construirea identității europene” și „Consolidarea participării cetățenilor”.</w:t>
      </w:r>
    </w:p>
    <w:p>
      <w:pPr>
        <w:pStyle w:val="Corpsdetexte"/>
        <w:rPr/>
      </w:pPr>
      <w:r>
        <w:rPr/>
        <w:t>În perioada 12-14 noiembrie 2021, Grupul 2 s-a reunit pentru a doua oară, în format virtual, și a continuat deliberările primei sesiuni. În timpul celei de-a doua sesiuni, membrii comisiei au stabilit „orientări” pentru elaborarea de recomandări concrete (la cea de-a treia sesiune) pentru fiecare dintre cele cinci axe identificate la prima sesiune. În total, cetățenii care au participat la grupul 2 au format 124 de grupuri de orientare.</w:t>
      </w:r>
    </w:p>
    <w:p>
      <w:pPr>
        <w:pStyle w:val="Corpsdetexte"/>
        <w:rPr/>
      </w:pPr>
      <w:r>
        <w:rPr/>
        <w:t>În perioada 10-12 decembrie 2021, cetățenii care participă la Grupul 2 s-au reunit pentru sesiunea finală organizată la Institutul Universitar European din Florența, cu posibilitatea de a participa online. Pe baza orientărilor pe care le-au elaborat în cadrul sesiunii 2 ca bază pentru activitatea lor, cetățenii au elaborat și au aprobat 39 de recomandări finale.</w:t>
      </w:r>
    </w:p>
    <w:p>
      <w:pPr>
        <w:pStyle w:val="Titre4"/>
        <w:numPr>
          <w:ilvl w:val="3"/>
          <w:numId w:val="2"/>
        </w:numPr>
        <w:rPr/>
      </w:pPr>
      <w:bookmarkStart w:id="18" w:name="__RefHeading___Toc298210_1346298689"/>
      <w:bookmarkEnd w:id="18"/>
      <w:r>
        <w:rPr/>
        <w:t>Grupul 3 Schimbările climatice și mediul; sănătate</w:t>
      </w:r>
    </w:p>
    <w:p>
      <w:pPr>
        <w:pStyle w:val="Corpsdetexte"/>
        <w:rPr/>
      </w:pPr>
      <w:r>
        <w:rPr/>
        <w:t>Grupul pe tema „Schimbările climatice și mediul”; sănătate” a organizat prima sa sesiune în perioada 1</w:t>
      </w:r>
      <w:r>
        <w:rPr>
          <w:vertAlign w:val="superscript"/>
        </w:rPr>
        <w:t>-</w:t>
      </w:r>
      <w:r>
        <w:rPr/>
        <w:t xml:space="preserve"> 3 octombrie la Strasbourg. Grupul s-a axat pe efectele schimbărilor climatice, problemele de mediu și noile provocări în materie de sănătate pentru Uniunea Europeană. Acesta a acoperit, de asemenea, obiectivele și strategiile UE, cum ar fi agricultura, transporturile și mobilitatea, energia și tranziția către societăți post-carbon, cercetare, sisteme de sănătate, răspunsuri la crizele sanitare, prevenire și stiluri de viață sănătoase. Lucrările acestei prime sesiuni s-au încheiat cu aprobarea celor cinci domenii de activitate: „Stiluri de viață mai bune”, „Protejarea mediului și a sănătății”, „Reorientarea economiei și a consumului”, „Către o societate durabilă” și „Îngrijirea tuturor”. Raportul final al sesiunii este disponibil pe platforma digitală multilingvă.</w:t>
      </w:r>
    </w:p>
    <w:p>
      <w:pPr>
        <w:pStyle w:val="Corpsdetexte"/>
        <w:rPr/>
      </w:pPr>
      <w:r>
        <w:rPr/>
        <w:t>În perioada 19-21 noiembrie 2021, Grupul 3 s-a reunit pentru a doua oară, de data aceasta în format virtual, pentru a continua deliberările primei sesiuni. În timpul celei de-a doua sesiuni, membrii comisiei au stabilit „orientări” pentru elaborarea de recomandări concrete (la cea de-a treia sesiune) pentru fiecare dintre cele cinci axe identificate la prima sesiune. În total, cetățenii care au participat la grupul 3 au produs 130 de grupuri de orientare.</w:t>
      </w:r>
    </w:p>
    <w:p>
      <w:pPr>
        <w:pStyle w:val="Corpsdetexte"/>
        <w:rPr/>
      </w:pPr>
      <w:r>
        <w:rPr/>
        <w:t>În perioada 7-9 ianuarie 2022, cetățenii juriului 3 s-au reunit pentru sesiunea finală pe care au organizat-o la Colegiul Europei din Natolin și la Palatul Culturii și Științei, cu sprijinul orașului Varșovia. A fost posibil să participi online. Pe baza orientărilor pe care le-au elaborat în cadrul sesiunii 2 ca bază pentru activitatea lor, cetățenii au elaborat și au aprobat 51 de recomandări finale.</w:t>
      </w:r>
    </w:p>
    <w:p>
      <w:pPr>
        <w:pStyle w:val="Titre4"/>
        <w:numPr>
          <w:ilvl w:val="3"/>
          <w:numId w:val="2"/>
        </w:numPr>
        <w:rPr/>
      </w:pPr>
      <w:bookmarkStart w:id="19" w:name="__RefHeading___Toc298212_1346298689"/>
      <w:bookmarkEnd w:id="19"/>
      <w:r>
        <w:rPr/>
        <w:t>Grupul 4 UE în lume; migrație</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Cadru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Jocuri cu Jocul 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Jocuri cu Jocul Image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Fotografie: juriul 3 al cetățenilor europeni</w:t>
                            </w:r>
                          </w:p>
                        </w:txbxContent>
                      </wps:txbx>
                      <wps:bodyPr lIns="0" rIns="0" tIns="0" bIns="0">
                        <a:noAutofit/>
                      </wps:bodyPr>
                    </wps:wsp>
                  </a:graphicData>
                </a:graphic>
              </wp:anchor>
            </w:drawing>
          </mc:Choice>
          <mc:Fallback>
            <w:pict>
              <v:rect id="shape_0" ID="Cadru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Jocuri cu Jocul 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Jocuri cu Jocul Image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Fotografie: juriul 3 al cetățenilor europeni</w:t>
                      </w:r>
                    </w:p>
                  </w:txbxContent>
                </v:textbox>
              </v:rect>
            </w:pict>
          </mc:Fallback>
        </mc:AlternateContent>
      </w:r>
    </w:p>
    <w:p>
      <w:pPr>
        <w:pStyle w:val="Corpsdetexte"/>
        <w:rPr/>
      </w:pPr>
      <w:r>
        <w:rPr/>
        <w:t>Al patrulea grup, intitulat „UE în lume”; migrația” s-a reunit pentru prima dată în perioada 15-17 octombrie la Strasbourg, în cadrul căreia participanții au discutat în special despre rolul UE pe scena internațională.</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Cadru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Jocuri cu Jocul 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Jocuri cu Jocul Image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Fotografie: juriul 4 al cetățenilor europeni</w:t>
                              <w:br/>
                            </w:r>
                          </w:p>
                        </w:txbxContent>
                      </wps:txbx>
                      <wps:bodyPr lIns="0" rIns="0" tIns="0" bIns="0">
                        <a:noAutofit/>
                      </wps:bodyPr>
                    </wps:wsp>
                  </a:graphicData>
                </a:graphic>
              </wp:anchor>
            </w:drawing>
          </mc:Choice>
          <mc:Fallback>
            <w:pict>
              <v:rect id="shape_0" ID="Cadru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Jocuri cu Jocul 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ocuri cu Jocul Image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Fotografie: juriul 4 al cetățenilor europeni</w:t>
                        <w:br/>
                      </w:r>
                    </w:p>
                  </w:txbxContent>
                </v:textbox>
              </v:rect>
            </w:pict>
          </mc:Fallback>
        </mc:AlternateContent>
      </w:r>
      <w:r>
        <w:rPr/>
        <w:t>În special, au fost discutate obiectivele și strategiile UE privind securitatea, apărarea, politica comercială, ajutorul umanitar și cooperarea pentru dezvoltare, politica externă, politica de vecinătate a UE și extinderea, precum și modul în care UE ar trebui să abordeze migrația. Cetățenii au fost întâmpinați de copreședintă, Dubravka Šuica. Lucrările acestei prime sesiuni s-au încheiat cu privire la aprobarea celor cinci direcții de lucru: „Autosuficiență și stabilitate”, „UE ca partener internațional”, „O UE puternică într-o lume în pace”, „Migrație din punct de vedere uman” și „responsabilitate și solidaritate în întreaga UE”. Raportul final al sesiunii este disponibil pe platforma digitală multilingvă.</w:t>
      </w:r>
    </w:p>
    <w:p>
      <w:pPr>
        <w:pStyle w:val="Corpsdetexte"/>
        <w:rPr/>
      </w:pPr>
      <w:r>
        <w:rPr/>
        <w:t>În perioada 16-28 noiembrie 2021, Grupul 4 a organizat cea de-a doua sesiune online, pe baza lucrărilor desfășurate în cadrul primei sesiuni. În timpul celei de-a doua sesiuni, membrii comisiei au stabilit „orientări” pentru elaborarea de recomandări concrete (la cea de-a treia sesiune) pentru fiecare dintre cele cinci axe identificate la prima sesiune. În total, cetățenii care au participat la juriul 4 au produs 95 de grupuri de orientare.</w:t>
      </w:r>
    </w:p>
    <w:p>
      <w:pPr>
        <w:pStyle w:val="Corpsdetexte"/>
        <w:rPr/>
      </w:pPr>
      <w:r>
        <w:rPr/>
        <w:t>În perioada 11-13 februarie 2022, 4 cetățeni s-au reunit pentru sesiunea finală, organizată la Centrul de Expoziții și Conferințe de la Maastricht (MECC) de Studio Europa Maastricht, în cooperare cu Universitatea din Maastricht și cu Institutul European de Administrație Publică (IEAP). A fost posibil să participi online.</w:t>
      </w:r>
    </w:p>
    <w:p>
      <w:pPr>
        <w:pStyle w:val="Corpsdetexte"/>
        <w:rPr/>
      </w:pPr>
      <w:r>
        <w:rPr/>
        <w:t>pe baza orientărilor pe care le-au elaborat în cadrul sesiunii 2 ca bază pentru activitatea lor, cetățenii au elaborat și au aprobat 40 de recomandări finale.</w:t>
      </w:r>
    </w:p>
    <w:p>
      <w:pPr>
        <w:pStyle w:val="Normal"/>
        <w:rPr/>
      </w:pPr>
      <w:r>
        <w:rPr/>
      </w:r>
    </w:p>
    <w:p>
      <w:pPr>
        <w:pStyle w:val="Titre3"/>
        <w:numPr>
          <w:ilvl w:val="2"/>
          <w:numId w:val="2"/>
        </w:numPr>
        <w:rPr/>
      </w:pPr>
      <w:bookmarkStart w:id="20" w:name="__RefHeading___Toc298214_1346298689"/>
      <w:bookmarkEnd w:id="20"/>
      <w:r>
        <w:rPr/>
        <w:t>2.</w:t>
        <w:tab/>
        <w:t>Grupurile naționale cetățenești</w:t>
      </w:r>
    </w:p>
    <w:p>
      <w:pPr>
        <w:pStyle w:val="Corpsdetexte"/>
        <w:rPr/>
      </w:pPr>
      <w:r>
        <w:rPr/>
        <w:t>În conformitate cu declarația comună, sesiunea plenară a Conferinței a discutat recomandări din partea grupurilor cetățenești naționale și europene, grupate pe teme. Pentru a sprijini statele membre care intenționează să organizeze comitete naționale ale cetățenilor, orientările au fost aprobate de copreședinți și transmise Comitetului executiv la 26 mai 2021. Acestea au urmat aceleași principii ca și grupurile de dezbatere ale cetățenilor europeni și au inclus principii de bună deliberare, pe baza unui raport al OCDE</w:t>
      </w:r>
      <w:r>
        <w:rPr>
          <w:rStyle w:val="Ancredenotedebasdepage"/>
          <w:rStyle w:val="Ancredenotedebasdepage"/>
        </w:rPr>
        <w:footnoteReference w:id="5"/>
      </w:r>
      <w:r>
        <w:rPr/>
        <w:t>.</w:t>
      </w:r>
    </w:p>
    <w:p>
      <w:pPr>
        <w:pStyle w:val="Corpsdetexte"/>
        <w:rPr/>
      </w:pPr>
      <w:r>
        <w:rPr/>
        <w:t>Șase state membre – Belgia, Franța, Germania, Italia, Lituania și Țările de Jos – au organizat grupuri de cetățeni naționali, respectând principiile stabilite în prezentele orientări. Recomandările formulate de aceste grupuri naționale de cetățeni au fost prezentate și discutate în cadrul reuniunilor plenare din ianuarie și martie, precum și în cadrul grupurilor de lucru plenare, în paralel cu recomandările grupurilor cetățenești europene pe aceleași teme.</w:t>
      </w:r>
    </w:p>
    <w:p>
      <w:pPr>
        <w:pStyle w:val="Titre4"/>
        <w:numPr>
          <w:ilvl w:val="3"/>
          <w:numId w:val="2"/>
        </w:numPr>
        <w:rPr/>
      </w:pPr>
      <w:bookmarkStart w:id="21" w:name="__RefHeading___Toc298216_1346298689"/>
      <w:bookmarkEnd w:id="21"/>
      <w:r>
        <w:rPr/>
        <w:t>1)</w:t>
        <w:tab/>
        <w:t>BELGIA</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Cadru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Imagini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ini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Fotografie: Grupul cetățenilor belgieni</w:t>
                            </w:r>
                          </w:p>
                        </w:txbxContent>
                      </wps:txbx>
                      <wps:bodyPr lIns="0" rIns="0" tIns="0" bIns="0">
                        <a:noAutofit/>
                      </wps:bodyPr>
                    </wps:wsp>
                  </a:graphicData>
                </a:graphic>
              </wp:anchor>
            </w:drawing>
          </mc:Choice>
          <mc:Fallback>
            <w:pict>
              <v:rect id="shape_0" ID="Cadru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Imagini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ini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Fotografie: Grupul cetățenilor belgieni</w:t>
                      </w:r>
                    </w:p>
                  </w:txbxContent>
                </v:textbox>
              </v:rect>
            </w:pict>
          </mc:Fallback>
        </mc:AlternateContent>
      </w:r>
    </w:p>
    <w:p>
      <w:pPr>
        <w:pStyle w:val="Corpsdetexte"/>
        <w:rPr/>
      </w:pPr>
      <w:r>
        <w:rPr/>
        <w:t>În octombrie 2021, un juriu al cetățenilor a reunit peste trei weekenduri 50 de cetățeni selectați aleatoriu, reprezentând populația generală, pentru a discuta tema democrației europene și modul în care cetățenii ar putea fi mai implicați în afacerile europene.</w:t>
      </w:r>
    </w:p>
    <w:p>
      <w:pPr>
        <w:pStyle w:val="Corpsdetexte"/>
        <w:rPr/>
      </w:pPr>
      <w:r>
        <w:rPr/>
        <w:t>Acest panel a fost organizat sub auspiciile lui Sophie Wilmès, viceprim-ministru belgian și ministru al afacerilor externe și europene.</w:t>
      </w:r>
    </w:p>
    <w:p>
      <w:pPr>
        <w:pStyle w:val="Corpsdetexte"/>
        <w:rPr/>
      </w:pPr>
      <w:r>
        <w:rPr/>
        <w:t>Cetățenii au făcut recomandări cu privire la cinci teme pe care le-au ales, și anume:</w:t>
      </w:r>
    </w:p>
    <w:p>
      <w:pPr>
        <w:pStyle w:val="Alineanegatifpuce"/>
        <w:numPr>
          <w:ilvl w:val="0"/>
          <w:numId w:val="3"/>
        </w:numPr>
        <w:rPr/>
      </w:pPr>
      <w:r>
        <w:rPr/>
        <w:t xml:space="preserve"> </w:t>
      </w:r>
      <w:r>
        <w:rPr/>
        <w:t>îmbunătățirea comunicării privind Uniunea Europeană,</w:t>
      </w:r>
    </w:p>
    <w:p>
      <w:pPr>
        <w:pStyle w:val="Alineanegatifpuce"/>
        <w:numPr>
          <w:ilvl w:val="0"/>
          <w:numId w:val="3"/>
        </w:numPr>
        <w:rPr/>
      </w:pPr>
      <w:r>
        <w:rPr/>
        <w:t xml:space="preserve"> </w:t>
      </w:r>
      <w:r>
        <w:rPr/>
        <w:t>identificarea și combaterea dezinformării cu privire la UE;</w:t>
      </w:r>
    </w:p>
    <w:p>
      <w:pPr>
        <w:pStyle w:val="Alineanegatifpuce"/>
        <w:numPr>
          <w:ilvl w:val="0"/>
          <w:numId w:val="3"/>
        </w:numPr>
        <w:rPr/>
      </w:pPr>
      <w:r>
        <w:rPr/>
        <w:t xml:space="preserve"> </w:t>
      </w:r>
      <w:r>
        <w:rPr/>
        <w:t>grupurile de dezbatere ale cetățenilor ca instrument de participare,</w:t>
      </w:r>
    </w:p>
    <w:p>
      <w:pPr>
        <w:pStyle w:val="Alineanegatifpuce"/>
        <w:numPr>
          <w:ilvl w:val="0"/>
          <w:numId w:val="3"/>
        </w:numPr>
        <w:rPr/>
      </w:pPr>
      <w:r>
        <w:rPr/>
        <w:t xml:space="preserve"> </w:t>
      </w:r>
      <w:r>
        <w:rPr/>
        <w:t>referendumul pentru afaceri europene,</w:t>
      </w:r>
    </w:p>
    <w:p>
      <w:pPr>
        <w:pStyle w:val="Alineanegatifpuce"/>
        <w:numPr>
          <w:ilvl w:val="0"/>
          <w:numId w:val="3"/>
        </w:numPr>
        <w:rPr/>
      </w:pPr>
      <w:r>
        <w:rPr/>
        <w:t xml:space="preserve"> </w:t>
      </w:r>
      <w:r>
        <w:rPr/>
        <w:t>îmbunătățirea instrumentelor participative existente în Uniunea Europeană.</w:t>
      </w:r>
    </w:p>
    <w:p>
      <w:pPr>
        <w:pStyle w:val="Corpsdetexte"/>
        <w:rPr/>
      </w:pPr>
      <w:r>
        <w:rPr/>
        <w:t>Activitatea grupului cetățenesc belgian a condus la 115 recomandări, care au fost elaborate, dezbătute și votate de cei 50 de cetățeni belgieni selectați aleatoriu.</w:t>
      </w:r>
    </w:p>
    <w:p>
      <w:pPr>
        <w:pStyle w:val="Corpsdetexte"/>
        <w:rPr/>
      </w:pPr>
      <w:r>
        <w:rPr/>
      </w:r>
    </w:p>
    <w:p>
      <w:pPr>
        <w:pStyle w:val="Titre4"/>
        <w:numPr>
          <w:ilvl w:val="3"/>
          <w:numId w:val="2"/>
        </w:numPr>
        <w:rPr/>
      </w:pPr>
      <w:bookmarkStart w:id="22" w:name="__RefHeading___Toc298218_1346298689"/>
      <w:bookmarkEnd w:id="22"/>
      <w:r>
        <w:rPr/>
        <w:t>2)</w:t>
        <w:tab/>
        <w:t>GERMANIA</w:t>
      </w:r>
    </w:p>
    <w:p>
      <w:pPr>
        <w:pStyle w:val="Corpsdetexte"/>
        <w:rPr/>
      </w:pPr>
      <w:r>
        <w:rPr/>
        <w:t>În ianuarie 2022, Ministerul german de Externe a organizat un grup de cetățeni naționali. 100 de cetățeni selectați aleatoriu, reprezentativi ai populației, au participat la acest panel online.</w:t>
      </w:r>
    </w:p>
    <w:p>
      <w:pPr>
        <w:pStyle w:val="Corpsdetexte"/>
        <w:rPr/>
      </w:pPr>
      <w:r>
        <w:rPr/>
        <w:t>La 5 și 8 ianuarie 2022, au fost organizate cinci ateliere de lansare online, fiecare reunind 20 de participanți pe următoarele teme:</w:t>
      </w:r>
    </w:p>
    <w:p>
      <w:pPr>
        <w:pStyle w:val="Corpsdetexte"/>
        <w:rPr/>
      </w:pPr>
      <w:r>
        <w:rPr/>
        <w:t>rolul Europei în lume, al climei și al mediului;</w:t>
      </w:r>
    </w:p>
    <w:p>
      <w:pPr>
        <w:pStyle w:val="Corpsdetexte"/>
        <w:rPr/>
      </w:pPr>
      <w:r>
        <w:rPr/>
        <w:t>statul de drept și valorile,</w:t>
      </w:r>
    </w:p>
    <w:p>
      <w:pPr>
        <w:pStyle w:val="Corpsdetexte"/>
        <w:rPr/>
      </w:pPr>
      <w:r>
        <w:rPr/>
        <w:t xml:space="preserve">— </w:t>
      </w:r>
      <w:r>
        <w:rPr/>
        <w:t>o economie mai puternică și o justiție socială mai puternică.</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Cadru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Jocuri cu Jocul 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Jocuri cu Jocul Image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Fotografie: Grupul cetățenilor germani</w:t>
                            </w:r>
                          </w:p>
                        </w:txbxContent>
                      </wps:txbx>
                      <wps:bodyPr lIns="0" rIns="0" tIns="0" bIns="0">
                        <a:noAutofit/>
                      </wps:bodyPr>
                    </wps:wsp>
                  </a:graphicData>
                </a:graphic>
              </wp:anchor>
            </w:drawing>
          </mc:Choice>
          <mc:Fallback>
            <w:pict>
              <v:rect id="shape_0" ID="Cadru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Jocuri cu Jocul 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Jocuri cu Jocul Image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Fotografie: Grupul cetățenilor germani</w:t>
                      </w:r>
                    </w:p>
                  </w:txbxContent>
                </v:textbox>
              </v:rect>
            </w:pict>
          </mc:Fallback>
        </mc:AlternateContent>
      </w:r>
    </w:p>
    <w:p>
      <w:pPr>
        <w:pStyle w:val="Corpsdetexte"/>
        <w:rPr/>
      </w:pPr>
      <w:r>
        <w:rPr/>
        <w:t>Cei 100 de cetățeni selectați aleatoriu s-au reunit la 15 și 16 ianuarie 2022 pentru a discuta provocările legate de aceste aspecte și de posibilele soluții și și-au adoptat recomandările. Participanții au elaborat două propuneri specifice pentru fiecare dintre temele de mai sus.</w:t>
      </w:r>
    </w:p>
    <w:p>
      <w:pPr>
        <w:pStyle w:val="Corpsdetexte"/>
        <w:rPr/>
      </w:pPr>
      <w:r>
        <w:rPr/>
        <w:t>Rezultatele au fost prezentate la 16 ianuarie în cadrul unei conferințe online finale la care au participat Annalena Baerbock, ministrul german de externe, și Anna Lührmann, ministru adjunct pentru Europa și climă.</w:t>
      </w:r>
    </w:p>
    <w:p>
      <w:pPr>
        <w:pStyle w:val="Corpsdetexte"/>
        <w:rPr/>
      </w:pPr>
      <w:r>
        <w:rPr/>
      </w:r>
    </w:p>
    <w:p>
      <w:pPr>
        <w:pStyle w:val="Titre4"/>
        <w:numPr>
          <w:ilvl w:val="3"/>
          <w:numId w:val="2"/>
        </w:numPr>
        <w:rPr/>
      </w:pPr>
      <w:bookmarkStart w:id="23" w:name="__RefHeading___Toc298220_1346298689"/>
      <w:bookmarkEnd w:id="23"/>
      <w:r>
        <w:rPr/>
        <w:t>3)</w:t>
        <w:tab/>
        <w:t>FRANȚA</w:t>
      </w:r>
    </w:p>
    <w:p>
      <w:pPr>
        <w:pStyle w:val="Corpsdetexte"/>
        <w:rPr/>
      </w:pPr>
      <w:r>
        <w:rPr/>
        <w:t>Panelurile cetățenilor au fost organizate în Franța de Ministerul francez al Europei și Afacerilor Externe, cu sprijinul Ministerului pentru Relațiile cu Parlamentul și Participarea Cetățeană.</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Cadru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Imagini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ini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Fotografie: grupul de cetățeni francezi</w:t>
                            </w:r>
                          </w:p>
                        </w:txbxContent>
                      </wps:txbx>
                      <wps:bodyPr lIns="0" rIns="0" tIns="0" bIns="0">
                        <a:noAutofit/>
                      </wps:bodyPr>
                    </wps:wsp>
                  </a:graphicData>
                </a:graphic>
              </wp:anchor>
            </w:drawing>
          </mc:Choice>
          <mc:Fallback>
            <w:pict>
              <v:rect id="shape_0" ID="Cadru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Imagini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ini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Fotografie: grupul de cetățeni francezi</w:t>
                      </w:r>
                    </w:p>
                  </w:txbxContent>
                </v:textbox>
              </v:rect>
            </w:pict>
          </mc:Fallback>
        </mc:AlternateContent>
      </w:r>
    </w:p>
    <w:p>
      <w:pPr>
        <w:pStyle w:val="Corpsdetexte"/>
        <w:rPr/>
      </w:pPr>
      <w:r>
        <w:rPr/>
        <w:t>Optsprezece grupuri de cetățeni au fost organizate în septembrie și la începutul lunii octombrie 2021 în toate regiunile Franței, metropolitane și de peste mări. Fiecare grup a reunit între 30 și 50 de cetățeni selectați aleatoriu, reprezentativi pentru diversitatea populației regiunilor. În total, peste 700 de cetățeni au participat la comitete. Lucrările grupurilor regionale au dat naștere unei liste de 101 aspirații, cu 515 amendamente și 1 301 de propuneri specifice.</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Cadru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Imagini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ini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Fotografie: Grupul cetățenilor italieni</w:t>
                            </w:r>
                          </w:p>
                        </w:txbxContent>
                      </wps:txbx>
                      <wps:bodyPr lIns="0" rIns="0" tIns="0" bIns="0">
                        <a:noAutofit/>
                      </wps:bodyPr>
                    </wps:wsp>
                  </a:graphicData>
                </a:graphic>
              </wp:anchor>
            </w:drawing>
          </mc:Choice>
          <mc:Fallback>
            <w:pict>
              <v:rect id="shape_0" ID="Cadru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Imagini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ini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Fotografie: Grupul cetățenilor italieni</w:t>
                      </w:r>
                    </w:p>
                  </w:txbxContent>
                </v:textbox>
              </v:rect>
            </w:pict>
          </mc:Fallback>
        </mc:AlternateContent>
      </w:r>
      <w:r>
        <w:rPr/>
        <w:t>În total, 100 de cetățeni reprezentând comisiile s-au reunit la Paris în perioada 16-17 octombrie 2021 pentru Conferința națională de sinteză, în vederea elaborării și adoptării recomandărilor. În cadrul acestui proces au fost identificate în total 14 recomandări prioritare. Acoperind cele nouă teme ale conferinței, recomandările au fost prezentate guvernului francez, inclusiv secretarului de stat Clément Beaune, și au constituit contribuția guvernului francez la conferință.</w:t>
      </w:r>
    </w:p>
    <w:p>
      <w:pPr>
        <w:pStyle w:val="Titre4"/>
        <w:numPr>
          <w:ilvl w:val="3"/>
          <w:numId w:val="2"/>
        </w:numPr>
        <w:rPr/>
      </w:pPr>
      <w:bookmarkStart w:id="24" w:name="__RefHeading___Toc298222_1346298689"/>
      <w:bookmarkEnd w:id="24"/>
      <w:r>
        <w:rPr/>
        <w:t>4)</w:t>
        <w:tab/>
        <w:t>ITALIA</w:t>
      </w:r>
    </w:p>
    <w:p>
      <w:pPr>
        <w:pStyle w:val="Corpsdetexte"/>
        <w:rPr/>
      </w:pPr>
      <w:r>
        <w:rPr/>
        <w:t>Un juriu cetățenesc a fost organizat în martie 2022 de o terță parte independentă, sub supravegherea Departamentului italian pentru politici europene din cadrul Președinției Consiliului de Miniștri.</w:t>
      </w:r>
    </w:p>
    <w:p>
      <w:pPr>
        <w:pStyle w:val="Corpsdetexte"/>
        <w:rPr/>
      </w:pPr>
      <w:r>
        <w:rPr/>
      </w:r>
    </w:p>
    <w:p>
      <w:pPr>
        <w:pStyle w:val="Corpsdetexte"/>
        <w:rPr/>
      </w:pPr>
      <w:r>
        <w:rPr/>
        <w:t>Au participat în total 55 de cetățeni selectați aleatoriu, reprezentativi ai societății italiene și ai regiunilor sale. Participanții au fost selectați aleatoriu pentru a asigura prezența diferitelor sexe, vârstă, origine socială, locul de reședință și statutul profesional.</w:t>
      </w:r>
    </w:p>
    <w:p>
      <w:pPr>
        <w:pStyle w:val="Corpsdetexte"/>
        <w:rPr/>
      </w:pPr>
      <w:r>
        <w:rPr/>
        <w:t>Cetățenii s-au întâlnit online la 11 și 12 martie 2022 pentru a discuta două teme ale conferinței:</w:t>
      </w:r>
    </w:p>
    <w:p>
      <w:pPr>
        <w:pStyle w:val="Alineanegatifpuce"/>
        <w:numPr>
          <w:ilvl w:val="0"/>
          <w:numId w:val="3"/>
        </w:numPr>
        <w:rPr/>
      </w:pPr>
      <w:r>
        <w:rPr/>
        <w:t xml:space="preserve"> „</w:t>
      </w:r>
      <w:r>
        <w:rPr/>
        <w:t>O economie mai puternică, justiție socială și ocuparea forței de muncă” și</w:t>
      </w:r>
    </w:p>
    <w:p>
      <w:pPr>
        <w:pStyle w:val="Alineanegatifpuce"/>
        <w:numPr>
          <w:ilvl w:val="0"/>
          <w:numId w:val="3"/>
        </w:numPr>
        <w:rPr/>
      </w:pPr>
      <w:r>
        <w:rPr/>
        <w:t xml:space="preserve"> „</w:t>
      </w:r>
      <w:r>
        <w:rPr/>
        <w:t>Europa în lume”.</w:t>
      </w:r>
    </w:p>
    <w:p>
      <w:pPr>
        <w:pStyle w:val="Corpsdetexte"/>
        <w:rPr/>
      </w:pPr>
      <w:r>
        <w:rPr/>
        <w:t>La 12 martie 2022, grupul a adoptat un total de 58 de recomandări, dintre care 33 privind „O economie mai puternică, justiție socială și ocuparea forței de muncă” și 25 privind „Europa globală”. În ultima zi, participanții au efectuat verificarea și validarea primului proiect de recomandări formulate în prima fază a lucrărilor.</w:t>
      </w:r>
    </w:p>
    <w:p>
      <w:pPr>
        <w:pStyle w:val="Corpsdetexte"/>
        <w:rPr/>
      </w:pPr>
      <w:r>
        <w:rPr/>
      </w:r>
    </w:p>
    <w:p>
      <w:pPr>
        <w:pStyle w:val="Titre4"/>
        <w:numPr>
          <w:ilvl w:val="3"/>
          <w:numId w:val="2"/>
        </w:numPr>
        <w:rPr/>
      </w:pPr>
      <w:bookmarkStart w:id="25" w:name="__RefHeading___Toc298224_1346298689"/>
      <w:bookmarkEnd w:id="25"/>
      <w:r>
        <w:rPr/>
        <w:t>5)</w:t>
        <w:tab/>
        <w:t>LITUANIA</w:t>
      </w:r>
    </w:p>
    <w:p>
      <w:pPr>
        <w:pStyle w:val="Corpsdetexte"/>
        <w:rPr/>
      </w:pPr>
      <w:r>
        <w:rPr/>
        <w:t>În numele Ministerului Afacerilor Externe, o comisie națională cetățenească a fost organizată de o terță parte independentă în ianuarie 2022.</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Cadru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Jocuri cu Jocul 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Jocuri cu Jocul Image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Fotografie: Grupul cetățenilor lituanieni</w:t>
                            </w:r>
                          </w:p>
                        </w:txbxContent>
                      </wps:txbx>
                      <wps:bodyPr lIns="0" rIns="0" tIns="0" bIns="0">
                        <a:noAutofit/>
                      </wps:bodyPr>
                    </wps:wsp>
                  </a:graphicData>
                </a:graphic>
              </wp:anchor>
            </w:drawing>
          </mc:Choice>
          <mc:Fallback>
            <w:pict>
              <v:rect id="shape_0" ID="Cadru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Jocuri cu Jocul 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Jocuri cu Jocul Image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Fotografie: Grupul cetățenilor lituanieni</w:t>
                      </w:r>
                    </w:p>
                  </w:txbxContent>
                </v:textbox>
              </v:rect>
            </w:pict>
          </mc:Fallback>
        </mc:AlternateContent>
      </w:r>
    </w:p>
    <w:p>
      <w:pPr>
        <w:pStyle w:val="Corpsdetexte"/>
        <w:rPr/>
      </w:pPr>
      <w:r>
        <w:rPr/>
        <w:t>Acesta a reunit un total de 25 de cetățeni selectați aleatoriu, cu vârste cuprinse între 18 și 65 de ani, reprezentativi pentru diferitele grupuri socio-economice și regiuni din Lituania.</w:t>
      </w:r>
    </w:p>
    <w:p>
      <w:pPr>
        <w:pStyle w:val="Corpsdetexte"/>
        <w:rPr/>
      </w:pPr>
      <w:r>
        <w:rPr/>
        <w:t>La 4 ianuarie 2022, a fost organizată o sesiune de deschidere online, iar cetățenii au discutat două subiecte:</w:t>
      </w:r>
    </w:p>
    <w:p>
      <w:pPr>
        <w:pStyle w:val="Alineanegatifpuce"/>
        <w:numPr>
          <w:ilvl w:val="0"/>
          <w:numId w:val="3"/>
        </w:numPr>
        <w:rPr/>
      </w:pPr>
      <w:r>
        <w:rPr/>
        <w:t xml:space="preserve"> </w:t>
      </w:r>
      <w:r>
        <w:rPr/>
        <w:t>rolul și competențele UE în politica externă;</w:t>
      </w:r>
    </w:p>
    <w:p>
      <w:pPr>
        <w:pStyle w:val="Alineanegatifpuce"/>
        <w:numPr>
          <w:ilvl w:val="0"/>
          <w:numId w:val="3"/>
        </w:numPr>
        <w:rPr/>
      </w:pPr>
      <w:r>
        <w:rPr/>
        <w:t xml:space="preserve"> </w:t>
      </w:r>
      <w:r>
        <w:rPr/>
        <w:t>rolul economic al UE.</w:t>
      </w:r>
    </w:p>
    <w:p>
      <w:pPr>
        <w:pStyle w:val="Normal"/>
        <w:rPr/>
      </w:pPr>
      <w:r>
        <w:rPr/>
      </w:r>
    </w:p>
    <w:p>
      <w:pPr>
        <w:pStyle w:val="Corpsdetexte"/>
        <w:rPr/>
      </w:pPr>
      <w:r>
        <w:rPr/>
        <w:t>La 15 ianuarie 2022, participanții s-au întâlnit personal pentru a formula principalele concluzii ale discuțiilor lor. La 25 ianuarie 2022, aceștia au adoptat 21 de recomandări în cadrul unei sesiuni virtuale, dintre care 10 s-au axat pe rolul și competențele UE în politica externă și 11 pe rolul economic al UE.</w:t>
      </w:r>
    </w:p>
    <w:p>
      <w:pPr>
        <w:pStyle w:val="Corpsdetexte"/>
        <w:rPr/>
      </w:pPr>
      <w:r>
        <w:rPr/>
      </w:r>
    </w:p>
    <w:p>
      <w:pPr>
        <w:pStyle w:val="Titre4"/>
        <w:numPr>
          <w:ilvl w:val="3"/>
          <w:numId w:val="2"/>
        </w:numPr>
        <w:rPr/>
      </w:pPr>
      <w:bookmarkStart w:id="26" w:name="__RefHeading___Toc298226_1346298689"/>
      <w:bookmarkEnd w:id="26"/>
      <w:r>
        <w:rPr/>
        <w:t>6)</w:t>
        <w:tab/>
        <w:t>ȚĂRILE DE JOS</w:t>
      </w:r>
    </w:p>
    <w:p>
      <w:pPr>
        <w:pStyle w:val="Corpsdetexte"/>
        <w:rPr/>
      </w:pPr>
      <w:r>
        <w:rPr/>
        <w:t>Juriul cetățenilor a fost organizat de o terță parte independentă, dialogurile intitulate „Vizițiile Europei” începând cu</w:t>
      </w:r>
      <w:r>
        <w:rPr>
          <w:vertAlign w:val="superscript"/>
        </w:rPr>
        <w:t>1</w:t>
      </w:r>
      <w:r>
        <w:rPr/>
        <w:t xml:space="preserve"> septembrie. Ei au fost împărțiți în mai multe părți.</w:t>
      </w:r>
    </w:p>
    <w:p>
      <w:pPr>
        <w:pStyle w:val="Corpsdetexte"/>
        <w:rPr/>
      </w:pPr>
      <w:r>
        <w:rPr/>
        <w:t>Lansată la</w:t>
      </w:r>
      <w:r>
        <w:rPr>
          <w:vertAlign w:val="superscript"/>
        </w:rPr>
        <w:t>1</w:t>
      </w:r>
      <w:r>
        <w:rPr/>
        <w:t xml:space="preserve"> septembrie 2021, secțiunea online a inclus un questio nary</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Jocuri cu Jocul 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Jocuri cu Jocul Image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ș</w:t>
      </w:r>
      <w:r>
        <w:rPr/>
        <w:t>i un instrument de selecție simplificat care le permite cetățenilor să își exprime preferințele, dorințele și recomandările cu privire la cele nouă teme ale conferinței. Chestionarul a fost distribuit unui grup reprezentativ și incluziv de 4 000 de cetățeni.</w:t>
      </w:r>
    </w:p>
    <w:p>
      <w:pPr>
        <w:pStyle w:val="Corpsdetexte"/>
        <w:rPr/>
      </w:pPr>
      <w:r>
        <w:rPr/>
      </w:r>
    </w:p>
    <w:p>
      <w:pPr>
        <w:pStyle w:val="Corpsdetexte"/>
        <w:rPr/>
      </w:pPr>
      <w:r>
        <w:rPr/>
        <w:t>În octombrie și noiembrie 2021, au avut loc dezbateri aprofundate, online și offline, cu cetățenii, în special pentru a ajunge la tineri și la grupurile-țintă greu accesibile.</w:t>
      </w:r>
    </w:p>
    <w:p>
      <w:pPr>
        <w:pStyle w:val="Corpsdetexte"/>
        <w:rPr/>
      </w:pPr>
      <w:r>
        <w:rPr/>
        <w:t>Au fost publicate două rapoarte, intitulate „Viziunea noastră pentru Europa”; opinii, idei și recomandări (Elze kijk op Europa; Meningen, ideeën en Aanbevelingen) și reunirea celor 30 de recomandări formulate de cetățeni cu privire la cele nouă teme ale conferinței.</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Cadru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17395"/>
                                  <wp:effectExtent l="0" t="0" r="0" b="0"/>
                                  <wp:docPr id="55" name="Imagini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ini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Grupul cetățenilor olandezi</w:t>
                            </w:r>
                          </w:p>
                        </w:txbxContent>
                      </wps:txbx>
                      <wps:bodyPr lIns="0" rIns="0" tIns="0" bIns="0">
                        <a:noAutofit/>
                      </wps:bodyPr>
                    </wps:wsp>
                  </a:graphicData>
                </a:graphic>
              </wp:anchor>
            </w:drawing>
          </mc:Choice>
          <mc:Fallback>
            <w:pict>
              <v:rect id="shape_0" ID="Cadru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17395"/>
                            <wp:effectExtent l="0" t="0" r="0" b="0"/>
                            <wp:docPr id="56" name="Imagini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ini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Grupul cetățenilor olandezi</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Evenimente organizate în cadrul conferinței</w:t>
      </w:r>
    </w:p>
    <w:p>
      <w:pPr>
        <w:pStyle w:val="Titre3"/>
        <w:numPr>
          <w:ilvl w:val="2"/>
          <w:numId w:val="2"/>
        </w:numPr>
        <w:rPr/>
      </w:pPr>
      <w:bookmarkStart w:id="28" w:name="__RefHeading___Toc298230_1346298689"/>
      <w:bookmarkEnd w:id="28"/>
      <w:r>
        <w:rPr/>
        <w:t>1.</w:t>
        <w:tab/>
        <w:t>Evenimente naționale</w:t>
      </w:r>
    </w:p>
    <w:p>
      <w:pPr>
        <w:pStyle w:val="Corpsdetexte"/>
        <w:rPr/>
      </w:pPr>
      <w:r>
        <w:rPr/>
        <w:t xml:space="preserve">Statele membre au contribuit la conferință printr-o gamă largă de evenimente și inițiative. La aceste evenimente au participat câteva mii de cetățeni din întreaga UE. O </w:t>
      </w:r>
      <w:hyperlink r:id="rId47">
        <w:r>
          <w:rPr>
            <w:rStyle w:val="LienInternet"/>
          </w:rPr>
          <w:t>rubrică specifică</w:t>
        </w:r>
      </w:hyperlink>
      <w:r>
        <w:rPr/>
        <w:t xml:space="preserve"> a platformei digitale multilingve oferă o imagine de ansamblu asupra principalelor activități pe care autoritățile statelor membre le-au organizat sau le-au sprijinit. Evenimentele au fost prezentate în cadrul adunărilor plenare ale conferinței din 23 octombrie 2021 și 25 martie 2022 de către reprezentanți ai evenimentelor naționale și/sau de comisii naționale ale cetățenilor, dar au contribuit și la conferință prin intermediul </w:t>
      </w:r>
      <w:hyperlink r:id="rId48">
        <w:r>
          <w:rPr>
            <w:rStyle w:val="LienInternet"/>
          </w:rPr>
          <w:t>rapoartelor platformei</w:t>
        </w:r>
      </w:hyperlink>
      <w:r>
        <w:rPr/>
        <w:t>, îmbogățind astfel dezbaterea la nivel european.</w:t>
      </w:r>
    </w:p>
    <w:p>
      <w:pPr>
        <w:pStyle w:val="Corpsdetexte"/>
        <w:rPr/>
      </w:pPr>
      <w:r>
        <w:rPr/>
        <w:t xml:space="preserve"> </w:t>
      </w:r>
      <w:r>
        <w:rPr/>
        <w:t>Obiectivul principal al acestor evenimente și inițiative a fost de a-i asculta pe cetățeni și de a-i implica în dezbaterile privind Uniunea Europeană. Incluziunea și dialogul cu cetățenii au fost, de asemenea, o prioritate, cu eforturi de a include persoane care nu sunt de obicei implicate în dezbateri legate de UE.</w:t>
      </w:r>
    </w:p>
    <w:p>
      <w:pPr>
        <w:pStyle w:val="Corpsdetexte"/>
        <w:rPr/>
      </w:pPr>
      <w:r>
        <w:rPr/>
        <w:t>Au avut loc diferite tipuri de evenimente, combinând abordări centralizate și descentralizate, inclusiv cu diferite forme de sprijin pentru inițiativele ascendente. Activitățile și evenimentele din statele membre au fost organizate de diferite instituții și actori, inclusiv autorități naționale, regionale și locale, organizații ale societății civile, parteneri sociali, asociații și cetățeni. În unele cazuri, organizațiile neguvernamentale, instituțiile culturale, grupurile de reflecție, universitățile și institutele de cercetare au participat, de asemenea, în mod activ la organizarea de evenimente în cadrul conferinței. În multe dintre aceste activități și evenimente, s-a pus un accent deosebit pe participarea tinerei generații.</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Jocuri cu Jocul 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Jocuri cu Jocul Image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Prezentare generală a principalelor evenimente și inițiative din statele membre:</w:t>
      </w:r>
    </w:p>
    <w:p>
      <w:pPr>
        <w:pStyle w:val="P68B1DB1Corpsdetexte12"/>
        <w:rPr>
          <w:b/>
          <w:b/>
          <w:i/>
          <w:i/>
          <w:u w:val="single"/>
        </w:rPr>
      </w:pPr>
      <w:r>
        <w:rPr/>
        <w:t>1 Belgia</w:t>
      </w:r>
    </w:p>
    <w:p>
      <w:pPr>
        <w:pStyle w:val="Corpsdetexte"/>
        <w:rPr/>
      </w:pPr>
      <w:r>
        <w:rPr/>
        <w:t>Autoritățile federale și regionale au organizat mai multe evenimente. Au avut loc mai multe dezbateri cu cetățenii, de exemplu cu privire la UE în lume, la schimbările climatice și la mediu. Au avut loc, de asemenea, un dialog structurat cu cetățenii pe tema „Viața într-o regiune de frontieră” și un hackaton privind „Impactul unui stil de viață sănătos și al schimbărilor climatice asupra calității vieții” și „barierele în calea ocupării forței de muncă în rândul tinerilor”.</w:t>
      </w:r>
    </w:p>
    <w:p>
      <w:pPr>
        <w:pStyle w:val="Corpsdetexte"/>
        <w:rPr/>
      </w:pPr>
      <w:r>
        <w:rPr/>
        <w:t>În plus, a fost organizat un eveniment privind digitalizarea și economia durabilă și au avut loc o serie de dezbateri între tineri și politicieni pe tema „Europa te ascultă”.</w:t>
      </w:r>
    </w:p>
    <w:p>
      <w:pPr>
        <w:pStyle w:val="P68B1DB1Corpsdetexte12"/>
        <w:rPr>
          <w:b/>
          <w:b/>
          <w:i/>
          <w:i/>
          <w:u w:val="single"/>
        </w:rPr>
      </w:pPr>
      <w:r>
        <w:rPr/>
        <w:t>2 Bulgaria</w:t>
      </w:r>
    </w:p>
    <w:p>
      <w:pPr>
        <w:pStyle w:val="Corpsdetexte"/>
        <w:rPr/>
      </w:pPr>
      <w:r>
        <w:rPr/>
        <w:t>Exercițiul bulgar a fost lansat în cadrul unei ceremonii intitulate „Cum să auzim vocea cetățenilor prin intermediul Conferinței privind viitorul Europei?” la care au participat autoritățile publice și reprezentanții cetățenilor. Ca parte a evenimentelor organizate, a fost stabilit un dialog privind demografia și democrația.</w:t>
      </w:r>
    </w:p>
    <w:p>
      <w:pPr>
        <w:pStyle w:val="Corpsdetexte"/>
        <w:rPr/>
      </w:pPr>
      <w:r>
        <w:rPr/>
        <w:t>Mai multe evenimente locale au avut loc în marile orașe universitare, cu ajutorul Centrelor Europe Direct.</w:t>
      </w:r>
    </w:p>
    <w:p>
      <w:pPr>
        <w:pStyle w:val="P68B1DB1Corpsdetexte12"/>
        <w:rPr>
          <w:b/>
          <w:b/>
          <w:i/>
          <w:i/>
          <w:u w:val="single"/>
        </w:rPr>
      </w:pPr>
      <w:r>
        <w:rPr/>
        <w:t>3 Republica Cehă</w:t>
      </w:r>
    </w:p>
    <w:p>
      <w:pPr>
        <w:pStyle w:val="Corpsdetexte"/>
        <w:rPr/>
      </w:pPr>
      <w:r>
        <w:rPr/>
        <w:t>Republica Cehă a organizat discuții centrale cu publicul larg și evenimente de informare pentru părțile interesate relevante. Aceste evenimente au fost completate de evenimente pentru tineret și evenimente cu participare internațională. În special, a fost organizat un eveniment transnațional cu cetățeni germani și cehi. În întreaga țară au avut loc mai multe dezbateri regionale, precum și seminarii regionale pentru elevii din învățământul secundar pe tema „Decid asupra Europei”.</w:t>
      </w:r>
    </w:p>
    <w:p>
      <w:pPr>
        <w:pStyle w:val="Normal"/>
        <w:rPr/>
      </w:pPr>
      <w:r>
        <w:rPr/>
      </w:r>
    </w:p>
    <w:p>
      <w:pPr>
        <w:pStyle w:val="P68B1DB1Corpsdetexte12"/>
        <w:tabs>
          <w:tab w:val="left" w:pos="1391" w:leader="none"/>
        </w:tabs>
        <w:rPr>
          <w:b/>
          <w:b/>
          <w:i/>
          <w:i/>
          <w:u w:val="single"/>
        </w:rPr>
      </w:pPr>
      <w:r>
        <w:rPr/>
        <w:t>4 Danemarca</w:t>
      </w:r>
    </w:p>
    <w:p>
      <w:pPr>
        <w:pStyle w:val="Corpsdetexte"/>
        <w:rPr/>
      </w:pPr>
      <w:r>
        <w:rPr/>
        <w:t>A fost organizată o dezbatere națională amplă și incluzivă, în care societatea civilă și alți actori neguvernamentali au jucat un rol central. O rezervă desemnată de fonduri publice a fost acordată unui grup de diferite organizații, inclusiv ONG-uri, mass-media, organizații de tineret, instituții culturale, grupuri de reflecție și institute de cercetare pentru a sprijini dezbaterile și inițiativele instituite de organizații neguvernamentale. Au avut loc peste 180 de dezbateri, dintre care aproximativ jumătate au vizat în mod specific tinerii. În plus, guvernul și parlamentul au organizat o serie de evenimente oficiale, cum ar fi consultări și dezbateri cu cetățenii.</w:t>
      </w:r>
    </w:p>
    <w:p>
      <w:pPr>
        <w:pStyle w:val="P68B1DB1Corpsdetexte12"/>
        <w:rPr>
          <w:b/>
          <w:b/>
          <w:i/>
          <w:i/>
          <w:u w:val="single"/>
        </w:rPr>
      </w:pPr>
      <w:r>
        <w:rPr/>
        <w:t>5 Germania</w:t>
      </w:r>
    </w:p>
    <w:p>
      <w:pPr>
        <w:pStyle w:val="Corpsdetexte"/>
        <w:rPr/>
      </w:pPr>
      <w:r>
        <w:rPr/>
        <w:t>Evenimentele din Germania au implicat guvernul federal, Bundestagul, statele federale și societatea civilă. În plus față de evenimentele înființate de guvernul federal, peste 50 de evenimente regionale au fost organizate de cele șaisprezece state federale din Germania și de aproximativ 300 de societăți civile.</w:t>
      </w:r>
    </w:p>
    <w:p>
      <w:pPr>
        <w:pStyle w:val="Corpsdetexte"/>
        <w:rPr/>
      </w:pPr>
      <w:r>
        <w:rPr/>
        <w:t>Evenimentele și dialogurile transfrontaliere cu studenții și tinerii au reprezentat un element central al multor inițiative, plasând tinerii în avangarda discuțiilor menite să modeleze viitorul Europei.</w:t>
      </w:r>
    </w:p>
    <w:p>
      <w:pPr>
        <w:pStyle w:val="P68B1DB1Corpsdetexte12"/>
        <w:rPr>
          <w:b/>
          <w:b/>
          <w:i/>
          <w:i/>
          <w:u w:val="single"/>
        </w:rPr>
      </w:pPr>
      <w:r>
        <w:rPr/>
        <w:t>6 Estonia</w:t>
      </w:r>
    </w:p>
    <w:p>
      <w:pPr>
        <w:pStyle w:val="Corpsdetexte"/>
        <w:rPr/>
      </w:pPr>
      <w:r>
        <w:rPr/>
        <w:t>Diverse evenimente, seminarii și dezbateri au fost organizate de Cancelaria de Stat în colaborare cu Reprezentanța Comisiei Europene în Estonia, Ministerul Afacerilor Externe și alte ministere, precum și cu societatea civilă și organizațiile de tineret, printre altele. În special, s-a desfășurat o discuție pentru elevii de liceu cu privire la aspecte-cheie legate de schimbările climatice, politicile energetice și conferința în general. De asemenea, a fost inițiată o discuție privind „diplomația estoniană pentru atingerea obiectivelor climatice”.</w:t>
      </w:r>
    </w:p>
    <w:p>
      <w:pPr>
        <w:pStyle w:val="P68B1DB1Corpsdetexte12"/>
        <w:rPr>
          <w:b/>
          <w:b/>
          <w:i/>
          <w:i/>
          <w:u w:val="single"/>
        </w:rPr>
      </w:pPr>
      <w:r>
        <w:rPr/>
        <w:t>7 Irlanda</w:t>
      </w:r>
    </w:p>
    <w:p>
      <w:pPr>
        <w:pStyle w:val="Corpsdetexte"/>
        <w:rPr/>
      </w:pPr>
      <w:r>
        <w:rPr/>
        <w:t>Incluziunea și dialogul cu întreaga populație, în special cu tinerii, au fost tema centrală a activităților organizate în Irlanda.</w:t>
      </w:r>
    </w:p>
    <w:p>
      <w:pPr>
        <w:pStyle w:val="Corpsdetexte"/>
        <w:rPr/>
      </w:pPr>
      <w:r>
        <w:rPr/>
        <w:t>În cooperare cu Mișcarea Europeană Irlanda (EMI), în 2021 și 2022 a fost lansat un program de angajamente regionale și sectoriale. Prima etapă a reuniunilor regionale a avut loc în iunie și iulie, sub forma unor consultări virtuale. A doua etapă a evenimentelor regionale a luat forma unor reuniuni publice față în față pentru începutul anului 2022. Din iulie, a fost în curs de desfășurare un program de evenimente conduse de guvern.</w:t>
      </w:r>
    </w:p>
    <w:p>
      <w:pPr>
        <w:pStyle w:val="P68B1DB1Corpsdetexte12"/>
        <w:rPr>
          <w:b/>
          <w:b/>
          <w:i/>
          <w:i/>
          <w:u w:val="single"/>
        </w:rPr>
      </w:pPr>
      <w:r>
        <w:rPr/>
        <w:t>8 Grecia</w:t>
      </w:r>
    </w:p>
    <w:p>
      <w:pPr>
        <w:pStyle w:val="Corpsdetexte"/>
        <w:rPr/>
      </w:pPr>
      <w:r>
        <w:rPr/>
        <w:t>Ministerul Afacerilor Externe a fost responsabil de coordonarea dialogului național. Agențiile guvernamentale centrale și locale și societatea civilă au fost puternic încurajate să organizeze discuții și alte evenimente. De exemplu, au avut loc evenimente privind cooperarea euro-mediteraneeană, Balcanii de Vest, provocarea demografică, migrația și democrația, implicând cetățenii și diverse părți interesate.</w:t>
      </w:r>
    </w:p>
    <w:p>
      <w:pPr>
        <w:pStyle w:val="P68B1DB1Corpsdetexte12"/>
        <w:rPr>
          <w:b/>
          <w:b/>
          <w:i/>
          <w:i/>
          <w:u w:val="single"/>
        </w:rPr>
      </w:pPr>
      <w:r>
        <w:rPr/>
        <w:t>9 Spania</w:t>
      </w:r>
    </w:p>
    <w:p>
      <w:pPr>
        <w:pStyle w:val="Corpsdetexte"/>
        <w:rPr/>
      </w:pPr>
      <w:r>
        <w:rPr/>
        <w:t>Cadrul spaniol a inclus șase evenimente la nivel național (de exemplu, o consultare a cetățenilor spanioli cu privire la viitorul Europei) și aproximativ 20 la nivel regional. De asemenea, a fost organizat un eveniment cu cetățenii portughezi și spanioli pentru a discuta subiecte-cheie de interes pentru viitorul regiunilor lor și pentru UE. La nivel regional și local, autoritățile au organizat evenimente pe mai multe teme, cum ar fi cooperarea transfrontalieră, impactul schimbărilor demografice, transportul și mobilitatea durabile, schimbările climatice, migrația și viitorul regiunilor ultraperiferice.</w:t>
      </w:r>
    </w:p>
    <w:p>
      <w:pPr>
        <w:pStyle w:val="Normal"/>
        <w:rPr/>
      </w:pPr>
      <w:r>
        <w:rPr/>
      </w:r>
    </w:p>
    <w:p>
      <w:pPr>
        <w:pStyle w:val="P68B1DB1Corpsdetexte12"/>
        <w:rPr>
          <w:b/>
          <w:b/>
          <w:i/>
          <w:i/>
          <w:u w:val="single"/>
        </w:rPr>
      </w:pPr>
      <w:r>
        <w:rPr/>
        <w:t>10 Franța</w:t>
      </w:r>
    </w:p>
    <w:p>
      <w:pPr>
        <w:pStyle w:val="Corpsdetexte"/>
        <w:rPr/>
      </w:pPr>
      <w:r>
        <w:rPr/>
        <w:t>Guvernul francez a organizat o amplă consultare online pentru tineri în perioada mai-iulie 2021. Cincizeci de mii de tineri francezi și-au exprimat punctul de vedere, susținând șaisprezece idei principale pentru viitorul Europei. Rezultatele acestui exercițiu au fost compilate, împreună cu rezultatele Grupului cetățenilor francezi, într-un raport final, care constituie contribuția Franței la conferință. Guvernul francez a încurajat, de asemenea, toți actorii francezi care doreau să facă acest lucru (asociații, autorități locale, funcționari aleși, reprezentanți ai societății civile) să organizeze evenimente.</w:t>
      </w:r>
    </w:p>
    <w:p>
      <w:pPr>
        <w:pStyle w:val="P68B1DB1Corpsdetexte12"/>
        <w:rPr>
          <w:b/>
          <w:b/>
          <w:i/>
          <w:i/>
          <w:u w:val="single"/>
        </w:rPr>
      </w:pPr>
      <w:r>
        <w:rPr/>
        <w:t>11 Croația</w:t>
      </w:r>
    </w:p>
    <w:p>
      <w:pPr>
        <w:pStyle w:val="Corpsdetexte"/>
        <w:rPr/>
      </w:pPr>
      <w:r>
        <w:rPr/>
        <w:t>A fost înființat un grup de lucru pentru coordonarea activităților, care a adunat idei și planuri de desfășurare a activităților la nivel național. Ministerele, oficiile centrale de stat, agențiile de dezvoltare regională, universitățile, ONG-urile și institutele au organizat evenimente sub formă de conferințe, dialoguri cu cetățenii și dezbateri cu cetățenii, discuții publice și ateliere educaționale, cu un accent deosebit pe tineri.</w:t>
      </w:r>
    </w:p>
    <w:p>
      <w:pPr>
        <w:pStyle w:val="Corpsdetexte"/>
        <w:rPr/>
      </w:pPr>
      <w:r>
        <w:rPr/>
        <w:t>Printre subiectele abordate se numără migrația, demografia, neutralitatea climatică și economia circulară. Unele evenimente au fost organizate cu alte state membre și țări vecine din afara UE.</w:t>
      </w:r>
    </w:p>
    <w:p>
      <w:pPr>
        <w:pStyle w:val="P68B1DB1Corpsdetexte12"/>
        <w:rPr>
          <w:b/>
          <w:b/>
          <w:i/>
          <w:i/>
          <w:u w:val="single"/>
        </w:rPr>
      </w:pPr>
      <w:r>
        <w:rPr/>
        <w:t>12 Italia</w:t>
      </w:r>
    </w:p>
    <w:p>
      <w:pPr>
        <w:pStyle w:val="Corpsdetexte"/>
        <w:rPr/>
      </w:pPr>
      <w:r>
        <w:rPr/>
        <w:t>Au fost organizate mai multe evenimente, axate în special pe tineri, pentru a ajunge la cât mai mulți cetățeni, inclusiv cu sprijinul activ al autorităților locale. A fost lansată o campanie mediatică pentru a sensibiliza cât mai mult posibil aceste evenimente. Printre aceste activități se numără Forumul tineretului UE-Balcan, organizat cu tinerii din Balcanii de Vest, Forumul tineretului „Dialoguri mixte”, care implică tineri din vecinătatea sudică, precum și concursuri pentru studenții din învățământul secundar și universitar intitulat „Europa este în mâinile tale”.</w:t>
      </w:r>
    </w:p>
    <w:p>
      <w:pPr>
        <w:pStyle w:val="P68B1DB1Corpsdetexte12"/>
        <w:rPr>
          <w:b/>
          <w:b/>
          <w:i/>
          <w:i/>
          <w:u w:val="single"/>
        </w:rPr>
      </w:pPr>
      <w:r>
        <w:rPr/>
        <w:t>13 Cipru</w:t>
      </w:r>
    </w:p>
    <w:p>
      <w:pPr>
        <w:pStyle w:val="Corpsdetexte"/>
        <w:rPr/>
      </w:pPr>
      <w:r>
        <w:rPr/>
        <w:t>Au fost organizate o serie de activități axate pe tineret, implicând mulți actori. A avut loc un eveniment de lansare, care a inclus o discuție cu tânăra generație cu privire la așteptările, preocupările și viziunea lor pentru Europa și Cipru în cadrul UE. De asemenea, s-a desfășurat un dialog deschis privind rolul tinerilor în dezbaterea privind Europa și problemele cu care se confruntă la nivel național și european. De asemenea, a avut loc un eveniment pentru a discuta viitorul securității și apărării europene.</w:t>
      </w:r>
    </w:p>
    <w:p>
      <w:pPr>
        <w:pStyle w:val="P68B1DB1Corpsdetexte12"/>
        <w:rPr>
          <w:b/>
          <w:b/>
          <w:i/>
          <w:i/>
          <w:u w:val="single"/>
        </w:rPr>
      </w:pPr>
      <w:r>
        <w:rPr/>
        <w:t>14 Letonia</w:t>
      </w:r>
    </w:p>
    <w:p>
      <w:pPr>
        <w:pStyle w:val="Corpsdetexte"/>
        <w:rPr/>
      </w:pPr>
      <w:r>
        <w:rPr/>
        <w:t>Au fost organizate mai multe evenimente, inclusiv o discuție online la nivel național cu studenții intitulate „Viitorul este în mâinile tale” pe probleme economice, sociale și de securitate. A fost creat un sondaj național și discuții în cadrul grupurilor de reflecție pentru a aduna opinia publică cu privire la opiniile cetățenilor cu privire la viitoarele priorități ale Uniunii Europene pe toate temele conferinței. Au avut loc discuții la nivel regional față în față pentru a sensibiliza publicul cu privire la conferință în rândul persoanelor în vârstă de 55 de ani și au avut loc discuții față în față cu elevii de liceu.</w:t>
      </w:r>
    </w:p>
    <w:p>
      <w:pPr>
        <w:pStyle w:val="P68B1DB1Corpsdetexte12"/>
        <w:rPr>
          <w:b/>
          <w:b/>
          <w:i/>
          <w:i/>
          <w:u w:val="single"/>
        </w:rPr>
      </w:pPr>
      <w:r>
        <w:rPr/>
        <w:t>15 Lituania</w:t>
      </w:r>
    </w:p>
    <w:p>
      <w:pPr>
        <w:pStyle w:val="Corpsdetexte"/>
        <w:rPr/>
      </w:pPr>
      <w:r>
        <w:rPr/>
        <w:t>Evenimentele au fost organizate în principal pe o bază descentralizată și s-a pus accentul pe diferitele regiuni ale Lituaniei și pe tineri (de exemplu, în cadrul dezbaterii privind tineretul din statele baltice). Au avut loc o serie de dialoguri cu cetățenii (privind democrația, digitalizarea, schimbările climatice etc.), dialogurile transnaționale (de exemplu, cu Franța, Irlanda și Italia) și evenimente ale societății civile. În plus, școlile au fost încurajate să abordeze problema viitorului Europei.</w:t>
      </w:r>
    </w:p>
    <w:p>
      <w:pPr>
        <w:pStyle w:val="Normal"/>
        <w:rPr/>
      </w:pPr>
      <w:r>
        <w:rPr/>
      </w:r>
    </w:p>
    <w:p>
      <w:pPr>
        <w:pStyle w:val="P68B1DB1Corpsdetexte12"/>
        <w:rPr>
          <w:b/>
          <w:b/>
          <w:i/>
          <w:i/>
          <w:u w:val="single"/>
        </w:rPr>
      </w:pPr>
      <w:r>
        <w:rPr/>
        <w:t>16 Luxemburg</w:t>
      </w:r>
    </w:p>
    <w:p>
      <w:pPr>
        <w:pStyle w:val="Corpsdetexte"/>
        <w:rPr/>
      </w:pPr>
      <w:r>
        <w:rPr/>
        <w:t>O serie de evenimente au fost organizate la nivel național, cu o abordare deschisă, incluzivă și transparentă. De exemplu, Parlamentul a organizat o serie de evenimente în formate noi, cum ar fi „discuții bistrotice”. De asemenea, a fost organizat un hackaton pentru studenți și tineri antreprenori pentru a discuta busola digitală și strategia industrială a UE.</w:t>
      </w:r>
    </w:p>
    <w:p>
      <w:pPr>
        <w:pStyle w:val="Corpsdetexte"/>
        <w:rPr/>
      </w:pPr>
      <w:r>
        <w:rPr/>
        <w:t>În plus, a avut loc un schimb trinațional între liceenii germani, francezi și luxemburghezi.</w:t>
      </w:r>
    </w:p>
    <w:p>
      <w:pPr>
        <w:pStyle w:val="P68B1DB1Corpsdetexte12"/>
        <w:rPr>
          <w:b/>
          <w:b/>
          <w:i/>
          <w:i/>
          <w:u w:val="single"/>
        </w:rPr>
      </w:pPr>
      <w:r>
        <w:rPr/>
        <w:t>17 Ungaria</w:t>
      </w:r>
    </w:p>
    <w:p>
      <w:pPr>
        <w:pStyle w:val="Corpsdetexte"/>
        <w:rPr/>
      </w:pPr>
      <w:r>
        <w:rPr/>
        <w:t>Au fost organizate o gamă largă de evenimente în întreaga societate (peste 800). Evenimentele instituționale includ conferințe internaționale la nivel înalt organizate de mai multe ministere (de exemplu, privind extinderea UE și agenda digitală) și mese rotunde cu studenții și organizațiile de tineret (de exemplu, privind integrarea europeană). Mai multe organizații au organizat paneluri pentru a discuta următoarele subiecte: instituțiile UE; o economie mai puternică, justiția socială și ocuparea forței de muncă, transformarea digitală, educația, cultura, tineretul și sportul; valori și drepturi, statul de drept și securitate; ONG-uri; migrația; precum și demografia, familia, sănătatea, schimbările climatice și mediul.</w:t>
      </w:r>
    </w:p>
    <w:p>
      <w:pPr>
        <w:pStyle w:val="P68B1DB1Corpsdetexte12"/>
        <w:rPr>
          <w:b/>
          <w:b/>
          <w:i/>
          <w:i/>
          <w:u w:val="single"/>
        </w:rPr>
      </w:pPr>
      <w:r>
        <w:rPr/>
        <w:t>18 Malta</w:t>
      </w:r>
    </w:p>
    <w:p>
      <w:pPr>
        <w:pStyle w:val="Corpsdetexte"/>
        <w:rPr/>
      </w:pPr>
      <w:r>
        <w:rPr/>
        <w:t>În urma unui eveniment de lansare, a fost înființat un Comitet național de coordonare pentru a promova inițiativa prin diferite canale de comunicare și a contribuit la orientarea dezbaterii prin intermediul evenimentelor naționale și locale.</w:t>
      </w:r>
    </w:p>
    <w:p>
      <w:pPr>
        <w:pStyle w:val="Corpsdetexte"/>
        <w:rPr/>
      </w:pPr>
      <w:r>
        <w:rPr/>
        <w:t>Dialoguri publice tematice (de exemplu, privind sănătatea, valorile europene și viitorul muncii pentru o societate echitabilă), conferințe de presă, consultări cu părțile interesate din sectoarele relevante și sesiuni interactive cu copii și studenți au fost organizate în format fizic sau hibrid.</w:t>
      </w:r>
    </w:p>
    <w:p>
      <w:pPr>
        <w:pStyle w:val="Corpsdetexte"/>
        <w:rPr/>
      </w:pPr>
      <w:r>
        <w:rPr/>
      </w:r>
    </w:p>
    <w:p>
      <w:pPr>
        <w:pStyle w:val="P68B1DB1Corpsdetexte12"/>
        <w:rPr>
          <w:b/>
          <w:b/>
          <w:i/>
          <w:i/>
          <w:u w:val="single"/>
        </w:rPr>
      </w:pPr>
      <w:r>
        <w:rPr/>
        <w:t>19 Țările de Jos</w:t>
      </w:r>
    </w:p>
    <w:p>
      <w:pPr>
        <w:pStyle w:val="Corpsdetexte"/>
        <w:rPr/>
      </w:pPr>
      <w:r>
        <w:rPr/>
        <w:t>În Țările de Jos, s-a pus accentul pe organizarea juriului național cetățenesc „Visiunile Europei – Kijk op Europa”, care a avut loc atât online, cât și față în față. Aceasta s-a bazat pe o abordare în două etape: primul a fost acela de a aduna reflecțiile și opiniile cetățenilor cu privire la „ce”, și anume la ceea ce se așteptau și ce doreau; a doua fază a căutat apoi să înțeleagă punctele lor de vedere fundamentale („de ce” și „cum”) prin dialoguri de grup.</w:t>
      </w:r>
    </w:p>
    <w:p>
      <w:pPr>
        <w:pStyle w:val="Corpsdetexte"/>
        <w:rPr/>
      </w:pPr>
      <w:r>
        <w:rPr/>
      </w:r>
    </w:p>
    <w:p>
      <w:pPr>
        <w:pStyle w:val="P68B1DB1Corpsdetexte12"/>
        <w:rPr>
          <w:b/>
          <w:b/>
          <w:i/>
          <w:i/>
          <w:u w:val="single"/>
        </w:rPr>
      </w:pPr>
      <w:r>
        <w:rPr/>
        <w:t>20 Austria</w:t>
      </w:r>
    </w:p>
    <w:p>
      <w:pPr>
        <w:pStyle w:val="Corpsdetexte"/>
        <w:rPr/>
      </w:pPr>
      <w:r>
        <w:rPr/>
        <w:t>Discuțiile au avut loc în diferite formate, la nivel federal, regional și local. „Laboratoarele viitoare” și „dialogurile viitoare” au permis realizarea unor schimburi aprofundate cu experți la nivel înalt pe diferite teme și căutarea unor soluții mai cuprinzătoare pentru viitor. În plus, au fost organizate o serie de evenimente de către și pentru consilierii municipali austrieci responsabili cu afacerile europene. Mai multe evenimente adresate direct tinerilor și studenților.</w:t>
      </w:r>
    </w:p>
    <w:p>
      <w:pPr>
        <w:pStyle w:val="P68B1DB1Corpsdetexte12"/>
        <w:rPr>
          <w:b/>
          <w:b/>
          <w:i/>
          <w:i/>
          <w:u w:val="single"/>
        </w:rPr>
      </w:pPr>
      <w:r>
        <w:rPr/>
        <w:t>21 Polonia</w:t>
      </w:r>
    </w:p>
    <w:p>
      <w:pPr>
        <w:pStyle w:val="Corpsdetexte"/>
        <w:rPr/>
      </w:pPr>
      <w:r>
        <w:rPr/>
        <w:t>Evenimentele au fost organizate în principal ca parte a unei abordări descentralizate. La nivel regional, centrele regionale de dezbatere internațională au organizat evenimente publice în cele 16 regiuni poloneze în format fizic și virtual. Subiectele de discuție au vizat domeniile tematice ale conferinței, cum ar fi solidaritatea în perioade de criză, agricultura și noile tehnologii.</w:t>
      </w:r>
    </w:p>
    <w:p>
      <w:pPr>
        <w:pStyle w:val="Corpsdetexte"/>
        <w:rPr/>
      </w:pPr>
      <w:r>
        <w:rPr/>
        <w:t>De asemenea, a avut loc o dezbatere națională privind clima, digitalizarea, piața internă, sănătatea, UE în lume și migrația.</w:t>
      </w:r>
    </w:p>
    <w:p>
      <w:pPr>
        <w:pStyle w:val="P68B1DB1Corpsdetexte12"/>
        <w:rPr>
          <w:b/>
          <w:b/>
          <w:i/>
          <w:i/>
          <w:u w:val="single"/>
        </w:rPr>
      </w:pPr>
      <w:r>
        <w:rPr/>
        <w:t>22 Portugalia</w:t>
      </w:r>
    </w:p>
    <w:p>
      <w:pPr>
        <w:pStyle w:val="Corpsdetexte"/>
        <w:rPr/>
      </w:pPr>
      <w:r>
        <w:rPr/>
        <w:t>În urma primului eveniment cetățenesc de la Lisabona, care a declanșat participarea cetățenilor la conferință, au fost organizate numeroase evenimente în parteneriat cu autoritățile locale, universitățile, școlile, partenerii sociali, organizațiile de tineret și organizațiile locale ale societății civile, printre altele. De exemplu, a fost organizat un eveniment transnațional cu Spania pentru a discuta subiecte-cheie de interes pentru viitorul regiunilor ambelor țări și al UE. În plus, au avut loc evenimente naționale descentralizate pe diverse teme, cum ar fi migrația și parteneriatele internaționale, viitorul democrației europene și transformarea digitală.</w:t>
      </w:r>
    </w:p>
    <w:p>
      <w:pPr>
        <w:pStyle w:val="P68B1DB1Corpsdetexte12"/>
        <w:rPr>
          <w:b/>
          <w:b/>
          <w:i/>
          <w:i/>
          <w:u w:val="single"/>
        </w:rPr>
      </w:pPr>
      <w:r>
        <w:rPr/>
        <w:t>23 România</w:t>
      </w:r>
    </w:p>
    <w:p>
      <w:pPr>
        <w:pStyle w:val="Corpsdetexte"/>
        <w:rPr/>
      </w:pPr>
      <w:r>
        <w:rPr/>
        <w:t>Evenimentele au fost organizate sau coorganizate în principal de administrație și institute, în special, cu participarea activă a societății civile și a organizațiilor de tineret.</w:t>
      </w:r>
    </w:p>
    <w:p>
      <w:pPr>
        <w:pStyle w:val="Corpsdetexte"/>
        <w:rPr/>
      </w:pPr>
      <w:r>
        <w:rPr/>
        <w:t>Discuțiile s-au axat pe o gamă largă de subiecte, cum ar fi tranziția digitală, educația, sănătatea, mediul, dezvoltarea durabilă, economia, agricultura și parteneriatele strategice ale UE. Evenimentele au avut loc în capitală și la nivel local și au participat la toate grupele de vârstă.</w:t>
      </w:r>
    </w:p>
    <w:p>
      <w:pPr>
        <w:pStyle w:val="P68B1DB1Corpsdetexte12"/>
        <w:rPr>
          <w:b/>
          <w:b/>
          <w:i/>
          <w:i/>
          <w:u w:val="single"/>
        </w:rPr>
      </w:pPr>
      <w:r>
        <w:rPr/>
        <w:t>24 Slovenia</w:t>
      </w:r>
    </w:p>
    <w:p>
      <w:pPr>
        <w:pStyle w:val="Corpsdetexte"/>
        <w:rPr/>
      </w:pPr>
      <w:r>
        <w:rPr/>
        <w:t>Ideea a fost de a încuraja o dezbatere amplă în care societatea civilă a jucat un rol central, precum și participarea în special a tinerilor.</w:t>
      </w:r>
    </w:p>
    <w:p>
      <w:pPr>
        <w:pStyle w:val="Corpsdetexte"/>
        <w:rPr/>
      </w:pPr>
      <w:r>
        <w:rPr/>
        <w:t>Guvernul a organizat un eveniment de lansare, care a fost urmat de mai multe inițiative, cum ar fi Forumul strategic Bled, a cărui temă principală a fost viitorul Europei, cu un accent deosebit pe extinderea UE și Balcanii de Vest. Alte evenimente s-au axat pe subiecte precum politica monetară, neutralitatea climatică, tineretul și rolul UE într-un mediu internațional multipolar.</w:t>
      </w:r>
    </w:p>
    <w:p>
      <w:pPr>
        <w:pStyle w:val="P68B1DB1Corpsdetexte12"/>
        <w:rPr>
          <w:b/>
          <w:b/>
          <w:i/>
          <w:i/>
          <w:u w:val="single"/>
        </w:rPr>
      </w:pPr>
      <w:r>
        <w:rPr/>
        <w:t>25 Slovacia</w:t>
      </w:r>
    </w:p>
    <w:p>
      <w:pPr>
        <w:pStyle w:val="Corpsdetexte"/>
        <w:rPr/>
      </w:pPr>
      <w:r>
        <w:rPr/>
        <w:t>Evenimentele organizate au fost organizate în jurul a doi piloni principali. Primul pilon a fost proiectul „WeAreEU”, axat pe publicul larg, inclusiv discuții cu studenții și consultări publice, inclusiv o serie de evenimente regionale organizate în cadrul Salonului rutier WeAreEU. Al doilea pilon a fost Convenția națională privind UE, axată pe contribuțiile experților și pe analize pe teme precum piața unică, dezinformarea și populismul, precum și tranziția digitală și ecologică.</w:t>
      </w:r>
    </w:p>
    <w:p>
      <w:pPr>
        <w:pStyle w:val="P68B1DB1Corpsdetexte12"/>
        <w:rPr>
          <w:b/>
          <w:b/>
          <w:i/>
          <w:i/>
          <w:u w:val="single"/>
        </w:rPr>
      </w:pPr>
      <w:r>
        <w:rPr/>
        <w:t>26 Finlanda</w:t>
      </w:r>
    </w:p>
    <w:p>
      <w:pPr>
        <w:pStyle w:val="Corpsdetexte"/>
        <w:rPr/>
      </w:pPr>
      <w:r>
        <w:rPr/>
        <w:t>O serie de consultări regionale, inclusiv „evenimentul celei mai nordice conferințe din UE”, a fost organizată de guvern pe diverse teme, cum ar fi creșterea durabilă, educația și statul de drept. De asemenea, a fost pus în aplicare un sondaj pentru a informa discuția.</w:t>
      </w:r>
    </w:p>
    <w:p>
      <w:pPr>
        <w:pStyle w:val="Corpsdetexte"/>
        <w:spacing w:before="6264" w:after="57"/>
        <w:rPr/>
      </w:pPr>
      <w:r>
        <w:rPr/>
        <w:t xml:space="preserve">Guvernul a organizat evenimente în cooperare cu orașele, autoritățile locale, universitățile, ONG-urile și organizațiile de tineret, precum și cu Parlamentul finlandez, Parlamentul European și birourile de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Jocuri cu Jocul 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Jocuri cu Jocul Image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i</w:t>
      </w:r>
      <w:r>
        <w:rPr/>
        <w:t>nformare ale Comisiei Europene din Finlanda.</w:t>
      </w:r>
    </w:p>
    <w:p>
      <w:pPr>
        <w:pStyle w:val="Normal"/>
        <w:rPr/>
      </w:pPr>
      <w:r>
        <w:rPr/>
      </w:r>
    </w:p>
    <w:p>
      <w:pPr>
        <w:pStyle w:val="P68B1DB1Corpsdetexte12"/>
        <w:rPr>
          <w:b/>
          <w:b/>
          <w:i/>
          <w:i/>
          <w:u w:val="single"/>
        </w:rPr>
      </w:pPr>
      <w:r>
        <w:rPr/>
        <w:t>27 Suedia</w:t>
      </w:r>
    </w:p>
    <w:p>
      <w:pPr>
        <w:pStyle w:val="Corpsdetexte"/>
        <w:rPr/>
      </w:pPr>
      <w:r>
        <w:rPr/>
        <w:t>Evenimentele au fost organizate în principal pe o bază descentralizată, ca exercițiu comun între guvern, parlamentul național, partidele politice, partenerii sociali, reprezentanții locali și regionali, organizațiile societății civile și alți actori relevanți din societate.</w:t>
      </w:r>
    </w:p>
    <w:p>
      <w:pPr>
        <w:pStyle w:val="Corpsdetexte"/>
        <w:rPr/>
      </w:pPr>
      <w:r>
        <w:rPr/>
        <w:t>De exemplu, ministrul suedez al afacerilor europene a discutat viitorul Europei cu elevi din diferite școli și a participat la reuniuni la nivel municipal pentru a discuta cu cetățenii despre viitorul Europei și despre democrație. Mass-media digitală a fost, de asemenea, utilizată pentru a participa la dialoguri cu cetățenii prin, de exemplu, sesiuni de întrebări și răspunsuri.</w:t>
      </w:r>
    </w:p>
    <w:p>
      <w:pPr>
        <w:pStyle w:val="Corpsdetexte"/>
        <w:rPr/>
      </w:pPr>
      <w:r>
        <w:rPr/>
        <w:t>Descrierile de mai sus nu sunt exhaustive. Mai multe informații despre evenimentele naționale pot fi găsite într-o secțiune specifică a Platformei digitale multilingve.</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Întâlnirea tinerilor europeni </w:t>
      </w:r>
    </w:p>
    <w:p>
      <w:pPr>
        <w:pStyle w:val="Normal"/>
        <w:rPr/>
      </w:pPr>
      <w:hyperlink r:id="rId51">
        <w:r>
          <w:rPr>
            <w:rStyle w:val="LienInternet"/>
          </w:rPr>
          <w:t>Evenimentul tineretului european (EYE 2021)</w:t>
        </w:r>
      </w:hyperlink>
      <w:r>
        <w:rPr/>
        <w:t xml:space="preserve"> a avut loc în perioada 8-9 octombrie 2021 și a reunit 10 000 de tineri online și Parlamentul European de la Strasbourg pentru a modela și a face schimb de idei cu privire la viitorul Europei. EYE </w:t>
      </w:r>
      <w:r>
        <w:rPr>
          <w:i/>
        </w:rPr>
        <w:t>a reprezentat o oportunitate unică pentru tinerii cu vârste cuprinse între 16 și 30 de ani de a interacționa personal și online, de a se inspira reciproc și de a face schimb de opinii cu experți, activiști, influenceri și factori de decizie, în centrul democrației europene</w:t>
      </w:r>
      <w:r>
        <w:rPr/>
        <w:t>.</w:t>
      </w:r>
    </w:p>
    <w:p>
      <w:pPr>
        <w:pStyle w:val="Normal"/>
        <w:spacing w:before="6132" w:after="57"/>
        <w:rPr/>
      </w:pPr>
      <w:r>
        <w:rPr/>
        <w:t xml:space="preserve">Din mai 2021, în colaborare cu organizațiile de tineret paneuropene, au fost colectate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Jocuri cu Jocul 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Jocuri cu Jocul Image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o</w:t>
      </w:r>
      <w:r>
        <w:rPr/>
        <w:t xml:space="preserve">nline peste 2.000 de propuneri din partea tinerilor cetățeni din întreaga Uniune Europeană. În plus, mai multe sesiuni, atât online înainte de eveniment, cât și în timpul EYE de la Strasbourg, s-au axat pe Conferința privind viitorul Europei. După eveniment, cele 20 de idei principale prezentate de participanți, două idei pentru fiecare temă a conferinței, au fost colectate în </w:t>
      </w:r>
      <w:hyperlink r:id="rId53">
        <w:r>
          <w:rPr>
            <w:rStyle w:val="LienInternet"/>
          </w:rPr>
          <w:t>Raportul Ideilor pentru Tineret</w:t>
        </w:r>
      </w:hyperlink>
      <w:r>
        <w:rPr/>
        <w:t xml:space="preserve"> pentru Conferința privind viitorul Europei, publicat în 23 de limbi.</w:t>
      </w:r>
    </w:p>
    <w:p>
      <w:pPr>
        <w:pStyle w:val="Normal"/>
        <w:rPr/>
      </w:pPr>
      <w:r>
        <w:rPr/>
        <w:t xml:space="preserve">Raportul „Idei pentru tineret” a fost prezentat în sesiunea plenară a conferinței la 23 octombrie de către tinerii participanți din cadrul grupurilor de dezbatere cetățenești europene care au participat, de asemenea, la EYE 2021. Toate ideile colectate sunt disponibile la adresa: </w:t>
      </w:r>
      <w:hyperlink r:id="rId54">
        <w:r>
          <w:rPr>
            <w:rStyle w:val="LienInternet"/>
          </w:rPr>
          <w:t>căutare.youthideas.eu.</w:t>
        </w:r>
      </w:hyperlink>
    </w:p>
    <w:p>
      <w:pPr>
        <w:pStyle w:val="Titre3"/>
        <w:numPr>
          <w:ilvl w:val="2"/>
          <w:numId w:val="2"/>
        </w:numPr>
        <w:rPr/>
      </w:pPr>
      <w:bookmarkStart w:id="31" w:name="__RefHeading___Toc298236_1346298689"/>
      <w:bookmarkEnd w:id="31"/>
      <w:r>
        <w:rPr/>
        <w:t>3.</w:t>
        <w:tab/>
        <w:t>Alte evenimente</w:t>
      </w:r>
    </w:p>
    <w:p>
      <w:pPr>
        <w:pStyle w:val="Normal"/>
        <w:rPr/>
      </w:pPr>
      <w:r>
        <w:rPr/>
        <w:t>Pe lângă evenimentele de mai sus, multe alte instituții și părți interesate au reunit cetățeni pentru a discuta despre viitorul Europei</w:t>
      </w:r>
      <w:r>
        <w:rPr>
          <w:rStyle w:val="Ancredenotedebasdepage"/>
          <w:rStyle w:val="Ancredenotedebasdepage"/>
        </w:rPr>
        <w:footnoteReference w:id="6"/>
      </w:r>
      <w:r>
        <w:rPr/>
        <w:t>.</w:t>
      </w:r>
    </w:p>
    <w:p>
      <w:pPr>
        <w:pStyle w:val="Normal"/>
        <w:rPr/>
      </w:pPr>
      <w:r>
        <w:rPr/>
        <w:t>Pe parcursul Conferinței privind viitorul Europei, Comitetul Economic și Social European (CESE) a depus eforturi pentru a-l face cunoscut și pentru a ajuta rețeaua sa extinsă de organizații ale societății civile din statele membre să organizeze consultări naționale. În total, a sprijinit desfășurarea a 75 de evenimente, dintre care 33 la nivel național și 42 la nivel central. Dintre aceste evenimente, 60 % au publicat rapoarte pe platforma conferinței, iar aceste 45 de evenimente au reunit peste 7300 de participanți. În special, CESE și-a lansat activitățile în iunie 2021, printr-o conferință majoră –</w:t>
      </w:r>
      <w:hyperlink r:id="rId55">
        <w:r>
          <w:rPr>
            <w:rStyle w:val="LienInternet"/>
          </w:rPr>
          <w:t>Readucerea proiectului european înapoi la cetățeni</w:t>
        </w:r>
      </w:hyperlink>
      <w:r>
        <w:rPr/>
        <w:t>– și a organizat seminarul „</w:t>
      </w:r>
      <w:hyperlink r:id="rId56">
        <w:r>
          <w:rPr>
            <w:rStyle w:val="LienInternet"/>
          </w:rPr>
          <w:t>Conectarea UE”</w:t>
        </w:r>
      </w:hyperlink>
      <w:r>
        <w:rPr/>
        <w:t>la Lisabona în noiembrie 2021 și un eveniment la nivel înalt la Bruxelles, în februarie 2022, intitulat „</w:t>
      </w:r>
      <w:hyperlink r:id="rId57">
        <w:r>
          <w:rPr>
            <w:rStyle w:val="LienInternet"/>
          </w:rPr>
          <w:t>Construirea Europei împreună</w:t>
        </w:r>
      </w:hyperlink>
      <w:r>
        <w:rPr/>
        <w:t>”. Comitetul a încurajat, de asemenea, utilizarea platformei online, unde a încărcat 60 de idei noi, și a lansat o amplă campanie de comunicare pe platformele de comunicare socială, cu un potențial public de 32 de milioane de persoane doar pe Twitter, pentru a promova evenimente naționale în limba engleză și în limba locală și a furnizat informații înainte și după fiecare adunare plenară și ședință legată de conferință.</w:t>
      </w:r>
    </w:p>
    <w:p>
      <w:pPr>
        <w:pStyle w:val="Normal"/>
        <w:rPr/>
      </w:pPr>
      <w:r>
        <w:rPr/>
        <w:t xml:space="preserve">Comitetul European al Regiunilor (CoR) a organizat dezbateri tematice în cadrul comisiilor și sesiunilor sale plenare, precum și 140 de evenimente la nivel local, transfrontalier și interregional, la care au participat 10 000 de cetățeni și 200 de politicieni locali. În plus, primul </w:t>
      </w:r>
      <w:hyperlink r:id="rId58">
        <w:r>
          <w:rPr>
            <w:rStyle w:val="LienInternet"/>
          </w:rPr>
          <w:t>sondaj efectuat vreodată în rândul a 1,2 milioane de politicieni locali</w:t>
        </w:r>
      </w:hyperlink>
      <w:r>
        <w:rPr/>
        <w:t xml:space="preserve"> din UE-27 cu privire la opiniile lor cu privire la viitorul Europei a fost publicat în octombrie 2021. În plus, Cdr a propus </w:t>
      </w:r>
      <w:hyperlink r:id="rId59">
        <w:r>
          <w:rPr>
            <w:rStyle w:val="LienInternet"/>
          </w:rPr>
          <w:t>44 de idei</w:t>
        </w:r>
      </w:hyperlink>
      <w:r>
        <w:rPr/>
        <w:t xml:space="preserve"> pe platforma digitală multilingvă. La începutul anului 2022,</w:t>
      </w:r>
      <w:hyperlink r:id="rId60">
        <w:r>
          <w:rPr>
            <w:rStyle w:val="LienInternet"/>
          </w:rPr>
          <w:t xml:space="preserve"> un grup independent la nivel înalt privind democrația europeană</w:t>
        </w:r>
      </w:hyperlink>
      <w:r>
        <w:rPr/>
        <w:t xml:space="preserve"> a prezentat idei privind modalitățile de îmbunătățire a democrației în UE. CoR a adoptat o rezoluție conținând propuneri pentru raportul final al conferinței, iar un </w:t>
      </w:r>
      <w:hyperlink r:id="rId61">
        <w:r>
          <w:rPr>
            <w:rStyle w:val="LienInternet"/>
          </w:rPr>
          <w:t>manifest în 12 puncte</w:t>
        </w:r>
      </w:hyperlink>
      <w:r>
        <w:rPr/>
        <w:t xml:space="preserve">, elaborat în numele a milioane de politicieni locali și regionali din UE, a fost aprobat în cadrul </w:t>
      </w:r>
      <w:hyperlink r:id="rId62">
        <w:r>
          <w:rPr>
            <w:rStyle w:val="LienInternet"/>
          </w:rPr>
          <w:t>Summitului european al regiunilor și orașelor</w:t>
        </w:r>
      </w:hyperlink>
      <w:r>
        <w:rPr/>
        <w:t xml:space="preserve"> din martie 2022. Un raport</w:t>
      </w:r>
      <w:hyperlink r:id="rId63">
        <w:r>
          <w:rPr>
            <w:rStyle w:val="LienInternet"/>
          </w:rPr>
          <w:t>intitulat „Cetățeni, politicieni locali și viitorul Europei</w:t>
        </w:r>
      </w:hyperlink>
      <w:r>
        <w:rPr/>
        <w:t>” (martie 2022) rezumă toate activitățile CoR în contextul conferinței.</w:t>
      </w:r>
    </w:p>
    <w:p>
      <w:pPr>
        <w:pStyle w:val="Normal"/>
        <w:rPr/>
      </w:pPr>
      <w:r>
        <w:rPr/>
      </w:r>
    </w:p>
    <w:p>
      <w:pPr>
        <w:pStyle w:val="Normal"/>
        <w:rPr/>
      </w:pPr>
      <w:r>
        <w:rPr/>
        <w:t xml:space="preserve">Cele trei organizații patronale asociate cu Parteneriatul social al UE, </w:t>
      </w:r>
      <w:hyperlink r:id="rId64">
        <w:r>
          <w:rPr>
            <w:rStyle w:val="LienInternet"/>
          </w:rPr>
          <w:t>BusinessEurope</w:t>
        </w:r>
      </w:hyperlink>
      <w:r>
        <w:rPr/>
        <w:t xml:space="preserve">, </w:t>
      </w:r>
      <w:hyperlink r:id="rId65">
        <w:r>
          <w:rPr>
            <w:rStyle w:val="LienInternet"/>
          </w:rPr>
          <w:t>SGI Europe</w:t>
        </w:r>
      </w:hyperlink>
      <w:r>
        <w:rPr/>
        <w:t xml:space="preserve"> și </w:t>
      </w:r>
      <w:hyperlink r:id="rId66">
        <w:r>
          <w:rPr>
            <w:rStyle w:val="LienInternet"/>
          </w:rPr>
          <w:t>UEAPME</w:t>
        </w:r>
      </w:hyperlink>
      <w:r>
        <w:rPr/>
        <w:t>, și-au publicat prioritățile și contribuțiile pe platforma digitală și le-au prezentat grupurilor de lucru relevante și sesiunii plenare. În plus, toți au promovat conferința, atât pe plan intern, cât și extern, și au organizat evenimente și s-au angajat în dialog cu părțile interesate din diferite foruri. Confederația Europeană a Sindicatelor (CES) s-a mobilizat pentru a contribui la conferință și a participat la reuniunile Adunării Plenare și ale grupurilor de lucru. CES a identificat propunerile sindicatelor pentru un viitor mai echitabil pentru Europa și le-a publicat pe platforma online (acestea au fost printre propunerile cele mai sprijinite). CES și afiliații săi au organizat evenimente și activități de comunicare pentru a prezenta și a discuta propunerile sindicatelor.</w:t>
      </w:r>
    </w:p>
    <w:p>
      <w:pPr>
        <w:pStyle w:val="Normal"/>
        <w:rPr/>
      </w:pPr>
      <w:r>
        <w:rPr/>
        <w:t xml:space="preserve">Reprezentanții societății civile – </w:t>
      </w:r>
      <w:hyperlink r:id="rId67">
        <w:r>
          <w:rPr>
            <w:rStyle w:val="LienInternet"/>
          </w:rPr>
          <w:t>Convenția societății civile pentru Conferința privind viitorul</w:t>
        </w:r>
      </w:hyperlink>
      <w:r>
        <w:rPr/>
        <w:t xml:space="preserve"> Europei și </w:t>
      </w:r>
      <w:hyperlink r:id="rId68">
        <w:r>
          <w:rPr>
            <w:rStyle w:val="LienInternet"/>
          </w:rPr>
          <w:t>Mișcarea Internațională Europeană</w:t>
        </w:r>
      </w:hyperlink>
      <w:r>
        <w:rPr/>
        <w:t xml:space="preserve"> – au organizat </w:t>
      </w:r>
      <w:hyperlink r:id="rId69">
        <w:r>
          <w:rPr>
            <w:rStyle w:val="LienInternet"/>
          </w:rPr>
          <w:t>numeroase evenimente</w:t>
        </w:r>
      </w:hyperlink>
      <w:r>
        <w:rPr/>
        <w:t xml:space="preserve"> în întreaga Europă și au fost </w:t>
      </w:r>
      <w:hyperlink r:id="rId70">
        <w:r>
          <w:rPr>
            <w:rStyle w:val="LienInternet"/>
          </w:rPr>
          <w:t>activi în plen</w:t>
        </w:r>
      </w:hyperlink>
      <w:r>
        <w:rPr/>
        <w:t xml:space="preserve">. Societatea civilă a implicat sute de organizații ale societății civile într-o abordare ascendentă, prin intermediul </w:t>
      </w:r>
      <w:hyperlink r:id="rId71">
        <w:r>
          <w:rPr>
            <w:rStyle w:val="LienInternet"/>
          </w:rPr>
          <w:t>grupurilor tematice</w:t>
        </w:r>
      </w:hyperlink>
      <w:r>
        <w:rPr/>
        <w:t xml:space="preserve">, pentru a elabora propuneri comune și cuprinzătoare </w:t>
      </w:r>
      <w:hyperlink r:id="rId72">
        <w:r>
          <w:rPr>
            <w:rStyle w:val="LienInternet"/>
          </w:rPr>
          <w:t>în diferite domenii de politică acoperite de conferință</w:t>
        </w:r>
      </w:hyperlink>
      <w:r>
        <w:rPr/>
        <w:t>. Ideile au alimentat conferința prin intermediul platformei, al grupurilor de lucru, al reuniunilor plenare și în contact direct cu Comitetul executiv, copreședinții și secretariatul comun.</w:t>
      </w:r>
    </w:p>
    <w:p>
      <w:pPr>
        <w:pStyle w:val="Normal"/>
        <w:rPr/>
      </w:pPr>
      <w:r>
        <w:rPr/>
        <w:t>Reprezentanțele Comisiei Europene în statele membre, centrele Europe Direct, centrele de documentare europeană și birourile de legătură ale PE au informat în mod activ cetățenii cu privire la Conferința privind viitorul Europei. Reprezentanțele Comisiei Europene au raportat 1400 de activități care au contribuit la comunicarea și punerea în aplicare a conferinței în întreaga Europă. Aceștia au organizat sau au participat activ la peste 850 de evenimente, dintre care aproximativ 65 % au vizat tinerii și femeile pentru a încuraja participarea lor la conferință în general. Birourile de legătură ale PE au organizat peste 1300 de activități promoționale în toate statele membre.</w:t>
      </w:r>
    </w:p>
    <w:p>
      <w:pPr>
        <w:pStyle w:val="Normal"/>
        <w:rPr/>
      </w:pPr>
      <w:r>
        <w:rPr/>
        <w:t>Ateliere tematice pe temele principale ale conferinței au fost organizate, de asemenea, în prezența deputaților în Parlamentul European, a cetățenilor, a părților interesate, a autorităților naționale și regionale și a mass-mediei locale, pentru a spori vizibilitatea conferinței. Centrele de documentare europeană au raportat peste 120 de acțiuni legate de comunicarea conferinței.</w:t>
      </w:r>
    </w:p>
    <w:p>
      <w:pPr>
        <w:pStyle w:val="Normal"/>
        <w:rPr/>
      </w:pPr>
      <w:r>
        <w:rPr/>
        <w:t>Centrele Europe Direct au raportat peste 1000 de evenimente tematice cu privire la conferință și peste 600 de activități promoționale, inclusiv o gamă largă de grupuri și organizații de tineret. Centrele de documentare europeană au raportat peste 120 de acțiuni legate de comunicarea conferinței.</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Adunarea Plenară a Conferinței</w:t>
      </w:r>
    </w:p>
    <w:p>
      <w:pPr>
        <w:pStyle w:val="Normal"/>
        <w:rPr/>
      </w:pPr>
      <w:r>
        <w:rPr/>
      </w:r>
      <w:r>
        <w:br w:type="page"/>
      </w:r>
    </w:p>
    <w:p>
      <w:pPr>
        <w:pStyle w:val="Titre2"/>
        <w:numPr>
          <w:ilvl w:val="1"/>
          <w:numId w:val="2"/>
        </w:numPr>
        <w:rPr/>
      </w:pPr>
      <w:bookmarkStart w:id="33" w:name="__RefHeading___Toc298240_1346298689"/>
      <w:bookmarkEnd w:id="33"/>
      <w:r>
        <w:rPr/>
        <w:t>A. Rolul și funcționarea Adunării Plenare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A fost creată o adunare plenară a conferinței pentru a discuta recomandările formulate de grupurile cetățenești naționale și europene, grupate pe teme, fără ca rezultatul dezbaterilor să fie stabilit în prealabil sau domeniul de aplicare al acestora să se limiteze la domenii de politică predefinite.</w:t>
      </w:r>
    </w:p>
    <w:p>
      <w:pPr>
        <w:pStyle w:val="Corpsdetexte"/>
        <w:rPr/>
      </w:pPr>
      <w:r>
        <w:rPr/>
        <w:t>Contribuțiile colectate pe platforma multilingvă au fost, de asemenea, discutate, după caz. Adunarea plenară a avut o componență unică: acesta a inclus, pentru prima dată, cetățeni care reprezintă evenimente și grupuri de dezbatere ale cetățenilor europeni și naționali, reprezentanți ai instituțiilor UE și ai organelor sale consultative, reprezentanți aleși la nivel național, regional și local, precum și reprezentanți ai societății civile și ai partenerilor sociali.</w:t>
      </w:r>
    </w:p>
    <w:p>
      <w:pPr>
        <w:pStyle w:val="Corpsdetexte"/>
        <w:rPr/>
      </w:pPr>
      <w:r>
        <w:rPr/>
        <w:t>Recomandările au fost prezentate de cetățeni și discutate cu aceștia; ulterior, plenul a trebuit să își prezinte propunerile în</w:t>
      </w:r>
      <w:r>
        <w:rPr>
          <w:rStyle w:val="Ancredenotedebasdepage"/>
          <w:rStyle w:val="Ancredenotedebasdepage"/>
        </w:rPr>
        <w:footnoteReference w:id="7"/>
      </w:r>
      <w:r>
        <w:rPr/>
        <w:t xml:space="preserve"> mod consensual Comitetului executiv. Sesiunea plenară a Conferinței s-a reunit de șapte ori între iunie 2021 și aprilie 2022.</w:t>
      </w:r>
    </w:p>
    <w:p>
      <w:pPr>
        <w:pStyle w:val="Corpsdetexte"/>
        <w:rPr/>
      </w:pPr>
      <w:r>
        <w:rPr/>
        <w:t>Adunarea plenară a conferinței a fost formată din 108 reprezentanți ai Parlamentului European, 54 de reprezentanți ai Consiliului și trei reprezentanți ai Comisiei</w:t>
      </w:r>
      <w:r>
        <w:rPr>
          <w:rStyle w:val="Ancredenotedebasdepage"/>
          <w:rStyle w:val="Ancredenotedebasdepage"/>
        </w:rPr>
        <w:footnoteReference w:id="8"/>
      </w:r>
      <w:r>
        <w:rPr/>
        <w:t>Europene, precum și 108 reprezentanți ai tuturor parlamentelor naționale, pe picior de egalitate, și cetățeni.</w:t>
      </w:r>
    </w:p>
    <w:p>
      <w:pPr>
        <w:pStyle w:val="Corpsdetexte"/>
        <w:rPr/>
      </w:pPr>
      <w:r>
        <w:rPr/>
        <w:t>Optzeci de reprezentanți ai grupurilor cetățenești europene, dintre care cel puțin o treime aveau sub 25 de ani, au participat, de asemenea, președintele Forumului european al tineretului și 27 de</w:t>
      </w:r>
      <w:r>
        <w:rPr>
          <w:rStyle w:val="Ancredenotedebasdepage"/>
          <w:rStyle w:val="Ancredenotedebasdepage"/>
        </w:rPr>
        <w:footnoteReference w:id="9"/>
      </w:r>
      <w:r>
        <w:rPr/>
        <w:t xml:space="preserve"> reprezentanți ai evenimentelor naționale și/sau ai grupurilor naționale ale cetățenilor.</w:t>
      </w:r>
    </w:p>
    <w:p>
      <w:pPr>
        <w:pStyle w:val="Corpsdetexte"/>
        <w:rPr/>
      </w:pPr>
      <w:r>
        <w:rPr/>
        <w:t>Au participat, de asemenea, optsprezece reprezentanți ai Comitetului Regiunilor și 18 reprezentanți ai Comitetului Economic și Social, șase reprezentanți aleși ai autorităților regionale și șase reprezentanți aleși ai autorităților locale, 12 reprezentanți ai partenerilor sociali și opt reprezentanți ai societății civile. Înaltul Reprezentant al Uniunii pentru afaceri externe și politica de securitate a fost invitat să discute rolul internațional al UE.</w:t>
      </w:r>
    </w:p>
    <w:p>
      <w:pPr>
        <w:pStyle w:val="Corpsdetexte"/>
        <w:rPr/>
      </w:pPr>
      <w:r>
        <w:rPr/>
        <w:t>De asemenea, au fost invitați reprezentanți ai principalelor părți interesate, cum ar fi reprezentanți ai partenerilor din Balcanii de Vest, Ucraina, grupuri religioase, filosofice și neconfesionale.</w:t>
      </w:r>
    </w:p>
    <w:p>
      <w:pPr>
        <w:pStyle w:val="Corpsdetexte"/>
        <w:rPr/>
      </w:pPr>
      <w:r>
        <w:rPr/>
        <w:t>Reuniunile Adunării Plenare au fost prezidate în comun de copreședinții conferinței. Reuniunile plenare ale conferinței au avut loc în clădirile Parlamentului European din Strasbourg. Datorită reglementărilor aplicabile în materie de sănătate și siguranță, primele cinci reuniuni ale sesiunii plenare a Conferinței au avut loc în format hibrid, în timp ce ultimele două au avut loc personal. Reuniunile plenare ale conferinței au fost transmise în direct și toate documentele reuniunii au fost puse la dispoziția publicului pe platforma digitală multilingvă.</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Grupuri de lucru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În conformitate cu regulamentul de procedură al conferinței, copreședinții au propus plenului Conferinței să înființeze nouă grupuri de lucru tematice, pe baza temelor Platformei digitale multilingve, pentru a contribui la pregătirea dezbaterilor și a propunerilor sesiunii plenare a Conferinței, în conformitate cu parametrii declarației comune. În octombrie 2021, copreședinții au convenit asupra mandatului grupurilor de lucru. Diferitele grupuri de lucru au abordat următoarele teme: Schimbările climatice și mediul; Sănătate; O economie mai puternică, justiție socială și ocuparea forței de muncă; UE în lume; Valori și drepturi, statul de drept, securitate; Transformarea digitală; Democrația europeană; Migrația; și educație, cultură, tineret și sport.</w:t>
      </w:r>
    </w:p>
    <w:p>
      <w:pPr>
        <w:pStyle w:val="Normal"/>
        <w:rPr/>
      </w:pPr>
      <w:r>
        <w:rPr/>
        <w:t>Grupurile de lucru și-au prezentat contribuția la sesiunea plenară a conferinței examinând recomandările grupurilor cetățenești naționale și europene respective, precum și contribuțiile publicate pe platforma digitală multilingvă pe cele nouă teme reunite în cadrul conferinței. Membrii adunării plenare a conferinței au fost împărțiți între cele nouă grupuri de lucru după cum urmează: doisprezece membri pentru fiecare grup de lucru pentru Parlamentul European și parlamentele naționale, șase pentru Consiliu, trei pentru reprezentanții grupurilor naționale de dezbatere ale cetățenilor sau pentru evenimente naționale, doi pentru Comitetul Regiunilor și doi pentru Comitetul Economic și Social, unul sau doi pentru partenerii sociali, unul pentru societatea civilă și unul pentru membrii aleși ai autorităților locale și regionale și reprezentanți ai grupurilor de dezbatere ale cetățenilor europeni. Reprezentanți ai grupurilor cetățenești europene au participat la lucrările grupului de lucru responsabil de juriu. În plus, au fost luate măsuri specifice pentru a permite membrilor colegiului comisarilor să participe la grupuri de lucru în funcție de portofoliile lor.</w:t>
      </w:r>
    </w:p>
    <w:p>
      <w:pPr>
        <w:pStyle w:val="Normal"/>
        <w:rPr/>
      </w:pPr>
      <w:r>
        <w:rPr/>
        <w:t>Grupurile de lucru au organizat dezbateri aprinse și au lucrat la proiectele de propuneri elaborate sub îndrumarea președintelui și a purtătorului de cuvânt, selectați dintre reprezentanții grupurilor cetățenești europene din cadrul grupului de lucru, cu sprijinul Secretariatului comun. Grupurile de lucru urmau să lucreze pe baza consensului prevăzut la articolul 17 din Regulamentul de procedură al conferinței. Președintele și purtătorul de cuvânt prezintă apoi Adunării Plenare rezultatele grupului de lucru. Președintele grupului de lucru a fost asistat de secretariatul comun. Secretariatul comun al conferinței a pregătit rapoartele de sinteză ale fiecărei reuniuni a grupului de lucru, sub îndrumarea președintelui și în consultare cu membrii grupului de lucru.</w:t>
      </w:r>
    </w:p>
    <w:p>
      <w:pPr>
        <w:pStyle w:val="Normal"/>
        <w:rPr/>
      </w:pPr>
      <w:r>
        <w:rPr/>
        <w:t>Grupurile de lucru s-au reunit în marja reuniunilor plenare ale conferinței în perioada octombrie 2021-8 aprilie 2022, precum și online în decembrie 2021. Unele grupuri de lucru au organizat reuniuni suplimentare. Reuniunile grupului de lucru au fost transmise în direct începând cu 20 ianuarie 2022. Rapoartele lor de sinteză au fost publicate în mod corespunzător în secțiunea „Adunarea plenară a conferinței” privind Platforma digitală multilingvă.</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Rezumat cronologic</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ADUNAREA PLENARĂ INAUGURALĂ A CONFERINȚEI, 19 IUNIE 2021</w:t>
      </w:r>
    </w:p>
    <w:p>
      <w:pPr>
        <w:pStyle w:val="Normal"/>
        <w:rPr/>
      </w:pPr>
      <w:r>
        <w:rPr/>
        <w:t>Sesiunea plenară inaugurală a conferinței a avut loc la 19 iunie 2021, în format hibrid</w:t>
      </w:r>
      <w:r>
        <w:rPr>
          <w:rStyle w:val="Ancredenotedebasdepage"/>
          <w:rStyle w:val="Ancredenotedebasdepage"/>
        </w:rPr>
        <w:footnoteReference w:id="10"/>
      </w:r>
      <w:r>
        <w:rPr/>
        <w:t>. Acesta a permis membrilor plenului să asculte o prezentare și să organizeze o dezbatere generală cu privire la scopul și așteptările conferinței. Copreședinții au subliniat caracterul fără precedent al acestui exercițiu de democrație deliberativă la nivelul UE, care a consolidat democrația reprezentativă, plasând cetățenii în centrul procesului de elaborare a politicilor în Uniunea Europeană. Copreședinții au subliniat, de asemenea, funcționarea celor trei piloni ai conferinței: platforma digitală multilingvă, grupurile de dezbatere ale cetățenilor europeni și naționale și Adunarea plenară.</w:t>
      </w:r>
    </w:p>
    <w:p>
      <w:pPr>
        <w:pStyle w:val="Normal"/>
        <w:rPr/>
      </w:pPr>
      <w:r>
        <w:rPr/>
        <w:t>În plus, membrii plenului au fost informați cu privire la intenția de a înființa nouă grupuri de lucru tematice, precum și cu privire la calendarul conferinței. În cadrul dezbaterii ulterioare, în care au luat cuvântul peste 150 de participanți, au fost discutate o mare varietate de subiecte. Întrucât selecția participanților la grupurile cetățenești europene nu a fost încă finalizată, președintele Forumului european al tineretului și 27 de reprezentanți ai evenimentelor naționale și/sau ai grupurilor naționale ale cetățenilor au participat pentru a reprezenta componenta cetățenească.</w:t>
      </w:r>
    </w:p>
    <w:p>
      <w:pPr>
        <w:pStyle w:val="Normal"/>
        <w:rPr/>
      </w:pPr>
      <w:r>
        <w:rPr>
          <w:b/>
          <w:i/>
          <w:u w:val="single"/>
        </w:rPr>
        <w:t>A DOUA ADUNARE PLENARĂ A CONFERINȚEI, 22-23 OCTOMBRIE 2021</w:t>
      </w:r>
      <w:r>
        <w:rPr/>
        <w:t xml:space="preserve"> </w:t>
      </w:r>
    </w:p>
    <w:p>
      <w:pPr>
        <w:pStyle w:val="Normal"/>
        <w:rPr/>
      </w:pPr>
      <w:r>
        <w:rPr/>
        <w:t>Cea de a doua sesiune plenară a conferinței a avut loc în perioada 22-23 octombrie 2021, în format hibrid, cu participarea, pentru prima dată, a reprezentanților grupurilor de dezbatere ale cetățenilor europeni. Membrii plenului au avut ocazia să audă o prezentare privind situația actuală a celor patru grupuri de dezbatere ale cetățenilor europeni și să organizeze o dezbatere. În plus, reprezentanții evenimentelor naționale și ai grupurilor de experți au putut prezenta evenimentele organizate la nivel național. Un raport privind Evenimentul tineretului european (EYE) a fost prezentat sesiunii plenare a Conferinței; acesta a oferit o imagine de ansamblu a celor 20 de idei concrete selectate de tinerii cetățeni care au participat la reuniune.</w:t>
      </w:r>
    </w:p>
    <w:p>
      <w:pPr>
        <w:pStyle w:val="Normal"/>
        <w:rPr/>
      </w:pPr>
      <w:r>
        <w:rPr/>
        <w:t>În cadrul dezbaterii ulterioare, s-a pus accentul pe caracterul inovator al platformei digitale multilingve, care a oferit cetățenilor o voce în acest capitol și un loc de dezbatere în toate limbile oficiale ale UE. Această dezbatere s-a bazat pe cel de-al doilea raport intermediar privind platforma. Partenerii din Balcanii de Vest au fost invitați să participe la această reuniune plenară în calitate de părți interesate principale.</w:t>
      </w:r>
    </w:p>
    <w:p>
      <w:pPr>
        <w:pStyle w:val="Normal"/>
        <w:rPr/>
      </w:pPr>
      <w:r>
        <w:rPr>
          <w:b/>
          <w:i/>
          <w:u w:val="single"/>
        </w:rPr>
        <w:t>A TREIA ADUNARE PLENARĂ A CONFERINȚEI, 21-22 IANUARIE 2022</w:t>
      </w:r>
      <w:r>
        <w:rPr/>
        <w:t xml:space="preserve"> </w:t>
      </w:r>
    </w:p>
    <w:p>
      <w:pPr>
        <w:pStyle w:val="Normal"/>
        <w:rPr/>
      </w:pPr>
      <w:r>
        <w:rPr/>
        <w:t>Cea de a treia adunare plenară a conferinței, care a avut loc în perioada 21-22 ianuarie 2022, a fost prima dedicată prezentării oficiale a recomandărilor din partea grupurilor de dezbatere ale cetățenilor europeni, precum și a grupurilor naționale conexe ale cetățenilor. Această sesiune plenară a fost prima care a avut loc după finalizarea finală a recomandărilor unor grupuri de dezbatere ale cetățenilor europeni, și anume: grupurile 2 (Democrația europeană; valori și drepturi, statul de drept, securitate) și 3 (Schimbări climatice și mediu; sănătate). Sesiunea plenară a avut loc în format hibrid, cu participarea a peste 400 de membri ai sesiunii plenare a conferinței, fie la fața locului, fie de la distanță.</w:t>
      </w:r>
    </w:p>
    <w:p>
      <w:pPr>
        <w:pStyle w:val="Normal"/>
        <w:rPr/>
      </w:pPr>
      <w:r>
        <w:rPr/>
        <w:t>Această sesiune plenară a fost marcată și de moartea, cu puțin timp înainte, a președintelui Parlamentului European, David Maria Sassoli. Copreședinții au adus un omagiu memoriei sale la deschiderea reuniunii. Dezbaterile acestei sesiuni plenare au fost organizate pe teme tematice, pe teme abordate de grupurile cetățenești europene 2 și 3.</w:t>
      </w:r>
    </w:p>
    <w:p>
      <w:pPr>
        <w:pStyle w:val="Normal"/>
        <w:rPr/>
      </w:pPr>
      <w:r>
        <w:rPr/>
        <w:t>Discuțiile au avut loc într-un format interactiv inovator, inclusiv momente dedicate feedback-ului cetățenilor, precum și un sistem special de întrebări „cartonaș albastru”, care a permis schimburi spontane și pline de viață cu privire la recomandările făcute de cetățeni.</w:t>
      </w:r>
    </w:p>
    <w:p>
      <w:pPr>
        <w:pStyle w:val="Normal"/>
        <w:rPr/>
      </w:pPr>
      <w:r>
        <w:rPr>
          <w:b/>
          <w:i/>
          <w:u w:val="single"/>
        </w:rPr>
        <w:t>A PATRA ADUNARE PLENARĂ A CONFERINȚEI, 11-12 MARTIE 2022</w:t>
      </w:r>
      <w:r>
        <w:rPr/>
        <w:t xml:space="preserve"> </w:t>
      </w:r>
    </w:p>
    <w:p>
      <w:pPr>
        <w:pStyle w:val="Normal"/>
        <w:rPr/>
      </w:pPr>
      <w:r>
        <w:rPr/>
        <w:t>Cea de a patra adunare plenară a conferinței a fost dedicată, de asemenea, prezentării de recomandări din partea grupurilor de dezbatere ale cetățenilor europeni, precum și a grupurilor naționale conexe ale cetățenilor. Această sesiune plenară a avut loc după finalizarea finală a recomandărilor celorlalte două grupuri de dezbatere ale cetățenilor europeni, și anume: grupurile 1 (O economie mai puternică, justiție socială și ocuparea forței de muncă; educație, cultură, tineret și sport; transformarea digitală) și 4 (UE în lume; migrație).</w:t>
      </w:r>
    </w:p>
    <w:p>
      <w:pPr>
        <w:pStyle w:val="Normal"/>
        <w:rPr/>
      </w:pPr>
      <w:r>
        <w:rPr/>
        <w:t>La fel ca în sesiunea plenară din ianuarie, dezbaterile acestei sesiuni plenare au fost organizate pe teme tematice. Subiectele discutate de această dată au fost cele ale grupurilor cetățenești europene 1 și 4. Discuțiile privind recomandările formulate de cetățeni au dat din nou naștere unor schimburi pline de viață și aprofundate, susținute de un format interactiv inovator.</w:t>
      </w:r>
    </w:p>
    <w:p>
      <w:pPr>
        <w:pStyle w:val="Normal"/>
        <w:rPr/>
      </w:pPr>
      <w:r>
        <w:rPr>
          <w:b/>
          <w:i/>
          <w:u w:val="single"/>
        </w:rPr>
        <w:t>A CINCEA ADUNARE PLENARĂ A CONFERINȚEI, 25-26 MARTIE 2022</w:t>
      </w:r>
      <w:r>
        <w:rPr/>
        <w:t xml:space="preserve"> </w:t>
      </w:r>
    </w:p>
    <w:p>
      <w:pPr>
        <w:pStyle w:val="Normal"/>
        <w:rPr/>
      </w:pPr>
      <w:r>
        <w:rPr/>
        <w:t>Cea de-a cincea adunare plenară a marcat intrarea conferinței în etapa următoare, odată cu lansarea procesului de definire a propunerilor sesiunii plenare pe baza recomandărilor făcute de cetățeni. Prin urmare, membrii plenului, după ce s-au pregătit în cadrul tematic mai restrâns al grupurilor de lucru, au organizat, pentru prima dată, dezbateri pe cele nouă teme ale conferinței: o economie mai puternică, justiție socială și ocuparea forței de muncă; educație, cultură, tineret și sport; transformarea digitală; Democrația europeană; valori și drepturi, statul de drept, securitate; schimbările climatice și mediul; sănătate; UE în lume; migrație. Această sesiune plenară a reprezentat, de asemenea, o ocazie pentru reprezentanții evenimentelor naționale organizate în cele 27 de state membre ale UE de a prezenta rezultatele inițiativelor lor.</w:t>
      </w:r>
    </w:p>
    <w:p>
      <w:pPr>
        <w:pStyle w:val="Normal"/>
        <w:rPr/>
      </w:pPr>
      <w:r>
        <w:rPr>
          <w:b/>
          <w:i/>
          <w:u w:val="single"/>
        </w:rPr>
        <w:t>A ȘASEA ADUNARE PLENARĂ A CONFERINȚEI, 8-9 APRILIE 2022</w:t>
      </w:r>
      <w:r>
        <w:rPr/>
        <w:t xml:space="preserve"> </w:t>
      </w:r>
    </w:p>
    <w:p>
      <w:pPr>
        <w:pStyle w:val="Normal"/>
        <w:rPr/>
      </w:pPr>
      <w:r>
        <w:rPr/>
        <w:t>În cadrul celei de-a șasea ședințe plenare a conferinței, s-a finalizat finalizarea proiectelor de propuneri ale sesiunii plenare.</w:t>
      </w:r>
    </w:p>
    <w:p>
      <w:pPr>
        <w:pStyle w:val="Normal"/>
        <w:rPr/>
      </w:pPr>
      <w:r>
        <w:rPr/>
        <w:t>După încheierea ultimelor reuniuni ale grupurilor de lucru tematice, toți membrii plenului, prin intermediul a nouă dezbateri de fond, și-au exprimat opiniile și comentariile cu privire la proiectele de propuneri pe care le pregătiseră în ultimele luni. Acest schimb a reprezentat, de asemenea, o ocazie pentru ei de a reflecta asupra procesului unic de elaborare a propunerilor sesiunii plenare, pe baza recomandărilor cetățenilor, precum și asupra activității desfășurate de la formularea acestora. Cetățenii, în special, au subliniat experiența umană unică și valoarea adăugată a acestui proces de deliberare, care i-a unit în jurul acestui proiect comun. Această dezbatere a contribuit la proiectele finale de propuneri care urmează să fie prezentate celei mai recente adunări plenare a conferinței.</w:t>
      </w:r>
    </w:p>
    <w:p>
      <w:pPr>
        <w:pStyle w:val="Normal"/>
        <w:rPr/>
      </w:pPr>
      <w:r>
        <w:rPr>
          <w:b/>
          <w:i/>
          <w:u w:val="single"/>
        </w:rPr>
        <w:t>A ȘAPTEA ADUNARE PLENARĂ A CONFERINȚEI, 29-30 APRILIE 2022</w:t>
      </w:r>
      <w:r>
        <w:rPr/>
        <w:t xml:space="preserve"> </w:t>
      </w:r>
    </w:p>
    <w:p>
      <w:pPr>
        <w:pStyle w:val="Normal"/>
        <w:rPr/>
      </w:pPr>
      <w:r>
        <w:rPr/>
        <w:t>Cea de-a șaptea și ultima adunare plenară a Conferinței privind viitorul Europei a reprezentat o etapă importantă, încheind un proces de deliberări intense, care a durat câteva luni, prin formularea a 49 de propuneri. Cele 49 de propuneri au fost prezentate și formulate de plen Comitetului executiv pe bază de consens. Acest consens a fost obținut între reprezentanții Parlamentului European, ai Consiliului, ai Comisiei Europene și ai parlamentelor naționale.</w:t>
      </w:r>
    </w:p>
    <w:p>
      <w:pPr>
        <w:pStyle w:val="Normal"/>
        <w:rPr/>
      </w:pPr>
      <w:r>
        <w:rPr/>
        <w:t xml:space="preserve">Reprezentanții Comitetului Regiunilor și ai Comitetului Economic și Social European, reprezentanții aleșilor regionali și locali, precum și reprezentanții partenerilor sociali și ai societății civile și-au exprimat, de asemenea, sprijinul pentru acest proces și au sprijinit propunerile. </w:t>
      </w:r>
    </w:p>
    <w:p>
      <w:pPr>
        <w:pStyle w:val="Normal"/>
        <w:rPr/>
      </w:pPr>
      <w:r>
        <w:rPr/>
        <w:t>Componenta cetățenească și-a prezentat poziția finală cu privire la propuneri (a se vedea mesajele-cheie de mai jos).</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În sesiunea plenară de închidere (29-30 aprilie 2022), cei 108 cetățeni ai componentei „cetățeni” și-au prezentat poziția finală cu privire la propunerile plenare. Prezentarea lor a fost concepută colectiv și prezentată de 17 dintre ei sub forma unui discurs narativ, în timpul dezbaterii finale. Textul de mai jos este un rezumat al mesajelor cheie ale intervențiilor lor.</w:t>
      </w:r>
    </w:p>
    <w:p>
      <w:pPr>
        <w:pStyle w:val="P68B1DB1Normal14"/>
        <w:shd w:val="clear" w:fill="EEEEEE"/>
        <w:jc w:val="center"/>
        <w:rPr>
          <w:sz w:val="20"/>
        </w:rPr>
      </w:pPr>
      <w:r>
        <w:rPr/>
        <w:t>**</w:t>
      </w:r>
    </w:p>
    <w:p>
      <w:pPr>
        <w:pStyle w:val="P68B1DB1Normal14"/>
        <w:shd w:val="clear" w:fill="EEEEEE"/>
        <w:rPr>
          <w:sz w:val="20"/>
        </w:rPr>
      </w:pPr>
      <w:r>
        <w:rPr/>
        <w:t>Începem prin a mulțumi Parlamentului European, Consiliului și Comisiei pentru că ne-a oferit ocazia de a contribui la modelarea viitorului Europei. Ne-am întâlnit cu colegi europeni din întreaga Uniune, din diferite grupuri și evenimente, cu reprezentanți politici și actori sociali și ne-am lărgit orizonturile. Am crescut ca europeni. Pentru aceasta, toți am făcut sacrificii: am fost scoși din viața noastră de zi cu zi, ne-am luat zile libere și ne-am petrecut, pentru membrii grupurilor cetățenești europene, la nouă weekend-uri distanță de familiile noastre. Dar am avut o experiență incredibilă și unică. Pentru noi, nu a fost o pierdere de timp.</w:t>
      </w:r>
    </w:p>
    <w:p>
      <w:pPr>
        <w:pStyle w:val="P68B1DB1Normal14"/>
        <w:shd w:val="clear" w:fill="EEEEEE"/>
        <w:rPr>
          <w:sz w:val="20"/>
        </w:rPr>
      </w:pPr>
      <w:r>
        <w:rPr/>
        <w:t>Erau suișuri și coborâșuri de-a lungul drumului. Nu am primit întotdeauna un răspuns la întrebările noastre. Știm că va fi nevoie de timp pentru ca propunerile să fie puse în aplicare. Dar suntem convinși că veți face tot ce este necesar pentru a realiza acest lucru, din respect pentru munca noastră comună. Dacă noi, cetățenii, am reușit să depășim diferențele noastre, barierele lingvistice, să lucrăm împreună și să ne ridicăm la nivelul vostru, puteți și voi.</w:t>
      </w:r>
    </w:p>
    <w:p>
      <w:pPr>
        <w:pStyle w:val="P68B1DB1Normal14"/>
        <w:shd w:val="clear" w:fill="EEEEEE"/>
        <w:jc w:val="center"/>
        <w:rPr>
          <w:sz w:val="20"/>
        </w:rPr>
      </w:pPr>
      <w:r>
        <w:rPr/>
        <w:t>**</w:t>
      </w:r>
    </w:p>
    <w:p>
      <w:pPr>
        <w:pStyle w:val="P68B1DB1Normal14"/>
        <w:shd w:val="clear" w:fill="EEEEEE"/>
        <w:rPr>
          <w:sz w:val="20"/>
        </w:rPr>
      </w:pPr>
      <w:r>
        <w:rPr/>
        <w:t>Cu toții am parcurs un drum lung și acum că activitatea noastră în plen s-a încheiat, putem fi mândri de acest lucru. Vedem 8 teme transversale care oferă un mandat clar și puternic pentru viitorul Europei.</w:t>
      </w:r>
    </w:p>
    <w:p>
      <w:pPr>
        <w:pStyle w:val="P68B1DB1Normal14"/>
        <w:shd w:val="clear" w:fill="EEEEEE"/>
        <w:rPr>
          <w:sz w:val="20"/>
        </w:rPr>
      </w:pPr>
      <w:r>
        <w:rPr>
          <w:b/>
        </w:rPr>
        <w:t>În primul rând</w:t>
      </w:r>
      <w:r>
        <w:rPr/>
        <w:t>, o Uniune Europeană bazată pe solidaritate, justiție socială și egalitate. Într-adevăr, o mare preocupare pentru cetățeni este de a găsi condiții și drepturi egale în diferite domenii: asistența medicală, serviciile sociale, învățarea pe tot parcursul vieții, egalitatea de șanse pentru persoanele care trăiesc în zonele rurale și urbane, ținând seama de considerațiile demografice. În viitor, europenii din toate statele membre și regiunile nu ar mai trebui discriminați din cauza vârstei, a locului de reședință, a naționalității, a sexului, a religiei sau a preferințelor politice. Acestora ar trebui să li se ofere standarde de viață, salarii și condiții de muncă decente. UE trebuie să fie mai mult decât o uniune economică. Statele membre trebuie să dea dovadă de mai multă solidaritate între ele. Suntem o familie și trebuie să ne comportăm ca atare în situații de criză.</w:t>
      </w:r>
    </w:p>
    <w:p>
      <w:pPr>
        <w:pStyle w:val="P68B1DB1Normal14"/>
        <w:shd w:val="clear" w:fill="EEEEEE"/>
        <w:rPr>
          <w:sz w:val="20"/>
        </w:rPr>
      </w:pPr>
      <w:r>
        <w:rPr>
          <w:b/>
        </w:rPr>
        <w:t>În al doilea rând</w:t>
      </w:r>
      <w:r>
        <w:rPr/>
        <w:t>, UE trebuie să îndrăznească și să acționeze rapid pentru a deveni un lider în domeniul mediului și al climei, accelerând tranziția către energia verde, îmbunătățind rețeaua sa feroviară, încurajând transportul durabil și o economie cu adevărat circulară. Nu e timp de pierdut. UE trebuie să impulsioneze schimbarea în multe domenii de politică: agricultura, biodiversitatea, economia, energia, transporturile, educația, sănătatea, transformarea digitală și diplomația în domeniul climei. Avem capacități de cercetare, putere economică și pârghie geopolitică pentru a face acest lucru. Dacă facem din climat o prioritate, putem spera la un viitor prosper.</w:t>
      </w:r>
    </w:p>
    <w:p>
      <w:pPr>
        <w:pStyle w:val="P68B1DB1Normal14"/>
        <w:shd w:val="clear" w:fill="EEEEEE"/>
        <w:rPr>
          <w:sz w:val="20"/>
        </w:rPr>
      </w:pPr>
      <w:r>
        <w:rPr>
          <w:b/>
        </w:rPr>
        <w:t>În al treilea rând</w:t>
      </w:r>
      <w:r>
        <w:rPr/>
        <w:t>, Europa are nevoie de o Uniune mai democratică. Cetățenii europeni iubesc UE, dar să fim sinceri: nu e întotdeauna ușor. Ne-ai chemat să te ajutăm și ne-ai întrebat: cum ar trebui să arate democrația europeană în viitor? Și noi ți-am răspuns: Noi, cetățenii, dorim o Europă în care deciziile sunt luate într-un mod transparent și rapid, în care principiul unanimității este reconsiderat și în care noi, cetățenii, suntem implicați în mod regulat și serios.</w:t>
      </w:r>
    </w:p>
    <w:p>
      <w:pPr>
        <w:pStyle w:val="P68B1DB1Normal14"/>
        <w:shd w:val="clear" w:fill="EEEEEE"/>
        <w:rPr>
          <w:sz w:val="20"/>
        </w:rPr>
      </w:pPr>
      <w:r>
        <w:rPr>
          <w:b/>
        </w:rPr>
        <w:t>În al patrulea rând</w:t>
      </w:r>
      <w:r>
        <w:rPr/>
        <w:t>, UE are nevoie de mai multă armonizare în anumite domenii și pentru a se apropia de Uniune. Războiul lovește la porțile noastre din est, ceea ce ne cere să fim mai uniți ca niciodată și să oferim UE mai multe competențe în domeniul afacerilor externe. Această conferință poate servi drept bază pentru crearea unei Europe mai unite și mai coerente din punct de vedere politic. Totul se reduce la acest cuvânt: Uniunea Europeană. Nu ne putem descrie ca atare dacă nu reușim să realizăm colaborarea pe care această conferință a ilustrat-o.</w:t>
      </w:r>
    </w:p>
    <w:p>
      <w:pPr>
        <w:pStyle w:val="P68B1DB1Normal14"/>
        <w:shd w:val="clear" w:fill="EEEEEE"/>
        <w:rPr>
          <w:sz w:val="20"/>
        </w:rPr>
      </w:pPr>
      <w:r>
        <w:rPr>
          <w:b/>
        </w:rPr>
        <w:t>În al cincilea rând</w:t>
      </w:r>
      <w:r>
        <w:rPr/>
        <w:t>, UE trebuie să câștige autonomie și să își asigure competitivitatea la nivel mondial. De-a lungul acestui proces, am vorbit despre atingerea acestui obiectiv în domenii strategice cheie: agricultură, energie, industrie, sănătate. Trebuie să evităm să fim dependenți de țări terțe pentru multe produse sensibile. Trebuie să valorificăm talentul forței noastre de muncă, să prevenim exodul de creiere și să oferim cetățenilor o formare adecvată în materie de competențe în toate etapele vieții lor, indiferent de locul în care locuiesc în UE. Nu putem avea disparități uriașe în interiorul UE și tineri fără perspectivă într-o țară, forțați să meargă în alta.</w:t>
      </w:r>
    </w:p>
    <w:p>
      <w:pPr>
        <w:pStyle w:val="P68B1DB1Normal14"/>
        <w:shd w:val="clear" w:fill="EEEEEE"/>
        <w:rPr>
          <w:sz w:val="20"/>
        </w:rPr>
      </w:pPr>
      <w:r>
        <w:rPr>
          <w:b/>
        </w:rPr>
        <w:t>În al șaselea</w:t>
      </w:r>
      <w:r>
        <w:rPr/>
        <w:t xml:space="preserve"> rând, viitorul UE se bazează pe valorile sale. Acestea ne-au ghidat munca. Când am început, nimeni nu și-ar fi putut imagina că un război va izbucni pe continentul nostru. Această luptă pentru libertate ne face conștienți de șansa pe care o avem de a trăi într-o uniune pașnică. În spatele tuturor propunerilor noastre, aceste valori sunt exprimate: primirea umană și demnă a migranților, accesul egal la sănătate, lupta împotriva corupției, apelul la protecția naturii și a biodiversității și o Uniune mai democratică.</w:t>
      </w:r>
    </w:p>
    <w:p>
      <w:pPr>
        <w:pStyle w:val="P68B1DB1Normal14"/>
        <w:shd w:val="clear" w:fill="EEEEEE"/>
        <w:rPr>
          <w:sz w:val="20"/>
        </w:rPr>
      </w:pPr>
      <w:r>
        <w:rPr>
          <w:b/>
        </w:rPr>
        <w:t>În al șaptelea</w:t>
      </w:r>
      <w:r>
        <w:rPr/>
        <w:t xml:space="preserve"> rând, în viitor, cetățenii ar trebui să se simtă mai europeni și să cunoască mai bine UE. Aceasta este o problemă transversală care a stat la baza lucrărilor tuturor panourilor. Transformarea digitală, educația, mobilitatea și schimburile pot da substanță acestei identități europene, care completează, fără a le pune sub semnul întrebării, identitatea noastră națională. Mulți dintre noi nu ne-am simțit europeni înainte de această conferință: a apărut aici, încet, schimbându-se unul cu celălalt. Am fost destul de norocoși să avem această oportunitate, dar mulți nu. Acesta este motivul pentru care informarea, comunicarea și conștientizarea sunt atât de importante.</w:t>
      </w:r>
    </w:p>
    <w:p>
      <w:pPr>
        <w:pStyle w:val="P68B1DB1Normal14"/>
        <w:shd w:val="clear" w:fill="EEEEEE"/>
        <w:rPr>
          <w:sz w:val="20"/>
        </w:rPr>
      </w:pPr>
      <w:r>
        <w:rPr/>
        <w:t xml:space="preserve">În cele din urmă, o a </w:t>
      </w:r>
      <w:r>
        <w:rPr>
          <w:b/>
        </w:rPr>
        <w:t>opta</w:t>
      </w:r>
      <w:r>
        <w:rPr/>
        <w:t xml:space="preserve"> temă transversală, extrem de importantă pentru noi, este educația și capacitarea cetățenilor în general. Pentru această conferință, ați decis să invitați cetățeni de la vârsta de 16 ani. Suntem recunoscători pentru acest lucru, pentru că, mai mult ca oricând, este necesar să se împuternicească tinerii. Rata ridicată de abținere a tinerilor ne arată că trebuie reconectată legătura dintre tineret și politică. De asemenea, aceștia trebuie să fie responsabili din punct de vedere economic și social: este încă prea dificil să intri pe piața muncii, să-ți afirmi drepturile sociale. În timpul pandemiei de COVID-19, aceștia s-au simțit abandonați și mulți încă suferă consecințele asupra sănătății lor mintale. Dar toți europenii trebuie să fie împuterniciți, nu doar tinerii: prin programe de mobilitate și învățare pe tot parcursul vieții, trebuie să lărgim orizonturile tuturor europenilor. De asemenea, trebuie să instruim cetățenii în ceea ce privește democrația, participarea civică și educația în domeniul mass-mediei. Avem nevoie de o abordare cu adevărat holistică.</w:t>
      </w:r>
    </w:p>
    <w:p>
      <w:pPr>
        <w:pStyle w:val="P68B1DB1Normal14"/>
        <w:shd w:val="clear" w:fill="EEEEEE"/>
        <w:jc w:val="center"/>
        <w:rPr>
          <w:sz w:val="20"/>
        </w:rPr>
      </w:pPr>
      <w:r>
        <w:rPr/>
        <w:t>**</w:t>
      </w:r>
    </w:p>
    <w:p>
      <w:pPr>
        <w:pStyle w:val="P68B1DB1Normal14"/>
        <w:shd w:val="clear" w:fill="EEEEEE"/>
        <w:rPr>
          <w:sz w:val="20"/>
        </w:rPr>
      </w:pPr>
      <w:r>
        <w:rPr/>
        <w:t>Nimeni nu știa care va fi rezultatul. 27 de țări, 24 de limbi, vârste diferite. Și totuși, când am lucrat împreună, ne-am simțit conectați: creierul nostru, gândurile noastre, experiențele noastre. Nu suntem experți din UE sau una dintre temele conferinței, dar suntem experți în viața reală și avem poveștile noastre. Mergem la muncă, locuim la țară și în suburbii, muncim noaptea, studiem, avem copii, luăm transportul public. Ne putem baza pe diversitatea noastră. S-a ajuns la un consens cu privire la propunerile dintre cele patru componente diferite și în cadrul componentei cetățenești. Suntem de acord și susținem toate propunerile care sunt acum în mâinile dumneavoastră. Exprimăm o poziție divergentă cu privire la măsura 38.4, al treilea punct, deoarece nu provine de la grupuri europene sau grupuri naționale și nu a fost discutată suficient în cadrul Grupului de lucru al întregului. Acesta este motivul pentru care nu comentăm cu privire la substanța sau relevanța acestei măsuri. Având în vedere acest lucru, vă invităm să luați în considerare aceste propuneri în ansamblu, să le implementați, și nu doar pe cele care vi se potrivesc cel mai mult și sunt ușor de aplicat. Fă-o în mod transparent. Am lucrat la aceste propuneri cu dăruire și pasiune, suntem mândri de munca noastră: respectați-l.</w:t>
      </w:r>
    </w:p>
    <w:p>
      <w:pPr>
        <w:pStyle w:val="P68B1DB1Normal14"/>
        <w:shd w:val="clear" w:fill="EEEEEE"/>
        <w:rPr>
          <w:sz w:val="20"/>
        </w:rPr>
      </w:pPr>
      <w:r>
        <w:rPr/>
        <w:t>Conferința privind viitorul Europei a trecut printr-o pandemie și a asistat la un război în Europa, demonstrându-și solidaritatea deplină cu poporul ucrainean. Anul a fost agitat pentru participanți și pentru toți europenii. Dar Conferința și-a continuat activitatea, împotriva vânturilor și a mareelor. În numele cetățenilor conferinței, permiteți-ne să încheiem trimițându-vă un mesaj simplu: ne simțim europeni, ne simțim angajați și ascultați în procesul de democratizare, credem în UE și dorim să continuăm să credem în ea. Așadar, din adâncul inimii noastre, citiți bine propunerile și implementați-le, de dragul viitorului Europei.</w:t>
      </w:r>
    </w:p>
    <w:p>
      <w:pPr>
        <w:pStyle w:val="Normal"/>
        <w:shd w:val="clear" w:fill="EEEEEE"/>
        <w:rPr/>
      </w:pPr>
      <w:r>
        <w:rPr/>
      </w:r>
      <w:r>
        <w:br w:type="page"/>
      </w:r>
    </w:p>
    <w:p>
      <w:pPr>
        <w:pStyle w:val="Corpsdetexte"/>
        <w:rPr/>
      </w:pPr>
      <w:r>
        <w:rPr/>
        <w:t>Reprezentanții componentei Consiliului a Adunării Plenare s-au abținut să comenteze conținutul propunerilor, dar au sprijinit și încurajat activitățile cetățenilor și au luat act de recomandările acestora. După 9 mai 2022, Consiliul va stabili modalitățile de monitorizare a rezultatelor conferinței, în cadrul propriei sfere de competență și în conformitate cu tratatele.</w:t>
      </w:r>
    </w:p>
    <w:p>
      <w:pPr>
        <w:pStyle w:val="Normal"/>
        <w:rPr/>
      </w:pPr>
      <w:r>
        <w:rPr/>
      </w:r>
    </w:p>
    <w:p>
      <w:pPr>
        <w:pStyle w:val="Corpsdetexte"/>
        <w:rPr/>
      </w:pPr>
      <w:r>
        <w:rPr/>
        <w:t>Comitetul executiv al Conferinței privind viitorul Europei ia act de propunerile formulate de Adunarea Plenară și le prezintă ca rezultat final al conferinței. Oferind orientări privind viitorul Europei, aceste propuneri au fost obținute după aproape un an de deliberări, în cadrul stabilit de Declarația comună și de Regulamentul de procedură al conferinței.</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Jocuri cu Jocul 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Jocuri cu Jocul Image20" descr=""/>
                    <pic:cNvPicPr>
                      <a:picLocks noChangeAspect="1" noChangeArrowheads="1"/>
                    </pic:cNvPicPr>
                  </pic:nvPicPr>
                  <pic:blipFill>
                    <a:blip r:embed="rId73"/>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ÎN AL PATRULEA RÂND. Propunerile Adunării Plenare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Imagini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ini21"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Schimbările climatice și mediul</w:t>
      </w:r>
    </w:p>
    <w:p>
      <w:pPr>
        <w:pStyle w:val="Titre3"/>
        <w:numPr>
          <w:ilvl w:val="2"/>
          <w:numId w:val="2"/>
        </w:numPr>
        <w:rPr/>
      </w:pPr>
      <w:bookmarkStart w:id="38" w:name="__RefHeading___Toc298250_1346298689"/>
      <w:bookmarkEnd w:id="38"/>
      <w:r>
        <w:rPr/>
        <w:t>1. Propunere: Agricultură, producție alimentară, biodiversitate și ecosisteme, poluare</w:t>
      </w:r>
    </w:p>
    <w:p>
      <w:pPr>
        <w:pStyle w:val="P68B1DB1Normal15"/>
        <w:rPr>
          <w:b/>
          <w:b/>
        </w:rPr>
      </w:pPr>
      <w:r>
        <w:rPr/>
        <w:t>Obiectiv: O producție alimentară sigură, durabilă, echitabilă, receptivă la schimbările climatice și la prețuri accesibile, care respectă principiile sustenabilității și mediului și protejează biodiversitatea și ecosistemele, asigurând în același timp securitatea alimentară.</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rPr/>
      </w:pPr>
      <w:r>
        <w:rPr/>
        <w:t>1.</w:t>
        <w:tab/>
        <w:t>Să aducă în prim-plan conceptele de economie verde și albastră prin promovarea unei agriculturi și a pescuitului eficiente și ecologice și favorabile climei în UE și în întreaga lume, inclusiv agricultura ecologică și alte forme inovatoare și durabile de agricultură, cum ar fi agricultura verticală, care permit o producție mai mare, cu mai puțini factori de producție, reducând în același timp emisiile și impactul asupra mediului, dar continuând să asigure productivitatea și securitatea alimentară (Panelul 3 – Recomandările 1, 2 și 10; grupul 2 – Recomandarea 4).</w:t>
      </w:r>
    </w:p>
    <w:p>
      <w:pPr>
        <w:pStyle w:val="Puce3"/>
        <w:rPr/>
      </w:pPr>
      <w:r>
        <w:rPr/>
        <w:t>2.</w:t>
        <w:tab/>
        <w:t>Redirecționarea subvențiilor și consolidarea stimulentelor pentru agricultura ecologică și durabilă, care respectă standarde de mediu specifice și contribuie la atingerea obiectivelor climatice globale (Panel 3 – Recomandările 1 și 12).</w:t>
      </w:r>
    </w:p>
    <w:p>
      <w:pPr>
        <w:pStyle w:val="Puce3"/>
        <w:rPr/>
      </w:pPr>
      <w:r>
        <w:rPr/>
        <w:t>3.</w:t>
        <w:tab/>
        <w:t>Aplicarea principiilor economiei circulare în agricultură și încurajarea măsurilor de combatere a risipei de alimente (dezbatere în cadrul GL, Platforma digitală multilingvă – NPC).</w:t>
      </w:r>
    </w:p>
    <w:p>
      <w:pPr>
        <w:pStyle w:val="Puce3"/>
        <w:rPr/>
      </w:pPr>
      <w:r>
        <w:rPr/>
        <w:t>4.</w:t>
        <w:tab/>
        <w:t>Reducerea semnificativă a utilizării pesticidelor și a îngrășămintelor chimice, în conformitate cu obiectivele existente, continuând, în același timp, asigurarea siguranței alimentare, și sprijinirea cercetării în vederea dezvoltării unor alternative mai durabile și bazate pe natură (panelul 3 – Recomandarea 10, dezbatere în cadrul GL).</w:t>
      </w:r>
    </w:p>
    <w:p>
      <w:pPr>
        <w:pStyle w:val="Puce3"/>
        <w:rPr/>
      </w:pPr>
      <w:r>
        <w:rPr/>
        <w:t>5.</w:t>
        <w:tab/>
        <w:t>Introducerea certificării absorbțiilor de carbon pe baza unei contabilizări solide, solide și transparente a carbonului (dezbatere plenară).</w:t>
      </w:r>
    </w:p>
    <w:p>
      <w:pPr>
        <w:pStyle w:val="Puce3"/>
        <w:rPr/>
      </w:pPr>
      <w:r>
        <w:rPr/>
        <w:t>6.</w:t>
        <w:tab/>
        <w:t>Intensificarea cercetării și inovării, în special în ceea ce privește soluțiile tehnologice legate de producția durabilă, rezistența la dăunători și agricultura de precizie, precum și comunicarea, sistemele de consiliere și formarea fermierilor și a fermierilor (panel 3 – recomandarea 10, dezbatere în cadrul GL, dezbatere în plen).</w:t>
      </w:r>
    </w:p>
    <w:p>
      <w:pPr>
        <w:pStyle w:val="Puce3"/>
        <w:rPr/>
      </w:pPr>
      <w:r>
        <w:rPr/>
        <w:t>7.</w:t>
        <w:tab/>
        <w:t>Eliminarea dumpingului social și promovarea unei tranziții verzi echitabile către locuri de muncă mai bune în sectorul agricol, cu condiții de siguranță, sănătate și muncă de înaltă calitate (dezbatere în cadrul Grupului de lucru).</w:t>
      </w:r>
    </w:p>
    <w:p>
      <w:pPr>
        <w:pStyle w:val="Puce3"/>
        <w:rPr/>
      </w:pPr>
      <w:r>
        <w:rPr/>
        <w:t>8.</w:t>
        <w:tab/>
        <w:t>Discutați aspecte precum utilizarea plasticului în foliile agricole și modalități de reducere a consumului de apă în agricultură (PNM).</w:t>
      </w:r>
    </w:p>
    <w:p>
      <w:pPr>
        <w:pStyle w:val="Puce3"/>
        <w:rPr/>
      </w:pPr>
      <w:r>
        <w:rPr/>
        <w:t>9.</w:t>
        <w:tab/>
        <w:t>Creșterea și producția de carne motivate s-au axat pe bunăstarea și sustenabilitatea animalelor prin măsuri precum etichetarea clară, creșterea animalelor de înaltă calitate și standardele comune de transport, consolidarea legăturii dintre șeptel și furaje (panel 3 – Recomandările 16 și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Propunere: Agricultură, producție alimentară, biodiversitate și ecosisteme, poluare</w:t>
      </w:r>
    </w:p>
    <w:p>
      <w:pPr>
        <w:pStyle w:val="P68B1DB1Normal15"/>
        <w:rPr>
          <w:b/>
          <w:b/>
        </w:rPr>
      </w:pPr>
      <w:r>
        <w:rPr/>
        <w:t>Obiectiv: Să protejeze și să restabilească biodiversitatea, peisajul și oceanele și să elimine poluarea.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Măsuri:</w:t>
      </w:r>
    </w:p>
    <w:p>
      <w:pPr>
        <w:pStyle w:val="Puce3"/>
        <w:tabs>
          <w:tab w:val="clear" w:pos="720"/>
        </w:tabs>
        <w:rPr/>
      </w:pPr>
      <w:r>
        <w:rPr/>
        <w:t>1.</w:t>
        <w:tab/>
        <w:t>Crearea, refacerea, gestionarea și extinderea zonelor protejate pentru conservarea biodiversității (Recomandarea FR, Grupul 3 – Recomandarea 11).</w:t>
      </w:r>
    </w:p>
    <w:p>
      <w:pPr>
        <w:pStyle w:val="Puce3"/>
        <w:tabs>
          <w:tab w:val="clear" w:pos="720"/>
        </w:tabs>
        <w:rPr/>
      </w:pPr>
      <w:r>
        <w:rPr/>
        <w:t>2.</w:t>
        <w:tab/>
        <w:t>Instituirea unui sistem de constrângere și de recompensare pentru combaterea poluării, aplicând principiul „poluatorul plătește”, care ar trebui, de asemenea, integrat în măsurile fiscale și cu o mai bună sensibilizare și stimulente (panelul 3 – recomandarea 32, recomandarea FR, dezbaterea în plen).</w:t>
      </w:r>
    </w:p>
    <w:p>
      <w:pPr>
        <w:pStyle w:val="Puce3"/>
        <w:tabs>
          <w:tab w:val="clear" w:pos="720"/>
        </w:tabs>
        <w:rPr/>
      </w:pPr>
      <w:r>
        <w:rPr/>
        <w:t>3.</w:t>
        <w:tab/>
        <w:t>Extinderea rolului municipalităților în planificarea urbană și construirea de noi clădiri care sprijină infrastructurile albastre și verzi, evită sigilarea în continuare a terenurilor și pun capăt acesteia, spații verzi obligatorii pentru construcții noi în vederea promovării biodiversității și a pădurilor urbane (panel 3 – recomandarea 5, panelul 1 – recomandarea 18, recomandarea FR).</w:t>
      </w:r>
    </w:p>
    <w:p>
      <w:pPr>
        <w:pStyle w:val="Puce3"/>
        <w:tabs>
          <w:tab w:val="clear" w:pos="720"/>
        </w:tabs>
        <w:rPr/>
      </w:pPr>
      <w:r>
        <w:rPr/>
        <w:t>4.</w:t>
        <w:tab/>
        <w:t>Protejarea insectelor, în special a speciilor indigene și polenizatoare, inclusiv prin protecția împotriva speciilor invazive și printr-o mai bună aplicare a normelor existente (panelul 1 – Recomandarea 18).</w:t>
      </w:r>
    </w:p>
    <w:p>
      <w:pPr>
        <w:pStyle w:val="Puce3"/>
        <w:tabs>
          <w:tab w:val="clear" w:pos="720"/>
        </w:tabs>
        <w:rPr/>
      </w:pPr>
      <w:r>
        <w:rPr/>
        <w:t>5.</w:t>
        <w:tab/>
        <w:t>Sprijinirea împăduririi și reîmpăduririi, inclusiv a pădurilor distruse de incendii, aplicarea unei gestionări responsabile a pădurilor și încurajarea unei mai bune utilizări a lemnului pentru a înlocui alte materiale. Stabilirea unor obiective naționale obligatorii în toate statele membre ale UE pentru reîmpădurirea arborilor indigeni și a florei locale, ținând seama de diferitele situații și particularități naționale (panel 3 – recomandarea 14, panelul 1 – recomandarea 18).</w:t>
      </w:r>
    </w:p>
    <w:p>
      <w:pPr>
        <w:pStyle w:val="Puce3"/>
        <w:tabs>
          <w:tab w:val="clear" w:pos="720"/>
        </w:tabs>
        <w:rPr/>
      </w:pPr>
      <w:r>
        <w:rPr/>
        <w:t>6.</w:t>
        <w:tab/>
        <w:t>Aplicarea și extinderea interdicției privind materialele plastice de unică folosință (SMP).</w:t>
      </w:r>
    </w:p>
    <w:p>
      <w:pPr>
        <w:pStyle w:val="Puce3"/>
        <w:tabs>
          <w:tab w:val="clear" w:pos="720"/>
        </w:tabs>
        <w:rPr/>
      </w:pPr>
      <w:r>
        <w:rPr/>
        <w:t>7.</w:t>
        <w:tab/>
        <w:t>Protejarea surselor de apă și combaterea poluării râurilor și oceanelor, inclusiv prin cercetare și combaterea poluării cu microplastice, precum și promovarea transportului ecologic prin utilizarea celor mai bune tehnologii disponibile și crearea de activități de cercetare și finanțare la nivelul Uniunii pentru combustibili și tehnologii maritime alternative (NMP, dezbatere în cadrul GL).</w:t>
      </w:r>
    </w:p>
    <w:p>
      <w:pPr>
        <w:pStyle w:val="Puce3"/>
        <w:tabs>
          <w:tab w:val="clear" w:pos="720"/>
        </w:tabs>
        <w:rPr/>
      </w:pPr>
      <w:r>
        <w:rPr/>
        <w:t>8.</w:t>
        <w:tab/>
        <w:t>Limitarea poluării luminoase (dezbatere în GL).</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Propunere: Schimbări climatice, energie, transporturi</w:t>
      </w:r>
    </w:p>
    <w:p>
      <w:pPr>
        <w:pStyle w:val="P68B1DB1Normal15"/>
        <w:rPr>
          <w:b/>
          <w:b/>
        </w:rPr>
      </w:pPr>
      <w:r>
        <w:rPr/>
        <w:t>Obiectiv: Creșterea securității energetice europene și realizarea independenței energetice a Uniunii, asigurând în același timp o tranziție justă și oferind suficientă energie durabilă și la prețuri accesibile pentru europeni. Combaterea schimbărilor climatice prin acordarea unui rol de lider mondial UE în politica energetică durabilă și prin respectarea obiectivelor globale de protecție a climei.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Măsuri:</w:t>
      </w:r>
    </w:p>
    <w:p>
      <w:pPr>
        <w:pStyle w:val="Puce3"/>
        <w:tabs>
          <w:tab w:val="clear" w:pos="720"/>
        </w:tabs>
        <w:rPr/>
      </w:pPr>
      <w:r>
        <w:rPr/>
        <w:t>1.</w:t>
        <w:tab/>
        <w:t>Realizarea și, acolo unde este posibil, accelerarea tranziției verzi, inclusiv prin investiții mai mari în energia din surse regenerabile, pentru a reduce dependența energetică externă, recunoscând, de asemenea, rolul autorităților locale și regionale în tranziția verde (dezbatere în cadrul Grupului de lucru).</w:t>
      </w:r>
    </w:p>
    <w:p>
      <w:pPr>
        <w:pStyle w:val="Puce3"/>
        <w:tabs>
          <w:tab w:val="clear" w:pos="720"/>
        </w:tabs>
        <w:rPr/>
      </w:pPr>
      <w:r>
        <w:rPr/>
        <w:t>2.</w:t>
        <w:tab/>
        <w:t>Să examineze, în cadrul politicilor energetice, implicațiile geopolitice și de securitate ale tuturor furnizorilor de energie din țări terțe, în special în ceea ce privește drepturile omului, ecologia, buna guvernanță și statul de drept (dezbatere în cadrul GL).</w:t>
      </w:r>
    </w:p>
    <w:p>
      <w:pPr>
        <w:pStyle w:val="Puce3"/>
        <w:tabs>
          <w:tab w:val="clear" w:pos="720"/>
        </w:tabs>
        <w:rPr/>
      </w:pPr>
      <w:r>
        <w:rPr/>
        <w:t>3.</w:t>
        <w:tab/>
        <w:t>Reducerea dependențelor de importurile de petrol și gaze prin proiecte de eficiență energetică, sprijin pentru transportul public la prețuri accesibile, o rețea feroviară de marfă de mare viteză și extinderea aprovizionării cu energie curată și regenerabilă (panelul 4 – recomandarea 2, panelul 1 – recomandarea 10, recomandările FR și DE).</w:t>
      </w:r>
    </w:p>
    <w:p>
      <w:pPr>
        <w:pStyle w:val="Puce3"/>
        <w:tabs>
          <w:tab w:val="clear" w:pos="720"/>
        </w:tabs>
        <w:rPr/>
      </w:pPr>
      <w:r>
        <w:rPr/>
        <w:t>4.</w:t>
        <w:tab/>
        <w:t>Îmbunătățirea calității și a interconectivității, asigurarea întreținerii și transformării infrastructurii și rețelelor de energie electrică pentru a spori securitatea și a permite tranziția către surse regenerabile de energie (panelul 1 – recomandarea 10, dezbatere în cadrul Grupului de lucru).</w:t>
      </w:r>
    </w:p>
    <w:p>
      <w:pPr>
        <w:pStyle w:val="Puce3"/>
        <w:tabs>
          <w:tab w:val="clear" w:pos="720"/>
        </w:tabs>
        <w:rPr/>
      </w:pPr>
      <w:r>
        <w:rPr/>
        <w:t>5.</w:t>
        <w:tab/>
        <w:t>Să investească în tehnologii capabile să producă energie din surse regenerabile, cum ar fi producția eficientă de hidrogen ecologic, în special în sectoarele dificil de electrificat (panel 3 – recomandarea 31, dezbatere în cadrul GL).</w:t>
      </w:r>
    </w:p>
    <w:p>
      <w:pPr>
        <w:pStyle w:val="Puce3"/>
        <w:tabs>
          <w:tab w:val="clear" w:pos="720"/>
        </w:tabs>
        <w:rPr/>
      </w:pPr>
      <w:r>
        <w:rPr/>
        <w:t>6.</w:t>
        <w:tab/>
        <w:t>Să investească în explorarea de noi surse de energie și metode de stocare ecologice și, în așteptarea unei soluții tangibile, să facă investiții suplimentare în soluțiile optime de producție și stocare a energiei existente (Panel 3 – Recomandările 9 și 31).</w:t>
      </w:r>
    </w:p>
    <w:p>
      <w:pPr>
        <w:pStyle w:val="Puce3"/>
        <w:tabs>
          <w:tab w:val="clear" w:pos="720"/>
        </w:tabs>
        <w:rPr/>
      </w:pPr>
      <w:r>
        <w:rPr/>
        <w:t>7.</w:t>
        <w:tab/>
        <w:t>Introducerea</w:t>
      </w:r>
      <w:r>
        <w:rPr>
          <w:vertAlign w:val="subscript"/>
        </w:rPr>
        <w:t>obligatorie</w:t>
      </w:r>
      <w:r>
        <w:rPr/>
        <w:t xml:space="preserve"> a filtrelor de CO2 în centralele electrice pe bază de combustibili fosili și acordarea de sprijin financiar statelor membre care nu dispun de resurse financiare pentru punerea în aplicare a filtrelor de</w:t>
      </w:r>
      <w:r>
        <w:rPr>
          <w:vertAlign w:val="subscript"/>
        </w:rPr>
        <w:t>CO2 (panoul</w:t>
      </w:r>
      <w:r>
        <w:rPr/>
        <w:t xml:space="preserve"> 3 – Recomandarea 29).</w:t>
      </w:r>
    </w:p>
    <w:p>
      <w:pPr>
        <w:pStyle w:val="Puce3"/>
        <w:tabs>
          <w:tab w:val="clear" w:pos="720"/>
        </w:tabs>
        <w:rPr/>
      </w:pPr>
      <w:r>
        <w:rPr/>
        <w:t>8.</w:t>
        <w:tab/>
        <w:t>Asigurarea unei tranziții juste, protejarea lucrătorilor și a locurilor de muncă prin finanțarea adecvată a tranziției și continuarea cercetării, reformarea sistemului fiscal prin măsuri fiscale mai echitabile și antifraudă fiscală și asigurarea unei abordări incluzive a guvernanței în procesul de elaborare a politicilor la toate nivelurile (de exemplu, măsuri ambițioase de reconversie profesională și de perfecționare a competențelor, o protecție socială puternică, menținerea serviciilor publice în mâinile statului, menținerea normelor de sănătate și siguranță la locul de muncă) (dezbatere plenară, dezbatere în cadrul GL, NPC).</w:t>
      </w:r>
    </w:p>
    <w:p>
      <w:pPr>
        <w:pStyle w:val="Puce3"/>
        <w:tabs>
          <w:tab w:val="clear" w:pos="720"/>
        </w:tabs>
        <w:rPr/>
      </w:pPr>
      <w:r>
        <w:rPr/>
        <w:t>9.</w:t>
        <w:tab/>
        <w:t>Introducerea unui pachet de investiții pentru tehnologii și inovații ecologice, care ar trebui să fie finanțate prin taxe la import legate de climă și taxe de ajustare a emisiilor de dioxid de carbon legate de climă (recomandarea DE).</w:t>
      </w:r>
    </w:p>
    <w:p>
      <w:pPr>
        <w:pStyle w:val="Puce3"/>
        <w:tabs>
          <w:tab w:val="clear" w:pos="720"/>
        </w:tabs>
        <w:rPr/>
      </w:pPr>
      <w:r>
        <w:rPr/>
        <w:t>10.</w:t>
        <w:tab/>
        <w:t>La sfârșitul unei perioade de tranziție, combustibilii fosili nu ar trebui să mai primească subvenții și nu ar trebui să aibă loc nicio finanțare pentru infrastructura tradițională de gaze (dezbatere în cadrul GL).</w:t>
      </w:r>
    </w:p>
    <w:p>
      <w:pPr>
        <w:pStyle w:val="Puce3"/>
        <w:tabs>
          <w:tab w:val="clear" w:pos="720"/>
        </w:tabs>
        <w:rPr/>
      </w:pPr>
      <w:r>
        <w:rPr/>
        <w:t>11.</w:t>
        <w:tab/>
        <w:t>Creșterea rolului de lider și a rolului și a responsabilității UE de a promova acțiuni ambițioase în domeniul climei și o tranziție justă și de a contribui la răspunsul la pierderi și daune pe scena internațională, unde ONU trebuie să se afle în centrul acțiunii (recomandareNL, dezbatere GL).</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Propunere: Schimbări climatice, energie, transporturi</w:t>
      </w:r>
    </w:p>
    <w:p>
      <w:pPr>
        <w:pStyle w:val="P68B1DB1Normal15"/>
        <w:rPr>
          <w:b/>
          <w:b/>
        </w:rPr>
      </w:pPr>
      <w:r>
        <w:rPr/>
        <w:t>Obiectiv: Asigurarea unei infrastructuri moderne, sigure, ecologice și de calitate care să asigure conectivitatea, inclusiv în zonele rurale și insulare, inclusiv prin mijloace de transport public la prețuri accesibile.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Măsuri:</w:t>
      </w:r>
    </w:p>
    <w:p>
      <w:pPr>
        <w:pStyle w:val="Puce3"/>
        <w:tabs>
          <w:tab w:val="clear" w:pos="720"/>
        </w:tabs>
        <w:rPr/>
      </w:pPr>
      <w:r>
        <w:rPr/>
        <w:t>1.</w:t>
        <w:tab/>
        <w:t>Sprijinirea transportului public și dezvoltarea unei rețele europene de transport public eficiente, fiabile și la prețuri accesibile, în special în zonele rurale și insulare, prin stimulente suplimentare pentru utilizarea transportului public (panel 3 – Recomandarea 36, panelul 4 – recomandarea 2).</w:t>
      </w:r>
    </w:p>
    <w:p>
      <w:pPr>
        <w:pStyle w:val="Puce3"/>
        <w:tabs>
          <w:tab w:val="clear" w:pos="720"/>
        </w:tabs>
        <w:rPr/>
      </w:pPr>
      <w:r>
        <w:rPr/>
        <w:t>2.</w:t>
        <w:tab/>
        <w:t>Să investească în trenurile de noapte de mare viteză și să stabilească un standard unic de tehnologie feroviară ecologică în Europa pentru a oferi o alternativă credibilă și pentru a facilita posibilitatea înlocuirii și descurajării zborurilor pe distanțe scurte (dezbatere în cadrul GL, NPM).</w:t>
      </w:r>
    </w:p>
    <w:p>
      <w:pPr>
        <w:pStyle w:val="Puce3"/>
        <w:tabs>
          <w:tab w:val="clear" w:pos="720"/>
        </w:tabs>
        <w:rPr/>
      </w:pPr>
      <w:r>
        <w:rPr/>
        <w:t>3.</w:t>
        <w:tab/>
        <w:t>Să încurajeze achiziționarea, ținând seama de accesibilitatea acestora pentru gospodării, și utilizarea (partajată) a vehiculelor electrice care respectă un standard bun de viață a bateriei, precum și investițiile în infrastructura de încărcare necesară și investițiile în dezvoltarea altor tehnologii curate pentru vehiculele a căror electrificare este dificil de realizat (panel 3 – recomandarea 38).</w:t>
      </w:r>
    </w:p>
    <w:p>
      <w:pPr>
        <w:pStyle w:val="Puce3"/>
        <w:tabs>
          <w:tab w:val="clear" w:pos="720"/>
        </w:tabs>
        <w:rPr/>
      </w:pPr>
      <w:r>
        <w:rPr/>
        <w:t>4.</w:t>
        <w:tab/>
        <w:t>Stabilirea conectivității în bandă largă la internet și la rețeaua mobilă în zonele rurale și insulare (panelul 3 – Recomandarea 36).</w:t>
      </w:r>
    </w:p>
    <w:p>
      <w:pPr>
        <w:pStyle w:val="Puce3"/>
        <w:tabs>
          <w:tab w:val="clear" w:pos="720"/>
        </w:tabs>
        <w:rPr/>
      </w:pPr>
      <w:r>
        <w:rPr/>
        <w:t>5.</w:t>
        <w:tab/>
        <w:t>Îmbunătățirea infrastructurii de transport existente din punct de vedere ecologic (panelul 3 – Recomandarea 37).</w:t>
      </w:r>
    </w:p>
    <w:p>
      <w:pPr>
        <w:pStyle w:val="Puce3"/>
        <w:tabs>
          <w:tab w:val="clear" w:pos="720"/>
        </w:tabs>
        <w:rPr/>
      </w:pPr>
      <w:r>
        <w:rPr/>
        <w:t>6.</w:t>
        <w:tab/>
        <w:t>Să solicite programe de dezvoltare urbană pentru orașele „mai ecologice” cu mai puține emisii, cu zone specifice fără autoturisme în orașe, fără a afecta zonele comerciale (panelul 3 – recomandarea 6).</w:t>
      </w:r>
    </w:p>
    <w:p>
      <w:pPr>
        <w:pStyle w:val="Puce3"/>
        <w:tabs>
          <w:tab w:val="clear" w:pos="720"/>
        </w:tabs>
        <w:rPr/>
      </w:pPr>
      <w:r>
        <w:rPr/>
        <w:t>7.</w:t>
        <w:tab/>
        <w:t>Îmbunătățirea infrastructurii pentru biciclete și acordarea mai multor drepturi și protecție juridică bicicliștilor și pietonilor, în special în caz de accidente cu un autovehicul, asigurarea siguranței rutiere și furnizarea de formare privind codul rutier (Panel 3 – Recomandarea 4).</w:t>
      </w:r>
    </w:p>
    <w:p>
      <w:pPr>
        <w:pStyle w:val="Puce3"/>
        <w:tabs>
          <w:tab w:val="clear" w:pos="720"/>
        </w:tabs>
        <w:rPr/>
      </w:pPr>
      <w:r>
        <w:rPr/>
        <w:t>8.</w:t>
        <w:tab/>
        <w:t>Reglementarea mineritului criptomonedelor, care utilizează o cantitate considerabilă de energie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Propunere: Consum, ambalare și producție durabile</w:t>
      </w:r>
    </w:p>
    <w:p>
      <w:pPr>
        <w:pStyle w:val="P68B1DB1Normal15"/>
        <w:rPr>
          <w:b/>
          <w:b/>
        </w:rPr>
      </w:pPr>
      <w:r>
        <w:rPr/>
        <w:t>Obiectiv: Îmbunătățirea utilizării și gestionării materialelor în Uniune pentru a promova economia circulară, a deveni mai autonomă și a fi mai puțin dependentă. Dezvoltarea unei economii circulare prin încurajarea producției și a produselor durabile în Uniune. Să se asigure că toate produsele introduse pe piața Uniunii respectă standardele de mediu comune ale Uniunii.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Măsuri:</w:t>
      </w:r>
    </w:p>
    <w:p>
      <w:pPr>
        <w:pStyle w:val="Puce3"/>
        <w:tabs>
          <w:tab w:val="clear" w:pos="720"/>
        </w:tabs>
        <w:rPr/>
      </w:pPr>
      <w:r>
        <w:rPr/>
        <w:t>1.</w:t>
        <w:tab/>
        <w:t>Standarde de producție mai stricte și armonizate la nivelul Uniunii și un sistem de etichetare transparent pentru toate produsele vândute pe piața UE în ceea ce privește durabilitatea/amprenta de mediu și longevitatea acestora printr-un cod QR și un ecoscore sau un pașaport digital al produsului (panelul 3 – recomandările 8, 13, 20 și 21, panelul 1 – recomandarea 16, panelul 4 – recomandarea 13).</w:t>
      </w:r>
    </w:p>
    <w:p>
      <w:pPr>
        <w:pStyle w:val="Puce3"/>
        <w:tabs>
          <w:tab w:val="clear" w:pos="720"/>
        </w:tabs>
        <w:rPr/>
      </w:pPr>
      <w:r>
        <w:rPr/>
        <w:t>2.</w:t>
        <w:tab/>
        <w:t>Revizuirea lanțurilor de aprovizionare globale, inclusiv în producția agricolă, pentru a reduce dependența UE și a scurta circuitele (PNM).</w:t>
      </w:r>
    </w:p>
    <w:p>
      <w:pPr>
        <w:pStyle w:val="Puce3"/>
        <w:tabs>
          <w:tab w:val="clear" w:pos="720"/>
        </w:tabs>
        <w:rPr/>
      </w:pPr>
      <w:r>
        <w:rPr/>
        <w:t>3.</w:t>
        <w:tab/>
        <w:t>Prevenirea în continuare a generării de deșeuri prin stabilirea unor obiective de prevenire și reutilizare și prin stabilirea unor standarde de calitate pentru sistemele de sortare a deșeurilor (dezbatere în cadrul GL, recomandarea FR).</w:t>
      </w:r>
    </w:p>
    <w:p>
      <w:pPr>
        <w:pStyle w:val="Puce3"/>
        <w:tabs>
          <w:tab w:val="clear" w:pos="720"/>
        </w:tabs>
        <w:rPr/>
      </w:pPr>
      <w:r>
        <w:rPr/>
        <w:t>4.</w:t>
        <w:tab/>
        <w:t>Eliminarea treptată a formelor nesustenabile de ambalare, reglementarea ambalajelor ecologice și evitarea risipei de materiale în ambalaje prin stimulente financiare și sancțiuni, precum și investiții în cercetarea alternativă (panelul 3 – recomandările 15 și 25, panelul 1 – recomandarea 12, panelul 4 – recomandarea 16).</w:t>
      </w:r>
    </w:p>
    <w:p>
      <w:pPr>
        <w:pStyle w:val="Puce3"/>
        <w:tabs>
          <w:tab w:val="clear" w:pos="720"/>
        </w:tabs>
        <w:rPr/>
      </w:pPr>
      <w:r>
        <w:rPr/>
        <w:t>5.</w:t>
        <w:tab/>
        <w:t>Introducerea unui sistem european de depozitare a ambalajelor și a unor standarde avansate pentru containere (panelul 3 – recomandările 22 și 23, NPC).</w:t>
      </w:r>
    </w:p>
    <w:p>
      <w:pPr>
        <w:pStyle w:val="Puce3"/>
        <w:tabs>
          <w:tab w:val="clear" w:pos="720"/>
        </w:tabs>
        <w:rPr/>
      </w:pPr>
      <w:r>
        <w:rPr/>
        <w:t>6.</w:t>
        <w:tab/>
        <w:t>Lansarea unei platforme de cunoștințe a UE privind modul de asigurare a utilizării durabile și pe termen lung a produselor și modalitățile de „reparare” a acestora, inclusiv informații disponibile de la asociațiile de consumatori (panel 3 – Recomandarea 20).</w:t>
      </w:r>
    </w:p>
    <w:p>
      <w:pPr>
        <w:pStyle w:val="Puce3"/>
        <w:tabs>
          <w:tab w:val="clear" w:pos="720"/>
        </w:tabs>
        <w:rPr/>
      </w:pPr>
      <w:r>
        <w:rPr/>
        <w:t>7.</w:t>
        <w:tab/>
        <w:t>Să introducă măsuri de combatere a obsolescenței timpurii sau premature, inclusiv a obsolescenței planificate, să asigure garanții mai lungi, să promoveze dreptul de reparare și să asigure disponibilitatea și accesibilitatea pieselor de schimb compatibile (panelul 3 – recomandarea 20, recomandarea FR, recomandarea DE, panoul 1 – recomandarea 14).</w:t>
      </w:r>
    </w:p>
    <w:p>
      <w:pPr>
        <w:pStyle w:val="Puce3"/>
        <w:tabs>
          <w:tab w:val="clear" w:pos="720"/>
        </w:tabs>
        <w:rPr/>
      </w:pPr>
      <w:r>
        <w:rPr/>
        <w:t>8.</w:t>
        <w:tab/>
        <w:t>Crearea unei piețe pentru materiile prime secundare, ținând seama de ratele obligatorii ale conținutului reciclat, prin încurajarea utilizării reduse a materiilor prime (dezbatere în cadrul GL).</w:t>
      </w:r>
    </w:p>
    <w:p>
      <w:pPr>
        <w:pStyle w:val="Puce3"/>
        <w:tabs>
          <w:tab w:val="clear" w:pos="720"/>
        </w:tabs>
        <w:rPr/>
      </w:pPr>
      <w:r>
        <w:rPr/>
        <w:t>9.</w:t>
        <w:tab/>
        <w:t>Punerea în aplicare rapidă a unei strategii ambițioase în domeniul textilelor și definirea unui mecanism prin care consumatorii să știe că produsul îndeplinește criteriile de durabilitate (panelul 3 – recomandarea 28, dezbatere în cadrul Grupului de lucru).</w:t>
      </w:r>
    </w:p>
    <w:p>
      <w:pPr>
        <w:pStyle w:val="Puce3"/>
        <w:tabs>
          <w:tab w:val="clear" w:pos="720"/>
        </w:tabs>
        <w:rPr/>
      </w:pPr>
      <w:r>
        <w:rPr/>
        <w:t>10.</w:t>
        <w:tab/>
        <w:t>Măsuri ale UE pentru a permite consumatorilor să utilizeze produsele mai mult timp și pentru a-i încuraja să facă acest lucru (panel 3 – Recomandarea 20).</w:t>
      </w:r>
    </w:p>
    <w:p>
      <w:pPr>
        <w:pStyle w:val="Puce3"/>
        <w:tabs>
          <w:tab w:val="clear" w:pos="720"/>
        </w:tabs>
        <w:rPr/>
      </w:pPr>
      <w:r>
        <w:rPr/>
        <w:t>11.</w:t>
        <w:tab/>
        <w:t>Consolidarea standardelor de mediu și asigurarea respectării reglementărilor privind exportul de deșeuri în UE și în țările terțe (panel 4 – Recomandarea 15, NPC).</w:t>
      </w:r>
    </w:p>
    <w:p>
      <w:pPr>
        <w:pStyle w:val="Puce3"/>
        <w:tabs>
          <w:tab w:val="clear" w:pos="720"/>
        </w:tabs>
        <w:rPr/>
      </w:pPr>
      <w:r>
        <w:rPr/>
        <w:t>12.</w:t>
        <w:tab/>
        <w:t>Introducerea unor măsuri de limitare a publicității produselor dăunătoare mediului prin introducerea unei clauze obligatorii de declinare a responsabilității pentru produsele deosebit de dăunătoare pentru mediu (panelul 3 – Recomandarea 22).</w:t>
      </w:r>
    </w:p>
    <w:p>
      <w:pPr>
        <w:pStyle w:val="Puce3"/>
        <w:tabs>
          <w:tab w:val="clear" w:pos="720"/>
        </w:tabs>
        <w:rPr/>
      </w:pPr>
      <w:r>
        <w:rPr/>
        <w:t>13.</w:t>
        <w:tab/>
        <w:t>Aplicarea unor standarde de fabricație mai stricte și a unor condiții de muncă echitabile de-a lungul întregului lanț de producție și de valoare (panel 3 – Recomandarea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Propunere: Informare, conștientizare, dialog și mod de viață</w:t>
      </w:r>
    </w:p>
    <w:p>
      <w:pPr>
        <w:pStyle w:val="P68B1DB1Normal15"/>
        <w:rPr>
          <w:b/>
          <w:b/>
        </w:rPr>
      </w:pPr>
      <w:r>
        <w:rPr/>
        <w:t>Obiectiv: Încurajarea cunoașterii, a conștientizării, a educației și a dialogului privind mediul, schimbările climatice, utilizarea energiei și durabilitatea.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Măsuri:</w:t>
      </w:r>
    </w:p>
    <w:p>
      <w:pPr>
        <w:pStyle w:val="Puce3"/>
        <w:tabs>
          <w:tab w:val="clear" w:pos="720"/>
        </w:tabs>
        <w:rPr/>
      </w:pPr>
      <w:r>
        <w:rPr/>
        <w:t>1.</w:t>
        <w:tab/>
        <w:t>Crearea unei platforme interactive ale cărei fapte au fost verificate pentru a furniza informații științifice diverse și actualizate periodic în domeniul mediului (panelul 3 – recomandarea 33).</w:t>
      </w:r>
    </w:p>
    <w:p>
      <w:pPr>
        <w:pStyle w:val="Puce3"/>
        <w:tabs>
          <w:tab w:val="clear" w:pos="720"/>
        </w:tabs>
        <w:rPr/>
      </w:pPr>
      <w:r>
        <w:rPr/>
        <w:t>2.</w:t>
        <w:tab/>
        <w:t>Sprijinirea campaniilor de sensibilizare cu privire la mediul înconjurător, inclusiv a unei campanii europene pe termen lung pentru un consum durabil și un stil de viață durabil (Recomandările DE, NL și FR, Grupul 3 – Recomandarea 7).</w:t>
      </w:r>
    </w:p>
    <w:p>
      <w:pPr>
        <w:pStyle w:val="Puce3"/>
        <w:tabs>
          <w:tab w:val="clear" w:pos="720"/>
        </w:tabs>
        <w:rPr/>
      </w:pPr>
      <w:r>
        <w:rPr/>
        <w:t>3.</w:t>
        <w:tab/>
        <w:t>Încurajarea și facilitarea dialogului și consultărilor între toate nivelurile procesului decizional, în special cu tinerii și la nivel local (Recomandările DE, NL și FR, Grupul 3 – Recomandările 27 și 35, dezbaterea în plen).</w:t>
      </w:r>
    </w:p>
    <w:p>
      <w:pPr>
        <w:pStyle w:val="Puce3"/>
        <w:tabs>
          <w:tab w:val="clear" w:pos="720"/>
        </w:tabs>
        <w:rPr/>
      </w:pPr>
      <w:r>
        <w:rPr/>
        <w:t>4.</w:t>
        <w:tab/>
        <w:t>Definirea de către Uniune, cu sprijinul statelor membre, a unei Carte europene comune care să vizeze aspectele de mediu și să promoveze sensibilizarea cu privire la mediu în rândul tuturor cetățenilor (panel 3 – recomandarea 7).</w:t>
      </w:r>
    </w:p>
    <w:p>
      <w:pPr>
        <w:pStyle w:val="Puce3"/>
        <w:tabs>
          <w:tab w:val="clear" w:pos="720"/>
        </w:tabs>
        <w:rPr/>
      </w:pPr>
      <w:r>
        <w:rPr/>
        <w:t>5.</w:t>
        <w:tab/>
        <w:t>Furnizarea de cursuri de formare și materiale didactice pentru toți pentru a îmbunătăți cunoștințele privind clima și durabilitatea și pentru a permite învățarea pe tot parcursul vieții cu privire la aspecte de mediu (panelul 1 – recomandările 15 și 35, panelul 3 – recomandarea 24, dezbaterea Grupului de lucru).</w:t>
      </w:r>
    </w:p>
    <w:p>
      <w:pPr>
        <w:pStyle w:val="Puce3"/>
        <w:tabs>
          <w:tab w:val="clear" w:pos="720"/>
        </w:tabs>
        <w:rPr/>
      </w:pPr>
      <w:r>
        <w:rPr/>
        <w:t>6.</w:t>
        <w:tab/>
        <w:t>Să integreze producția de alimente și protecția biodiversității în sistemul educațional, inclusiv beneficiile alimentelor neprelucrate în raport cu alimentele prelucrate, și să încurajeze crearea de grădini școlare și granturi pentru proiecte de grădinărit urban și agricultură verticală (panel 3 – recomandarea 5, panelul 1 – recomandarea 18). Să aibă în vedere ca biodiversitatea să devină un subiect obligatoriu în școli și să sensibilizeze publicul cu privire la biodiversitate prin campanii media și „concursuri” promovate în întreaga UE (concursurile administrațiilor locale) (panelul 3 – recomandarea 5, juriul 1 – recomandarea 18).</w:t>
      </w:r>
    </w:p>
    <w:p>
      <w:pPr>
        <w:pStyle w:val="Puce3"/>
        <w:tabs>
          <w:tab w:val="clear" w:pos="720"/>
        </w:tabs>
        <w:rPr/>
      </w:pPr>
      <w:r>
        <w:rPr/>
        <w:t>7.</w:t>
        <w:tab/>
        <w:t>Consolidarea rolului și a acțiunii Uniunii în domeniul mediului și al educației prin extinderea competențelor Uniunii în domeniul educației pentru schimbările climatice și mediu și prin extinderea procesului decizional cu majoritate calificată la teme definite ca „interes european”, cum ar fi mediul (recomandări dinNL și FR).</w:t>
      </w:r>
    </w:p>
    <w:p>
      <w:pPr>
        <w:pStyle w:val="Puce3"/>
        <w:tabs>
          <w:tab w:val="clear" w:pos="720"/>
        </w:tabs>
        <w:rPr/>
      </w:pPr>
      <w:r>
        <w:rPr/>
        <w:t>8.</w:t>
        <w:tab/>
        <w:t>Promovarea unei diete vegetale din motive de protecție a climei și de conservare a mediului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Jocuri cu Jocul 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Jocuri cu Jocul Image22"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Sănătate”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 Propunere: O dietă sănătoasă și un stil de viață sănătos </w:t>
      </w:r>
    </w:p>
    <w:p>
      <w:pPr>
        <w:pStyle w:val="P68B1DB1Normal15"/>
        <w:rPr>
          <w:b/>
          <w:b/>
        </w:rPr>
      </w:pPr>
      <w:r>
        <w:rPr/>
        <w:t>Obiectiv: Să se asigure că toți europenii au acces la educație alimentară sănătoasă și acces la alimente sănătoase și la prețuri accesibile ca bază pentru un stil de viață sănătos, în special prin următoarele măsuri: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Măsuri</w:t>
      </w:r>
      <w:r>
        <w:rPr>
          <w:rStyle w:val="Ancredenotedefin"/>
          <w:rStyle w:val="Ancredenotedefin"/>
        </w:rPr>
        <w:endnoteReference w:id="2"/>
      </w:r>
      <w:r>
        <w:rPr/>
        <w:t>:</w:t>
      </w:r>
    </w:p>
    <w:p>
      <w:pPr>
        <w:pStyle w:val="Puce3"/>
        <w:tabs>
          <w:tab w:val="clear" w:pos="720"/>
        </w:tabs>
        <w:rPr/>
      </w:pPr>
      <w:r>
        <w:rPr/>
        <w:t>1.</w:t>
        <w:tab/>
        <w:t>Să stabilească standarde minime de calitate și trasabilitate a alimentelor, în special prin limitarea utilizării antibioticelor și a altor medicamente de uz veterinar la ceea ce este strict necesar pentru a proteja sănătatea și bunăstarea animalelor, în loc să le utilizeze în mod preventiv, și să asigure consolidarea controalelor în acest sens. [#23, #17]</w:t>
      </w:r>
    </w:p>
    <w:p>
      <w:pPr>
        <w:pStyle w:val="Puce3"/>
        <w:tabs>
          <w:tab w:val="clear" w:pos="720"/>
        </w:tabs>
        <w:rPr/>
      </w:pPr>
      <w:r>
        <w:rPr/>
        <w:t>2.</w:t>
        <w:tab/>
        <w:t>Să educe cetățenii cu privire la obiceiurile sănătoase pe care să le adopte de la o vârstă fragedă și să îi încurajeze să facă alegeri sigure și sănătoase prin impozitarea alimentelor procesate care nu sunt și prin facilitarea accesibilității informațiilor privind sănătatea cu privire la produsele alimentare; în acest scop, să instituie un sistem de evaluare la nivel european pentru alimentele prelucrate, bazat pe expertiză științifică și independentă, precum și o etichetă privind utilizarea substanțelor hormonale și a perturbatorilor endocrini în producția de alimente și, în acest sens, să consolideze monitorizarea și punerea în aplicare a normelor existente și să ia în considerare consolidarea acestora. [#18, #19, GT]</w:t>
      </w:r>
    </w:p>
    <w:p>
      <w:pPr>
        <w:pStyle w:val="Puce3"/>
        <w:tabs>
          <w:tab w:val="clear" w:pos="720"/>
        </w:tabs>
        <w:rPr/>
      </w:pPr>
      <w:r>
        <w:rPr/>
        <w:t>3.</w:t>
        <w:tab/>
        <w:t>Încurajarea dialogului cu actorii din lanțul alimentar, de la producție la vânzare, ca parte a responsabilității sociale a întreprinderilor pentru alimente sănătoase. [#19, GT]</w:t>
      </w:r>
    </w:p>
    <w:p>
      <w:pPr>
        <w:pStyle w:val="Puce3"/>
        <w:tabs>
          <w:tab w:val="clear" w:pos="720"/>
        </w:tabs>
        <w:rPr/>
      </w:pPr>
      <w:r>
        <w:rPr/>
        <w:t>4.</w:t>
        <w:tab/>
        <w:t>Sprijinirea, la nivelul Uniunii, a furnizării de alimente sănătoase, variate și la prețuri accesibile în instituțiile de servicii publice, cum ar fi cantinele școlare, spitalele sau unitățile de asistență medicală, inclusiv prin finanțare specifică. [#3, sesiunea plenară, WG]</w:t>
      </w:r>
    </w:p>
    <w:p>
      <w:pPr>
        <w:pStyle w:val="Puce3"/>
        <w:tabs>
          <w:tab w:val="clear" w:pos="720"/>
        </w:tabs>
        <w:rPr/>
      </w:pPr>
      <w:r>
        <w:rPr/>
        <w:t>5.</w:t>
        <w:tab/>
        <w:t>Investiți în cercetarea privind consecințele utilizării antibioticelor și efectele substanțelor hormonale și ale perturbatorilor endocrini asupra sănătății umane.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Propunere: Consolidarea sistemului de sănătate</w:t>
      </w:r>
    </w:p>
    <w:p>
      <w:pPr>
        <w:pStyle w:val="P68B1DB1Normal15"/>
        <w:rPr>
          <w:b/>
          <w:b/>
        </w:rPr>
      </w:pPr>
      <w:r>
        <w:rPr/>
        <w:t>Obiectiv: Consolidarea rezilienței și a calității sistemelor noastre de sănătate, inclusiv prin: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Măsuri</w:t>
      </w:r>
      <w:r>
        <w:rPr>
          <w:rStyle w:val="Ancredenotedefin"/>
          <w:rStyle w:val="Ancredenotedefin"/>
        </w:rPr>
        <w:endnoteReference w:id="4"/>
      </w:r>
      <w:r>
        <w:rPr/>
        <w:t>:</w:t>
      </w:r>
    </w:p>
    <w:p>
      <w:pPr>
        <w:pStyle w:val="Puce3"/>
        <w:tabs>
          <w:tab w:val="clear" w:pos="720"/>
        </w:tabs>
        <w:rPr/>
      </w:pPr>
      <w:r>
        <w:rPr/>
        <w:t>1.</w:t>
        <w:tab/>
        <w:t>Crearea unui Spațiu european al datelor privind sănătatea, care ar facilita schimbul de date privind sănătatea; fișele medicale individuale ar putea fi puse la dispoziție – în mod voluntar – utilizând un pașaport european electronic de sănătate, în conformitate cu normele de protecție a datelor. [#41, GT]</w:t>
      </w:r>
    </w:p>
    <w:p>
      <w:pPr>
        <w:pStyle w:val="Puce3"/>
        <w:tabs>
          <w:tab w:val="clear" w:pos="720"/>
        </w:tabs>
        <w:rPr/>
      </w:pPr>
      <w:r>
        <w:rPr/>
        <w:t>2.</w:t>
        <w:tab/>
        <w:t>Condiții de muncă adecvate, în special printr-un dialog social puternic, inclusiv salarii și formule de lucru, precum și armonizarea standardelor de formare și certificare pentru profesioniștii din domeniul sănătății; ar trebui dezvoltate programe de colaborare în rețea și de schimb, cum ar fi un Erasmus pentru școlile medicale, care ar contribui în mod semnificativ la dezvoltarea competențelor. Pentru a păstra talentul în Europa și pentru a permite tinerilor profesioniști să își extindă cunoștințele și să dobândească experiență profesională, ar trebui instituite programe de schimb ale UE pentru a se asigura că cele mai bune creiere ale științelor vieții nu sunt atrase de țări terțe. [#39, GT]</w:t>
      </w:r>
    </w:p>
    <w:p>
      <w:pPr>
        <w:pStyle w:val="Puce3"/>
        <w:tabs>
          <w:tab w:val="clear" w:pos="720"/>
        </w:tabs>
        <w:rPr/>
      </w:pPr>
      <w:r>
        <w:rPr/>
        <w:t>3.</w:t>
        <w:tab/>
        <w:t>Asigurarea autonomiei strategice la nivelul Uniunii pentru a evita dependența de țările terțe [NL2]</w:t>
      </w:r>
      <w:r>
        <w:rPr>
          <w:rStyle w:val="Ancredenotedefin"/>
          <w:rStyle w:val="Ancredenotedefin"/>
        </w:rPr>
        <w:endnoteReference w:id="5"/>
      </w:r>
      <w:r>
        <w:rPr/>
        <w:t xml:space="preserve"> pentru medicamente (în special principii active) și dispozitive medicale (inclusiv materii prime); în special, la nivelul Uniunii ar trebui stabilită o listă a medicamentelor și tratamentelor esențiale și prioritare, dar și a medicamentelor și tratamentelor inovatoare (cum ar fi soluțiile biotehnologice), pe baza agențiilor europene existente și a HERA, pentru a asigura disponibilitatea acestora pentru cetățeni. Să aibă în vedere organizarea unei stocări strategice coordonate în întreaga Uniune. Pentru a realiza acțiunile coordonate și pe termen lung necesare la nivelul Uniunii, includerea sănătății și a asistenței medicale printre competențele partajate între Uniune și statele sale membre prin modificarea articolului 4 din TFUE. [#40, #49, plen, GL]</w:t>
      </w:r>
    </w:p>
    <w:p>
      <w:pPr>
        <w:pStyle w:val="Puce3"/>
        <w:tabs>
          <w:tab w:val="clear" w:pos="720"/>
        </w:tabs>
        <w:rPr/>
      </w:pPr>
      <w:r>
        <w:rPr/>
        <w:t>4.</w:t>
        <w:tab/>
        <w:t>Să continue dezvoltarea, coordonarea și finanțarea programelor existente de cercetare și inovare în domeniul sănătății, fără a compromite alte programe legate de sănătate, în special pentru rețelele europene de referință, deoarece acestea constituie baza pentru dezvoltarea rețelelor de asistență medicală pentru tratamente foarte specializate și complexe. [#42, #43, GT]</w:t>
      </w:r>
    </w:p>
    <w:p>
      <w:pPr>
        <w:pStyle w:val="Puce3"/>
        <w:tabs>
          <w:tab w:val="clear" w:pos="720"/>
        </w:tabs>
        <w:rPr/>
      </w:pPr>
      <w:r>
        <w:rPr/>
        <w:t>5.</w:t>
        <w:tab/>
        <w:t>Să investească în sistemele de sănătate, în special în domeniul public și non-profit, în infrastructură și în sănătatea digitală, și să se asigure că furnizorii de servicii medicale respectă principiile accesibilității depline, accesibilității și calității serviciilor, asigurându-se astfel că resursele nu sunt epuizate de profesioniștii din domeniul sănătății care nu se preocupă deloc sau deloc de interesul public. [#51, GT]</w:t>
      </w:r>
    </w:p>
    <w:p>
      <w:pPr>
        <w:pStyle w:val="Puce3"/>
        <w:tabs>
          <w:tab w:val="clear" w:pos="720"/>
        </w:tabs>
        <w:rPr/>
      </w:pPr>
      <w:r>
        <w:rPr/>
        <w:t>6.</w:t>
        <w:tab/>
        <w:t>Să facă recomandări ferme statelor membre pentru a investi în sisteme de sănătate eficiente, accesibile, abordabile, de calitate și reziliente, inclusiv în contextul semestrului european. Impactul războiului din Ucraina asupra sănătății publice demonstrează necesitatea dezvoltării în continuare a unor sisteme de sănătate reziliente și a unor mecanisme de solidaritate.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Propunere: O perspectivă mai largă asupra sănătății</w:t>
      </w:r>
    </w:p>
    <w:p>
      <w:pPr>
        <w:pStyle w:val="P68B1DB1Normal15"/>
        <w:rPr>
          <w:b/>
          <w:b/>
        </w:rPr>
      </w:pPr>
      <w:r>
        <w:rPr/>
        <w:t>Obiectiv: Să adopte o abordare holistică a sănătății, abordând, pe lângă boli și tratamente, cultura și prevenirea sănătății și promovând o înțelegere comună a problemelor cu care se confruntă persoanele bolnave sau cu handicap, în conformitate cu abordarea „O singură sănătate”, care ar trebui subliniată ca principiu transversal și fundamental care să cuprindă toate politicile Uniunii.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Măsuri</w:t>
      </w:r>
      <w:r>
        <w:rPr>
          <w:rStyle w:val="Ancredenotedefin"/>
          <w:rStyle w:val="Ancredenotedefin"/>
        </w:rPr>
        <w:endnoteReference w:id="6"/>
      </w:r>
      <w:r>
        <w:rPr/>
        <w:t>:</w:t>
      </w:r>
    </w:p>
    <w:p>
      <w:pPr>
        <w:pStyle w:val="Puce3"/>
        <w:tabs>
          <w:tab w:val="clear" w:pos="720"/>
        </w:tabs>
        <w:rPr/>
      </w:pPr>
      <w:r>
        <w:rPr/>
        <w:t>1.</w:t>
        <w:tab/>
        <w:t>Îmbunătățirea înțelegerii problemelor de sănătate mintală și a modalităților de abordare a acestora, inclusiv diagnosticarea timpurie și diagnosticarea timpurie, pe baza bunelor practici stabilite în întreaga Uniune, care ar trebui să fie ușor accesibile prin intermediul portalului de bune practici în domeniul sănătății publice. Pentru a sensibiliza publicul, instituțiile Uniunii și părțile interesate relevante ar trebui să organizeze evenimente pentru schimbul de bune practici și să îi ajute pe membrii lor să le difuzeze în propria circumscripție. Ar trebui elaborat un plan de acțiune al UE privind sănătatea mintală, care să ofere o strategie pe termen lung privind sănătatea mintală, inclusiv cercetarea, și să abordeze, de asemenea, disponibilitatea profesioniștilor, inclusiv pentru minori, și instituirea unui An european al sănătății mintale în viitorul apropiat.</w:t>
      </w:r>
    </w:p>
    <w:p>
      <w:pPr>
        <w:pStyle w:val="Puce3"/>
        <w:tabs>
          <w:tab w:val="clear" w:pos="720"/>
        </w:tabs>
        <w:rPr/>
      </w:pPr>
      <w:r>
        <w:rPr/>
        <w:t>2.</w:t>
        <w:tab/>
        <w:t>Dezvoltarea, la nivelul UE, a unui program educațional standard privind stilurile de viață sănătoase, care să acopere, de asemenea, educația sexuală. Programul ar trebui să includă, de asemenea, acțiuni care vizează atât un stil de viață sănătos, cât și protecția mediului, precum și modul în care acestea pot contribui la prevenirea multor boli, cum ar fi ciclismul ca mijloc sănătos de călătorie zilnică. Acesta ar fi disponibil gratuit statelor membre și școlilor care l-ar putea utiliza, după caz, în programele lor. Un astfel de program ar aborda stereotipurile despre persoanele bolnave sau cu handicap. [#46, GT]</w:t>
      </w:r>
    </w:p>
    <w:p>
      <w:pPr>
        <w:pStyle w:val="Puce3"/>
        <w:tabs>
          <w:tab w:val="clear" w:pos="720"/>
        </w:tabs>
        <w:rPr/>
      </w:pPr>
      <w:r>
        <w:rPr/>
        <w:t>3.</w:t>
        <w:tab/>
        <w:t>Să dezvolte cursuri practice de prim ajutor, care să fie oferite gratuit tuturor cetățenilor, și să ia în considerare posibilitatea unor cursuri regulate ca o practică comună atât pentru studenți, cât și la locul de muncă. Un număr minim de defibrilatoare ar trebui să fie, de asemenea, disponibil în locuri publice din toate statele membre. [#50]</w:t>
      </w:r>
    </w:p>
    <w:p>
      <w:pPr>
        <w:pStyle w:val="Puce3"/>
        <w:tabs>
          <w:tab w:val="clear" w:pos="720"/>
        </w:tabs>
        <w:rPr/>
      </w:pPr>
      <w:r>
        <w:rPr/>
        <w:t>4.</w:t>
        <w:tab/>
        <w:t>Extinderea inițiativei „Săptămâna sănătății”, care va avea loc în întreaga Uniune în aceeași săptămână și în cursul căreia ar trebui abordate și discutate toate problemele de sănătate. De asemenea, luați în considerare inițiativele Anului Sănătății, începând cu Anul Sănătății Mintale. [#44, GT]</w:t>
      </w:r>
    </w:p>
    <w:p>
      <w:pPr>
        <w:pStyle w:val="Puce3"/>
        <w:tabs>
          <w:tab w:val="clear" w:pos="720"/>
        </w:tabs>
        <w:rPr/>
      </w:pPr>
      <w:r>
        <w:rPr/>
        <w:t>5.</w:t>
        <w:tab/>
        <w:t>Să recunoască ca tratament medical regulat pentru taxarea produselor contraceptive hormonale utilizate din motive medicale, de exemplu în cazurile de fibromialgie și endometrioză, precum și în produsele igienice feminine. Asigurarea accesului la tratamente de reproducere pentru toate persoanele cu probleme de fertilitate.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Propunere: Acces egal la sănătate pentru toți</w:t>
      </w:r>
    </w:p>
    <w:p>
      <w:pPr>
        <w:pStyle w:val="Normal"/>
        <w:rPr/>
      </w:pPr>
      <w:r>
        <w:rPr/>
        <w:t>Obiectiv: Instituirea unui „drept la sănătate”, garantând tuturor europenilor accesul egal și universal la asistență medicală accesibilă, preventivă, curativă și de calitate.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7"/>
      </w:r>
      <w:r>
        <w:rPr/>
        <w:t>:</w:t>
      </w:r>
    </w:p>
    <w:p>
      <w:pPr>
        <w:pStyle w:val="Puce3"/>
        <w:tabs>
          <w:tab w:val="clear" w:pos="720"/>
        </w:tabs>
        <w:rPr/>
      </w:pPr>
      <w:r>
        <w:rPr/>
        <w:t>1.</w:t>
        <w:tab/>
        <w:t>Să stabilească standarde comune minime de sănătate la nivelul Uniunii, care să acopere, de asemenea, prevenirea și accesibilitatea asistenței medicale, precum și proximitatea față de îngrijire, și să ofere sprijin pentru stabilirea unor astfel de standarde. [#39, GT]</w:t>
      </w:r>
    </w:p>
    <w:p>
      <w:pPr>
        <w:pStyle w:val="Puce3"/>
        <w:tabs>
          <w:tab w:val="clear" w:pos="720"/>
        </w:tabs>
        <w:rPr/>
      </w:pPr>
      <w:r>
        <w:rPr/>
        <w:t>2.</w:t>
        <w:tab/>
        <w:t>Să recunoască necesitatea de a se ține seama pe deplin de principiul subsidiarității și de rolul-cheie al actorilor din domeniul sănătății de la nivel local, regional și național [NL3], pentru a se asigura că se pot lua măsuri la nivelul Uniunii atunci când dreptul la sănătate este abordat mai bine. Să permită un proces decizional mai rapid și mai ferm cu privire la aspecte-cheie și să îmbunătățească eficacitatea guvernanței europene pentru dezvoltarea Uniunii Europene a sănătății (de exemplu, pandemie sau boli rare). [#49, FRsouhait11, platformă digitală]</w:t>
      </w:r>
    </w:p>
    <w:p>
      <w:pPr>
        <w:pStyle w:val="Puce3"/>
        <w:tabs>
          <w:tab w:val="clear" w:pos="720"/>
        </w:tabs>
        <w:rPr/>
      </w:pPr>
      <w:r>
        <w:rPr/>
        <w:t>3.</w:t>
        <w:tab/>
        <w:t>Consolidarea uniunii europene a sănătății prin exploatarea întregului potențial al cadrului actual și includerea sănătății și a asistenței medicale printre competențele partajate între Uniune și statele sale membre prin modificarea articolului 4 din TFUE. [#49, FRsouhait11, platformă digitală, GT]</w:t>
      </w:r>
      <w:r>
        <w:rPr>
          <w:rStyle w:val="Ancredenotedefin"/>
          <w:rStyle w:val="Ancredenotedefin"/>
        </w:rPr>
        <w:endnoteReference w:id="8"/>
      </w:r>
      <w:r>
        <w:rPr/>
        <w:t>.</w:t>
      </w:r>
    </w:p>
    <w:p>
      <w:pPr>
        <w:pStyle w:val="Puce3"/>
        <w:tabs>
          <w:tab w:val="clear" w:pos="720"/>
        </w:tabs>
        <w:rPr/>
      </w:pPr>
      <w:r>
        <w:rPr/>
        <w:t>4.</w:t>
        <w:tab/>
        <w:t>Să se asigure că orice persoană are acces la tratamentele existente în prima țară a UE în care sunt disponibile; în acest scop, îmbunătățirea cooperării transfrontaliere, în special în ceea ce privește bolile rare, cancerul, bolile cardiovasculare și tratamentele foarte specializate, cum ar fi transplanturile de organe și tratamentul arsurilor grave. Ar trebui creată o rețea europeană de transplant și donare de organe pentru toți pacienții europeni care au nevoie de transplant. [plenary și GT]</w:t>
      </w:r>
    </w:p>
    <w:p>
      <w:pPr>
        <w:pStyle w:val="Puce3"/>
        <w:tabs>
          <w:tab w:val="clear" w:pos="720"/>
        </w:tabs>
        <w:rPr/>
      </w:pPr>
      <w:r>
        <w:rPr/>
        <w:t>5.</w:t>
        <w:tab/>
        <w:t>Asigurarea unor servicii de îngrijire la prețuri accesibile, prin investiții mai mari în asistența medicală, în special în îngrijirea dentară, inclusiv profilaxia, și asigurarea accesului tuturor la servicii de îngrijire dentară la prețuri accesibile în termen de 15-20 de ani. [#48, GT]</w:t>
      </w:r>
    </w:p>
    <w:p>
      <w:pPr>
        <w:pStyle w:val="Puce3"/>
        <w:tabs>
          <w:tab w:val="clear" w:pos="720"/>
        </w:tabs>
        <w:rPr/>
      </w:pPr>
      <w:r>
        <w:rPr/>
        <w:t>6.</w:t>
        <w:tab/>
        <w:t>Să se asigure că tratamentele și medicamentele din întreaga Uniune sunt de aceeași calitate și au un cost local echitabil, inclusiv prin abordarea fragmentării actuale a pieței interne. [#40, NL3, GL, plen]</w:t>
      </w:r>
    </w:p>
    <w:p>
      <w:pPr>
        <w:pStyle w:val="Puce3"/>
        <w:tabs>
          <w:tab w:val="clear" w:pos="720"/>
        </w:tabs>
        <w:rPr/>
      </w:pPr>
      <w:r>
        <w:rPr/>
        <w:t>7.</w:t>
        <w:tab/>
        <w:t>Combaterea insecurității sanitare prin încurajarea furnizării de asistență stomatologică gratuită copiilor, grupurilor cu venituri mici și altor grupuri vulnerabile, cum ar fi persoanele cu handicap. Studiați, de asemenea, consecințele asupra sănătății ale locuințelor sărace. [#48, GT]</w:t>
      </w:r>
    </w:p>
    <w:p>
      <w:pPr>
        <w:pStyle w:val="Puce3"/>
        <w:tabs>
          <w:tab w:val="clear" w:pos="720"/>
        </w:tabs>
        <w:rPr/>
      </w:pPr>
      <w:r>
        <w:rPr/>
        <w:t>8.</w:t>
        <w:tab/>
        <w:t>Să țină seama de dimensiunea internațională a sănătății și să recunoască faptul că medicamentele ar trebui să fie universal disponibile, inclusiv în țările cele mai sărace.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Jocuri cu Jocul 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Jocuri cu Jocul Image23"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O economie mai puternică, justiție socială și ocuparea forței de muncă</w:t>
      </w:r>
    </w:p>
    <w:p>
      <w:pPr>
        <w:pStyle w:val="P68B1DB1Normal15"/>
        <w:rPr>
          <w:b/>
          <w:b/>
        </w:rPr>
      </w:pPr>
      <w:r>
        <w:rPr/>
        <w:t>Introducere</w:t>
      </w:r>
    </w:p>
    <w:p>
      <w:pPr>
        <w:pStyle w:val="Normal"/>
        <w:rPr/>
      </w:pPr>
      <w:r>
        <w:rPr/>
        <w:t>Trăim în circumstanțe excepționale, iar Uniunea Europeană va fi judecată în funcție de eforturile sale de a ieși mai puternic din crizele actuale, cu un model de creștere mai durabil, mai incluziv, mai competitiv și mai rezilient. Invazia Rusiei în Ucraina și pandemia de COVID-19 au schimbat fața UE. Conferința va trebui, de asemenea, să abordeze consecințele sociale și economice ale acestui război într-un context post-pandemie deja foarte dificil. În același timp, schimbările climatice reprezintă în continuare o amenințare la adresa umanității și vor avea un impact dramatic asupra economiei și societăților noastre. Din recomandările primite reiese clar că cetățenii solicită o acțiune mai puternică a UE. Provocările transnaționale nerezolvate, cum ar fi inegalitatea, competitivitatea, sănătatea, schimbările climatice, migrația, digitalizarea sau impozitarea echitabilă, necesită soluții europene adecvate. Din recomandări și discuții reiese, de asemenea, că avem nevoie de o strategie cuprinzătoare pentru a asigura o mai bună bunăstare a cetățenilor europeni în diferite aspecte ale vieții lor. Unele elemente ale acestei strategii sunt incluse în politicile existente și pot fi obținute prin utilizarea deplină a cadrului instituțional existent la nivel european și național; altele vor necesita noi politici și, în unele cazuri, modificări ale tratatelor. Cu toate acestea, noile politici și modificările tratatelor ar trebui privite ca mijloace de îmbunătățire a bunăstării și nu ca obiective în sine. Este atât posibil, cât și necesar să se redefinească Uniunea pentru a-i garanta autonomia strategică, creșterea durabilă, îmbunătățirea condițiilor de viață și de muncă și progresul uman, fără a epuiza sau a distruge resursele planetei noastre, în cadrul unui contract social reînnoit. Aceste recomandări vizează atingerea acestor obiective. Propunerile de mai jos ar trebui citite ținând seama de faptul că cetățenii din întreaga Europă au formulat o varietate de opinii și recomandări. Această diversitate de opinii este unul dintre atuurile incomparabile ale Europei.</w:t>
      </w:r>
    </w:p>
    <w:p>
      <w:pPr>
        <w:pStyle w:val="Normal"/>
        <w:rPr/>
      </w:pPr>
      <w:r>
        <w:rPr/>
      </w:r>
      <w:r>
        <w:br w:type="page"/>
      </w:r>
    </w:p>
    <w:p>
      <w:pPr>
        <w:pStyle w:val="Titre3"/>
        <w:numPr>
          <w:ilvl w:val="2"/>
          <w:numId w:val="2"/>
        </w:numPr>
        <w:rPr/>
      </w:pPr>
      <w:bookmarkStart w:id="58" w:name="__RefHeading___Toc298290_1346298689"/>
      <w:bookmarkEnd w:id="58"/>
      <w:r>
        <w:rPr/>
        <w:t>11. Propunere: Creștere durabilă și inovare</w:t>
      </w:r>
    </w:p>
    <w:p>
      <w:pPr>
        <w:pStyle w:val="P68B1DB1Normal15"/>
        <w:rPr>
          <w:b/>
          <w:b/>
        </w:rPr>
      </w:pPr>
      <w:r>
        <w:rPr/>
        <w:t>Obiectiv: Propunem ca UE să sprijine tranziția către un model de creștere durabilă și rezilientă, ținând seama de tranzițiile verzi și digitale cu o dimensiune socială puternică în cadrul semestrului european și de capacitarea cetățenilor, a sindicatelor și a întreprinderilor. Indicatorii macroeconomici convenționali și PIB-ul ar putea fi completați cu noi indicatori pentru a răspunde noilor priorități europene, cum ar fi Pactul verde european sau Pilonul european al drepturilor sociale, și pentru a reflecta mai bine tranzițiile verzi și digitale și bunăstarea oamenilor. Acest lucru ar putea fi realizat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9"/>
      </w:r>
      <w:r>
        <w:rPr/>
        <w:t>:</w:t>
      </w:r>
    </w:p>
    <w:p>
      <w:pPr>
        <w:pStyle w:val="Puce3"/>
        <w:rPr/>
      </w:pPr>
      <w:r>
        <w:rPr/>
        <w:t>1.</w:t>
        <w:tab/>
        <w:t>Să promoveze procese de producție mai ecologice de către întreprinderi, să ajute companiile să găsească cele mai bune soluții și să ofere stimulente pozitive și negative. (PCE 11 și 12) și creșterea producției și consumului local (discuții).</w:t>
      </w:r>
    </w:p>
    <w:p>
      <w:pPr>
        <w:pStyle w:val="Puce3"/>
        <w:tabs>
          <w:tab w:val="clear" w:pos="720"/>
        </w:tabs>
        <w:rPr/>
      </w:pPr>
      <w:r>
        <w:rPr/>
        <w:t>2.</w:t>
        <w:tab/>
        <w:t>Acțiuni în direcția unei economii mai durabile și circulare, prin abordarea problemei obsolescenței planificate și prin garantarea dreptului la reparații (PCE 14).</w:t>
      </w:r>
    </w:p>
    <w:p>
      <w:pPr>
        <w:pStyle w:val="Puce3"/>
        <w:tabs>
          <w:tab w:val="clear" w:pos="720"/>
        </w:tabs>
        <w:rPr/>
      </w:pPr>
      <w:r>
        <w:rPr/>
        <w:t>3.</w:t>
        <w:tab/>
        <w:t>Să examineze guvernanța economică a Uniunii și semestrul european pentru a se asigura că tranzițiile verzi și digitale, justiția socială și progresul social merg mână în mână cu competitivitatea economică, fără a ignora natura economică și bugetară a semestrului european. În plus, este necesar să se implice mai bine partenerii sociali și autoritățile locale și regionale în punerea în aplicare a semestrului european, pentru a îmbunătăți aplicarea și responsabilitatea acestuia (platformă electronică, discuții).</w:t>
      </w:r>
    </w:p>
    <w:p>
      <w:pPr>
        <w:pStyle w:val="Puce3"/>
        <w:tabs>
          <w:tab w:val="clear" w:pos="720"/>
        </w:tabs>
        <w:rPr/>
      </w:pPr>
      <w:r>
        <w:rPr/>
        <w:t>4.</w:t>
        <w:tab/>
        <w:t>Combaterea utilizării ambalajelor/containerelor din plastic de unică folosință (PCE 12).</w:t>
      </w:r>
    </w:p>
    <w:p>
      <w:pPr>
        <w:pStyle w:val="Puce3"/>
        <w:tabs>
          <w:tab w:val="clear" w:pos="720"/>
        </w:tabs>
        <w:rPr/>
      </w:pPr>
      <w:r>
        <w:rPr/>
        <w:t>5.</w:t>
        <w:tab/>
        <w:t>Extinderea utilizării tehnologiei europene și transformarea acesteia într-o alternativă viabilă la tehnologia străină (discuții).</w:t>
      </w:r>
    </w:p>
    <w:p>
      <w:pPr>
        <w:pStyle w:val="Puce3"/>
        <w:tabs>
          <w:tab w:val="clear" w:pos="720"/>
        </w:tabs>
        <w:rPr/>
      </w:pPr>
      <w:r>
        <w:rPr/>
        <w:t>6.</w:t>
        <w:tab/>
        <w:t>Promovarea cercetării în domeniul noilor materiale și tehnologii, precum și utilizarea inovatoare a materialelor existente, evitând în același timp duplicarea eforturilor de cercetare (PCE 9, NL 1).</w:t>
      </w:r>
    </w:p>
    <w:p>
      <w:pPr>
        <w:pStyle w:val="Puce3"/>
        <w:tabs>
          <w:tab w:val="clear" w:pos="720"/>
        </w:tabs>
        <w:rPr/>
      </w:pPr>
      <w:r>
        <w:rPr/>
        <w:t>7.</w:t>
        <w:tab/>
        <w:t>Să ia în considerare sustenabilitatea, accesibilitatea și accesibilitatea energiei, ținând seama de sărăcia energetică și de dependența de țările terțe, prin creșterea ponderii energiei produse în mod durabil (CEP 10, LT 3, IT 1.1).</w:t>
      </w:r>
    </w:p>
    <w:p>
      <w:pPr>
        <w:pStyle w:val="Puce3"/>
        <w:tabs>
          <w:tab w:val="clear" w:pos="720"/>
        </w:tabs>
        <w:rPr/>
      </w:pPr>
      <w:r>
        <w:rPr/>
        <w:t>8.</w:t>
        <w:tab/>
        <w:t>Sensibilizarea întreprinderilor și a cetățenilor cu privire la adoptarea unui comportament mai durabil și asigurarea unei tranziții juste, bazată pe dialog social și locuri de muncă de calitate (CEP 12 și platforma online).</w:t>
      </w:r>
    </w:p>
    <w:p>
      <w:pPr>
        <w:pStyle w:val="Puce3"/>
        <w:tabs>
          <w:tab w:val="clear" w:pos="720"/>
        </w:tabs>
        <w:rPr/>
      </w:pPr>
      <w:r>
        <w:rPr/>
        <w:t>9.</w:t>
        <w:tab/>
        <w:t>Includerea unor standarde sociale, de muncă și de sănătate ambițioase, inclusiv în materie de sănătate și securitate la locul de muncă, în noile acorduri comerciale ale UE.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Propunere: Consolidarea competitivității Uniunii și aprofundarea în continuare a pieței unice</w:t>
      </w:r>
    </w:p>
    <w:p>
      <w:pPr>
        <w:pStyle w:val="Normal"/>
        <w:rPr/>
      </w:pPr>
      <w:r>
        <w:rPr/>
        <w:t>Obiectiv: Propunem consolidarea competitivității și a rezilienței economiei, pieței unice și industriei UE și abordarea dependențelor strategice. Trebuie să promovăm o cultură antreprenorială în UE, în care întreprinderile inovatoare de toate dimensiunile, în special microîntreprinderile, întreprinderile mici și mijlocii și întreprinderile nou-înființate, să fie încurajate și să poată prospera pentru a contribui la societăți mai reziliente și mai favorabile incluziunii. Este nevoie de o economie de piață puternică și viabilă pentru a facilita viziunea unei Europe mai sociale. Acest lucru ar putea fi realizat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0"/>
      </w:r>
      <w:r>
        <w:rPr/>
        <w:t>:</w:t>
      </w:r>
    </w:p>
    <w:p>
      <w:pPr>
        <w:pStyle w:val="Puce3"/>
        <w:tabs>
          <w:tab w:val="clear" w:pos="720"/>
        </w:tabs>
        <w:rPr/>
      </w:pPr>
      <w:r>
        <w:rPr/>
        <w:t>1.</w:t>
        <w:tab/>
        <w:t>Să dezvolte o viziune clară a economiei europene și să valorifice punctele forte, calitatea și diversitatea Europei, ținând seama în același timp de diferențele economice și de altă natură dintre statele membre, și să promoveze cooperarea și concurența între întreprinderi. (NL 1 și 2)</w:t>
      </w:r>
    </w:p>
    <w:p>
      <w:pPr>
        <w:pStyle w:val="Puce3"/>
        <w:tabs>
          <w:tab w:val="clear" w:pos="720"/>
        </w:tabs>
        <w:rPr/>
      </w:pPr>
      <w:r>
        <w:rPr/>
        <w:t>2.</w:t>
        <w:tab/>
        <w:t>Consolidarea acțiunilor întreprinse în ceea ce privește moneda unică și interconectarea sistemelor de plată și a telecomunicațiilor. (Situația 4.a.2)</w:t>
      </w:r>
    </w:p>
    <w:p>
      <w:pPr>
        <w:pStyle w:val="Puce3"/>
        <w:tabs>
          <w:tab w:val="clear" w:pos="720"/>
        </w:tabs>
        <w:rPr/>
      </w:pPr>
      <w:r>
        <w:rPr/>
        <w:t>3.</w:t>
        <w:tab/>
        <w:t>Reducerea standardizării produselor și recunoașterea particularităților locale și regionale în ceea ce privește cultura și producția (respectarea tradițiilor de producție). (TITLUL 2.2)</w:t>
      </w:r>
    </w:p>
    <w:p>
      <w:pPr>
        <w:pStyle w:val="Puce3"/>
        <w:tabs>
          <w:tab w:val="clear" w:pos="720"/>
        </w:tabs>
        <w:rPr/>
      </w:pPr>
      <w:r>
        <w:rPr/>
        <w:t>4.</w:t>
        <w:tab/>
        <w:t>Consolidarea convergenței sociale și economice ascendente în cadrul pieței unice, finalizând inițiativele existente, cum ar fi uniunea bancară și uniunea piețelor de capital, și punând în aplicare o reformă prospectivă a uniunii noastre economice și monetare (discuții).</w:t>
      </w:r>
    </w:p>
    <w:p>
      <w:pPr>
        <w:pStyle w:val="Puce3"/>
        <w:tabs>
          <w:tab w:val="clear" w:pos="720"/>
        </w:tabs>
        <w:rPr/>
      </w:pPr>
      <w:r>
        <w:rPr/>
        <w:t>5.</w:t>
        <w:tab/>
        <w:t>Să promoveze politici pentru o bază industrială solidă și inovare în ceea ce privește tehnologiile generice esențiale, precum și o politică privind clima orientată spre viitor, împreună cu competitivitatea industrială cu o dimensiune socială puternică, bazată pe dialog social și pe relații industriale funcționale (discuții).</w:t>
      </w:r>
    </w:p>
    <w:p>
      <w:pPr>
        <w:pStyle w:val="Puce3"/>
        <w:tabs>
          <w:tab w:val="clear" w:pos="720"/>
        </w:tabs>
        <w:rPr/>
      </w:pPr>
      <w:r>
        <w:rPr/>
        <w:t>6.</w:t>
        <w:tab/>
        <w:t>În toate inițiativele noi, acordați o atenție deosebită IMM-urilor, care reprezintă coloana vertebrală a economiei noastre. Principiul „a gândi mai întâi IMM-urile” trebuie respectat în toate propunerile legislative ale UE, iar testul IMM-urilor ar trebui consolidat în evaluările de impact ale Comisiei, în conformitate cu principii clare, respectând în același timp pe deplin standardele sociale și de mediu și drepturile consumatorilor (discuții).</w:t>
      </w:r>
    </w:p>
    <w:p>
      <w:pPr>
        <w:pStyle w:val="Puce3"/>
        <w:tabs>
          <w:tab w:val="clear" w:pos="720"/>
        </w:tabs>
        <w:rPr/>
      </w:pPr>
      <w:r>
        <w:rPr/>
        <w:t>7.</w:t>
        <w:tab/>
        <w:t>Să asigure participarea IMM-urilor la cererile de finanțare, la cererile de oferte și la rețele, cu cel mai mic efort administrativ posibil. Accesul la finanțare pentru IMM-urile cu proiecte de inovare cu risc ridicat ar trebui să fie dezvoltat în continuare de entități precum Consiliul European pentru Inovare și Banca Europeană de Investiții (discuții).</w:t>
      </w:r>
    </w:p>
    <w:p>
      <w:pPr>
        <w:pStyle w:val="Puce3"/>
        <w:tabs>
          <w:tab w:val="clear" w:pos="720"/>
        </w:tabs>
        <w:rPr/>
      </w:pPr>
      <w:r>
        <w:rPr/>
        <w:t>8.</w:t>
        <w:tab/>
        <w:t>Crearea unui cadru mai bun pentru investițiile în C &amp; I pentru a construi modele de afaceri mai durabile și mai bogate în biodiversitate (CEP 10, 11 și 14); concentrați-vă pe tehnologie și inovare ca vectori ai creșterii. (IT 1.3)</w:t>
      </w:r>
    </w:p>
    <w:p>
      <w:pPr>
        <w:pStyle w:val="Puce3"/>
        <w:tabs>
          <w:tab w:val="clear" w:pos="720"/>
        </w:tabs>
        <w:rPr/>
      </w:pPr>
      <w:r>
        <w:rPr/>
        <w:t>9.</w:t>
        <w:tab/>
        <w:t>Promovarea performanței economice colective printr-o industrie autonomă și competitivă. (FR3)</w:t>
      </w:r>
    </w:p>
    <w:p>
      <w:pPr>
        <w:pStyle w:val="Puce3"/>
        <w:tabs>
          <w:tab w:val="clear" w:pos="720"/>
        </w:tabs>
        <w:rPr/>
      </w:pPr>
      <w:r>
        <w:rPr/>
        <w:t>10.</w:t>
        <w:tab/>
        <w:t>Identificarea și dezvoltarea sectoarelor strategice, inclusiv a spațiului, roboticii și IA. (En 3 &amp; 9)</w:t>
      </w:r>
    </w:p>
    <w:p>
      <w:pPr>
        <w:pStyle w:val="Puce3"/>
        <w:tabs>
          <w:tab w:val="clear" w:pos="720"/>
        </w:tabs>
        <w:rPr/>
      </w:pPr>
      <w:r>
        <w:rPr/>
        <w:t>11.</w:t>
        <w:tab/>
        <w:t>Investiți în turism și în economia culturală, valorificând, de asemenea, numeroasele destinații mici din Europa. (NOTA 1.2)</w:t>
      </w:r>
    </w:p>
    <w:p>
      <w:pPr>
        <w:pStyle w:val="Puce3"/>
        <w:tabs>
          <w:tab w:val="clear" w:pos="720"/>
        </w:tabs>
        <w:rPr/>
      </w:pPr>
      <w:r>
        <w:rPr/>
        <w:t>12.</w:t>
        <w:tab/>
        <w:t>Asigurarea securității aprovizionării prin diversificarea surselor de intrare/materii prime și creșterea producției de bunuri esențiale în Europa, cum ar fi sănătatea, alimentele, energia, apărarea și transporturile. (EN 9, LT 1, IT 1,4)</w:t>
      </w:r>
    </w:p>
    <w:p>
      <w:pPr>
        <w:pStyle w:val="Puce3"/>
        <w:tabs>
          <w:tab w:val="clear" w:pos="720"/>
        </w:tabs>
        <w:rPr/>
      </w:pPr>
      <w:r>
        <w:rPr/>
        <w:t>13.</w:t>
        <w:tab/>
        <w:t>Promovarea digitalizării întreprinderilor europene, de exemplu prin intermediul unui tablou de bord specific care să permită întreprinderilor să compare gradul lor de digitalizare, cu scopul general de a-și spori competitivitatea. (DE LA 2.1)</w:t>
      </w:r>
    </w:p>
    <w:p>
      <w:pPr>
        <w:pStyle w:val="Puce3"/>
        <w:tabs>
          <w:tab w:val="clear" w:pos="720"/>
        </w:tabs>
        <w:rPr/>
      </w:pPr>
      <w:r>
        <w:rPr/>
        <w:t>14.</w:t>
        <w:tab/>
        <w:t>Promovarea coeziunii digitale pentru a contribui la coeziunea economică, socială și teritorială, astfel cum este definită în Tratatul privind funcționarea Uniunii Europene (discuții).</w:t>
      </w:r>
    </w:p>
    <w:p>
      <w:pPr>
        <w:pStyle w:val="Puce3"/>
        <w:tabs>
          <w:tab w:val="clear" w:pos="720"/>
        </w:tabs>
        <w:rPr/>
      </w:pPr>
      <w:r>
        <w:rPr/>
        <w:t>15.</w:t>
        <w:tab/>
        <w:t>Consolidarea cooperării transfrontaliere în vederea consolidării coeziunii și rezilienței în interiorul și în afara regiunilor, prin încurajarea mecanismului transfrontalier european și a instrumentelor similare (discuții).</w:t>
      </w:r>
    </w:p>
    <w:p>
      <w:pPr>
        <w:pStyle w:val="Puce3"/>
        <w:tabs>
          <w:tab w:val="clear" w:pos="720"/>
        </w:tabs>
        <w:rPr/>
      </w:pPr>
      <w:r>
        <w:rPr/>
        <w:t>16.</w:t>
        <w:tab/>
        <w:t>Consolidarea și promovarea oportunităților de formare transfrontalieră în vederea îmbunătățirii competențelor forței de muncă europene și a creșterii competitivității, consolidând în același timp competențele cetățenilor în domeniul economic. (DE 2.2, LT7). Promovarea comerțului între lucrătorii din Europa prin intermediul unui Centru european pentru ocuparea forței de muncă; (IT 6.1) încurajează tinerii să studieze subiecte științifice. (ACEASTA 1.5)</w:t>
      </w:r>
    </w:p>
    <w:p>
      <w:pPr>
        <w:pStyle w:val="Puce3"/>
        <w:tabs>
          <w:tab w:val="clear" w:pos="720"/>
        </w:tabs>
        <w:rPr/>
      </w:pPr>
      <w:r>
        <w:rPr/>
        <w:t>17.</w:t>
        <w:tab/>
        <w:t>Reducerea birocrației (autorizații, certificări) acolo unde aceasta nu este esențială. (TITLUL 2.1)</w:t>
      </w:r>
    </w:p>
    <w:p>
      <w:pPr>
        <w:pStyle w:val="Puce3"/>
        <w:tabs>
          <w:tab w:val="clear" w:pos="720"/>
        </w:tabs>
        <w:rPr/>
      </w:pPr>
      <w:r>
        <w:rPr/>
        <w:t>18.</w:t>
        <w:tab/>
        <w:t>Combaterea contrafacerii și a concurenței neloiale. (TITLUL 2.4)</w:t>
      </w:r>
    </w:p>
    <w:p>
      <w:pPr>
        <w:pStyle w:val="Puce3"/>
        <w:tabs>
          <w:tab w:val="clear" w:pos="720"/>
        </w:tabs>
        <w:rPr/>
      </w:pPr>
      <w:r>
        <w:rPr/>
        <w:t>19.</w:t>
        <w:tab/>
        <w:t>Asigurarea unei participări sporite a întreprinderilor nou-înființate și a IMM-urilor la proiectele de inovare, deoarece acest lucru le consolidează puterea de inovare, competitivitatea și crearea de rețele (platformă electronică, discuții).</w:t>
      </w:r>
    </w:p>
    <w:p>
      <w:pPr>
        <w:pStyle w:val="Puce3"/>
        <w:tabs>
          <w:tab w:val="clear" w:pos="720"/>
        </w:tabs>
        <w:rPr/>
      </w:pPr>
      <w:r>
        <w:rPr/>
        <w:t>20.</w:t>
        <w:tab/>
        <w:t>Consolidarea și protecția pieței unice ar trebui să rămână o prioritate; măsurile și inițiativele luate la nivel național și la nivelul Uniunii nu ar trebui să aducă atingere pieței unice și ar trebui să contribuie la libera circulație a persoanelor, bunurilor, serviciilor și capitalurilor (discuții).</w:t>
      </w:r>
    </w:p>
    <w:p>
      <w:pPr>
        <w:pStyle w:val="Puce3"/>
        <w:tabs>
          <w:tab w:val="clear" w:pos="720"/>
        </w:tabs>
        <w:rPr/>
      </w:pPr>
      <w:r>
        <w:rPr/>
        <w:t>21.</w:t>
        <w:tab/>
        <w:t>Noile inițiative politice ale UE ar trebui să facă obiectul unei „verificări a competitivității” pentru a analiza impactul acestora asupra întreprinderilor și asupra mediului lor de afaceri (costul activității economice, capacitatea de inovare, competitivitatea internațională, condiții de concurență echitabile etc.). Această monitorizare este în conformitate cu Acordul de la Paris și cu obiectivele de dezvoltare durabilă, inclusiv egalitatea de gen, și nu subminează protecția drepturilor omului, a drepturilor sociale și a drepturilor lucrătorilor sau a standardelor de mediu și de protecție a consumatorilor. În acest scop, propunem, de asemenea, crearea unui organism consultativ european pentru competitivitate, care să monitorizeze modul în care se efectuează monitorizarea competitivității și, în special, să evalueze efectele cumulative ale legislației, precum și să prezinte propuneri pentru îmbunătățirea condițiilor-cadru adecvate pentru competitivitatea întreprinderilor din UE. Acest organism ar trebui să includă societatea civilă organizată și partenerii sociali în guvernanța sa; (discuții)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Propunere: Piețe ale forței de muncă favorabile incluziunii</w:t>
      </w:r>
    </w:p>
    <w:p>
      <w:pPr>
        <w:pStyle w:val="P68B1DB1Normal15"/>
        <w:rPr>
          <w:b/>
          <w:b/>
        </w:rPr>
      </w:pPr>
      <w:r>
        <w:rPr/>
        <w:t>Obiectiv: Propunem îmbunătățirea funcționării piețelor forței de muncă pentru a asigura condiții de muncă mai echitabile și pentru a promova egalitatea de gen și ocuparea forței de muncă, în special pentru tineri și grupurile vulnerabile. UE, statele membre și partenerii sociali trebuie să depună eforturi pentru a pune capăt sărăciei lucrătorilor, pentru a consolida drepturile lucrătorilor pe platforme online, pentru a interzice stagiile neremunerate și pentru a asigura o mobilitate echitabilă a forței de muncă în Uniune. Trebuie să promovăm dialogul social și negocierea colectivă. Trebuie să asigurăm punerea în aplicare deplină a Pilonului european al drepturilor sociale, inclusiv a obiectivelor sale principale relevante pentru 2030, la nivel european, național, regional și local, în domenii precum „egalitatea de șanse și accesul la piața muncii” și „condiții de muncă echitabile”, respectând în același timp competențele și principiile subsidiarității și proporționalității, și să includem în tratate un protocol privind progresul social. În acest sens, este necesar să se respecte tradițiile naționale și autonomia partenerilor sociali și să se coopereze cu societatea civilă. Acest lucru ar putea fi realizat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1"/>
      </w:r>
      <w:r>
        <w:rPr/>
        <w:t>:</w:t>
      </w:r>
    </w:p>
    <w:p>
      <w:pPr>
        <w:pStyle w:val="Puce3"/>
        <w:tabs>
          <w:tab w:val="clear" w:pos="720"/>
        </w:tabs>
        <w:rPr/>
      </w:pPr>
      <w:r>
        <w:rPr/>
        <w:t>1.</w:t>
        <w:tab/>
        <w:t>Asigurarea faptului că salariile minime legale garantează fiecărui lucrător o calitate decentă și similară a vieții în toate statele membre. Ar trebui definite criterii clare (de exemplu, costul vieții, inflația, un nivel superior pragului sărăciei, salariile medii și medii la nivel național) care să fie luate în considerare la stabilirea nivelului salariului minim. Nivelurile salariilor minime legale ar trebui revizuite periodic, în lumina acestor criterii, pentru a se asigura caracterul adecvat al acestora. O atenție deosebită ar trebui acordată punerii în aplicare eficiente a acestor norme și monitorizării și monitorizării îmbunătățirii standardelor de viață. În același timp, negocierile colective ar trebui consolidate și promovate în întreaga Uniune (PCE 1 și 30; 4.2; platformă online).</w:t>
      </w:r>
    </w:p>
    <w:p>
      <w:pPr>
        <w:pStyle w:val="Puce3"/>
        <w:tabs>
          <w:tab w:val="clear" w:pos="720"/>
        </w:tabs>
        <w:rPr/>
      </w:pPr>
      <w:r>
        <w:rPr/>
        <w:t>2.</w:t>
        <w:tab/>
        <w:t>Să facă bilanțul și să consolideze în continuare punerea în aplicare a Directivei privind timpul de lucru (Directiva 2003/88/CE) și a altor acte legislative relevante care să asigure un echilibru sănătos între viața profesională și cea privată, luând în considerare, în același timp, noile politici naționale în acest domeniu (CEP 2).</w:t>
      </w:r>
    </w:p>
    <w:p>
      <w:pPr>
        <w:pStyle w:val="Puce3"/>
        <w:tabs>
          <w:tab w:val="clear" w:pos="720"/>
        </w:tabs>
        <w:rPr/>
      </w:pPr>
      <w:r>
        <w:rPr/>
        <w:t>3.</w:t>
        <w:tab/>
        <w:t>Introducerea sau consolidarea legislației existente privind „munca inteligentă” și încurajarea întreprinderilor să promoveze acest nou mod de lucru. (PCE 7) Uniunea ar trebui să garanteze dreptul de a se deconecta, să depună mai multe eforturi pentru a aborda decalajul digital la locul de muncă și să evalueze implicațiile muncii la distanță în materie de sănătate, timp de lucru și performanță. Este necesar să se asigure o digitalizare echitabilă bazată pe drepturile omului, condiții de muncă îmbunătățite și negocieri colective (discuții).</w:t>
      </w:r>
    </w:p>
    <w:p>
      <w:pPr>
        <w:pStyle w:val="Puce3"/>
        <w:tabs>
          <w:tab w:val="clear" w:pos="720"/>
        </w:tabs>
        <w:rPr/>
      </w:pPr>
      <w:r>
        <w:rPr/>
        <w:t>4.</w:t>
        <w:tab/>
        <w:t>Integrarea politicilor de ocupare a forței de muncă la nivelul UE, în care politicile active privind piața forței de muncă rămân centrale și din ce în ce mai coordonate (IT 6.2), în timp ce statele membre se concentrează pe continuarea eforturilor de reformă pentru a crea condiții favorabile pentru crearea de locuri de muncă de calitate (discuții).</w:t>
      </w:r>
    </w:p>
    <w:p>
      <w:pPr>
        <w:pStyle w:val="Puce3"/>
        <w:tabs>
          <w:tab w:val="clear" w:pos="720"/>
        </w:tabs>
        <w:rPr/>
      </w:pPr>
      <w:r>
        <w:rPr/>
        <w:t>5.</w:t>
        <w:tab/>
        <w:t>Să ia măsuri pentru a se asigura că drepturile sociale sunt pe deplin protejate și prevalează asupra libertăților economice în caz de conflict, inclusiv prin introducerea unui protocol privind progresul social în tratate (platformă online, discuții).</w:t>
      </w:r>
    </w:p>
    <w:p>
      <w:pPr>
        <w:pStyle w:val="Puce3"/>
        <w:tabs>
          <w:tab w:val="clear" w:pos="720"/>
        </w:tabs>
        <w:rPr/>
      </w:pPr>
      <w:r>
        <w:rPr/>
        <w:t>6.</w:t>
        <w:tab/>
        <w:t>Asigurarea egalității de gen, în conformitate cu Strategia UE privind egalitatea de gen 2020-2025. Uniunea ar trebui să continue să măsoare egalitatea de gen prin intermediul unui indice al egalității de gen (atitudini, diferențe de remunerare, ocuparea forței de muncă, conducere etc.), să monitorizeze anual strategia, să fie transparentă cu privire la rezultatele obținute, să încurajeze schimbul de expertiză și de bune practici și să instituie un posibil mecanism direct de feedback din partea cetățenilor (de exemplu, un Ombudsman) (PCE 28; 5.a.1). Este necesar să se abordeze diferențele de remunerare între femei și bărbați și să se introducă cote pentru posturile de conducere de nivel superior. Femeile antreprenor ar trebui să beneficieze de un sprijin sporit în mediul de afaceri, la fel ca și femeile din domeniul științei, tehnologiei, ingineriei și matematicii (discuții).</w:t>
      </w:r>
    </w:p>
    <w:p>
      <w:pPr>
        <w:pStyle w:val="Puce3"/>
        <w:tabs>
          <w:tab w:val="clear" w:pos="720"/>
        </w:tabs>
        <w:rPr/>
      </w:pPr>
      <w:r>
        <w:rPr/>
        <w:t>7.</w:t>
        <w:tab/>
        <w:t>Promovarea ocupării forței de muncă în rândul tinerilor, printre altele prin acordarea de sprijin financiar întreprinderilor, dar și prin acordarea de sprijin suplimentar angajatorilor și lucrătorilor (NL 4) și prin sprijinirea tinerilor antreprenori și a tinerilor lucrători independenți, de exemplu prin instrumente și cursuri educaționale (discuții).</w:t>
      </w:r>
    </w:p>
    <w:p>
      <w:pPr>
        <w:pStyle w:val="Puce3"/>
        <w:tabs>
          <w:tab w:val="clear" w:pos="720"/>
        </w:tabs>
        <w:rPr/>
      </w:pPr>
      <w:r>
        <w:rPr/>
        <w:t>8.</w:t>
        <w:tab/>
        <w:t>Promovarea ocupării forței de muncă în rândul grupurilor defavorizate (NL 4), în special pentru persoanele cu handicap (platforma online).</w:t>
      </w:r>
    </w:p>
    <w:p>
      <w:pPr>
        <w:pStyle w:val="Puce3"/>
        <w:tabs>
          <w:tab w:val="clear" w:pos="720"/>
        </w:tabs>
        <w:rPr/>
      </w:pPr>
      <w:r>
        <w:rPr/>
        <w:t>9.</w:t>
        <w:tab/>
        <w:t>Promovarea ocupării forței de muncă și a mobilității sociale, astfel încât oamenii să aibă toate oportunitățile de dezvoltare personală și autodeterminare. (IT 5.a.4 și IT 6.1) Ar putea exista o strategie pe termen lung pentru a se asigura că orice persoană din societatea noastră are competențele adecvate pentru a-și găsi un loc de muncă și a-și dezvolta talentul, în special generația tânără (discuții). Este important să se investească în competențe adaptate nevoilor în schimbare ale pieței forței de muncă și să se promoveze învățarea pe tot parcursul vieții, printre altele, printr-un program de schimb în toate etapele vieții și să se garanteze dreptul la învățare pe tot parcursul vieții și dreptul la formare. (FR 6; În acest scop, este necesar să se consolideze cooperarea dintre întreprinderi, sindicate și furnizorii de servicii de educație și formare profesională (discuții).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Propunere: Politici sociale mai puternice</w:t>
      </w:r>
    </w:p>
    <w:p>
      <w:pPr>
        <w:pStyle w:val="Normal"/>
        <w:rPr/>
      </w:pPr>
      <w:r>
        <w:rPr/>
        <w:t>Obiectiv: Propunem reducerea inegalităților, combaterea excluziunii sociale și a sărăciei. Trebuie să punem în aplicare o strategie cuprinzătoare de combatere a sărăciei, care ar putea include, printre altele, consolidarea Garanției pentru copii și a Garanției pentru tineret, introducerea salariilor minime, un cadru european comun pentru sistemele de venit minim și locuințele sociale decente. Trebuie să asigurăm punerea în aplicare deplină a Pilonului european al drepturilor sociale, inclusiv a obiectivelor sale principale relevante pentru 2030, la nivel european, național, regional și local în domeniile „protecției și incluziunii sociale”, respectând în același timp competențele respective și principiile subsidiarității și proporționalității, și să includem un protocol privind progresul social în tratate. Acest lucru ar putea fi realizat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2"/>
      </w:r>
      <w:r>
        <w:rPr/>
        <w:t>:</w:t>
      </w:r>
    </w:p>
    <w:p>
      <w:pPr>
        <w:pStyle w:val="Puce3"/>
        <w:tabs>
          <w:tab w:val="clear" w:pos="720"/>
        </w:tabs>
        <w:rPr/>
      </w:pPr>
      <w:r>
        <w:rPr/>
        <w:t>1.</w:t>
        <w:tab/>
        <w:t>Consolidarea competențelor Uniunii în domeniul politicilor sociale și propunerea unei legislații armonizate la nivelul Uniunii pentru promovarea politicilor sociale și asigurarea egalității de drepturi, inclusiv a drepturilor în materie de sănătate, ținând seama de reglementările adoptate și de cerințele minime pe întreg teritoriul. (CEP 19 și 21) UE ar putea sprijini și completa politicile statelor membre, printre altele prin propunerea unui cadru comun care să asigure un venit minim, astfel încât nimeni să nu fie lăsat în urmă. Aceste acțiuni ar trebui să se desfășoare în cadrul punerii în aplicare depline a Pilonului european al drepturilor sociale și a planului său de acțiune (discuții).</w:t>
      </w:r>
    </w:p>
    <w:p>
      <w:pPr>
        <w:pStyle w:val="Puce3"/>
        <w:tabs>
          <w:tab w:val="clear" w:pos="720"/>
        </w:tabs>
        <w:rPr/>
      </w:pPr>
      <w:r>
        <w:rPr/>
        <w:t>2.</w:t>
        <w:tab/>
        <w:t>Nu faceți compromisuri cu privire la drepturile sociale (sănătate publică, educație publică, politici în domeniul muncii). (Titlul 4.a.1)</w:t>
      </w:r>
    </w:p>
    <w:p>
      <w:pPr>
        <w:pStyle w:val="Puce3"/>
        <w:tabs>
          <w:tab w:val="clear" w:pos="720"/>
        </w:tabs>
        <w:rPr/>
      </w:pPr>
      <w:r>
        <w:rPr/>
        <w:t>3.</w:t>
        <w:tab/>
        <w:t>Să promoveze cercetarea socială și în domeniul sănătății în UE, urmând liniile prioritare considerate a fi de interes public și aprobate de statele membre, și să asigure o finanțare adecvată. Acest lucru ar putea fi realizat parțial prin consolidarea cooperării între domenii de expertiză, țări și centre de studiu (universități etc.) (CEP 20).</w:t>
      </w:r>
    </w:p>
    <w:p>
      <w:pPr>
        <w:pStyle w:val="Puce3"/>
        <w:tabs>
          <w:tab w:val="clear" w:pos="720"/>
        </w:tabs>
        <w:rPr/>
      </w:pPr>
      <w:r>
        <w:rPr/>
        <w:t>4.</w:t>
        <w:tab/>
        <w:t>Acordarea accesului la servicii medicale tuturor persoanelor cu vârsta sub 16 ani din întreaga UE, în cazul în care aceste servicii nu sunt disponibile în context național (discuții).</w:t>
      </w:r>
    </w:p>
    <w:p>
      <w:pPr>
        <w:pStyle w:val="Puce3"/>
        <w:tabs>
          <w:tab w:val="clear" w:pos="720"/>
        </w:tabs>
        <w:rPr/>
      </w:pPr>
      <w:r>
        <w:rPr/>
        <w:t>5.</w:t>
        <w:tab/>
        <w:t>Să se asigure că UE, împreună cu partenerii sociali și guvernele naționale, sprijină accesul specific al cetățenilor la locuințe sociale decente, în funcție de nevoile lor specifice; efortul financiar ar trebui partajat între donatorii privați, proprietarii de locuințe, beneficiarii de locuințe, guvernele statelor membre la nivel central și local și Uniunea Europeană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Propunere: Tranziția demografică</w:t>
      </w:r>
    </w:p>
    <w:p>
      <w:pPr>
        <w:pStyle w:val="P68B1DB1Normal15"/>
        <w:rPr>
          <w:b/>
          <w:b/>
        </w:rPr>
      </w:pPr>
      <w:r>
        <w:rPr/>
        <w:t>Obiectiv: propunem abordarea provocărilor generate de tranziția demografică ca o componentă esențială a rezilienței globale a Europei, în special a ratelor scăzute ale natalității și a îmbătrânirii constante a populației, oferind sprijin oamenilor pe tot parcursul vieții lor. Aceasta ar trebui să fie o acțiune cuprinzătoare care să vizeze toate generațiile, de la copii și tineri la familii, la populația în vârstă de muncă, la persoanele în vârstă care sunt încă pregătite să lucreze și la cei care sunt pensionați sau care au nevoie de îngrijire. Acest lucru ar putea fi realizat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3"/>
      </w:r>
      <w:r>
        <w:rPr/>
        <w:t>:</w:t>
      </w:r>
    </w:p>
    <w:p>
      <w:pPr>
        <w:pStyle w:val="Puce3"/>
        <w:tabs>
          <w:tab w:val="clear" w:pos="720"/>
        </w:tabs>
        <w:rPr/>
      </w:pPr>
      <w:r>
        <w:rPr/>
        <w:t>1.</w:t>
        <w:tab/>
        <w:t>Asigurarea unor servicii de îngrijire a copiilor de calitate, abordabile și accesibile în întreaga UE, astfel încât mamele și tații să poată reconcilia cu încredere viața profesională cu viața de familie. Acolo unde este cazul, aceasta ar putea include oportunități de îngrijire a copiilor la locul de muncă sau în apropierea acestuia. În unele state membre, este disponibilă, de asemenea, servicii de îngrijire a copiilor peste noapte, care ar trebui să servească drept exemplu. În plus, aceste măsuri ar putea fi însoțite de măsuri de sprijin, cum ar fi cotele reduse de TVA pentru echipamentele necesare pentru copii. Este esențial să se prevină sărăcia și excluziunea socială în rândul copiilor. (CEP 22-26) Consolidarea garanției pentru copii, prin asigurarea accesului copiilor aflați în dificultate la servicii precum educația și îngrijirea copiilor, îngrijirea sănătății, alimentația și locuințele, ar putea fi un instrument în acest sens (platformă electronică, discuții).</w:t>
      </w:r>
    </w:p>
    <w:p>
      <w:pPr>
        <w:pStyle w:val="Puce3"/>
        <w:tabs>
          <w:tab w:val="clear" w:pos="720"/>
        </w:tabs>
        <w:rPr/>
      </w:pPr>
      <w:r>
        <w:rPr/>
        <w:t>2.</w:t>
        <w:tab/>
        <w:t>Să instituie un sprijin specific și protecția muncii pentru tineri. Măsurile care vizează populația în vârstă de muncă ar trebui să includă accesul la cunoștințe pentru mame și tați la întoarcerea la locul de muncă (CEP 22). Consolidarea Garanției pentru tineret ar putea fi un instrument de îmbunătățire a accesului tinerilor sub 30 de ani la o ofertă de bună calitate de ocupare a forței de muncă, de educație continuă, de ucenicie sau de stagii. (discuții)</w:t>
      </w:r>
    </w:p>
    <w:p>
      <w:pPr>
        <w:pStyle w:val="Puce3"/>
        <w:tabs>
          <w:tab w:val="clear" w:pos="720"/>
        </w:tabs>
        <w:rPr/>
      </w:pPr>
      <w:r>
        <w:rPr/>
        <w:t>3.</w:t>
        <w:tab/>
        <w:t>Promovarea dreptului la libera circulație a educației în cadrul Uniunii, în special prin recunoașterea reciprocă a diplomelor, gradelor, competențelor și calificărilor. (discuții)</w:t>
      </w:r>
    </w:p>
    <w:p>
      <w:pPr>
        <w:pStyle w:val="Puce3"/>
        <w:tabs>
          <w:tab w:val="clear" w:pos="720"/>
        </w:tabs>
        <w:rPr/>
      </w:pPr>
      <w:r>
        <w:rPr/>
        <w:t>4.</w:t>
        <w:tab/>
        <w:t>Să îmbunătățească legislația și punerea sa în aplicare pentru a oferi sprijin familiilor din toate statele membre, de exemplu în ceea ce privește concediul pentru creșterea copilului și alocațiile de naștere și de îngrijire a copilului. (PCE 26 și IT 5.a.1) Locuința joacă un rol esențial în sprijinirea familiilor și ar trebui abordată (platformă online, discuții).</w:t>
      </w:r>
    </w:p>
    <w:p>
      <w:pPr>
        <w:pStyle w:val="Puce3"/>
        <w:tabs>
          <w:tab w:val="clear" w:pos="720"/>
        </w:tabs>
        <w:rPr/>
      </w:pPr>
      <w:r>
        <w:rPr/>
        <w:t>5.</w:t>
        <w:tab/>
        <w:t>Să ia măsuri pentru a se asigura că toate familiile beneficiază de aceleași drepturi familiale în toate statele membre. Aceasta ar trebui să includă dreptul la căsătorie și adopție. (PCE 27)</w:t>
      </w:r>
    </w:p>
    <w:p>
      <w:pPr>
        <w:pStyle w:val="Puce3"/>
        <w:tabs>
          <w:tab w:val="clear" w:pos="720"/>
        </w:tabs>
        <w:rPr/>
      </w:pPr>
      <w:r>
        <w:rPr/>
        <w:t>6.</w:t>
        <w:tab/>
        <w:t>Să promoveze o vârstă de pensionare flexibilă, ținând seama de situația specifică a persoanelor în vârstă. Atunci când se stabilește vârsta de pensionare, este necesar să se diferențieze în funcție de profesie și, prin urmare, să se ia în considerare o muncă deosebit de solicitantă, atât mentală, cât și fizică. (PCE 21 și IT 5.a.1)</w:t>
      </w:r>
    </w:p>
    <w:p>
      <w:pPr>
        <w:pStyle w:val="Puce3"/>
        <w:tabs>
          <w:tab w:val="clear" w:pos="720"/>
        </w:tabs>
        <w:rPr/>
      </w:pPr>
      <w:r>
        <w:rPr/>
        <w:t>7.</w:t>
        <w:tab/>
        <w:t>Prevenirea sărăciei în rândul persoanelor în vârstă prin introducerea unor pensii minime. Aceste niveluri minime ar trebui să țină seama de nivelul de trai, de pragul de sărăcie și de puterea de cumpărare din statul membru în cauză. (PCE 21)</w:t>
      </w:r>
    </w:p>
    <w:p>
      <w:pPr>
        <w:pStyle w:val="Puce3"/>
        <w:tabs>
          <w:tab w:val="clear" w:pos="720"/>
        </w:tabs>
        <w:rPr/>
      </w:pPr>
      <w:r>
        <w:rPr/>
        <w:t>8.</w:t>
        <w:tab/>
        <w:t>Asigurarea asistenței sociale și a asistenței medicale adecvate pentru persoanele în vârstă. În acest sens, este important să ne concentrăm atât pe îngrijirea comunității, cât și pe îngrijirea rezidențială. În mod similar, măsurile trebuie să ia în considerare atât beneficiarii serviciilor de îngrijire, cât și furnizorii de servicii de îngrijire. (PCE 23)</w:t>
      </w:r>
    </w:p>
    <w:p>
      <w:pPr>
        <w:pStyle w:val="Puce3"/>
        <w:tabs>
          <w:tab w:val="clear" w:pos="720"/>
        </w:tabs>
        <w:rPr/>
      </w:pPr>
      <w:r>
        <w:rPr/>
        <w:t>9.</w:t>
        <w:tab/>
        <w:t>Asigurarea dezvoltării durabile și a rezilienței demografice a regiunilor rămase în urmă, pentru a le face mai dinamice și mai atractive, inclusiv prin intermediul politicii de coeziune. (platformă online și discuții)</w:t>
      </w:r>
    </w:p>
    <w:p>
      <w:pPr>
        <w:pStyle w:val="Puce3"/>
        <w:tabs>
          <w:tab w:val="clear" w:pos="720"/>
        </w:tabs>
        <w:rPr/>
      </w:pPr>
      <w:r>
        <w:rPr/>
        <w:t>10.</w:t>
        <w:tab/>
        <w:t>Să ia măsuri coordonate la nivel european pentru a colecta date defalcate pe factori precum genul și pentru a analiza tendințele demografice, pentru a face schimb de bune practici și cunoștințe și pentru a sprijini statele membre în elaborarea și punerea în aplicare a unor politici adecvate, inclusiv prin înființarea unui organism al UE specializat în acest domeniu. (platformă online și discuții).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Propunere: Politici fiscale și fiscale</w:t>
      </w:r>
    </w:p>
    <w:p>
      <w:pPr>
        <w:pStyle w:val="P68B1DB1Normal15"/>
        <w:rPr>
          <w:b/>
          <w:b/>
        </w:rPr>
      </w:pPr>
      <w:r>
        <w:rPr/>
        <w:t>Obiectiv: propunem UE să încurajeze investițiile orientate spre viitor, axate pe tranzițiile verzi și digitale, cu o puternică dimensiune socială și de gen, ținând seama de exemplele din Next Generation EU și de Instrumentul european de sprijin temporar pentru atenuarea riscurilor de șomaj în situații de urgență (SURE). Uniunea trebuie să țină seama de impactul social și economic al războiului împotriva Ucrainei și de legătura dintre guvernanța sa economică și noul context geopolitic, prin consolidarea propriului buget cu noi resurse proprii. Cetățenii doresc ca impozitarea să se îndepărteze de cetățeni și de IMM-uri și să vizeze infractorii fiscali, marii poluatori și giganții digitali, dorind totodată ca UE să sprijine capacitatea statelor membre și a autorităților locale de a se finanța și de a utiliza fondurile UE. Acest obiectiv ar trebui să fie atins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4"/>
      </w:r>
      <w:r>
        <w:rPr/>
        <w:t>:</w:t>
      </w:r>
    </w:p>
    <w:p>
      <w:pPr>
        <w:pStyle w:val="Puce3"/>
        <w:tabs>
          <w:tab w:val="clear" w:pos="720"/>
        </w:tabs>
        <w:rPr/>
      </w:pPr>
      <w:r>
        <w:rPr/>
        <w:t>1.</w:t>
        <w:tab/>
        <w:t>Armonizarea și coordonarea politicilor fiscale în statele membre ale UE pentru a preveni evaziunea și evitarea obligațiilor fiscale, pentru a evita paradisurile fiscale în cadrul UE și pentru a viza relocarea în Europa, inclusiv prin asigurarea faptului că deciziile fiscale pot fi luate cu majoritate calificată în cadrul Consiliului UE. Pe de altă parte, există recomandări din partea grupurilor de cetățeni că impozitarea ține de competența diferitelor țări, care au propriile obiective și circumstanțe. (PCE 13 și 31, IT 4.b.3, NL 2.3)</w:t>
      </w:r>
    </w:p>
    <w:p>
      <w:pPr>
        <w:pStyle w:val="Puce3"/>
        <w:tabs>
          <w:tab w:val="clear" w:pos="720"/>
        </w:tabs>
        <w:rPr/>
      </w:pPr>
      <w:r>
        <w:rPr/>
        <w:t>2.</w:t>
        <w:tab/>
        <w:t>Să promoveze cooperarea între statele membre ale UE pentru a se asigura că toate întreprinderile din UE își plătesc impozitele în mod echitabil; introducerea unei baze fiscale comune a societăților (CCTB) sau a unei rate minime efective. (NL 3)</w:t>
      </w:r>
    </w:p>
    <w:p>
      <w:pPr>
        <w:pStyle w:val="Puce3"/>
        <w:tabs>
          <w:tab w:val="clear" w:pos="720"/>
        </w:tabs>
        <w:rPr/>
      </w:pPr>
      <w:r>
        <w:rPr/>
        <w:t>3.</w:t>
        <w:tab/>
        <w:t>Asigurați-vă că întreprinderile plătesc impozite în cazul în care se obțin profituri. (PCE 13)</w:t>
      </w:r>
    </w:p>
    <w:p>
      <w:pPr>
        <w:pStyle w:val="Puce3"/>
        <w:tabs>
          <w:tab w:val="clear" w:pos="720"/>
        </w:tabs>
        <w:rPr/>
      </w:pPr>
      <w:r>
        <w:rPr/>
        <w:t>4.</w:t>
        <w:tab/>
        <w:t>Asigurarea faptului că politica fiscală sprijină industria europeană și previne pierderea locurilor de muncă în Europa. (PCE 13 și 31)</w:t>
      </w:r>
    </w:p>
    <w:p>
      <w:pPr>
        <w:pStyle w:val="Puce3"/>
        <w:tabs>
          <w:tab w:val="clear" w:pos="720"/>
        </w:tabs>
        <w:rPr/>
      </w:pPr>
      <w:r>
        <w:rPr/>
        <w:t>5.</w:t>
        <w:tab/>
        <w:t>Să analizeze mai detaliat posibilitatea unor împrumuturi comune la nivelul Uniunii, în vederea creării unor condiții de împrumut mai favorabile, menținând în același timp politici fiscale responsabile la nivelul statelor membre. (LT 9)</w:t>
      </w:r>
    </w:p>
    <w:p>
      <w:pPr>
        <w:pStyle w:val="Puce3"/>
        <w:tabs>
          <w:tab w:val="clear" w:pos="720"/>
        </w:tabs>
        <w:rPr/>
      </w:pPr>
      <w:r>
        <w:rPr/>
        <w:t>6.</w:t>
        <w:tab/>
        <w:t>Consolidarea monitorizării absorbției și utilizării fondurilor Uniunii, inclusiv la nivel local și municipal.(LT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Jocuri cu Jocul 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Jocuri cu Jocul Image24"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UE în lume”</w:t>
      </w:r>
    </w:p>
    <w:p>
      <w:pPr>
        <w:pStyle w:val="Titre3"/>
        <w:numPr>
          <w:ilvl w:val="2"/>
          <w:numId w:val="2"/>
        </w:numPr>
        <w:rPr/>
      </w:pPr>
      <w:bookmarkStart w:id="65" w:name="__RefHeading___Toc298304_1346298689"/>
      <w:bookmarkEnd w:id="65"/>
      <w:r>
        <w:rPr/>
        <w:t>17. Propunere: Reducerea dependenței UE de actorii străini din sectoarele strategice din punct de vedere economic</w:t>
      </w:r>
    </w:p>
    <w:p>
      <w:pPr>
        <w:pStyle w:val="P68B1DB1Normal15"/>
        <w:rPr>
          <w:b/>
          <w:b/>
        </w:rPr>
      </w:pPr>
      <w:r>
        <w:rPr/>
        <w:t>Obiectiv: Propunem UE să ia măsuri pentru a-și consolida autonomia în sectoare strategice cheie, cum ar fi produsele agricole, bunurile economice strategice, semiconductorii, produsele medicale, tehnologiile digitale și de mediu inovatoare și energia,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Promovarea activităților de cercetare, dezvoltare și inovare și colaborarea între partenerii publici și privați în acest domeniu.</w:t>
      </w:r>
    </w:p>
    <w:p>
      <w:pPr>
        <w:pStyle w:val="Puce3"/>
        <w:tabs>
          <w:tab w:val="clear" w:pos="720"/>
        </w:tabs>
        <w:rPr/>
      </w:pPr>
      <w:r>
        <w:rPr/>
        <w:t>2.</w:t>
        <w:tab/>
        <w:t>Menținerea unei agende ambițioase pentru negocierile comerciale, care poate contribui la consolidarea rezilienței și diversificării lanțurilor de aprovizionare, în special în ceea ce privește materiile prime, împărtășind totodată beneficiile comerțului într-un mod mai echitabil și cu mai mulți parteneri, limitând astfel expunerea și dependența noastră de un număr mic de furnizori care pot prezenta un risc</w:t>
      </w:r>
      <w:r>
        <w:rPr>
          <w:rStyle w:val="Ancredenotedefin"/>
          <w:rStyle w:val="Ancredenotedefin"/>
        </w:rPr>
        <w:endnoteReference w:id="15"/>
      </w:r>
      <w:r>
        <w:rPr/>
        <w:t>.</w:t>
      </w:r>
    </w:p>
    <w:p>
      <w:pPr>
        <w:pStyle w:val="Puce3"/>
        <w:tabs>
          <w:tab w:val="clear" w:pos="720"/>
        </w:tabs>
        <w:rPr/>
      </w:pPr>
      <w:r>
        <w:rPr/>
        <w:t>3.</w:t>
        <w:tab/>
        <w:t>O mai mare reziliență a lanțurilor de aprovizionare din UE prin promovarea investițiilor în sectoarele strategice din Uniune, stocarea producției și dispozitivelor critice și diversificarea surselor de aprovizionare cu materii prime critice.</w:t>
      </w:r>
    </w:p>
    <w:p>
      <w:pPr>
        <w:pStyle w:val="Puce3"/>
        <w:tabs>
          <w:tab w:val="clear" w:pos="720"/>
        </w:tabs>
        <w:rPr/>
      </w:pPr>
      <w:r>
        <w:rPr/>
        <w:t>4.</w:t>
        <w:tab/>
        <w:t>Noi investiții în realizarea pieței interne și crearea unor condiții de concurență echitabile pentru ca producția și achiziționarea acestor produse să devină mai atractive în Uniunea Europeană.</w:t>
      </w:r>
    </w:p>
    <w:p>
      <w:pPr>
        <w:pStyle w:val="Puce3"/>
        <w:tabs>
          <w:tab w:val="clear" w:pos="720"/>
        </w:tabs>
        <w:rPr/>
      </w:pPr>
      <w:r>
        <w:rPr/>
        <w:t>5.</w:t>
        <w:tab/>
        <w:t>Sprijin care să permită ca aceste produse să fie disponibile și la prețuri accesibile pentru consumatorii europeni și să contribuie la reducerea dependențelor externe, de exemplu prin politici structurale și regionale, scutiri fiscale, subvenții, investiții în infrastructură și cercetare, stimularea competitivității IMM-urilor, precum și programe educaționale pentru a menține competențele și locurile de muncă corespunzătoare în Europa, care sunt relevante pentru asigurarea nevoilor de bază</w:t>
      </w:r>
      <w:r>
        <w:rPr>
          <w:rStyle w:val="Ancredenotedefin"/>
          <w:rStyle w:val="Ancredenotedefin"/>
        </w:rPr>
        <w:endnoteReference w:id="16"/>
      </w:r>
      <w:r>
        <w:rPr/>
        <w:t>.</w:t>
      </w:r>
    </w:p>
    <w:p>
      <w:pPr>
        <w:pStyle w:val="Puce3"/>
        <w:tabs>
          <w:tab w:val="clear" w:pos="720"/>
        </w:tabs>
        <w:rPr/>
      </w:pPr>
      <w:r>
        <w:rPr/>
        <w:t>6.</w:t>
        <w:tab/>
        <w:t>Un program european de sprijinire a micilor producători locali din sectoarele strategice din toate statele</w:t>
      </w:r>
      <w:r>
        <w:rPr>
          <w:rStyle w:val="Ancredenotedefin"/>
          <w:rStyle w:val="Ancredenotedefin"/>
        </w:rPr>
        <w:endnoteReference w:id="17"/>
      </w:r>
      <w:r>
        <w:rPr/>
        <w:t>membre, utilizând într-o mai mare măsură programele și instrumentele financiare ale UE, cum ar fi InvestEU.</w:t>
      </w:r>
    </w:p>
    <w:p>
      <w:pPr>
        <w:pStyle w:val="Puce3"/>
        <w:tabs>
          <w:tab w:val="clear" w:pos="720"/>
        </w:tabs>
        <w:rPr/>
      </w:pPr>
      <w:r>
        <w:rPr/>
        <w:t>7.</w:t>
        <w:tab/>
        <w:t>O mai bună cooperare între statele membre pentru gestionarea gestionării riscurilor în cadrul lanțului de aprovizionare.</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Propunere: Reducerea dependenței UE de actorii externi din domeniul energiei</w:t>
      </w:r>
    </w:p>
    <w:p>
      <w:pPr>
        <w:pStyle w:val="P68B1DB1Normal15"/>
        <w:rPr>
          <w:b/>
          <w:b/>
        </w:rPr>
      </w:pPr>
      <w:r>
        <w:rPr/>
        <w:t>Obiectiv: Propunem ca UE să obțină o mai mare autonomie în ceea ce privește producția și aprovizionarea cu energie, în contextul tranziției ecologice în curs,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Adoptarea unei strategii care să o facă mai autonomă în producția sa de energie. Un organism european ar trebui să integreze agențiile europene existente în domeniul energiei, să coordoneze dezvoltarea energiei din surse regenerabile și să promoveze schimbul de cunoștințe</w:t>
      </w:r>
      <w:r>
        <w:rPr>
          <w:rStyle w:val="Ancredenotedefin"/>
          <w:rStyle w:val="Ancredenotedefin"/>
        </w:rPr>
        <w:endnoteReference w:id="19"/>
      </w:r>
      <w:r>
        <w:rPr/>
        <w:t>.</w:t>
      </w:r>
    </w:p>
    <w:p>
      <w:pPr>
        <w:pStyle w:val="Puce3"/>
        <w:tabs>
          <w:tab w:val="clear" w:pos="720"/>
        </w:tabs>
        <w:rPr/>
      </w:pPr>
      <w:r>
        <w:rPr/>
        <w:t>2.</w:t>
        <w:tab/>
        <w:t>Sprijin activ pentru proiectele privind transportul public și eficiența energetică, o rețea feroviară europeană de transport de marfă de mare viteză, extinderea aprovizionării cu energie curată și regenerabilă (inclusiv energia solară și eoliană), tehnologiile alternative (cum ar fi hidrogenul sau recuperarea energetică a deșeurilor) și tranziția în zonele urbane de la o cultură a automobilelor unică la o cultură a transportului public, a utilizării în comun a autoturismelor și a bicicletelor</w:t>
      </w:r>
      <w:r>
        <w:rPr>
          <w:rStyle w:val="Ancredenotedefin"/>
          <w:rStyle w:val="Ancredenotedefin"/>
        </w:rPr>
        <w:endnoteReference w:id="20"/>
      </w:r>
      <w:r>
        <w:rPr/>
        <w:t>.</w:t>
      </w:r>
    </w:p>
    <w:p>
      <w:pPr>
        <w:pStyle w:val="Puce3"/>
        <w:tabs>
          <w:tab w:val="clear" w:pos="720"/>
        </w:tabs>
        <w:rPr/>
      </w:pPr>
      <w:r>
        <w:rPr/>
        <w:t>3.</w:t>
        <w:tab/>
        <w:t>Asigurarea unei tranziții juste și echitabile, în special prin sprijinirea cetățenilor vulnerabili, care se confruntă cu cele mai mari provocări în tranziția către neutralitatea climatică și care suferă deja de prețuri mai ridicate la energie din cauza dependenței energetice și a triplării recente a prețurilor la energie.</w:t>
      </w:r>
    </w:p>
    <w:p>
      <w:pPr>
        <w:pStyle w:val="Normal"/>
        <w:rPr/>
      </w:pPr>
      <w:r>
        <w:rPr/>
      </w:r>
    </w:p>
    <w:p>
      <w:pPr>
        <w:pStyle w:val="Puce3"/>
        <w:tabs>
          <w:tab w:val="clear" w:pos="720"/>
        </w:tabs>
        <w:rPr/>
      </w:pPr>
      <w:r>
        <w:rPr/>
        <w:t>4.</w:t>
        <w:tab/>
        <w:t>O colaborare sporită în ceea ce privește evaluarea utilizării energiei nucleare în contextul tranziției verzi în curs către energia din surse regenerabile în Europa, examinând problemele colective pe care le-ar putea rezolva sau crea, deoarece aceasta este încă utilizată de multe state membre</w:t>
      </w:r>
      <w:r>
        <w:rPr>
          <w:rStyle w:val="Ancredenotedefin"/>
          <w:rStyle w:val="Ancredenotedefin"/>
        </w:rPr>
        <w:endnoteReference w:id="21"/>
      </w:r>
      <w:r>
        <w:rPr/>
        <w:t>.</w:t>
      </w:r>
    </w:p>
    <w:p>
      <w:pPr>
        <w:pStyle w:val="Puce3"/>
        <w:tabs>
          <w:tab w:val="clear" w:pos="720"/>
        </w:tabs>
        <w:rPr/>
      </w:pPr>
      <w:r>
        <w:rPr/>
        <w:t>5.</w:t>
        <w:tab/>
        <w:t>Cooperarea cu partenerii internaționali pentru a le angaja să atingă obiective mai ambițioase în materie de schimbări climatice în diferite foruri internaționale, inclusiv G7 și G20.</w:t>
      </w:r>
    </w:p>
    <w:p>
      <w:pPr>
        <w:pStyle w:val="Puce3"/>
        <w:tabs>
          <w:tab w:val="clear" w:pos="720"/>
        </w:tabs>
        <w:rPr/>
      </w:pPr>
      <w:r>
        <w:rPr/>
        <w:t>6.</w:t>
        <w:tab/>
        <w:t>Corelarea comerțului exterior cu măsurile de politică în domeniul schimbărilor climatice (de exemplu, prin lansarea unui pachet de măsuri de investiții pentru tehnologii și inovații ecologice, inclusiv programe de finanțare)</w:t>
      </w:r>
      <w:r>
        <w:rPr>
          <w:rStyle w:val="Ancredenotedefin"/>
          <w:rStyle w:val="Ancredenotedefin"/>
        </w:rPr>
        <w:endnoteReference w:id="22"/>
      </w:r>
      <w:r>
        <w:rPr/>
        <w:t>.</w:t>
      </w:r>
    </w:p>
    <w:p>
      <w:pPr>
        <w:pStyle w:val="Puce3"/>
        <w:tabs>
          <w:tab w:val="clear" w:pos="720"/>
        </w:tabs>
        <w:rPr/>
      </w:pPr>
      <w:r>
        <w:rPr/>
        <w:t>7.</w:t>
        <w:tab/>
        <w:t>Achiziționarea în comun a unor parteneriate energetice importate și a unor parteneriate în domeniul energiei durabile, pentru a reduce dependența Europei de importurile de energie, în special în domeniul gazelor și petrolului, și pentru a dezvolta sursele interne de energie ale 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Propunere: Stabilirea de standarde în interiorul și în afara UE în relațiile comerciale și de investiții</w:t>
      </w:r>
    </w:p>
    <w:p>
      <w:pPr>
        <w:pStyle w:val="P68B1DB1Normal15"/>
        <w:rPr>
          <w:b/>
          <w:b/>
        </w:rPr>
      </w:pPr>
      <w:r>
        <w:rPr/>
        <w:t>Obiectiv: Propunem ca UE să consolideze dimensiunea etică a relațiilor sale comerciale și de investiții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Conservarea și reformarea arhitecturii noastre comerciale multilaterale bazate pe norme și parteneriatul cu democrațiile care împărtășesc aceeași viziune.</w:t>
      </w:r>
    </w:p>
    <w:p>
      <w:pPr>
        <w:pStyle w:val="Puce3"/>
        <w:tabs>
          <w:tab w:val="clear" w:pos="720"/>
        </w:tabs>
        <w:rPr/>
      </w:pPr>
      <w:r>
        <w:rPr/>
        <w:t>2.</w:t>
        <w:tab/>
        <w:t>O legislație a UE eficace și proporțională pentru a se asigura că standardele privind munca decentă sunt aplicate pe deplin în cadrul lanțurilor valorice globale, inclusiv în procesele de producție și de aprovizionare din UE, și că bunurile importate respectă standardele etice calitative, dezvoltarea durabilă și standardele privind drepturile omului, inclusiv drepturile lucrătorilor și ale sindicatelor, oferind certificarea produselor în conformitate cu această legislație a UE</w:t>
      </w:r>
      <w:r>
        <w:rPr>
          <w:rStyle w:val="Ancredenotedefin"/>
          <w:rStyle w:val="Ancredenotedefin"/>
        </w:rPr>
        <w:endnoteReference w:id="23"/>
      </w:r>
      <w:r>
        <w:rPr/>
        <w:t xml:space="preserve"> și angajându-se într-un proces de dialog la nivelul UE care vizează informarea și educarea cu privire la efectele de mediu și etice ale schimbărilor strategice din comerțul internațional.</w:t>
      </w:r>
    </w:p>
    <w:p>
      <w:pPr>
        <w:pStyle w:val="Normal"/>
        <w:rPr/>
      </w:pPr>
      <w:r>
        <w:rPr/>
      </w:r>
    </w:p>
    <w:p>
      <w:pPr>
        <w:pStyle w:val="Puce3"/>
        <w:tabs>
          <w:tab w:val="clear" w:pos="720"/>
        </w:tabs>
        <w:rPr/>
      </w:pPr>
      <w:r>
        <w:rPr/>
        <w:t>3.</w:t>
        <w:tab/>
        <w:t>Restricții privind importul și vânzarea de produse din țări care permit munca forțată și munca copiilor, o listă neagră actualizată periodic a întreprinderilor și sensibilizarea consumatorilor cu privire la munca copiilor prin intermediul informațiilor publicate pe canalele oficiale ale UE</w:t>
      </w:r>
      <w:r>
        <w:rPr>
          <w:rStyle w:val="Ancredenotedefin"/>
          <w:rStyle w:val="Ancredenotedefin"/>
        </w:rPr>
        <w:endnoteReference w:id="24"/>
      </w:r>
      <w:r>
        <w:rPr/>
        <w:t>.</w:t>
      </w:r>
    </w:p>
    <w:p>
      <w:pPr>
        <w:pStyle w:val="Puce3"/>
        <w:tabs>
          <w:tab w:val="clear" w:pos="720"/>
        </w:tabs>
        <w:rPr/>
      </w:pPr>
      <w:r>
        <w:rPr/>
        <w:t>4.</w:t>
        <w:tab/>
        <w:t>Monitorizarea și asigurarea respectării capitolelor aplicabile privind comerțul și dezvoltarea durabilă din acordurile de liber schimb ale UE, inclusiv posibilitatea unui mecanism bazat pe sancțiuni de ultimă instanță.</w:t>
      </w:r>
    </w:p>
    <w:p>
      <w:pPr>
        <w:pStyle w:val="Puce3"/>
        <w:tabs>
          <w:tab w:val="clear" w:pos="720"/>
        </w:tabs>
        <w:rPr/>
      </w:pPr>
      <w:r>
        <w:rPr/>
        <w:t>5.</w:t>
        <w:tab/>
        <w:t>Reforma sistemului generalizat de preferințe (SGP) al UE pentru a include dispoziții stricte în materie de ecocondiționalitate și procese eficace și adecvate de monitorizare, raportare și dialog pentru a îmbunătăți impactul pe care SGP îl poate avea asupra comerțului, drepturilor omului și dezvoltării în țările partenere, cu posibilitatea de a retrage preferințele comerciale în caz de neconformitate.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Propunere: Stabilirea de standarde în interiorul și în afara UE pentru politicile de mediu</w:t>
      </w:r>
    </w:p>
    <w:p>
      <w:pPr>
        <w:pStyle w:val="P68B1DB1Normal15"/>
        <w:rPr>
          <w:b/>
          <w:b/>
        </w:rPr>
      </w:pPr>
      <w:r>
        <w:rPr/>
        <w:t>Obiectiv: Propunem ca UE să consolideze dimensiunea de mediu a relațiilor sale comerciale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Armonizarea și consolidarea etichetării ecologice și afișarea obligatorie a unui indicator european de impact asupra mediului (ecoscore) pentru toate produsele de consum. Ecoscorul ar fi calculat pe baza emisiilor provenite din producție și transport, precum și a nocivității conținutului, pe baza unei liste de produse periculoase. Ecoscore-ul ar trebui gestionat și monitorizat de o autoritate europeană</w:t>
      </w:r>
      <w:r>
        <w:rPr>
          <w:rStyle w:val="Ancredenotedefin"/>
          <w:rStyle w:val="Ancredenotedefin"/>
        </w:rPr>
        <w:endnoteReference w:id="25"/>
      </w:r>
      <w:r>
        <w:rPr/>
        <w:t>.</w:t>
      </w:r>
    </w:p>
    <w:p>
      <w:pPr>
        <w:pStyle w:val="Puce3"/>
        <w:tabs>
          <w:tab w:val="clear" w:pos="720"/>
        </w:tabs>
        <w:rPr/>
      </w:pPr>
      <w:r>
        <w:rPr/>
        <w:t>2.</w:t>
        <w:tab/>
        <w:t>Standarde de mediu mai ridicate pentru exportul de deșeuri, precum și controale și sancțiuni mai stricte pentru a opri exporturile ilegale. Uniunea ar trebui să încurajeze statele membre să recicleze propriile deșeuri și să le utilizeze pentru a produce energie</w:t>
      </w:r>
      <w:r>
        <w:rPr>
          <w:rStyle w:val="Ancredenotedefin"/>
          <w:rStyle w:val="Ancredenotedefin"/>
        </w:rPr>
        <w:endnoteReference w:id="26"/>
      </w:r>
      <w:r>
        <w:rPr/>
        <w:t>.</w:t>
      </w:r>
    </w:p>
    <w:p>
      <w:pPr>
        <w:pStyle w:val="Puce3"/>
        <w:tabs>
          <w:tab w:val="clear" w:pos="720"/>
        </w:tabs>
        <w:rPr/>
      </w:pPr>
      <w:r>
        <w:rPr/>
        <w:t>3.</w:t>
        <w:tab/>
        <w:t>Definirea unui obiectiv de eliminare a ambalajelor poluante prin promovarea ambalajelor mai puțin poluante sau a ambalajelor mai ecologice</w:t>
      </w:r>
      <w:r>
        <w:rPr>
          <w:rStyle w:val="Ancredenotedefin"/>
          <w:rStyle w:val="Ancredenotedefin"/>
        </w:rPr>
        <w:endnoteReference w:id="27"/>
      </w:r>
      <w:r>
        <w:rPr/>
        <w:t xml:space="preserve"> și stabilirea de parteneriate cu țările în curs de dezvoltare, prin sprijinirea infrastructurii acestora și prin luarea în considerare a acordurilor comerciale reciproc avantajoase, pentru a le sprijini în tranziția lor către surse de energie ecologice</w:t>
      </w:r>
      <w:r>
        <w:rPr>
          <w:rStyle w:val="Ancredenotedefin"/>
          <w:rStyle w:val="Ancredenotedefin"/>
        </w:rPr>
        <w:endnoteReference w:id="28"/>
      </w:r>
      <w:r>
        <w:rPr/>
        <w:t>.</w:t>
      </w:r>
    </w:p>
    <w:p>
      <w:pPr>
        <w:pStyle w:val="Puce3"/>
        <w:tabs>
          <w:tab w:val="clear" w:pos="720"/>
        </w:tabs>
        <w:rPr/>
      </w:pPr>
      <w:r>
        <w:rPr/>
        <w:t>4.</w:t>
        <w:tab/>
        <w:t>Posibilitatea de a recompensa țările cu standarde ridicate de durabilitate prin asigurarea unui acces suplimentar la piața UE pentru bunurile și serviciile lor durabile, fie unilateral prin intermediul sistemului generalizat de preferințe SGP+, fie bilateral, prin acorduri comerciale negociate sau multilateral, prin inițiative din cadrul Organizației Mondiale a Comerțului.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Propunere: Procesul decizional și coeziunea în cadrul Uniunii</w:t>
      </w:r>
    </w:p>
    <w:p>
      <w:pPr>
        <w:pStyle w:val="P68B1DB1Normal15"/>
        <w:rPr>
          <w:b/>
          <w:b/>
        </w:rPr>
      </w:pPr>
      <w:r>
        <w:rPr/>
        <w:t>Obiectiv: Propunem ca UE să își îmbunătățească capacitatea de a lua decizii rapide și eficace în cadrul politicii externe și de securitate comune (PESC), exprimându-se cu o singură voce și acționând ca un actor cu adevărat global, astfel încât să aibă un rol pozitiv în lume și să facă diferența în răspunsul la orice criză, inclusiv: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Prin asigurarea faptului că, în special în domeniul PESC, chestiunile luate în prezent în unanimitate sunt luate în mod normal cu majoritate calificată</w:t>
      </w:r>
      <w:r>
        <w:rPr>
          <w:rStyle w:val="Ancredenotedefin"/>
          <w:rStyle w:val="Ancredenotedefin"/>
        </w:rPr>
        <w:endnoteReference w:id="29"/>
      </w:r>
      <w:r>
        <w:rPr/>
        <w:t>.</w:t>
      </w:r>
    </w:p>
    <w:p>
      <w:pPr>
        <w:pStyle w:val="Puce3"/>
        <w:tabs>
          <w:tab w:val="clear" w:pos="720"/>
        </w:tabs>
        <w:rPr/>
      </w:pPr>
      <w:r>
        <w:rPr/>
        <w:t>2.</w:t>
        <w:tab/>
        <w:t>Fundamentarea cooperării pe politica de securitate și apărare pe busola strategică recent aprobată și utilizarea Instrumentului european pentru pace</w:t>
      </w:r>
      <w:r>
        <w:rPr>
          <w:rStyle w:val="Ancredenotedefin"/>
          <w:rStyle w:val="Ancredenotedefin"/>
        </w:rPr>
        <w:endnoteReference w:id="30"/>
      </w:r>
      <w:r>
        <w:rPr/>
        <w:t>.</w:t>
      </w:r>
    </w:p>
    <w:p>
      <w:pPr>
        <w:pStyle w:val="Puce3"/>
        <w:tabs>
          <w:tab w:val="clear" w:pos="720"/>
        </w:tabs>
        <w:rPr/>
      </w:pPr>
      <w:r>
        <w:rPr/>
        <w:t>3.</w:t>
        <w:tab/>
        <w:t>Consolidarea rolului Înaltului Reprezentant în asigurarea faptului că UE vorbește cu o singură voce</w:t>
      </w:r>
      <w:r>
        <w:rPr>
          <w:rStyle w:val="Ancredenotedefin"/>
          <w:rStyle w:val="Ancredenotedefin"/>
        </w:rPr>
        <w:endnoteReference w:id="31"/>
      </w:r>
      <w:r>
        <w:rPr/>
        <w:t>.</w:t>
      </w:r>
    </w:p>
    <w:p>
      <w:pPr>
        <w:pStyle w:val="Puce3"/>
        <w:tabs>
          <w:tab w:val="clear" w:pos="720"/>
        </w:tabs>
        <w:rPr/>
      </w:pPr>
      <w:r>
        <w:rPr/>
        <w:t>4.</w:t>
        <w:tab/>
        <w:t>Convenirea unei viziuni puternice și a unei strategii comune de consolidare a unității și a capacității decizionale a UE în vederea pregătirii Uniunii pentru viitoarele extinderi</w:t>
      </w:r>
      <w:r>
        <w:rPr>
          <w:rStyle w:val="Ancredenotedefin"/>
          <w:rStyle w:val="Ancredenotedefin"/>
        </w:rPr>
        <w:endnoteReference w:id="32"/>
      </w:r>
      <w:r>
        <w:rPr/>
        <w:t>.</w:t>
      </w:r>
    </w:p>
    <w:p>
      <w:pPr>
        <w:pStyle w:val="Puce3"/>
        <w:tabs>
          <w:tab w:val="clear" w:pos="720"/>
        </w:tabs>
        <w:rPr/>
      </w:pPr>
      <w:r>
        <w:rPr/>
        <w:t>5.</w:t>
        <w:tab/>
        <w:t>Prin ratificarea rapidă a acordurilor comerciale încheiate recent, fără a renunța la examinarea și discutarea corespunzătoare.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Propunere: Transparența UE și relațiile sale cu cetățenii</w:t>
      </w:r>
    </w:p>
    <w:p>
      <w:pPr>
        <w:pStyle w:val="P68B1DB1Normal15"/>
        <w:rPr>
          <w:b/>
          <w:b/>
        </w:rPr>
      </w:pPr>
      <w:r>
        <w:rPr/>
        <w:t>Obiectiv: propunem ca UE, în special în acțiunile sale la nivel internațional, inclusiv în negocierile comerciale, să își sporească accesibilitatea pentru cetățeni prin îmbunătățirea informării, a educației, a participării cetățenilor și a transparenței, în special prin: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Consolidarea legăturilor cu cetățenii și cu instituțiile locale în vederea îmbunătățirii transparenței, a ajungerii la cetățeni și a unei mai bune comunicări și legături cu aceștia cu privire la inițiativele concrete ale UE la nivel internațional</w:t>
      </w:r>
      <w:r>
        <w:rPr>
          <w:rStyle w:val="Ancredenotedefin"/>
          <w:rStyle w:val="Ancredenotedefin"/>
        </w:rPr>
        <w:endnoteReference w:id="33"/>
      </w:r>
      <w:r>
        <w:rPr/>
        <w:t>.</w:t>
      </w:r>
    </w:p>
    <w:p>
      <w:pPr>
        <w:pStyle w:val="Puce3"/>
        <w:tabs>
          <w:tab w:val="clear" w:pos="720"/>
        </w:tabs>
        <w:rPr/>
      </w:pPr>
      <w:r>
        <w:rPr/>
        <w:t>2.</w:t>
        <w:tab/>
        <w:t>O mai mare participare a cetățenilor la politica internațională a UE și la evenimente de participare directă a cetățenilor, cum ar fi Conferința privind viitorul Europei, organizată la nivel național, local</w:t>
      </w:r>
      <w:r>
        <w:rPr>
          <w:rStyle w:val="Ancredenotedefin"/>
          <w:rStyle w:val="Ancredenotedefin"/>
        </w:rPr>
        <w:endnoteReference w:id="34"/>
      </w:r>
      <w:r>
        <w:rPr/>
        <w:t xml:space="preserve"> și european și cu participarea activă a societății civile organizate</w:t>
      </w:r>
      <w:r>
        <w:rPr>
          <w:rStyle w:val="Ancredenotedefin"/>
          <w:rStyle w:val="Ancredenotedefin"/>
        </w:rPr>
        <w:endnoteReference w:id="35"/>
      </w:r>
      <w:r>
        <w:rPr/>
        <w:t>.</w:t>
      </w:r>
    </w:p>
    <w:p>
      <w:pPr>
        <w:pStyle w:val="Puce3"/>
        <w:tabs>
          <w:tab w:val="clear" w:pos="720"/>
        </w:tabs>
        <w:rPr/>
      </w:pPr>
      <w:r>
        <w:rPr/>
        <w:t>3.</w:t>
        <w:tab/>
        <w:t>Sprijinul deplin al tuturor părților interesate relevante pentru cetățenii care aleg să participe la organizații ale societății civile organizate, așa cum s-a întâmplat în cazul COVID-19 și al Ucrainei.</w:t>
      </w:r>
    </w:p>
    <w:p>
      <w:pPr>
        <w:pStyle w:val="Puce3"/>
        <w:tabs>
          <w:tab w:val="clear" w:pos="720"/>
        </w:tabs>
        <w:rPr/>
      </w:pPr>
      <w:r>
        <w:rPr/>
        <w:t>4.</w:t>
        <w:tab/>
        <w:t>Alocarea unui buget specific pentru dezvoltarea de programe educaționale privind funcționarea UE și valorile sale, pe care le-ar putea propune statelor membre, dacă doresc, astfel încât acestea să le poată integra în programele lor de învățământ (primar, secundar și universitar). În plus, un curs specific privind Uniunea și funcționarea sa ar putea fi oferit studenților care doresc să studieze într-o altă țară europeană prin intermediul programului Erasmus. Studenților care aleg acest curs li se va acorda prioritate pentru a beneficia de programele Erasmus.</w:t>
      </w:r>
    </w:p>
    <w:p>
      <w:pPr>
        <w:pStyle w:val="Puce3"/>
        <w:tabs>
          <w:tab w:val="clear" w:pos="720"/>
        </w:tabs>
        <w:rPr/>
      </w:pPr>
      <w:r>
        <w:rPr/>
        <w:t>5.</w:t>
        <w:tab/>
        <w:t>Îmbunătățirea strategiei UE privind mass-media printr-o mai mare vizibilitate pe platformele de comunicare socială și promovarea activă a conținutului acesteia; promovarea inovării prin îmbunătățirea accesibilității prezenței pe platformele de comunicare socială a UE</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Propunere: UE ca lider mondial în domeniul păcii și securității</w:t>
      </w:r>
    </w:p>
    <w:p>
      <w:pPr>
        <w:pStyle w:val="P68B1DB1Normal15"/>
        <w:rPr>
          <w:b/>
          <w:b/>
        </w:rPr>
      </w:pPr>
      <w:r>
        <w:rPr/>
        <w:t>Obiectiv: propunem ca UE să continue să acționeze pentru a promova dialogul și a asigura pacea și o ordine internațională bazată pe norme, consolidând multilateralismul și bazându-se pe inițiativele de pace de lungă durată ale UE care au contribuit la acordarea Premiului Nobel în 2012, consolidând în același timp securitatea sa comună prin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Forțele armate comune, utilizate în scopuri de autoapărare și destinate să prevină orice acțiune militară agresivă de orice fel, având capacitatea de a oferi asistență în perioade de criză, inclusiv în cazul unui dezastru natural. În afara granițelor europene, acestea ar putea fi desfășurate în circumstanțe excepționale, de preferință în temeiul unui mandat legal al Consiliului de Securitate al Organizației Națiunilor Unite și, prin urmare, în conformitate cu dreptul</w:t>
      </w:r>
      <w:r>
        <w:rPr>
          <w:rStyle w:val="Ancredenotedefin"/>
          <w:rStyle w:val="Ancredenotedefin"/>
        </w:rPr>
        <w:endnoteReference w:id="39"/>
      </w:r>
      <w:r>
        <w:rPr/>
        <w:t>internațional, fără a concura cu NATO sau a duplica NATO și fără a respecta diferitele relații naționale cu NATO; în acest sens, ar trebui efectuată o evaluare a relațiilor UE cu NATO în contextul dezbaterii privind autonomia strategică a UE.</w:t>
      </w:r>
    </w:p>
    <w:p>
      <w:pPr>
        <w:pStyle w:val="Normal"/>
        <w:rPr/>
      </w:pPr>
      <w:r>
        <w:rPr/>
      </w:r>
    </w:p>
    <w:p>
      <w:pPr>
        <w:pStyle w:val="Puce3"/>
        <w:tabs>
          <w:tab w:val="clear" w:pos="720"/>
        </w:tabs>
        <w:rPr/>
      </w:pPr>
      <w:r>
        <w:rPr/>
        <w:t>2.</w:t>
        <w:tab/>
        <w:t>Un rol de lider în construirea ordinii de securitate mondiale postbelice în Ucraina, pe baza busolei strategice a UE recent adoptate.</w:t>
      </w:r>
    </w:p>
    <w:p>
      <w:pPr>
        <w:pStyle w:val="Puce3"/>
        <w:tabs>
          <w:tab w:val="clear" w:pos="720"/>
        </w:tabs>
        <w:rPr/>
      </w:pPr>
      <w:r>
        <w:rPr/>
        <w:t>3.</w:t>
        <w:tab/>
        <w:t>Protejarea cercetării sale strategice și a capacităților sale în sectoare prioritare, cum ar fi sectorul spațial, securitatea cibernetică, sectorul medical și mediul</w:t>
      </w:r>
      <w:r>
        <w:rPr>
          <w:rStyle w:val="Ancredenotedefin"/>
          <w:rStyle w:val="Ancredenotedefin"/>
        </w:rPr>
        <w:endnoteReference w:id="40"/>
      </w:r>
      <w:r>
        <w:rPr/>
        <w:t>.</w:t>
      </w:r>
    </w:p>
    <w:p>
      <w:pPr>
        <w:pStyle w:val="Puce3"/>
        <w:tabs>
          <w:tab w:val="clear" w:pos="720"/>
        </w:tabs>
        <w:rPr/>
      </w:pPr>
      <w:r>
        <w:rPr/>
        <w:t>4.</w:t>
        <w:tab/>
        <w:t>Consolidarea capacităților operaționale necesare pentru a asigura eficacitatea clauzei de asistență reciprocă prevăzute la articolul 42 alineatul (7) din Tratatul privind Uniunea Europeană, care garantează o protecție adecvată a UE oricărui stat membru atacat de o țară terță.</w:t>
      </w:r>
    </w:p>
    <w:p>
      <w:pPr>
        <w:pStyle w:val="Puce3"/>
        <w:tabs>
          <w:tab w:val="clear" w:pos="720"/>
        </w:tabs>
        <w:rPr/>
      </w:pPr>
      <w:r>
        <w:rPr/>
        <w:t>5.</w:t>
        <w:tab/>
        <w:t>O reflecție asupra modului de combatere a dezinformării și a propagandei într-un mod obiectiv și factual.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Propunere: UE, în calitate de actor principal la nivel mondial în construirea de relații</w:t>
      </w:r>
    </w:p>
    <w:p>
      <w:pPr>
        <w:pStyle w:val="P68B1DB1Normal15"/>
        <w:rPr>
          <w:b/>
          <w:b/>
        </w:rPr>
      </w:pPr>
      <w:r>
        <w:rPr/>
        <w:t>Obiectiv: Propunem ca UE, în relațiile sale cu țările terțe: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Să utilizeze într-o mai mare măsură ponderea sa politică și economică colectivă, vorbind cu o singură voce și acționând într-o manieră unitară, fără ca unele state membre să divizeze Uniunea prin intervenții bilaterale inadecvate</w:t>
      </w:r>
      <w:r>
        <w:rPr>
          <w:rStyle w:val="Ancredenotedefin"/>
          <w:rStyle w:val="Ancredenotedefin"/>
        </w:rPr>
        <w:endnoteReference w:id="41"/>
      </w:r>
      <w:r>
        <w:rPr/>
        <w:t>.</w:t>
      </w:r>
    </w:p>
    <w:p>
      <w:pPr>
        <w:pStyle w:val="Puce3"/>
        <w:tabs>
          <w:tab w:val="clear" w:pos="720"/>
        </w:tabs>
        <w:rPr/>
      </w:pPr>
      <w:r>
        <w:rPr/>
        <w:t>2.</w:t>
        <w:tab/>
        <w:t>Consolidează capacitatea sa de a sancționa statele, guvernele, entitățile, grupurile sau organizațiile, precum și persoanele care nu respectă principiile, acordurile și legile sale fundamentale și se asigură că sancțiunile existente sunt puse în aplicare și aplicate rapid. Sancțiunile impuse țărilor terțe ar trebui să fie proporționale cu acțiunea care le-a declanșat, să fie eficace și să fie aplicate în timp util</w:t>
      </w:r>
      <w:r>
        <w:rPr>
          <w:rStyle w:val="Ancredenotedefin"/>
          <w:rStyle w:val="Ancredenotedefin"/>
        </w:rPr>
        <w:endnoteReference w:id="42"/>
      </w:r>
      <w:r>
        <w:rPr/>
        <w:t>.</w:t>
      </w:r>
    </w:p>
    <w:p>
      <w:pPr>
        <w:pStyle w:val="Puce3"/>
        <w:tabs>
          <w:tab w:val="clear" w:pos="720"/>
        </w:tabs>
        <w:rPr/>
      </w:pPr>
      <w:r>
        <w:rPr/>
        <w:t>3.</w:t>
        <w:tab/>
        <w:t>Promovează comerțul durabil și bazat pe norme, deschizând în același timp noi oportunități comerciale și de investiții pentru întreprinderile europene. În timp ce acordurile comerciale și de investiții bilaterale sunt esențiale pentru promovarea competitivității europene, sunt necesare standarde și norme pentru a asigura condiții de concurență echitabile. UE trebuie să rămână un partener activ și de încredere în negocierea, încheierea și punerea în aplicare a acordurilor comerciale care stabilesc, de asemenea, standarde ridicate de durabilitate.</w:t>
      </w:r>
    </w:p>
    <w:p>
      <w:pPr>
        <w:pStyle w:val="Puce3"/>
        <w:tabs>
          <w:tab w:val="clear" w:pos="720"/>
        </w:tabs>
        <w:rPr/>
      </w:pPr>
      <w:r>
        <w:rPr/>
        <w:t>4.</w:t>
        <w:tab/>
        <w:t>A încheiat principalele acorduri de cooperare internațională prin reprezentarea Uniunii Europene, mai degrabă decât a unor țări individuale</w:t>
      </w:r>
      <w:r>
        <w:rPr>
          <w:rStyle w:val="Ancredenotedefin"/>
          <w:rStyle w:val="Ancredenotedefin"/>
        </w:rPr>
        <w:endnoteReference w:id="43"/>
      </w:r>
      <w:r>
        <w:rPr/>
        <w:t>.</w:t>
      </w:r>
    </w:p>
    <w:p>
      <w:pPr>
        <w:pStyle w:val="Puce3"/>
        <w:tabs>
          <w:tab w:val="clear" w:pos="720"/>
        </w:tabs>
        <w:rPr/>
      </w:pPr>
      <w:r>
        <w:rPr/>
        <w:t>5.</w:t>
        <w:tab/>
        <w:t>Reformarea politicii comerciale și de investiții a UE pentru relansarea multilateralismului global, cu obiectivul de a crea locuri de muncă decente și de a proteja drepturile fundamentale ale omului, inclusiv drepturile lucrătorilor și drepturile sindicale, conservarea mediului și a biodiversității și respectarea Acordului de la Paris privind schimbările climatice, asigurarea unor servicii publice de calitate și consolidarea bazei industriale a Europei. UE ar trebui să contribuie la relansarea multilateralismului global, printr-o reformă profundă bazată pe democrație și pace, solidaritate și respectarea drepturilor omului, a drepturilor sociale și de mediu și a unui rol consolidat al OIM.</w:t>
      </w:r>
    </w:p>
    <w:p>
      <w:pPr>
        <w:pStyle w:val="Puce3"/>
        <w:tabs>
          <w:tab w:val="clear" w:pos="720"/>
        </w:tabs>
        <w:rPr/>
      </w:pPr>
      <w:r>
        <w:rPr/>
        <w:t>6.</w:t>
        <w:tab/>
        <w:t>Include lupta împotriva traficului de persoane și a imigrației neregulamentare, precum și cooperarea în cadrul posibilelor operațiuni de returnare, în acordurile de cooperare și de investiții cu țările terțe.</w:t>
      </w:r>
    </w:p>
    <w:p>
      <w:pPr>
        <w:pStyle w:val="Puce3"/>
        <w:tabs>
          <w:tab w:val="clear" w:pos="720"/>
        </w:tabs>
        <w:rPr/>
      </w:pPr>
      <w:r>
        <w:rPr/>
        <w:t>7.</w:t>
        <w:tab/>
        <w:t>Să dezvolte parteneriate cu țările în curs de dezvoltare pentru a-și sprijini infrastructura și să ia în considerare acorduri comerciale reciproc avantajoase pentru a le ajuta în tranziția lor către surse de energie verde</w:t>
      </w:r>
      <w:r>
        <w:rPr>
          <w:rStyle w:val="Ancredenotedefin"/>
          <w:rStyle w:val="Ancredenotedefin"/>
        </w:rPr>
        <w:endnoteReference w:id="44"/>
      </w:r>
      <w:r>
        <w:rPr/>
        <w:t>.</w:t>
      </w:r>
    </w:p>
    <w:p>
      <w:pPr>
        <w:pStyle w:val="Puce3"/>
        <w:tabs>
          <w:tab w:val="clear" w:pos="720"/>
        </w:tabs>
        <w:rPr/>
      </w:pPr>
      <w:r>
        <w:rPr/>
        <w:t>8.</w:t>
        <w:tab/>
        <w:t>Dezvoltă o politică mai eficientă și mai unită față de regimurile autocratice și hibride și dezvoltă parteneriate cu organizațiile societății civile din aceste țări.</w:t>
      </w:r>
    </w:p>
    <w:p>
      <w:pPr>
        <w:pStyle w:val="Puce3"/>
        <w:tabs>
          <w:tab w:val="clear" w:pos="720"/>
        </w:tabs>
        <w:rPr/>
      </w:pPr>
      <w:r>
        <w:rPr/>
        <w:t>9.</w:t>
        <w:tab/>
        <w:t>Creșterea resurselor misiunilor UE de observare a alegerilor.</w:t>
      </w:r>
    </w:p>
    <w:p>
      <w:pPr>
        <w:pStyle w:val="Puce3"/>
        <w:tabs>
          <w:tab w:val="clear" w:pos="720"/>
        </w:tabs>
        <w:rPr/>
      </w:pPr>
      <w:r>
        <w:rPr/>
        <w:t>10.</w:t>
        <w:tab/>
        <w:t>Oferă o perspectivă credibilă de aderare a țărilor candidate și potențial candidate pentru a promova pacea și stabilitatea în Europa și pentru a aduce prosperitate milioanelor de europeni</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NOTĂ: Mai mulți membri ai grupului de lucru consideră că propunerile „Reducerea dependenței UE de actorii străini în domeniul energiei” și „Transparența UE și relațiile sale cu cetățenii”, în special, fac parte din alte grupuri de lucru. Unii membri au dorit să menționeze, pe lângă votul cu majoritate calificată, alternative la unanimitate în cadrul Consiliului, cum ar fi geometria variabilă, clauzele de neparticipare și cooperarea consolidată. Unii membri ai grupului de lucru au solicitat utilizarea termenului „durabil” și nu „etic” în propunerea „Definirea standardelor în interiorul și în afara UE în relațiile comerciale și de investiții”. Există o divergență de opinii cu privire la măsura în care aderarea noilor state membre ar trebui să necesite în continuare acordul unanim al tuturor statelor membre actuale. O varietate de opinii au apărut cu privire la gradul dorit de forțe armate comune. Doi membri s-au referit la perspectiva unității Irlandei în cazul în care Irlanda de Nord ar vota în această direcție în conformitate cu dispozițiile Acordului din Vinerea Mare și la necesitatea ca Uniunea să fie pregătită pentru o astfel de eventualitate.</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Jocuri cu Jocul 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Jocuri cu Jocul Image25"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Valori și drepturi, statul de drept, securitate</w:t>
      </w:r>
    </w:p>
    <w:p>
      <w:pPr>
        <w:pStyle w:val="Titre3"/>
        <w:numPr>
          <w:ilvl w:val="2"/>
          <w:numId w:val="2"/>
        </w:numPr>
        <w:rPr/>
      </w:pPr>
      <w:bookmarkStart w:id="74" w:name="__RefHeading___Toc298322_1346298689"/>
      <w:bookmarkEnd w:id="74"/>
      <w:r>
        <w:rPr/>
        <w:t>25. Propunere: Statul de drept, valorile democratice și identitatea europeană</w:t>
      </w:r>
    </w:p>
    <w:p>
      <w:pPr>
        <w:pStyle w:val="P68B1DB1Normal15"/>
        <w:rPr>
          <w:b/>
          <w:b/>
        </w:rPr>
      </w:pPr>
      <w:r>
        <w:rPr/>
        <w:t>Obiectiv: Respectarea sistematică a statului de drept în toate statele membre, inclusiv: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46"/>
      </w:r>
      <w:r>
        <w:rPr/>
        <w:t>:</w:t>
      </w:r>
    </w:p>
    <w:p>
      <w:pPr>
        <w:pStyle w:val="Puce3"/>
        <w:tabs>
          <w:tab w:val="clear" w:pos="720"/>
        </w:tabs>
        <w:rPr/>
      </w:pPr>
      <w:r>
        <w:rPr/>
        <w:t>1.</w:t>
        <w:tab/>
        <w:t>Asigurarea faptului că valorile și principiile consacrate în tratatele UE și în Carta drepturilor fundamentale a Uniunii Europene nu sunt negociabile și ireversibile și constituie condiții sine qua non pentru aderarea la Uniune și pentru aderarea la Uniune. Valorile UE trebuie respectate pe deplin în toate statele membre; de asemenea, acestea ar trebui să acționeze ca standard internațional și să reprezinte un pol de atracție prin diplomație și dialog. Extinderea Uniunii nu ar trebui să submineze acquis-ul UE în ceea ce privește valorile fundamentale și drepturile cetățenilor</w:t>
      </w:r>
      <w:r>
        <w:rPr>
          <w:rStyle w:val="Ancredenotedefin"/>
          <w:rStyle w:val="Ancredenotedefin"/>
        </w:rPr>
        <w:endnoteReference w:id="47"/>
      </w:r>
      <w:r>
        <w:rPr/>
        <w:t>.</w:t>
      </w:r>
    </w:p>
    <w:p>
      <w:pPr>
        <w:pStyle w:val="Puce3"/>
        <w:tabs>
          <w:tab w:val="clear" w:pos="720"/>
        </w:tabs>
        <w:rPr/>
      </w:pPr>
      <w:r>
        <w:rPr/>
        <w:t>2.</w:t>
        <w:tab/>
        <w:t>Prin transformarea valorilor europene într-o realitate tangibilă pentru cetățenii UE, în special printr-o participare mai interactivă și directă, cetățenia europeană ar trebui consolidată, de exemplu printr-un statut de cetățean al Uniunii cu drepturi și libertăți ale cetățenilor, precum și printr-un statut pentru asociațiile transfrontaliere europene și organizațiile non-profit. În mod similar, valorile europene ar trebui promovate printr-o servietă de integrare care să cuprindă elemente educaționale și materiale informative pentru cetățeni. În cele din urmă, ar trebui creată o sferă publică europeană a mass-mediei audiovizuale și online prin noi investiții ale UE, prin îmbunătățirea platformelor media existente și prin creșterea sprijinului acordat celor peste 500 de birouri europene de legătură prezente la nivel local</w:t>
      </w:r>
      <w:r>
        <w:rPr>
          <w:rStyle w:val="Ancredenotedefin"/>
          <w:rStyle w:val="Ancredenotedefin"/>
        </w:rPr>
        <w:endnoteReference w:id="48"/>
      </w:r>
      <w:r>
        <w:rPr/>
        <w:t xml:space="preserve">. </w:t>
      </w:r>
    </w:p>
    <w:p>
      <w:pPr>
        <w:pStyle w:val="Puce3"/>
        <w:tabs>
          <w:tab w:val="clear" w:pos="720"/>
        </w:tabs>
        <w:rPr/>
      </w:pPr>
      <w:r>
        <w:rPr/>
        <w:t>3.</w:t>
        <w:tab/>
        <w:t>Carta drepturilor fundamentale a Uniunii Europene ar trebui să fie universal aplicabilă. În plus, ar trebui organizate conferințe anuale privind statul de drept (în urma Raportului Comisiei privind statul de drept), care să reunească delegații din toate statele membre, alcătuite din cetățeni, funcționari, parlamentari, autorități locale, parteneri sociali și societatea civilă, selectate în mod aleatoriu și divers. De asemenea, este important să se sprijine în continuare organizațiile, inclusiv cele ale societății civile, care promovează statul de drept pe teren</w:t>
      </w:r>
      <w:r>
        <w:rPr>
          <w:rStyle w:val="Ancredenotedefin"/>
          <w:rStyle w:val="Ancredenotedefin"/>
        </w:rPr>
        <w:endnoteReference w:id="49"/>
      </w:r>
      <w:r>
        <w:rPr/>
        <w:t>.</w:t>
      </w:r>
    </w:p>
    <w:p>
      <w:pPr>
        <w:pStyle w:val="Puce3"/>
        <w:tabs>
          <w:tab w:val="clear" w:pos="720"/>
        </w:tabs>
        <w:rPr/>
      </w:pPr>
      <w:r>
        <w:rPr/>
        <w:t>4.</w:t>
        <w:tab/>
        <w:t>Prin aplicarea efectivă a așa-numitului Regulament privind ecocondiționalitatea, prin evaluarea domeniului de aplicare al regulamentului respectiv și al altor instrumente privind statul de drept, precum și prin luarea în considerare a extinderii domeniului lor de aplicare la noi domenii, indiferent de relevanța acestora pentru bugetul Uniunii. Toate căile de atac necesare, inclusiv modificările tratatelor, ar trebui să fie luate în considerare pentru a sancționa încălcările statului de drept</w:t>
      </w:r>
      <w:r>
        <w:rPr>
          <w:rStyle w:val="Ancredenotedefin"/>
          <w:rStyle w:val="Ancredenotedefin"/>
        </w:rPr>
        <w:endnoteReference w:id="50"/>
      </w:r>
      <w:r>
        <w:rPr/>
        <w:t>.</w:t>
      </w:r>
    </w:p>
    <w:p>
      <w:pPr>
        <w:pStyle w:val="Puce3"/>
        <w:tabs>
          <w:tab w:val="clear" w:pos="720"/>
        </w:tabs>
        <w:rPr/>
      </w:pPr>
      <w:r>
        <w:rPr/>
        <w:t>5.</w:t>
        <w:tab/>
        <w:t>Promovarea programelor educaționale și mass-media care plasează valorile Uniunii în centrul procesului de integrare a migranților și încurajează interacțiunea dintre cetățenii Uniunii și migranți, cu scopul de a permite integrarea cu succes a acestora în societățile Uniunii și de a sensibiliza cetățenii Uniunii cu privire la problemele legate de migrație.</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Propunere: Protecția datelor</w:t>
      </w:r>
    </w:p>
    <w:p>
      <w:pPr>
        <w:pStyle w:val="Corpsdetexte"/>
        <w:rPr/>
      </w:pPr>
      <w:r>
        <w:rPr/>
      </w:r>
    </w:p>
    <w:p>
      <w:pPr>
        <w:pStyle w:val="P68B1DB1Normal15"/>
        <w:rPr>
          <w:b/>
          <w:b/>
        </w:rPr>
      </w:pPr>
      <w:r>
        <w:rPr/>
        <w:t>Obiectiv: asigurarea unei politici mai protectoare și mai bune de prelucrare a datelor pentru cetățeni, în 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52"/>
      </w:r>
      <w:r>
        <w:rPr/>
        <w:t>:</w:t>
      </w:r>
    </w:p>
    <w:p>
      <w:pPr>
        <w:pStyle w:val="Puce3"/>
        <w:tabs>
          <w:tab w:val="clear" w:pos="720"/>
        </w:tabs>
        <w:rPr/>
      </w:pPr>
      <w:r>
        <w:rPr/>
        <w:t>1.</w:t>
        <w:tab/>
        <w:t>Prin punerea în aplicare și revizuirea deplină a legislației existente privind protecția datelor pentru a evalua necesitatea unor mecanisme consolidate de asigurare a respectării legislației pentru entitățile care prelucrează date cu caracter personal, care intră în prezent în sfera de competență a autorităților naționale independente de protecție a datelor, respectând principiul subsidiarității. Aceste entități ar trebui să fie sancționate mai strict decât în aplicarea actuală a normelor, proporțional cu cifra lor de afaceri anuală (până la 4 %) sau chiar printr-o interdicție privind activitățile lor, și ar trebui să facă obiectul unui audit anual independent</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Dând un efect mai puternic principiului confidențialității începând cu momentul conceperii sau implicit, de exemplu prin evaluarea și dezvoltarea unor formulare de consimțământ ușor de înțeles, concise și intuitive și care indică în mod clar ceea ce este necesar și ce nu. Utilizatorii trebuie să își poată da sau retrage consimțământul pentru prelucrarea datelor într-un mod simplu, rapid și permanent.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Evaluarea și introducerea unor norme mai clare și mai protectoare privind prelucrarea datelor referitoare la minori, eventual în RGPD al UE, în special prin crearea unei categorii speciale pentru datele sensibile ale minorilor și prin armonizarea vârstei minime de consimțământ în statele membre. Deși cea mai mare parte a punerii în aplicare a normelor privind viața privată și sensibilizarea ar trebui să fie în continuare de competența statelor membre, în special prin creșterea investițiilor și a resurselor la nivel național, Uniunea ar trebui să joace, de asemenea, un rol mai important, de exemplu prin crearea de competențe europene în educația civică privind protecția datelor</w:t>
      </w:r>
      <w:r>
        <w:rPr>
          <w:rStyle w:val="Ancredenotedefin"/>
          <w:rStyle w:val="Ancredenotedefin"/>
        </w:rPr>
        <w:endnoteReference w:id="57"/>
      </w:r>
      <w:r>
        <w:rPr/>
        <w:t>.</w:t>
      </w:r>
    </w:p>
    <w:p>
      <w:pPr>
        <w:pStyle w:val="Puce3"/>
        <w:tabs>
          <w:tab w:val="clear" w:pos="720"/>
        </w:tabs>
        <w:rPr/>
      </w:pPr>
      <w:r>
        <w:rPr/>
        <w:t>4.</w:t>
        <w:tab/>
        <w:t>O mai bună respectare a criteriilor de eligibilitate aplicabile autorităților europene și naționale pentru protecția datelor, în ceea ce privește calificările și adecvarea, pentru a asigura independența maximă a membrilor lor.</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Propunere: Mass-media, știri false, dezinformare, verificarea faptelor, securitatea cibernetică</w:t>
      </w:r>
    </w:p>
    <w:p>
      <w:pPr>
        <w:pStyle w:val="P68B1DB1Normal15"/>
        <w:rPr>
          <w:b/>
          <w:b/>
        </w:rPr>
      </w:pPr>
      <w:r>
        <w:rPr/>
        <w:t>Obiectiv: Combaterea dezinformării prin promovarea sporită a independenței și pluralismului mass-mediei și a educației în domeniul mass-mediei, în 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60"/>
      </w:r>
      <w:r>
        <w:rPr/>
        <w:t>:</w:t>
      </w:r>
    </w:p>
    <w:p>
      <w:pPr>
        <w:pStyle w:val="Puce3"/>
        <w:tabs>
          <w:tab w:val="clear" w:pos="720"/>
        </w:tabs>
        <w:rPr/>
      </w:pPr>
      <w:r>
        <w:rPr/>
        <w:t>1.</w:t>
        <w:tab/>
        <w:t>Introducerea unei legislații pentru combaterea amenințărilor la adresa independenței mass-mediei prin intermediul unor standarde minime aplicabile în întreaga Uniune, inclusiv o revizuire a modelului de afaceri în domeniul mass-mediei pentru a asigura integritatea și independența pieței media europene</w:t>
      </w:r>
      <w:r>
        <w:rPr>
          <w:rStyle w:val="Ancredenotedefin"/>
          <w:rStyle w:val="Ancredenotedefin"/>
        </w:rPr>
        <w:endnoteReference w:id="61"/>
      </w:r>
      <w:r>
        <w:rPr/>
        <w:t>.</w:t>
      </w:r>
    </w:p>
    <w:p>
      <w:pPr>
        <w:pStyle w:val="Puce3"/>
        <w:tabs>
          <w:tab w:val="clear" w:pos="720"/>
        </w:tabs>
        <w:rPr/>
      </w:pPr>
      <w:r>
        <w:rPr/>
        <w:t>2.</w:t>
        <w:tab/>
        <w:t>Aplicarea riguroasă a normelor UE în materie de concurență în sectorul mass-mediei pentru a preveni crearea de monopoluri mass-media mari și pentru a asigura pluralismul și independența mass-mediei față de orice ingerință nedorită din partea țărilor politice, de afaceri și/sau străine. De asemenea, ar trebui încurajat jurnalismul de calitate, cu standarde de etică și autoreglementare recunoscute și înalte</w:t>
      </w:r>
      <w:r>
        <w:rPr>
          <w:rStyle w:val="Ancredenotedefin"/>
          <w:rStyle w:val="Ancredenotedefin"/>
        </w:rPr>
        <w:endnoteReference w:id="62"/>
      </w:r>
      <w:r>
        <w:rPr/>
        <w:t>.</w:t>
      </w:r>
    </w:p>
    <w:p>
      <w:pPr>
        <w:pStyle w:val="Puce3"/>
        <w:tabs>
          <w:tab w:val="clear" w:pos="720"/>
        </w:tabs>
        <w:rPr/>
      </w:pPr>
      <w:r>
        <w:rPr/>
        <w:t>3.</w:t>
        <w:tab/>
        <w:t xml:space="preserve">Instituirea unui organism al UE pentru combaterea dezinformării și a interferențelor specifice, îmbunătățirea percepției situaționale și consolidarea organizațiilor de verificare a faptelor și a mass-mediei independente. „Numerele de urgență” și site-urile, cum ar fi Europe Direct, care permit cetățenilor și mass-mediei naționale să solicite și să primească informații verificate privind strategiile și politicile UE ar trebui, de asemenea, să fie sprijinite și promovate mai activ.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Încurajarea educației în domeniul mass-mediei și a sensibilizării publicului cu privire la dezinformare și răspândirea neintenționată a știrilor, inclusiv prin educația școlară obligatorie. Statele membre ar trebui, de asemenea, încurajate să aloce resurse umane și financiare adecvate în acest scop. </w:t>
      </w:r>
      <w:r>
        <w:rPr>
          <w:rStyle w:val="Ancredenotedefin"/>
          <w:rStyle w:val="Ancredenotedefin"/>
        </w:rPr>
        <w:endnoteReference w:id="65"/>
      </w:r>
    </w:p>
    <w:p>
      <w:pPr>
        <w:pStyle w:val="Puce3"/>
        <w:tabs>
          <w:tab w:val="clear" w:pos="720"/>
        </w:tabs>
        <w:rPr/>
      </w:pPr>
      <w:r>
        <w:rPr/>
        <w:t>5.</w:t>
        <w:tab/>
        <w:t>Bazându-se pe inițiativele existente, cum ar fi Codul de bune practici împotriva dezinformării și Observatorul european al mass-mediei digitale (EDMO), pentru a obliga platformele online să publice informații clare cu privire la algoritmii pe care îi utilizează (cu posibilitatea ca utilizatorii să își dea consimțământul sau nu) și la riscurile de dezinformare la care sunt expuși utilizatorii, menținând în același timp dreptul la libertatea de exprimare și dreptul la viață privată.</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Propunere: Mass-media, știrile false, dezinformarea, verificarea faptelor, securitatea cibernetică (bis)</w:t>
      </w:r>
    </w:p>
    <w:p>
      <w:pPr>
        <w:pStyle w:val="P68B1DB1Normal15"/>
        <w:rPr>
          <w:b/>
          <w:b/>
        </w:rPr>
      </w:pPr>
      <w:r>
        <w:rPr/>
        <w:t>Obiectiv: consolidarea rolului Uniunii în combaterea amenințărilor la adresa securității cibernetice, în 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 xml:space="preserve">Consolidarea Agenției Uniunii Europene pentru Securitate Cibernetică (ENISA) pentru a proteja mai bine persoanele, organizațiile și instituțiile împotriva încălcărilor securității cibernetice și a utilizării inteligenței artificiale în scopuri infracționale. În același timp, confidențialitatea și protecția datelor cu caracter personal ar trebui să fie păstrate.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Îmbunătățirea coordonării autorităților naționale din domeniul securității cibernetice și depunerea de eforturi suplimentare pentru a asigura punerea în aplicare eficace a normelor Uniunii la nivel național.</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Propunere: Combaterea discriminării, a egalității și a calității vieții</w:t>
      </w:r>
    </w:p>
    <w:p>
      <w:pPr>
        <w:pStyle w:val="P68B1DB1Normal15"/>
        <w:rPr>
          <w:b/>
          <w:b/>
        </w:rPr>
      </w:pPr>
      <w:r>
        <w:rPr/>
        <w:t>OBIECTIV: Să ia măsuri pentru a armoniza condițiile de viață în întreaga Uniune și pentru a îmbunătăți calitatea socioeconomică a vieții cetățenilor săi, în 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72"/>
      </w:r>
      <w:r>
        <w:rPr/>
        <w:t>:</w:t>
      </w:r>
    </w:p>
    <w:p>
      <w:pPr>
        <w:pStyle w:val="Puce3"/>
        <w:tabs>
          <w:tab w:val="clear" w:pos="720"/>
        </w:tabs>
        <w:rPr/>
      </w:pPr>
      <w:r>
        <w:rPr/>
        <w:t>1.</w:t>
        <w:tab/>
        <w:t>Elaborarea unor indicatori transparenți privind calitatea vieții, inclusiv criterii economice, sociale și de stat de drept, în consultare cu experții și partenerii sociali, pentru a stabili un calendar clar și realist pentru ridicarea standardelor sociale și stabilirea unei structuri socioeconomice comune a Uniunii, inclusiv prin punerea în aplicare a Pilonului european al drepturilor sociale. Aceste măsuri ar trebui integrate în cadrul de guvernanță economică și în procesul semestrului european</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Creșterea și facilitarea investițiilor publice directe în sănătate, educație, infrastructură fizică și îngrijire a persoanelor în vârstă și a persoanelor cu handicap. Investițiile suplimentare ar trebui să vizeze, de asemenea, asigurarea unui echilibru satisfăcător între viața profesională și cea privată pentru cetățeni. Aceste investiții ar trebui să fie realizate într-un mod pe deplin transparent pentru a monitoriza întregul proces</w:t>
      </w:r>
      <w:r>
        <w:rPr>
          <w:rStyle w:val="Ancredenotedefin"/>
          <w:rStyle w:val="Ancredenotedefin"/>
        </w:rPr>
        <w:endnoteReference w:id="75"/>
      </w:r>
      <w:r>
        <w:rPr/>
        <w:t>.</w:t>
      </w:r>
    </w:p>
    <w:p>
      <w:pPr>
        <w:pStyle w:val="Puce3"/>
        <w:tabs>
          <w:tab w:val="clear" w:pos="720"/>
        </w:tabs>
        <w:rPr/>
      </w:pPr>
      <w:r>
        <w:rPr/>
        <w:t>3.</w:t>
        <w:tab/>
        <w:t>Încurajarea impozitării întreprinderilor mari, combaterea accesului la paradisurile fiscale și eliminarea existenței acestora în UE, în vederea creșterii investițiilor publice în domenii prioritare, cum ar fi educația (subvenții de studiu, Erasmus) și cercetarea. Lupta împotriva evaziunii fiscale la nivelul UE ar trebui să fie, de asemenea, un mijloc de strângere de fonduri pentru inițiativele finanțate din fonduri publice</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Prin stabilirea unor criterii la nivelul Uniunii de combatere a discriminării pe piața forței de muncă și prin încurajarea angajării de către întreprinderile private a persoanelor care sunt, în general, cele mai afectate de discriminare (inclusiv tinerii, persoanele în vârstă, femeile și persoanele aparținând minorităților), inclusiv prin subvenții și, în al doilea rând, prin cote temporare. Partenerii sociali ar trebui să fie implicați îndeaproape în aceste eforturi. Discriminarea în afara pieței muncii ar trebui, de asemenea, interzisă prin lege, iar egalitatea ar trebui încurajată</w:t>
      </w:r>
      <w:r>
        <w:rPr>
          <w:rStyle w:val="Ancredenotedefin"/>
          <w:rStyle w:val="Ancredenotedefin"/>
        </w:rPr>
        <w:endnoteReference w:id="78"/>
      </w:r>
      <w:r>
        <w:rPr/>
        <w:t>.</w:t>
      </w:r>
    </w:p>
    <w:p>
      <w:pPr>
        <w:pStyle w:val="Puce3"/>
        <w:tabs>
          <w:tab w:val="clear" w:pos="720"/>
        </w:tabs>
        <w:rPr/>
      </w:pPr>
      <w:r>
        <w:rPr/>
        <w:t>5.</w:t>
        <w:tab/>
        <w:t>Asigurarea creării și facilitării existenței unor grădinițe accesibile, atât publice, cât și private, precum și servicii gratuite de îngrijire a copiilor pentru persoanele aflate în dificultate</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Propunere: Drepturile animalelor, agricultura</w:t>
      </w:r>
    </w:p>
    <w:p>
      <w:pPr>
        <w:pStyle w:val="P68B1DB1Normal15"/>
        <w:rPr>
          <w:b/>
          <w:b/>
        </w:rPr>
      </w:pPr>
      <w:r>
        <w:rPr/>
        <w:t>Obiectiv: Să ia măsuri decisive pentru a promova și a asigura o agricultură mai ecologică și mai ecologică, în 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80"/>
      </w:r>
      <w:r>
        <w:rPr/>
        <w:t>:</w:t>
      </w:r>
    </w:p>
    <w:p>
      <w:pPr>
        <w:pStyle w:val="Puce3"/>
        <w:tabs>
          <w:tab w:val="clear" w:pos="720"/>
        </w:tabs>
        <w:rPr/>
      </w:pPr>
      <w:r>
        <w:rPr/>
        <w:t>1.</w:t>
        <w:tab/>
        <w:t>Prin stabilirea unor criterii minime detaliate, măsurabile și limitate în timp pentru protecția animalelor de fermă, cu scopul de a asigura standarde mai ridicate în materie de bunăstare a animalelor, în conformitate cu introducerea obiectivelor de durabilitate și pe baza unei abordări integrate a sistemului alimentar</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Introducerea de sancțiuni financiare pentru efectele negative cauzate de activitatea agricolă (de exemplu, emisiile de gaze cu efect de seră, utilizarea pesticidelor, consumul excesiv de apă, transportul pe distanțe lungi etc.), în funcție de impactul acestora asupra mediului. Produsele agricole importate în Uniune ar trebui, de asemenea, evaluate pe această bază, inclusiv prin intermediul taxelor vamale, pentru a elimina orice avantaj concurențial care decurge din standarde de mediu mai puțin stricte</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Reducerea subvențiilor pentru producția agricolă de masă atunci când aceasta nu contribuie la o tranziție durabilă și redirecționarea acestor resurse pentru a sprijini agricultura durabilă din punctul de vedere al mediului, asigurând în același timp accesibilitatea produselor alimentare.</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Jocuri cu Jocul 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Jocuri cu Jocul Image26"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Transformare digitală”</w:t>
      </w:r>
    </w:p>
    <w:p>
      <w:pPr>
        <w:pStyle w:val="Normal"/>
        <w:rPr/>
      </w:pPr>
      <w:r>
        <w:rPr/>
        <w:t>Europa trebuie să se afle în fruntea lumii și să stabilească standarde pentru transformarea digitală și trebuie să traseze o cale europeană către o societate etică, centrată pe om, transparentă și sigură. Europa trebuie să adopte o abordare ambițioasă și să valorifice pe deplin oportunitățile oferite de digitalizare, gestionând în același timp riscurile și provocările reprezentate de digitalizare. Digitalizarea se referă la toate domeniile societății noastre și trebuie să fie luată în considerare în mod sistematic. În acest sens, s-a făcut trimitere la Declarația europeană privind drepturile și principiile digitale pentru deceniul digital și s-a sugerat să se analizeze în viitor posibila elaborare a unei Carte a drepturilor digitale.</w:t>
      </w:r>
    </w:p>
    <w:p>
      <w:pPr>
        <w:pStyle w:val="Normal"/>
        <w:rPr/>
      </w:pPr>
      <w:r>
        <w:rPr/>
        <w:t>Agresiunea Rusiei în Ucraina confirmă doar multe elemente abordate în propuneri, cum ar fi necesitatea suveranității digitale, o atenție sporită acordată apărării cibernetice și protecției împotriva dezinformării. De asemenea, demonstrează că conflictele contemporane au consecințe în sfera digitală și ridică noi întrebări, cum ar fi consecințele pe termen lung ale utilizării abuzive a informațiilor cu caracter personal și utilizarea nelegitimă a acestor date în viitor.</w:t>
      </w:r>
    </w:p>
    <w:p>
      <w:pPr>
        <w:pStyle w:val="Normal"/>
        <w:rPr/>
      </w:pPr>
      <w:r>
        <w:rPr/>
      </w:r>
    </w:p>
    <w:p>
      <w:pPr>
        <w:pStyle w:val="Titre3"/>
        <w:numPr>
          <w:ilvl w:val="2"/>
          <w:numId w:val="2"/>
        </w:numPr>
        <w:rPr/>
      </w:pPr>
      <w:bookmarkStart w:id="81" w:name="__RefHeading___Toc298336_1346298689"/>
      <w:bookmarkEnd w:id="81"/>
      <w:r>
        <w:rPr/>
        <w:t>31. Propunere: Accesul la infrastructura digitală</w:t>
      </w:r>
    </w:p>
    <w:p>
      <w:pPr>
        <w:pStyle w:val="Normal"/>
        <w:rPr/>
      </w:pPr>
      <w:r>
        <w:rPr/>
        <w:t>Obiectiv: Accesul egal la internet este un drept fundamental pentru fiecare cetățean european. Propunem ca toată lumea din Europa să aibă acces efectiv la internet și la serviciile digitale și ca suveranitatea infrastructurii digitale a UE să fie consolidată, prin punerea în aplicare a următoarelor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86"/>
      </w:r>
      <w:r>
        <w:rPr/>
        <w:t>:</w:t>
      </w:r>
    </w:p>
    <w:p>
      <w:pPr>
        <w:pStyle w:val="Puce3"/>
        <w:tabs>
          <w:tab w:val="clear" w:pos="720"/>
        </w:tabs>
        <w:rPr/>
      </w:pPr>
      <w:r>
        <w:rPr/>
        <w:t>1.</w:t>
        <w:tab/>
        <w:t>Investiții în infrastructuri digitale europene de înaltă calitate și inovatoare (inclusiv dezvoltarea rețelelor 5G și 6G în Europa) (Recomandările 40 și 47 din ECP 1 și nr. 1 ale PNC olandeze).</w:t>
      </w:r>
    </w:p>
    <w:p>
      <w:pPr>
        <w:pStyle w:val="Puce3"/>
        <w:tabs>
          <w:tab w:val="clear" w:pos="720"/>
        </w:tabs>
        <w:rPr/>
      </w:pPr>
      <w:r>
        <w:rPr/>
        <w:t>2.</w:t>
        <w:tab/>
        <w:t>Asigurarea unui acces la internet rapid, la prețuri accesibile, securizat și stabil în întreaga Uniune, inclusiv în roaming, acordându-se prioritate stabilirii de conexiuni la internet în „zone albe/morte”, în zonele rurale și îndepărtate și în zonele periferice, pentru a aborda decalajul digital dintre statele membre și în interiorul acestora și pentru a se asigura că nimeni nu este lăsat în urmă (Recomandările 17 și 47 din PNC olandez 1 și nr. 1).</w:t>
      </w:r>
    </w:p>
    <w:p>
      <w:pPr>
        <w:pStyle w:val="Puce3"/>
        <w:tabs>
          <w:tab w:val="clear" w:pos="720"/>
        </w:tabs>
        <w:rPr/>
      </w:pPr>
      <w:r>
        <w:rPr/>
        <w:t>3.</w:t>
        <w:tab/>
        <w:t>Să promoveze implementarea, în spațiile publice și private, a infrastructurii digitale și electrice care să permită utilizarea vehiculelor electrice și autonome (dezbatere în cadrul GL)</w:t>
      </w:r>
      <w:r>
        <w:rPr>
          <w:rStyle w:val="Ancredenotedefin"/>
          <w:rStyle w:val="Ancredenotedefin"/>
        </w:rPr>
        <w:endnoteReference w:id="87"/>
      </w:r>
      <w:r>
        <w:rPr/>
        <w:t>.</w:t>
      </w:r>
    </w:p>
    <w:p>
      <w:pPr>
        <w:pStyle w:val="Puce3"/>
        <w:tabs>
          <w:tab w:val="clear" w:pos="720"/>
        </w:tabs>
        <w:rPr/>
      </w:pPr>
      <w:r>
        <w:rPr/>
        <w:t>4.</w:t>
        <w:tab/>
        <w:t>Să ia măsuri pentru a asigura o concurență loială și deschisă și pentru a preveni monopolurile, dependența de furnizori, concentrarea datelor și dependența de țări terțe de infrastructură și servicii; îmbunătățirea piețelor din perspectiva consumatorilor (Recomandarea CEP nr. 17 1).</w:t>
      </w:r>
    </w:p>
    <w:p>
      <w:pPr>
        <w:pStyle w:val="Puce3"/>
        <w:tabs>
          <w:tab w:val="clear" w:pos="720"/>
        </w:tabs>
        <w:rPr/>
      </w:pPr>
      <w:r>
        <w:rPr/>
        <w:t>5.</w:t>
        <w:tab/>
        <w:t>Să facă din copiii, familiile, persoanele în vârstă și grupurile vulnerabile o prioritate în ceea ce privește accesul la internet și la echipamentele informatice, inclusiv accesul la educație, la servicii publice și la sănătate (recomandarea 17 CEP 1 și discuțiile din cadrul GL).</w:t>
      </w:r>
    </w:p>
    <w:p>
      <w:pPr>
        <w:pStyle w:val="Puce3"/>
        <w:tabs>
          <w:tab w:val="clear" w:pos="720"/>
        </w:tabs>
        <w:rPr/>
      </w:pPr>
      <w:r>
        <w:rPr/>
        <w:t>6.</w:t>
        <w:tab/>
        <w:t>Îmbunătățirea accesului digital, cu acces deplin, la servicii publice și private esențiale pentru cetățeni și întreprinderi, de exemplu în ceea ce privește procedurile administrative, și asigurarea accesului la aceste servicii și a sprijinului asociat cu acestea pentru toți, de exemplu prin intermediul serviciilor de sprijin (dezbatere în cadrul GL, platformă digitală multilingvă).</w:t>
      </w:r>
    </w:p>
    <w:p>
      <w:pPr>
        <w:pStyle w:val="Puce3"/>
        <w:tabs>
          <w:tab w:val="clear" w:pos="720"/>
        </w:tabs>
        <w:rPr/>
      </w:pPr>
      <w:r>
        <w:rPr/>
        <w:t>7.</w:t>
        <w:tab/>
        <w:t>Armonizarea standardelor digitale de înaltă calitate și îmbunătățirea mobilității securizate a datelor pentru a facilita interoperabilitatea transfrontalieră (dezbatere în cadrul GL, platforma digitală multilingvă).</w:t>
      </w:r>
    </w:p>
    <w:p>
      <w:pPr>
        <w:pStyle w:val="Puce3"/>
        <w:tabs>
          <w:tab w:val="clear" w:pos="720"/>
        </w:tabs>
        <w:rPr/>
      </w:pPr>
      <w:r>
        <w:rPr/>
        <w:t>8.</w:t>
        <w:tab/>
        <w:t>Să reflecteze asupra impactului asupra mediului al infrastructurii digitale și al digitalizării pentru a face transformarea digitală durabilă și pentru a avansa către o societate digitală verde (dezbatere în cadrul GL, platformă digitală multilingvă).</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Propunere: Cunoștințe și competențe digitale care capacitează oamenii</w:t>
      </w:r>
    </w:p>
    <w:p>
      <w:pPr>
        <w:pStyle w:val="P68B1DB1Normal15"/>
        <w:rPr>
          <w:b/>
          <w:b/>
        </w:rPr>
      </w:pPr>
      <w:r>
        <w:rPr/>
        <w:t>Obiectiv: Propunem ca UE să se asigure că toți cetățenii europeni pot profita de digitalizare, oferindu-le posibilitatea de a dobândi competențele și oportunitățile digitale necesare prin punerea în aplicare a următoarelor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88"/>
      </w:r>
      <w:r>
        <w:rPr/>
        <w:t>:</w:t>
      </w:r>
    </w:p>
    <w:p>
      <w:pPr>
        <w:pStyle w:val="Puce3"/>
        <w:tabs>
          <w:tab w:val="clear" w:pos="720"/>
        </w:tabs>
        <w:rPr/>
      </w:pPr>
      <w:r>
        <w:rPr/>
        <w:t>1.</w:t>
        <w:tab/>
        <w:t>Asigurarea accesului la formare și educație, inclusiv la programe școlare, formale și non-formale, la competențe și cunoștințe digitale pe tot parcursul vieții, pe baza inițiativelor existente la nivel european, acordând o atenție deosebită incluziunii persoanelor care aparțin grupurilor vulnerabile și persoanelor în vârstă, precum și consolidării competențelor digitale ale copiilor într-un mod compatibil cu dezvoltarea corespunzătoare a acestora și cu abordarea inegalităților digitale, inclusiv a decalajului digital dintre bărbați și femei (Recomandarea nr. 8 a PCE, Recomandarea 5.2 a PCN din Italia și dezbaterea în cadrul GL).</w:t>
      </w:r>
    </w:p>
    <w:p>
      <w:pPr>
        <w:pStyle w:val="Puce3"/>
        <w:tabs>
          <w:tab w:val="clear" w:pos="720"/>
        </w:tabs>
        <w:rPr/>
      </w:pPr>
      <w:r>
        <w:rPr/>
        <w:t>2.</w:t>
        <w:tab/>
        <w:t>Asigurarea unei utilizări adecvate a internetului prin încurajarea statelor membre să dezvolte cursuri de formare în materie de competențe digitale pentru toate grupele de vârstă, cu programe și conținut armonizate la nivel european, cum ar fi riscurile și oportunitățile legate de internet, drepturile online ale utilizatorilor și netiquette (recomandarea 47 din cadrul CEP 1 și dezbaterea în cadrul GL).</w:t>
      </w:r>
    </w:p>
    <w:p>
      <w:pPr>
        <w:pStyle w:val="Puce3"/>
        <w:tabs>
          <w:tab w:val="clear" w:pos="720"/>
        </w:tabs>
        <w:rPr/>
      </w:pPr>
      <w:r>
        <w:rPr/>
        <w:t>3.</w:t>
        <w:tab/>
        <w:t>Să ia toate măsurile necesare pentru a se asigura că digitalizarea societății nu exclude persoanele în vârstă și că tehnologia este accesibilă acestora prin încurajarea programelor și inițiativelor relevante, cum ar fi cursurile adaptate nevoilor lor. În același timp, ar trebui să se asigure că serviciile esențiale sunt, de asemenea, accesibile personal și în mod nedigital (recomandările CEP 34 și 47).</w:t>
      </w:r>
    </w:p>
    <w:p>
      <w:pPr>
        <w:pStyle w:val="Puce3"/>
        <w:tabs>
          <w:tab w:val="clear" w:pos="720"/>
        </w:tabs>
        <w:rPr/>
      </w:pPr>
      <w:r>
        <w:rPr/>
        <w:t>4.</w:t>
        <w:tab/>
        <w:t>Introducerea în școli a unei certificări europene privind competențele digitale, care va pregăti tinerii pentru viitoarea piață a forței de muncă (Recomandarea CEP 8 1).</w:t>
      </w:r>
    </w:p>
    <w:p>
      <w:pPr>
        <w:pStyle w:val="Puce3"/>
        <w:tabs>
          <w:tab w:val="clear" w:pos="720"/>
        </w:tabs>
        <w:rPr/>
      </w:pPr>
      <w:r>
        <w:rPr/>
        <w:t>5.</w:t>
        <w:tab/>
        <w:t>Să pună în aplicare inițiative coordonate de formare la nivelul Uniunii pentru recalificarea și perfecționarea lucrătorilor pentru a rămâne competitivi pe piața forței de muncă, în special având în vedere competențele și calificările necesare în întreprinderile mici și mijlocii, precum și în vederea formării specialiștilor în domeniul digital (recomandarea 8 CEP și dezbaterea în cadrul GL).</w:t>
      </w:r>
    </w:p>
    <w:p>
      <w:pPr>
        <w:pStyle w:val="Puce3"/>
        <w:tabs>
          <w:tab w:val="clear" w:pos="720"/>
        </w:tabs>
        <w:rPr/>
      </w:pPr>
      <w:r>
        <w:rPr/>
        <w:t>6.</w:t>
        <w:tab/>
        <w:t>Publică platformele digitale existente care conectează cetățenii cu angajatorii și îi ajută să își găsească locuri de muncă în UE, cum ar fi EURES (Recomandarea nr. 8 a CEP).</w:t>
      </w:r>
    </w:p>
    <w:p>
      <w:pPr>
        <w:pStyle w:val="Puce3"/>
        <w:tabs>
          <w:tab w:val="clear" w:pos="720"/>
        </w:tabs>
        <w:rPr/>
      </w:pPr>
      <w:r>
        <w:rPr/>
        <w:t>7.</w:t>
        <w:tab/>
        <w:t>Creșterea investițiilor și a eforturilor de stimulare a digitalizării educației, inclusiv a învățământului superior (dezbatere în cadrul GL/platformei digitale multilingve).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Propunere: O societate digitală sigură și de încredere – securitatea cibernetică și dezinformarea</w:t>
      </w:r>
    </w:p>
    <w:p>
      <w:pPr>
        <w:pStyle w:val="P68B1DB1Normal15"/>
        <w:rPr>
          <w:b/>
          <w:b/>
        </w:rPr>
      </w:pPr>
      <w:r>
        <w:rPr/>
        <w:t>Obiectiv: propunem ca, pentru a crea o societate digitală sigură, rezilientă și fiabilă, UE să asigure punerea în aplicare eficace și în timp util a legislației existente și să aibă mai multe competențe pentru a consolida securitatea cibernetică, a combate conținutul ilegal și criminalitatea informatică, a aborda și a aborda consecințele amenințărilor cibernetice din partea actorilor nestatali și a statelor autoritare, precum și pentru a combate dezinformarea, prin punerea în aplicare a următoarelor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89"/>
      </w:r>
      <w:r>
        <w:rPr/>
        <w:t>:</w:t>
      </w:r>
    </w:p>
    <w:p>
      <w:pPr>
        <w:pStyle w:val="Puce3"/>
        <w:tabs>
          <w:tab w:val="clear" w:pos="720"/>
        </w:tabs>
        <w:rPr/>
      </w:pPr>
      <w:r>
        <w:rPr/>
        <w:t>1.</w:t>
        <w:tab/>
        <w:t>Consolidarea capacităților Europol/Centrul european de combatere a criminalității informatice în ceea ce privește resursele financiare și umane, pentru a permite o abordare mai proactivă a criminalității informatice și pentru a consolida capacitățile europene comune de apărare cibernetică împotriva atacurilor la scară largă, inclusiv printr-o mai bună cooperare (Recomandarea nr. 39 a PCE, Recomandarea 2.6 a PNC din Lituania și PCN 1 din Țările de Jos și dezbaterea în cadrul GL).</w:t>
      </w:r>
    </w:p>
    <w:p>
      <w:pPr>
        <w:pStyle w:val="Puce3"/>
        <w:tabs>
          <w:tab w:val="clear" w:pos="720"/>
        </w:tabs>
        <w:rPr/>
      </w:pPr>
      <w:r>
        <w:rPr/>
        <w:t>2.</w:t>
        <w:tab/>
        <w:t>Să ia măsurile necesare pentru a fi pregătite pentru atacuri la scară largă și întreruperi ale serviciilor și pentru a le putea depăși rapid, de exemplu prin asigurarea existenței unei infrastructuri reziliente și a unor canale alternative de comunicare (dezbatere în cadrul Grupului de lucru).</w:t>
      </w:r>
    </w:p>
    <w:p>
      <w:pPr>
        <w:pStyle w:val="Puce3"/>
        <w:tabs>
          <w:tab w:val="clear" w:pos="720"/>
        </w:tabs>
        <w:rPr/>
      </w:pPr>
      <w:r>
        <w:rPr/>
        <w:t>3.</w:t>
        <w:tab/>
        <w:t>Să asigure sancțiuni similare și aplicarea lor rapidă și eficace în statele membre în caz de criminalitate informatică, printr-o mai bună coordonare a centrelor și a autorităților locale, regionale și naționale în materie de securitate cibernetică (Recomandarea CEP nr. 39 1).</w:t>
      </w:r>
    </w:p>
    <w:p>
      <w:pPr>
        <w:pStyle w:val="Puce3"/>
        <w:tabs>
          <w:tab w:val="clear" w:pos="720"/>
        </w:tabs>
        <w:rPr/>
      </w:pPr>
      <w:r>
        <w:rPr/>
        <w:t>4.</w:t>
        <w:tab/>
        <w:t>Îmbunătățirea cunoștințelor digitale și a gândirii critice ca mijloc de combatere a dezinformării, a amenințărilor online și a discursului de incitare la ură, precum și a interfețelor fraudate și a prețurilor preferențiale (dezbatere în cadrul GL).</w:t>
      </w:r>
    </w:p>
    <w:p>
      <w:pPr>
        <w:pStyle w:val="Puce3"/>
        <w:tabs>
          <w:tab w:val="clear" w:pos="720"/>
        </w:tabs>
        <w:rPr/>
      </w:pPr>
      <w:r>
        <w:rPr/>
        <w:t>5.</w:t>
        <w:tab/>
        <w:t>Combaterea dezinformării prin adoptarea de acte legislative și orientări care să asigure faptul că platformele online și companiile de platforme de comunicare socială abordează vulnerabilitățile lor de dezinformare și aplică măsuri de transparență, inclusiv, de exemplu, algoritmi bazați pe inteligența artificială care pot evidenția fiabilitatea informațiilor pe platformele de comunicare socială și pe noile mijloace de comunicare, furnizând utilizatorilor surse verificate de informații. Atunci când se utilizează algoritmi, controlul final în procesele decizionale ar trebui să fie responsabilitatea ființelor umane (recomandarea 46 CEP 1 și discuția în cadrul GL).</w:t>
      </w:r>
    </w:p>
    <w:p>
      <w:pPr>
        <w:pStyle w:val="Puce3"/>
        <w:tabs>
          <w:tab w:val="clear" w:pos="720"/>
        </w:tabs>
        <w:rPr/>
      </w:pPr>
      <w:r>
        <w:rPr/>
        <w:t>6.</w:t>
        <w:tab/>
        <w:t>Sprijinirea platformelor digitale care contribuie la pluralismul mass-mediei și furnizarea de resurse și inițiative pentru a evalua fiabilitatea și imparțialitatea informațiilor din mass-media tradiționale (televiziune, imprimare, radio) și din alte mijloace de informare, cu respectarea deplină a principiului libertății mass-mediei, precum și pentru a oferi cetățenilor informații cu privire la calitatea informațiilor (Recomandarea CEP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Propunere: O societate digitală sigură și de încredere – protecția datelor</w:t>
      </w:r>
    </w:p>
    <w:p>
      <w:pPr>
        <w:pStyle w:val="P68B1DB1Normal15"/>
        <w:rPr>
          <w:b/>
          <w:b/>
        </w:rPr>
      </w:pPr>
      <w:r>
        <w:rPr/>
        <w:t>Obiectiv: Sprijinim suveranitatea cetățenilor în materie de date, o mai bună conștientizare și o mai bună punere în aplicare și asigurare a respectării normelor existente privind protecția datelor (RGPD) pentru a consolida controlul cetățenilor asupra datelor lor și pentru a limita utilizarea abuzivă a datelor, prin punerea în aplicare a următoarelor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90"/>
      </w:r>
      <w:r>
        <w:rPr/>
        <w:t>:</w:t>
      </w:r>
    </w:p>
    <w:p>
      <w:pPr>
        <w:pStyle w:val="Puce3"/>
        <w:tabs>
          <w:tab w:val="clear" w:pos="720"/>
        </w:tabs>
        <w:rPr/>
      </w:pPr>
      <w:r>
        <w:rPr/>
        <w:t>1.</w:t>
        <w:tab/>
        <w:t>Să explice mai bine normele privind protecția datelor (RGPD), să sporească transparența și să îmbunătățească comunicarea prin elaborarea de orientări pentru textele consimțământului în cunoștință de cauză care utilizează un limbaj simplu, clar și inteligibil, inclusiv o prezentare mai vizuală pentru a-și da consimțământul pentru utilizarea datelor, însoțindu-le cu o campanie de informare, precum și asigurându-se că operatorii de date dispun de competențele necesare și îi consiliază pe cei care au nevoie de asistență (recomandările 42 și 45 din PNC olandez 1 și nr. 2).</w:t>
      </w:r>
    </w:p>
    <w:p>
      <w:pPr>
        <w:pStyle w:val="Puce3"/>
        <w:tabs>
          <w:tab w:val="clear" w:pos="720"/>
        </w:tabs>
        <w:rPr/>
      </w:pPr>
      <w:r>
        <w:rPr/>
        <w:t>2.</w:t>
        <w:tab/>
        <w:t>Asigurarea respectării interdicției existente privind consimțământul implicit pentru reutilizarea sau revânzarea datelor (Recomandarea CEP nr. 42 1).</w:t>
      </w:r>
    </w:p>
    <w:p>
      <w:pPr>
        <w:pStyle w:val="Puce3"/>
        <w:tabs>
          <w:tab w:val="clear" w:pos="720"/>
        </w:tabs>
        <w:rPr/>
      </w:pPr>
      <w:r>
        <w:rPr/>
        <w:t>3.</w:t>
        <w:tab/>
        <w:t>Să se asigure că cererile utilizatorilor de ștergere finală a datelor sunt acordate într-un interval de timp specificat (Recomandarea nr. 42 a CEP).</w:t>
      </w:r>
    </w:p>
    <w:p>
      <w:pPr>
        <w:pStyle w:val="Puce3"/>
        <w:tabs>
          <w:tab w:val="clear" w:pos="720"/>
        </w:tabs>
        <w:rPr/>
      </w:pPr>
      <w:r>
        <w:rPr/>
        <w:t>4.</w:t>
        <w:tab/>
        <w:t>Să furnizeze utilizatorilor informații clare și concise cu privire la modul în care vor fi utilizate datele și de către cine (Recomandarea CEP nr. 42 1)</w:t>
      </w:r>
    </w:p>
    <w:p>
      <w:pPr>
        <w:pStyle w:val="Puce3"/>
        <w:tabs>
          <w:tab w:val="clear" w:pos="720"/>
        </w:tabs>
        <w:rPr/>
      </w:pPr>
      <w:r>
        <w:rPr/>
        <w:t>5.</w:t>
        <w:tab/>
        <w:t>Să se asigure că întreprinderile din afara Europei respectă normele europene de protecție a datelor (recomandările CEP 1 42 și 43).</w:t>
      </w:r>
    </w:p>
    <w:p>
      <w:pPr>
        <w:pStyle w:val="Puce3"/>
        <w:tabs>
          <w:tab w:val="clear" w:pos="720"/>
        </w:tabs>
        <w:rPr/>
      </w:pPr>
      <w:r>
        <w:rPr/>
        <w:t>6.</w:t>
        <w:tab/>
        <w:t>Încurajarea instituirii unui sistem de certificare la nivelul UE care să ateste conformitatea cu RGPD într-un mod accesibil, clar și simplu, să fie vizibil pe site-uri web și platforme și să fie emis de un certificator independent la nivel european. Acest lucru nu ar trebui să reprezinte o sarcină disproporționată pentru întreprinderile mici și mijlocii (recomandarea 44 din cadrul CEP 1 și discuțiile din cadrul GL).</w:t>
      </w:r>
    </w:p>
    <w:p>
      <w:pPr>
        <w:pStyle w:val="Puce3"/>
        <w:tabs>
          <w:tab w:val="clear" w:pos="720"/>
        </w:tabs>
        <w:rPr/>
      </w:pPr>
      <w:r>
        <w:rPr/>
        <w:t>7.</w:t>
        <w:tab/>
        <w:t>În acest scop, este necesar, la nivel european, să se definească mai bine comportamentul intruziv și să se dezvolte principii directoare și mecanisme care să permită cetățenilor să se opună prelucrării datelor lor și să se obțină ștergerea acestora, precum și să se identifice și să se sancționeze infractorii (recomandarea 43 a CEP și dezbaterea în cadrul GL).</w:t>
      </w:r>
    </w:p>
    <w:p>
      <w:pPr>
        <w:pStyle w:val="Puce3"/>
        <w:tabs>
          <w:tab w:val="clear" w:pos="720"/>
        </w:tabs>
        <w:rPr/>
      </w:pPr>
      <w:r>
        <w:rPr/>
        <w:t>8.</w:t>
        <w:tab/>
        <w:t>Să prevadă sancțiuni, inclusiv o amendă proporțională cu cifra de afaceri a întreprinderilor și limitări ale activităților acestora, de exemplu interdicții temporare sau definitive privind prelucrarea nedorită a datelor, și să asiste Autoritatea Europeană pentru Protecția Datelor și agențiile naționale în asigurarea punerii în aplicare a acestora (recomandările 42 și 43 CEP și dezbaterea în cadrul Grupului de lucru).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Propunere: Inovarea digitală pentru consolidarea economiei sociale și durabile</w:t>
      </w:r>
    </w:p>
    <w:p>
      <w:pPr>
        <w:pStyle w:val="Normal"/>
        <w:rPr/>
      </w:pPr>
      <w:r>
        <w:rPr/>
        <w:t>Obiectiv: Propunem UE să promoveze măsuri de digitalizare care să consolideze economia și piața unică într-un mod echitabil și durabil, să facă Europa mai competitivă în domeniul tehnologiei și inovării, să îmbunătățească piața unică digitală pentru întreprinderile de toate dimensiunile și să plaseze Europa în avangarda mondială a transformării digitale și a digitalizării centrate pe om, aplicând următoarele măsuri: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91"/>
      </w:r>
      <w:r>
        <w:rPr/>
        <w:t>:</w:t>
      </w:r>
    </w:p>
    <w:p>
      <w:pPr>
        <w:pStyle w:val="Puce3"/>
        <w:tabs>
          <w:tab w:val="clear" w:pos="720"/>
        </w:tabs>
        <w:rPr/>
      </w:pPr>
      <w:r>
        <w:rPr/>
        <w:t>1.</w:t>
        <w:tab/>
        <w:t>Să introducă acte legislative sau să consolideze legislația existentă privind „munca mobilă” (centrată pe om), ținând seama de impactul acesteia asupra sănătății fizice și mentale a lucrătorilor, de exemplu prin garantarea dreptului de a se deconecta. O abordare „centrată pe om” presupune principiul „controlului uman” (Recomandarea PCE 1 nr. 7 și dezbaterea în cadrul GL)</w:t>
      </w:r>
      <w:r>
        <w:rPr>
          <w:rStyle w:val="Ancredenotedefin"/>
          <w:rStyle w:val="Ancredenotedefin"/>
        </w:rPr>
        <w:endnoteReference w:id="92"/>
      </w:r>
      <w:r>
        <w:rPr/>
        <w:t>.</w:t>
      </w:r>
    </w:p>
    <w:p>
      <w:pPr>
        <w:pStyle w:val="Puce3"/>
        <w:tabs>
          <w:tab w:val="clear" w:pos="720"/>
        </w:tabs>
        <w:rPr/>
      </w:pPr>
      <w:r>
        <w:rPr/>
        <w:t>2.</w:t>
        <w:tab/>
        <w:t>Legiferarea la nivelul UE pentru a încuraja întreprinderile să fie responsabile din punct de vedere social și să mențină „locuri de muncă mobile” de calitate în Europa, evitând astfel relocarea acestor locuri de muncă în țări cu costuri mai mici. Stimulentele pot avea un caracter financiar și/sau un impact asupra imaginii întreprinderilor și ar trebui să țină seama de criteriile de mediu, sociale și de guvernanță (ESG) recunoscute la nivel internațional. În acest scop, Uniunea ar trebui să înființeze un grup de lucru compus din experți din toate părțile interesate, care să revizuiască și să consolideze această legislație (recomandarea 7 a CEP).</w:t>
      </w:r>
    </w:p>
    <w:p>
      <w:pPr>
        <w:pStyle w:val="Puce3"/>
        <w:tabs>
          <w:tab w:val="clear" w:pos="720"/>
        </w:tabs>
        <w:rPr/>
      </w:pPr>
      <w:r>
        <w:rPr/>
        <w:t>3.</w:t>
        <w:tab/>
        <w:t>Asigurarea controlului uman asupra proceselor decizionale care utilizează inteligența artificială la locul de muncă și transparența algoritmilor utilizați; să ia în considerare efectele dăunătoare ale supravegherii digitale nelimitate la locul de muncă; informarea și consultarea lucrătorilor înainte de introducerea tehnologiilor digitale care au un impact asupra condițiilor de muncă; să se asigure că noile forme de ocupare a forței de muncă, de exemplu munca pe platforme online, sunt în conformitate cu drepturile lucrătorilor și oferă condiții de muncă adecvate (dezbatere în cadrul Grupului de lucru).</w:t>
      </w:r>
    </w:p>
    <w:p>
      <w:pPr>
        <w:pStyle w:val="Puce3"/>
        <w:tabs>
          <w:tab w:val="clear" w:pos="720"/>
        </w:tabs>
        <w:rPr/>
      </w:pPr>
      <w:r>
        <w:rPr/>
        <w:t>4.</w:t>
        <w:tab/>
        <w:t>Să ia inițiative pentru a sprijini munca la distanță, de exemplu prin crearea de spații de birouri cu acces rapid și fiabil la internet, prin organizarea de cursuri de formare digitală și prin furnizarea de resurse pentru echipamente ergonomice pentru muncă la domiciliu (recomandarea 17 din cadrul CEP 1 și discuții în cadrul Grupului de lucru).</w:t>
      </w:r>
    </w:p>
    <w:p>
      <w:pPr>
        <w:pStyle w:val="Puce3"/>
        <w:tabs>
          <w:tab w:val="clear" w:pos="720"/>
        </w:tabs>
        <w:rPr/>
      </w:pPr>
      <w:r>
        <w:rPr/>
        <w:t>5.</w:t>
        <w:tab/>
        <w:t>Crearea unui tablou de bord digital accesibil publicului, care să creeze un sistem de clasificare care să indice și să compare nivelul actual de digitalizare a întreprinderilor din UE (PCN german).</w:t>
      </w:r>
    </w:p>
    <w:p>
      <w:pPr>
        <w:pStyle w:val="Puce3"/>
        <w:tabs>
          <w:tab w:val="clear" w:pos="720"/>
        </w:tabs>
        <w:rPr/>
      </w:pPr>
      <w:r>
        <w:rPr/>
        <w:t>6.</w:t>
        <w:tab/>
        <w:t>Construirea unei economii digitale puternice și competitive și partajarea în mod echitabil a beneficiilor transformării digitale în întreaga Europă, axându-se pe tehnologie și inovare ca vectori ai creșterii, încurajând cercetarea de vârf transformatoare, precum și oferind spațiu pentru ecosistemele de inovare în toate regiunile, prin îmbunătățirea mediului de funcționare al IMM-urilor și al întreprinderilor nou-înființate și prin accesul echitabil la finanțare și prin eliminarea sarcinilor juridice sau de altă natură care împiedică activitățile transfrontaliere (recomandarea italiană privind PNC 1.3, dezbaterea GL și platforma digitală multilingvă). Construirea unei infrastructuri de date bazate pe valorile europene; să aplice principiile „priorității digitale” și „transmiterii unice de informații” și să faciliteze accesul digital și securizat la date pentru inovare și întreprinderi; încurajarea digitalizării serviciilor publice (dezbatere în cadrul GL și al platformei digitale multilingve). Să valorifice pe deplin potențialul utilizării fiabile și responsabile a inteligenței artificiale și să profite de potențialul tehnologiei blockchain și al serviciilor de cloud, prin definirea unor garanții și standarde care să asigure transparența și interoperabilitatea, să creeze încredere, să faciliteze utilizarea și să elimine algoritmii discriminatori sau părtinitori (dezbatere în cadrul GL și al platformei digitale multilingve).</w:t>
      </w:r>
    </w:p>
    <w:p>
      <w:pPr>
        <w:pStyle w:val="Puce3"/>
        <w:tabs>
          <w:tab w:val="clear" w:pos="720"/>
        </w:tabs>
        <w:rPr/>
      </w:pPr>
      <w:r>
        <w:rPr/>
        <w:t>9.</w:t>
        <w:tab/>
        <w:t>Promovarea programelor informatice gratuite, utilizarea acestuia în educație și formare și accesul liber la cercetare și software finanțate din fonduri publice (dezbatere în cadrul GL și al platformei digitale multilingve).</w:t>
      </w:r>
    </w:p>
    <w:p>
      <w:pPr>
        <w:pStyle w:val="Puce3"/>
        <w:tabs>
          <w:tab w:val="clear" w:pos="720"/>
        </w:tabs>
        <w:rPr/>
      </w:pPr>
      <w:r>
        <w:rPr/>
        <w:t>10.</w:t>
        <w:tab/>
        <w:t>Introducerea unei identități digitale europene comune pentru a facilita tranzacțiile și serviciile digitale transfrontaliere, printr-un cadru de standarde europene și principii directoare care oferă garanțiile necesare (dezbatere în cadrul GL și al platformei digitale multilingve).</w:t>
      </w:r>
    </w:p>
    <w:p>
      <w:pPr>
        <w:pStyle w:val="Puce3"/>
        <w:tabs>
          <w:tab w:val="clear" w:pos="720"/>
        </w:tabs>
        <w:rPr/>
      </w:pPr>
      <w:r>
        <w:rPr/>
        <w:t>11.</w:t>
        <w:tab/>
        <w:t>Să evalueze dacă ar fi posibilă digitalizarea informațiilor privind consumatorii și produsele alimentare printr-o aplicație europeană standardizată care să ofere un acces mai ușor de utilizat la informații și să furnizeze informații suplimentare privind produsele și lanțul de producție (Recomandarea nr. 16 a CEP).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Imagini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ini27"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Democrația europeană”</w:t>
      </w:r>
    </w:p>
    <w:p>
      <w:pPr>
        <w:pStyle w:val="Titre3"/>
        <w:numPr>
          <w:ilvl w:val="2"/>
          <w:numId w:val="2"/>
        </w:numPr>
        <w:rPr/>
      </w:pPr>
      <w:bookmarkStart w:id="87" w:name="__RefHeading___Toc298348_1346298689"/>
      <w:bookmarkEnd w:id="87"/>
      <w:r>
        <w:rPr/>
        <w:t>36. Propunere: Informarea cetățenilor, a participării și a tineretului</w:t>
      </w:r>
    </w:p>
    <w:p>
      <w:pPr>
        <w:pStyle w:val="P68B1DB1Normal15"/>
        <w:rPr>
          <w:b/>
          <w:b/>
        </w:rPr>
      </w:pPr>
      <w:r>
        <w:rPr/>
        <w:t>Obiectiv: Creșterea participării cetățenilor și a implicării tinerilor în democrație la nivelul UE, pentru a crea o „experiență cetățenească completă” pentru europeni; să se asigure că opiniile lor sunt luate în considerare, inclusiv în afara perioadelor electorale, și că participarea lor este reală. Prin urmare, este necesar să se determine care formă de participare este cea mai potrivită pentru fiecare temă, de exemplu:</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Dezvoltarea de noi mecanisme de participare a cetățenilor și eficientizarea celor existente, în conformitate cu acquis-ul european, îmbunătățind în același timp comunicarea cu privire la toate aceste mecanisme. În mod ideal, toate informațiile privind spațiile participative ar trebui rezumate</w:t>
      </w:r>
      <w:r>
        <w:rPr>
          <w:rStyle w:val="Ancredenotedefin"/>
          <w:rStyle w:val="Ancredenotedefin"/>
        </w:rPr>
        <w:endnoteReference w:id="93"/>
      </w:r>
      <w:r>
        <w:rPr/>
        <w:t xml:space="preserve"> pe un site oficial complet cu diferite funcționalități</w:t>
      </w:r>
      <w:r>
        <w:rPr>
          <w:rStyle w:val="Ancredenotedefin"/>
          <w:rStyle w:val="Ancredenotedefin"/>
        </w:rPr>
        <w:endnoteReference w:id="94"/>
      </w:r>
      <w:r>
        <w:rPr/>
        <w:t>. Ar trebui dezvoltat un mecanism de monitorizare a inițiativelor politice și legislative rezultate din procesele de democrație participativă</w:t>
      </w:r>
      <w:r>
        <w:rPr>
          <w:rStyle w:val="Ancredenotedefin"/>
          <w:rStyle w:val="Ancredenotedefin"/>
        </w:rPr>
        <w:endnoteReference w:id="95"/>
      </w:r>
      <w:r>
        <w:rPr/>
        <w:t>. Mecanismele participative ar trebui, toate, să se adreseze întregii populații pentru a ajunge la o varietate de audiențe. Ar trebui să se acorde atenție conținutului, subiectelor și competențelor moderatorilor. Aceste mecanisme ar trebui să se bazeze pe o analiză a efectelor măsurilor în cauză, în special asupra femeilor și a persoanelor vulnerabile</w:t>
      </w:r>
      <w:r>
        <w:rPr>
          <w:rStyle w:val="Ancredenotedefin"/>
          <w:rStyle w:val="Ancredenotedefin"/>
        </w:rPr>
        <w:endnoteReference w:id="96"/>
      </w:r>
      <w:r>
        <w:rPr/>
        <w:t>.</w:t>
      </w:r>
    </w:p>
    <w:p>
      <w:pPr>
        <w:pStyle w:val="Puce3"/>
        <w:tabs>
          <w:tab w:val="clear" w:pos="720"/>
        </w:tabs>
        <w:rPr/>
      </w:pPr>
      <w:r>
        <w:rPr/>
        <w:t>2.</w:t>
        <w:tab/>
        <w:t>Prin creșterea frecvenței interacțiunilor online și offline dintre instituțiile UE și cetățeni prin diferite mijloace, pentru a se asigura că aceștia pot participa la procesul de elaborare a politicilor europene, își pot exprima opiniile și pot obține feedback și pentru a elabora o cartă privind participarea cetățenilor pentru funcționarii europeni</w:t>
      </w:r>
      <w:r>
        <w:rPr>
          <w:rStyle w:val="Ancredenotedefin"/>
          <w:rStyle w:val="Ancredenotedefin"/>
        </w:rPr>
        <w:endnoteReference w:id="97"/>
      </w:r>
      <w:r>
        <w:rPr/>
        <w:t>.</w:t>
      </w:r>
    </w:p>
    <w:p>
      <w:pPr>
        <w:pStyle w:val="Puce3"/>
        <w:tabs>
          <w:tab w:val="clear" w:pos="720"/>
        </w:tabs>
        <w:rPr/>
      </w:pPr>
      <w:r>
        <w:rPr/>
        <w:t>3.</w:t>
        <w:tab/>
        <w:t>Să propună o platformă digitală ușor de utilizat, în cadrul căreia cetățenii – în special tinerii – să își poată împărtăși ideile, să adreseze întrebări reprezentanților instituțiilor europene și să își exprime opiniile cu privire la chestiuni europene importante, precum și la propuneri legislative. De asemenea, ar trebui să se prevadă posibilitatea organizării de sondaje online pe această platformă</w:t>
      </w:r>
      <w:r>
        <w:rPr>
          <w:rStyle w:val="Ancredenotedefin"/>
          <w:rStyle w:val="Ancredenotedefin"/>
        </w:rPr>
        <w:endnoteReference w:id="98"/>
      </w:r>
      <w:r>
        <w:rPr/>
        <w:t>.</w:t>
      </w:r>
    </w:p>
    <w:p>
      <w:pPr>
        <w:pStyle w:val="Puce3"/>
        <w:tabs>
          <w:tab w:val="clear" w:pos="720"/>
        </w:tabs>
        <w:rPr/>
      </w:pPr>
      <w:r>
        <w:rPr/>
        <w:t>4.</w:t>
        <w:tab/>
        <w:t>Îmbunătățirea și armonizarea mecanismelor existente la nivel european, național și local pentru a le face mai sigure, mai accesibile, mai vizibile și mai incluzive</w:t>
      </w:r>
      <w:r>
        <w:rPr>
          <w:rStyle w:val="Ancredenotedefin"/>
          <w:rStyle w:val="Ancredenotedefin"/>
        </w:rPr>
        <w:endnoteReference w:id="99"/>
      </w:r>
      <w:r>
        <w:rPr/>
        <w:t>.</w:t>
      </w:r>
    </w:p>
    <w:p>
      <w:pPr>
        <w:pStyle w:val="Puce3"/>
        <w:tabs>
          <w:tab w:val="clear" w:pos="720"/>
        </w:tabs>
        <w:rPr/>
      </w:pPr>
      <w:r>
        <w:rPr/>
        <w:t>5.</w:t>
        <w:tab/>
        <w:t>Implicarea organizațiilor societății civile, a autorităților regionale și locale și a organismelor existente, cum ar fi Comitetul Economic și Social European (CESE) și Comitetul Regiunilor (CoR</w:t>
      </w:r>
      <w:r>
        <w:rPr>
          <w:rStyle w:val="Ancredenotedefin"/>
          <w:rStyle w:val="Ancredenotedefin"/>
        </w:rPr>
        <w:endnoteReference w:id="100"/>
      </w:r>
      <w:r>
        <w:rPr/>
        <w:t>), în procesele de participare a cetățenilor</w:t>
      </w:r>
      <w:r>
        <w:rPr>
          <w:rStyle w:val="Ancredenotedefin"/>
          <w:rStyle w:val="Ancredenotedefin"/>
        </w:rPr>
        <w:endnoteReference w:id="101"/>
      </w:r>
      <w:r>
        <w:rPr/>
        <w:t>.</w:t>
      </w:r>
    </w:p>
    <w:p>
      <w:pPr>
        <w:pStyle w:val="Puce3"/>
        <w:tabs>
          <w:tab w:val="clear" w:pos="720"/>
        </w:tabs>
        <w:rPr/>
      </w:pPr>
      <w:r>
        <w:rPr/>
        <w:t>6.</w:t>
        <w:tab/>
        <w:t>Prin crearea unui sistem de consilieri locali ai UE, pentru a aduce instituțiile europene mai aproape de cetățenii europeni</w:t>
      </w:r>
      <w:r>
        <w:rPr>
          <w:rStyle w:val="Ancredenotedefin"/>
          <w:rStyle w:val="Ancredenotedefin"/>
        </w:rPr>
        <w:endnoteReference w:id="102"/>
      </w:r>
      <w:r>
        <w:rPr/>
        <w:t>.</w:t>
      </w:r>
    </w:p>
    <w:p>
      <w:pPr>
        <w:pStyle w:val="Puce3"/>
        <w:tabs>
          <w:tab w:val="clear" w:pos="720"/>
        </w:tabs>
        <w:rPr/>
      </w:pPr>
      <w:r>
        <w:rPr/>
        <w:t>7.</w:t>
        <w:tab/>
        <w:t>Reunirea periodică a adunărilor cetățenilor, în temeiul legislației UE, cu caracter obligatoriu din punct de vedere juridic. Participanții vor fi recrutați prin tragere la sorți conform criteriilor de reprezentativitate, iar participarea va fi puternic încurajată. Dacă este necesar, specialiștii vor furniza membrilor adunării informații relevante pentru deliberările lor. În cazul în care instituțiile nu iau în considerare concluziile acestor reuniuni, acestea vor trebui să își motiveze decizia</w:t>
      </w:r>
      <w:r>
        <w:rPr>
          <w:rStyle w:val="Ancredenotedefin"/>
          <w:rStyle w:val="Ancredenotedefin"/>
        </w:rPr>
        <w:endnoteReference w:id="103"/>
      </w:r>
      <w:r>
        <w:rPr/>
        <w:t>. Este important ca reprezentanții aleși să consulte cetățenii și societatea civilă înainte de a lua decizii politice și să ia în considerare contribuțiile acestora. Uniunea Europeană se întemeiază pe democrația reprezentativă: în cadrul alegerilor europene, cetățenii transmit un mesaj clar reprezentanților lor și vorbesc indirect despre politicile UE</w:t>
      </w:r>
      <w:r>
        <w:rPr>
          <w:rStyle w:val="Ancredenotedefin"/>
          <w:rStyle w:val="Ancredenotedefin"/>
        </w:rPr>
        <w:endnoteReference w:id="104"/>
      </w:r>
      <w:r>
        <w:rPr/>
        <w:t>.</w:t>
      </w:r>
    </w:p>
    <w:p>
      <w:pPr>
        <w:pStyle w:val="Puce3"/>
        <w:tabs>
          <w:tab w:val="clear" w:pos="720"/>
        </w:tabs>
        <w:rPr/>
      </w:pPr>
      <w:r>
        <w:rPr/>
        <w:t>8.</w:t>
        <w:tab/>
        <w:t>Acordarea unui sprijin financiar sau structural sporit societății civile, în special tinerilor, și autorităților locale, în vederea înființării de consilii locale pentru tineret</w:t>
      </w:r>
      <w:r>
        <w:rPr>
          <w:rStyle w:val="Ancredenotedefin"/>
          <w:rStyle w:val="Ancredenotedefin"/>
        </w:rPr>
        <w:endnoteReference w:id="105"/>
      </w:r>
      <w:r>
        <w:rPr/>
        <w:t>; implicarea societății civile și a partenerilor sociali ar putea fi un pilon complet al Planului de acțiune pentru democrația europeană, iar o strategie specifică ar putea fi dedicată societății civile</w:t>
      </w:r>
      <w:r>
        <w:rPr>
          <w:rStyle w:val="Ancredenotedefin"/>
          <w:rStyle w:val="Ancredenotedefin"/>
        </w:rPr>
        <w:endnoteReference w:id="106"/>
      </w:r>
      <w:r>
        <w:rPr/>
        <w:t>.</w:t>
      </w:r>
    </w:p>
    <w:p>
      <w:pPr>
        <w:pStyle w:val="Puce3"/>
        <w:tabs>
          <w:tab w:val="clear" w:pos="720"/>
        </w:tabs>
        <w:rPr/>
      </w:pPr>
      <w:r>
        <w:rPr/>
        <w:t>9.</w:t>
        <w:tab/>
        <w:t>Instituirea unui „control al tineretului” asupra legislației, care ar include o evaluare a impactului și un mecanism de consultare a reprezentanților tinerilor, în cazul în care legislația ar putea avea un impact asupra tinerilor</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Prin consolidarea cooperării dintre legiuitorii UE și organizațiile societății civile, pentru a profita de legăturile dintre factorii de decizie și cetățeni</w:t>
      </w:r>
      <w:r>
        <w:rPr>
          <w:rStyle w:val="Ancredenotedefin"/>
          <w:rStyle w:val="Ancredenotedefin"/>
        </w:rPr>
        <w:endnoteReference w:id="108"/>
      </w:r>
      <w:r>
        <w:rPr/>
        <w:t>.</w:t>
      </w:r>
    </w:p>
    <w:p>
      <w:pPr>
        <w:pStyle w:val="Puce3"/>
        <w:tabs>
          <w:tab w:val="clear" w:pos="720"/>
        </w:tabs>
        <w:rPr/>
      </w:pPr>
      <w:r>
        <w:rPr/>
        <w:t>11.</w:t>
        <w:tab/>
        <w:t>Rezumând punctele privind participarea cetățenilor la Carta europeană a contribuției cetățenilor la afacerile europene.</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Propunere: Informarea cetățenilor, a participării și a tineretului (a)</w:t>
      </w:r>
    </w:p>
    <w:p>
      <w:pPr>
        <w:pStyle w:val="P68B1DB1Normal15"/>
        <w:rPr>
          <w:b/>
          <w:b/>
        </w:rPr>
      </w:pPr>
      <w:r>
        <w:rPr/>
        <w:t>Obiectiv: Sporirea inteligibilității și accesibilității Uniunii Europene; consolidarea identității europene comune, în 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Asigurarea unui nivel minim de educație în Uniunea Europeană, în special a proceselor sale democratice, fără a neglija istoria integrării europene și a cetățeniei europene. Persoanele de toate vârstele ar trebui să poată beneficia de aceste programe, care ar trebui să fie concepute într-un mod atractiv și adecvat vârstei, cum ar fi dezvoltarea unor programe și materiale educaționale specifice pentru copii, școli</w:t>
      </w:r>
      <w:r>
        <w:rPr>
          <w:rStyle w:val="Ancredenotedefin"/>
          <w:rStyle w:val="Ancredenotedefin"/>
        </w:rPr>
        <w:endnoteReference w:id="110"/>
      </w:r>
      <w:r>
        <w:rPr/>
        <w:t xml:space="preserve"> și organizații ale societății civile active în domeniul educației non-formale</w:t>
      </w:r>
      <w:r>
        <w:rPr>
          <w:rStyle w:val="Ancredenotedefin"/>
          <w:rStyle w:val="Ancredenotedefin"/>
        </w:rPr>
        <w:endnoteReference w:id="111"/>
      </w:r>
      <w:r>
        <w:rPr/>
        <w:t>.</w:t>
      </w:r>
    </w:p>
    <w:p>
      <w:pPr>
        <w:pStyle w:val="Puce3"/>
        <w:tabs>
          <w:tab w:val="clear" w:pos="720"/>
        </w:tabs>
        <w:rPr/>
      </w:pPr>
      <w:r>
        <w:rPr/>
        <w:t>2.</w:t>
        <w:tab/>
        <w:t>Asigurarea, inclusiv, a accesului facil al tuturor cetățenilor la informații fiabile cu privire la Uniune. Instituțiile europene ar trebui să utilizeze un limbaj mai accesibil și să evite utilizarea jargonului birocratic în comunicările lor, menținând în același timp calitatea și nivelul tehnic al informațiilor furnizate, și să adapteze informațiile la diferitele canale de comunicare și profiluri de destinatar.</w:t>
      </w:r>
      <w:r>
        <w:rPr>
          <w:rStyle w:val="Ancredenotedefin"/>
          <w:rStyle w:val="Ancredenotedefin"/>
        </w:rPr>
        <w:endnoteReference w:id="112"/>
      </w:r>
      <w:r>
        <w:rPr/>
        <w:t xml:space="preserve"> Acestea ar trebui să ia în considerare, de exemplu, crearea unei aplicații mobile care să prezinte informații privind politicile UE într-un limbaj clar</w:t>
      </w:r>
      <w:r>
        <w:rPr>
          <w:rStyle w:val="Ancredenotedefin"/>
          <w:rStyle w:val="Ancredenotedefin"/>
        </w:rPr>
        <w:endnoteReference w:id="113"/>
      </w:r>
      <w:r>
        <w:rPr/>
        <w:t>. Ar trebui depuse eforturi speciale pentru a ajunge la tineri pe rețelele sociale, dar și prin mișcări de tineret și diverse „ambasadori” (organizații și persoane fizice) care explică proiectul</w:t>
      </w:r>
      <w:r>
        <w:rPr>
          <w:rStyle w:val="Ancredenotedefin"/>
          <w:rStyle w:val="Ancredenotedefin"/>
        </w:rPr>
        <w:endnoteReference w:id="114"/>
      </w:r>
      <w:r>
        <w:rPr/>
        <w:t xml:space="preserve"> european</w:t>
      </w:r>
      <w:r>
        <w:rPr>
          <w:rStyle w:val="Ancredenotedefin"/>
          <w:rStyle w:val="Ancredenotedefin"/>
        </w:rPr>
        <w:endnoteReference w:id="115"/>
      </w:r>
      <w:r>
        <w:rPr/>
        <w:t>.</w:t>
      </w:r>
    </w:p>
    <w:p>
      <w:pPr>
        <w:pStyle w:val="Puce3"/>
        <w:tabs>
          <w:tab w:val="clear" w:pos="720"/>
        </w:tabs>
        <w:rPr/>
      </w:pPr>
      <w:r>
        <w:rPr/>
        <w:t>3.</w:t>
        <w:tab/>
        <w:t>Utilizarea sporită a inteligenței artificiale și a tehnologiilor de traducere automată pentru</w:t>
      </w:r>
      <w:r>
        <w:rPr>
          <w:rStyle w:val="Ancredenotedefin"/>
          <w:rStyle w:val="Ancredenotedefin"/>
        </w:rPr>
        <w:endnoteReference w:id="116"/>
      </w:r>
      <w:r>
        <w:rPr/>
        <w:t xml:space="preserve"> a depăși bariera lingvistică</w:t>
      </w:r>
      <w:r>
        <w:rPr>
          <w:rStyle w:val="Ancredenotedefin"/>
          <w:rStyle w:val="Ancredenotedefin"/>
        </w:rPr>
        <w:endnoteReference w:id="117"/>
      </w:r>
      <w:r>
        <w:rPr/>
        <w:t>, asigurându-se că toate instrumentele digitale sunt accesibile</w:t>
      </w:r>
      <w:r>
        <w:rPr>
          <w:rStyle w:val="Ancredenotedefin"/>
          <w:rStyle w:val="Ancredenotedefin"/>
        </w:rPr>
        <w:endnoteReference w:id="118"/>
      </w:r>
      <w:r>
        <w:rPr/>
        <w:t xml:space="preserve"> și ușor de utilizat pentru persoanele cu handicap.</w:t>
      </w:r>
    </w:p>
    <w:p>
      <w:pPr>
        <w:pStyle w:val="Puce3"/>
        <w:tabs>
          <w:tab w:val="clear" w:pos="720"/>
        </w:tabs>
        <w:rPr/>
      </w:pPr>
      <w:r>
        <w:rPr/>
        <w:t>4.</w:t>
        <w:tab/>
        <w:t>Prin apărarea și sprijinirea libertății, pluralismului și independenței mass-mediei și prin încurajarea mass-mediei, inclusiv a radiodifuzorilor publici, a agențiilor publice de știri și a mass-mediei europene, să acopere mai regulat afacerile europene, respectând în același timp libertatea și independența acestora, astfel încât o astfel de acoperire să fie regulată și cuprinzătoare în toate statele membre ale Uniunii</w:t>
      </w:r>
      <w:r>
        <w:rPr>
          <w:rStyle w:val="Ancredenotedefin"/>
          <w:rStyle w:val="Ancredenotedefin"/>
        </w:rPr>
        <w:endnoteReference w:id="119"/>
      </w:r>
      <w:r>
        <w:rPr/>
        <w:t>, să intensifice eforturile de combatere a dezinformării și a ingerințelor străine și să protejeze jurnaliștii</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Aducând Europa mai aproape de cetățeni prin consolidarea</w:t>
      </w:r>
      <w:r>
        <w:rPr>
          <w:rStyle w:val="Ancredenotedefin"/>
          <w:rStyle w:val="Ancredenotedefin"/>
        </w:rPr>
        <w:endnoteReference w:id="121"/>
      </w:r>
      <w:r>
        <w:rPr/>
        <w:t xml:space="preserve"> punctelor de contact și a centrelor specializate („Casele Europei”) la nivel local, care ar oferi resurse, informații și consiliere cetățenilor cu privire la chestiuni europene, le-ar asculta preocupările și ar discuta cu asociațiile pentru a contribui la transmiterea opiniilor cetățenilor la nivel european</w:t>
      </w:r>
      <w:r>
        <w:rPr>
          <w:rStyle w:val="Ancredenotedefin"/>
          <w:rStyle w:val="Ancredenotedefin"/>
        </w:rPr>
        <w:endnoteReference w:id="122"/>
      </w:r>
      <w:r>
        <w:rPr/>
        <w:t>.</w:t>
      </w:r>
    </w:p>
    <w:p>
      <w:pPr>
        <w:pStyle w:val="Puce3"/>
        <w:tabs>
          <w:tab w:val="clear" w:pos="720"/>
        </w:tabs>
        <w:rPr/>
      </w:pPr>
      <w:r>
        <w:rPr/>
        <w:t>6.</w:t>
        <w:tab/>
        <w:t>Prin adoptarea de noi măsuri de consolidare a unei identități comune a europenilor, de exemplu printr-un fond al UE care să încurajeze interacțiunile online și offline (cum ar fi programele de schimb, grupurile sau reuniunile) de o durată variabilă între cetățenii UE, organizarea de evenimente sportive europene, înființarea de echipe comune sau transformarea zilei de 9 mai (Ziua Europei) într-o vacanță suplimentară</w:t>
      </w:r>
      <w:r>
        <w:rPr>
          <w:rStyle w:val="Ancredenotedefin"/>
          <w:rStyle w:val="Ancredenotedefin"/>
        </w:rPr>
        <w:endnoteReference w:id="123"/>
      </w:r>
      <w:r>
        <w:rPr/>
        <w:t xml:space="preserve"> pentru toți cetățenii europeni</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Propunere: Democrație și alegeri</w:t>
      </w:r>
    </w:p>
    <w:p>
      <w:pPr>
        <w:pStyle w:val="Normal"/>
        <w:rPr/>
      </w:pPr>
      <w:r>
        <w:rPr/>
        <w:t>Obiectiv: Consolidarea democrației europene prin consolidarea fundamentelor sale, încurajarea cetățenilor să participe la alegerile europene, promovarea dezbaterilor transnaționale pe teme europene și asigurarea unei legături strânse între cetățeni și reprezentanții aleși ai acestora, în 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Asigurarea protejării valorilor europene consacrate în tratate, inclusiv a statului de drept și a unui model social solid</w:t>
      </w:r>
      <w:r>
        <w:rPr>
          <w:rStyle w:val="Ancredenotedefin"/>
          <w:rStyle w:val="Ancredenotedefin"/>
        </w:rPr>
        <w:endnoteReference w:id="125"/>
      </w:r>
      <w:r>
        <w:rPr/>
        <w:t>, care constituie centrul democrației europene. În relațiile sale cu restul lumii, Uniunea ar trebui să acorde prioritate valorilor democratice comune în țările de frontieră. Abia după atingerea acestui obiectiv, ea poate deveni ambasadorul modelului nostru democratic în țările care au capacitatea și voința de a face acest lucru, prin diplomație și dialog</w:t>
      </w:r>
      <w:r>
        <w:rPr>
          <w:rStyle w:val="Ancredenotedefin"/>
          <w:rStyle w:val="Ancredenotedefin"/>
        </w:rPr>
        <w:endnoteReference w:id="126"/>
      </w:r>
      <w:r>
        <w:rPr/>
        <w:t>.</w:t>
      </w:r>
    </w:p>
    <w:p>
      <w:pPr>
        <w:pStyle w:val="Puce3"/>
        <w:tabs>
          <w:tab w:val="clear" w:pos="720"/>
        </w:tabs>
        <w:rPr/>
      </w:pPr>
      <w:r>
        <w:rPr/>
        <w:t>2.</w:t>
        <w:tab/>
        <w:t>Prin introducerea posibilității de a organiza un referendum în întreaga Uniune, la inițiativa Parlamentului European, în mod excepțional, în cazul în care un subiect se dovedește a fi deosebit de important pentru toți cetățenii europeni</w:t>
      </w:r>
      <w:r>
        <w:rPr>
          <w:rStyle w:val="Ancredenotedefin"/>
          <w:rStyle w:val="Ancredenotedefin"/>
        </w:rPr>
        <w:endnoteReference w:id="127"/>
      </w:r>
      <w:r>
        <w:rPr/>
        <w:t>.</w:t>
      </w:r>
    </w:p>
    <w:p>
      <w:pPr>
        <w:pStyle w:val="Puce3"/>
        <w:tabs>
          <w:tab w:val="clear" w:pos="720"/>
        </w:tabs>
        <w:rPr/>
      </w:pPr>
      <w:r>
        <w:rPr/>
        <w:t>3.</w:t>
        <w:tab/>
        <w:t>Prin modificarea legislației electorale a Uniunii în vederea armonizării modalităților privind alegerile europene (de exemplu, vârsta majoratului, data alegerilor, cerințele aplicabile circumscripțiilor electorale, candidaților, partidelor politice și finanțării acestora), precum și prin trecerea la liste paneuropene sau transnaționale,</w:t>
      </w:r>
      <w:r>
        <w:rPr>
          <w:rStyle w:val="Ancredenotedebasdepage"/>
          <w:rStyle w:val="Ancredenotedebasdepage"/>
        </w:rPr>
        <w:footnoteReference w:id="11"/>
      </w:r>
      <w:r>
        <w:rPr/>
        <w:t xml:space="preserve"> inclusiv candidați din diferite state membre, după ce au luat în considerare</w:t>
      </w:r>
      <w:r>
        <w:rPr>
          <w:rStyle w:val="Ancredenotedefin"/>
          <w:rStyle w:val="Ancredenotedefin"/>
        </w:rPr>
        <w:endnoteReference w:id="128"/>
      </w:r>
      <w:r>
        <w:rPr/>
        <w:t xml:space="preserve"> opiniile exprimate de cetățenii statelor membre cu privire la această chestiune</w:t>
      </w:r>
      <w:r>
        <w:rPr>
          <w:rStyle w:val="Ancredenotedefin"/>
          <w:rStyle w:val="Ancredenotedefin"/>
        </w:rPr>
        <w:endnoteReference w:id="129"/>
      </w:r>
      <w:r>
        <w:rPr/>
        <w:t>.</w:t>
      </w:r>
    </w:p>
    <w:p>
      <w:pPr>
        <w:pStyle w:val="Alineanegatifpuce"/>
        <w:numPr>
          <w:ilvl w:val="0"/>
          <w:numId w:val="3"/>
        </w:numPr>
        <w:rPr/>
      </w:pPr>
      <w:r>
        <w:rPr/>
        <w:t xml:space="preserve"> </w:t>
      </w:r>
      <w:r>
        <w:rPr/>
        <w:t>Unii deputați în Parlamentul European ar trebui aleși de pe listele paneuropene, în timp ce ceilalți ar trebui aleși la nivelul statelor membre</w:t>
      </w:r>
      <w:r>
        <w:rPr>
          <w:rStyle w:val="Ancredenotedefin"/>
          <w:rStyle w:val="Ancredenotedefin"/>
        </w:rPr>
        <w:endnoteReference w:id="130"/>
      </w:r>
      <w:r>
        <w:rPr/>
        <w:t>.</w:t>
      </w:r>
    </w:p>
    <w:p>
      <w:pPr>
        <w:pStyle w:val="Alineanegatifpuce"/>
        <w:numPr>
          <w:ilvl w:val="0"/>
          <w:numId w:val="3"/>
        </w:numPr>
        <w:rPr/>
      </w:pPr>
      <w:r>
        <w:rPr/>
        <w:t xml:space="preserve"> </w:t>
      </w:r>
      <w:r>
        <w:rPr/>
        <w:t>Obiectivul reformei ar trebui să fie, de asemenea, facilitarea votului digital</w:t>
      </w:r>
      <w:r>
        <w:rPr>
          <w:rStyle w:val="Ancredenotedefin"/>
          <w:rStyle w:val="Ancredenotedefin"/>
        </w:rPr>
        <w:endnoteReference w:id="131"/>
      </w:r>
      <w:r>
        <w:rPr/>
        <w:t xml:space="preserve"> și garantarea dreptului real al persoanelor cu handicap de a vota</w:t>
      </w:r>
      <w:r>
        <w:rPr>
          <w:rStyle w:val="Ancredenotedefin"/>
          <w:rStyle w:val="Ancredenotedefin"/>
        </w:rPr>
        <w:endnoteReference w:id="132"/>
      </w:r>
      <w:r>
        <w:rPr/>
        <w:t>.</w:t>
      </w:r>
    </w:p>
    <w:p>
      <w:pPr>
        <w:pStyle w:val="Puce3"/>
        <w:tabs>
          <w:tab w:val="clear" w:pos="720"/>
        </w:tabs>
        <w:rPr/>
      </w:pPr>
      <w:r>
        <w:rPr/>
        <w:t>4.</w:t>
        <w:tab/>
        <w:t>Consolidarea legăturilor dintre cetățeni și reprezentanții aleși ai acestora, ținând seama de particularitățile naționale: cetățenii doresc să simtă că deputații europeni și parlamentarii naționali sunt apropiați de ei și să răspundă preocupărilor lor prin măsuri specifice</w:t>
      </w:r>
      <w:r>
        <w:rPr>
          <w:rStyle w:val="Ancredenotedefin"/>
          <w:rStyle w:val="Ancredenotedefin"/>
        </w:rPr>
        <w:endnoteReference w:id="133"/>
      </w:r>
      <w:r>
        <w:rPr/>
        <w:t>. Aceasta este o problemă universală și oamenii de toate vârstele ar trebui să se implice</w:t>
      </w:r>
      <w:r>
        <w:rPr>
          <w:rStyle w:val="Ancredenotedefin"/>
          <w:rStyle w:val="Ancredenotedefin"/>
        </w:rPr>
        <w:endnoteReference w:id="134"/>
      </w:r>
      <w:r>
        <w:rPr/>
        <w:t>.</w:t>
      </w:r>
    </w:p>
    <w:p>
      <w:pPr>
        <w:pStyle w:val="Alineanegatifpuce"/>
        <w:numPr>
          <w:ilvl w:val="0"/>
          <w:numId w:val="3"/>
        </w:numPr>
        <w:rPr/>
      </w:pPr>
      <w:r>
        <w:rPr/>
        <w:t xml:space="preserve"> </w:t>
      </w:r>
      <w:r>
        <w:rPr/>
        <w:t>Cetățenii europeni ar trebui să aibă mai multă importanță în alegerea președintelui Comisiei. Acest obiectiv ar putea fi atins prin alegerea directă a președintelui Comisiei</w:t>
      </w:r>
      <w:r>
        <w:rPr>
          <w:rStyle w:val="Ancredenotedefin"/>
          <w:rStyle w:val="Ancredenotedefin"/>
        </w:rPr>
        <w:endnoteReference w:id="135"/>
      </w:r>
      <w:r>
        <w:rPr/>
        <w:t xml:space="preserve"> sau prin sistemul de candidați de top</w:t>
      </w:r>
      <w:r>
        <w:rPr>
          <w:rStyle w:val="Ancredenotedebasdepage"/>
          <w:rStyle w:val="Ancredenotedebasdepage"/>
        </w:rPr>
        <w:footnoteReference w:id="12"/>
      </w:r>
      <w:r>
        <w:rPr/>
        <w:t>.</w:t>
      </w:r>
    </w:p>
    <w:p>
      <w:pPr>
        <w:pStyle w:val="Alineanegatifpuce"/>
        <w:numPr>
          <w:ilvl w:val="0"/>
          <w:numId w:val="3"/>
        </w:numPr>
        <w:rPr/>
      </w:pPr>
      <w:r>
        <w:rPr/>
        <w:t xml:space="preserve"> </w:t>
      </w:r>
      <w:r>
        <w:rPr/>
        <w:t>Parlamentul European ar trebui să aibă dreptul la inițiativă legislativă pentru a propune</w:t>
      </w:r>
      <w:r>
        <w:rPr>
          <w:rStyle w:val="Ancredenotedefin"/>
          <w:rStyle w:val="Ancredenotedefin"/>
        </w:rPr>
        <w:endnoteReference w:id="136"/>
      </w:r>
      <w:r>
        <w:rPr/>
        <w:t xml:space="preserve"> subiecte de dezbatere și apoi să adopte textele necesare pentru a da curs recomandărilor rezultate în urma deliberărilor</w:t>
      </w:r>
      <w:r>
        <w:rPr>
          <w:rStyle w:val="Ancredenotedefin"/>
          <w:rStyle w:val="Ancredenotedefin"/>
        </w:rPr>
        <w:endnoteReference w:id="137"/>
      </w:r>
      <w:r>
        <w:rPr/>
        <w:t>.</w:t>
      </w:r>
    </w:p>
    <w:p>
      <w:pPr>
        <w:pStyle w:val="Alineanegatifpuce"/>
        <w:numPr>
          <w:ilvl w:val="0"/>
          <w:numId w:val="3"/>
        </w:numPr>
        <w:rPr/>
      </w:pPr>
      <w:r>
        <w:rPr/>
        <w:t xml:space="preserve"> </w:t>
      </w:r>
      <w:r>
        <w:rPr/>
        <w:t>Parlamentul European ar trebui să decidă cu privire la bugetul UE, așa cum procedează parlamentele la nivel național</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Partidele politice, organizațiile societății civile și sindicatele ar trebui să fie mai dinamice și mai accesibile, astfel încât cetățenii să se implice și să investească mai mult în democrația europeană</w:t>
      </w:r>
      <w:r>
        <w:rPr>
          <w:rStyle w:val="Ancredenotedefin"/>
          <w:rStyle w:val="Ancredenotedefin"/>
        </w:rPr>
        <w:endnoteReference w:id="139"/>
      </w:r>
      <w:r>
        <w:rPr/>
        <w:t>. Acest lucru ar promova, de asemenea, includerea chestiunilor europene în dezbaterile publice organizate de partidele politice, organizațiile societății civile și partenerii sociali, fie în perioada premergătoare alegerilor europene, fie în perioada premergătoare alegerilor naționale, regionale sau locale</w:t>
      </w:r>
      <w:r>
        <w:rPr>
          <w:rStyle w:val="Ancredenotedefin"/>
          <w:rStyle w:val="Ancredenotedefin"/>
        </w:rPr>
        <w:endnoteReference w:id="140"/>
      </w:r>
      <w:r>
        <w:rPr/>
        <w:t>.</w:t>
      </w:r>
    </w:p>
    <w:p>
      <w:pPr>
        <w:pStyle w:val="Puce3"/>
        <w:tabs>
          <w:tab w:val="clear" w:pos="720"/>
        </w:tabs>
        <w:rPr/>
      </w:pPr>
      <w:r>
        <w:rPr/>
        <w:t>5.</w:t>
        <w:tab/>
        <w:t>Democrația este încorporată în instituții și în societate în general, inclusiv la locul de muncă datorită partenerilor sociali</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Propunere: Procesul decizional al Uniunii</w:t>
      </w:r>
    </w:p>
    <w:p>
      <w:pPr>
        <w:pStyle w:val="P68B1DB1Normal15"/>
        <w:rPr>
          <w:b/>
          <w:b/>
        </w:rPr>
      </w:pPr>
      <w:r>
        <w:rPr/>
        <w:t>Obiectiv: Îmbunătățirea procesului decizional al Uniunii pentru a asigura capacitatea sa de a acționa, ținând seama în același timp de interesele fiecărui stat membru și asigurând un proces transparent și inteligibil pentru cetățeni, în 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Revizuirea normelor privind procesul decizional și votul în instituțiile europene. Chestiunea votului în unanimitate merită o atenție deosebită, deoarece face ca orice acord să fie foarte dificil. Ar trebui să se asigure corectitudinea ponderării voturilor, astfel încât să se protejeze interesele țărilor mici</w:t>
      </w:r>
      <w:r>
        <w:rPr>
          <w:rStyle w:val="Ancredenotedefin"/>
          <w:rStyle w:val="Ancredenotedefin"/>
        </w:rPr>
        <w:endnoteReference w:id="142"/>
      </w:r>
      <w:r>
        <w:rPr/>
        <w:t>.</w:t>
      </w:r>
    </w:p>
    <w:p>
      <w:pPr>
        <w:pStyle w:val="Alineanegatifpuce"/>
        <w:numPr>
          <w:ilvl w:val="0"/>
          <w:numId w:val="3"/>
        </w:numPr>
        <w:rPr/>
      </w:pPr>
      <w:r>
        <w:rPr/>
        <w:t xml:space="preserve"> </w:t>
      </w:r>
      <w:r>
        <w:rPr/>
        <w:t>Toate deciziile adoptate în prezent în unanimitate ar trebui, în viitor, să fie adoptate cu majoritate calificată. Singurele excepții ar trebui să fie admiterea noilor state membre în Uniunea Europeană și modificarea principiilor fundamentale ale Uniunii consacrate la articolul 2 din Tratatul privind Uniunea Europeană și în Carta drepturilor fundamentale a Uniunii Europene</w:t>
      </w:r>
      <w:r>
        <w:rPr>
          <w:rStyle w:val="Ancredenotedefin"/>
          <w:rStyle w:val="Ancredenotedefin"/>
        </w:rPr>
        <w:endnoteReference w:id="143"/>
      </w:r>
      <w:r>
        <w:rPr/>
        <w:t>.</w:t>
      </w:r>
    </w:p>
    <w:p>
      <w:pPr>
        <w:pStyle w:val="Puce3"/>
        <w:tabs>
          <w:tab w:val="clear" w:pos="720"/>
        </w:tabs>
        <w:rPr/>
      </w:pPr>
      <w:r>
        <w:rPr/>
        <w:t>2.</w:t>
        <w:tab/>
        <w:t>Asigurarea transparenței în procesul decizional, permițând observatorilor independenți ai cetățenilor să monitorizeze îndeaproape acest proces, aplicând un drept mai larg de acces la documente</w:t>
      </w:r>
      <w:r>
        <w:rPr>
          <w:rStyle w:val="Ancredenotedefin"/>
          <w:rStyle w:val="Ancredenotedefin"/>
        </w:rPr>
        <w:endnoteReference w:id="144"/>
      </w:r>
      <w:r>
        <w:rPr/>
        <w:t xml:space="preserve"> și stabilind legături mai strânse și un dialog consolidat între cetățeni și instituțiile europene pe această bază</w:t>
      </w:r>
      <w:r>
        <w:rPr>
          <w:rStyle w:val="Ancredenotedefin"/>
          <w:rStyle w:val="Ancredenotedefin"/>
        </w:rPr>
        <w:endnoteReference w:id="145"/>
      </w:r>
      <w:r>
        <w:rPr/>
        <w:t>.</w:t>
      </w:r>
    </w:p>
    <w:p>
      <w:pPr>
        <w:pStyle w:val="Alineanegatifpuce"/>
        <w:numPr>
          <w:ilvl w:val="0"/>
          <w:numId w:val="3"/>
        </w:numPr>
        <w:rPr/>
      </w:pPr>
      <w:r>
        <w:rPr/>
        <w:t xml:space="preserve"> </w:t>
      </w:r>
      <w:r>
        <w:rPr/>
        <w:t>Uniunea trebuie să îmbunătățească transparența procesului său decizional și a instituțiilor sale. De exemplu, reuniunile Consiliului și ale Parlamentului European, inclusiv sesiunile de vot, ar trebui difuzate online în același mod. Acest lucru ar permite cetățenilor interesați să monitorizeze procesul de elaborare a politicilor UE și ar obliga factorii de decizie să raporteze cu privire la acțiunile lor</w:t>
      </w:r>
      <w:r>
        <w:rPr>
          <w:rStyle w:val="Ancredenotedefin"/>
          <w:rStyle w:val="Ancredenotedefin"/>
        </w:rPr>
        <w:endnoteReference w:id="146"/>
      </w:r>
      <w:r>
        <w:rPr/>
        <w:t>. De asemenea, ar trebui consolidat dreptul de anchetă al Parlamentului European.</w:t>
      </w:r>
      <w:r>
        <w:rPr>
          <w:rStyle w:val="Ancredenotedefin"/>
          <w:rStyle w:val="Ancredenotedefin"/>
        </w:rPr>
        <w:endnoteReference w:id="147"/>
      </w:r>
      <w:r>
        <w:rPr/>
        <w:t xml:space="preserve"> Amendamentul nr. 44A din GL.</w:t>
      </w:r>
    </w:p>
    <w:p>
      <w:pPr>
        <w:pStyle w:val="Alineanegatifpuce"/>
        <w:numPr>
          <w:ilvl w:val="0"/>
          <w:numId w:val="3"/>
        </w:numPr>
        <w:rPr/>
      </w:pPr>
      <w:r>
        <w:rPr/>
        <w:t xml:space="preserve"> </w:t>
      </w:r>
      <w:r>
        <w:rPr/>
        <w:t>Procesul decizional al Uniunii ar trebui dezvoltat în continuare, astfel încât să implice mai mulți reprezentanți naționali, regionali și locali, parteneri sociali și organizații ale societății civile</w:t>
      </w:r>
      <w:r>
        <w:rPr>
          <w:rStyle w:val="Ancredenotedefin"/>
          <w:rStyle w:val="Ancredenotedefin"/>
        </w:rPr>
        <w:endnoteReference w:id="148"/>
      </w:r>
      <w:r>
        <w:rPr/>
        <w:t>. Cooperarea și dialogul interparlamentar ar trebui consolidate. Parlamentul European ar trebui, de asemenea, să implice mai îndeaproape parlamentele naționale în procedura legislativă europeană, de exemplu, invitându-le la audieri</w:t>
      </w:r>
      <w:r>
        <w:rPr>
          <w:rStyle w:val="Ancredenotedefin"/>
          <w:rStyle w:val="Ancredenotedefin"/>
        </w:rPr>
        <w:endnoteReference w:id="149"/>
      </w:r>
      <w:r>
        <w:rPr/>
        <w:t>. În plus, ar fi util să se obțină o implicare mai puternică a autorităților subnaționale și a CoR, pentru a ține mai bine seama de experiența acestora în punerea în aplicare a legislației europene</w:t>
      </w:r>
      <w:r>
        <w:rPr>
          <w:rStyle w:val="Ancredenotedefin"/>
          <w:rStyle w:val="Ancredenotedefin"/>
        </w:rPr>
        <w:endnoteReference w:id="150"/>
      </w:r>
      <w:r>
        <w:rPr/>
        <w:t>.</w:t>
      </w:r>
    </w:p>
    <w:p>
      <w:pPr>
        <w:pStyle w:val="Puce3"/>
        <w:tabs>
          <w:tab w:val="clear" w:pos="720"/>
        </w:tabs>
        <w:rPr/>
      </w:pPr>
      <w:r>
        <w:rPr/>
        <w:t>3.</w:t>
        <w:tab/>
        <w:t>Luând în considerare schimbarea denumirilor instituțiilor europene pentru a clarifica rolul și rolul fiecăreia în procesul decizional al Uniunii în ochii cetățenilor</w:t>
      </w:r>
      <w:r>
        <w:rPr>
          <w:rStyle w:val="Ancredenotedefin"/>
          <w:rStyle w:val="Ancredenotedefin"/>
        </w:rPr>
        <w:endnoteReference w:id="151"/>
      </w:r>
      <w:r>
        <w:rPr/>
        <w:t>.</w:t>
      </w:r>
    </w:p>
    <w:p>
      <w:pPr>
        <w:pStyle w:val="Alineanegatifpuce"/>
        <w:numPr>
          <w:ilvl w:val="0"/>
          <w:numId w:val="3"/>
        </w:numPr>
        <w:rPr/>
      </w:pPr>
      <w:r>
        <w:rPr/>
        <w:t xml:space="preserve"> </w:t>
      </w:r>
      <w:r>
        <w:rPr/>
        <w:t>Procesul decizional al UE ar trebui să se bazeze pe o structură mai clară și mai ușor de înțeles, care să semene cu sistemele naționale</w:t>
      </w:r>
      <w:r>
        <w:rPr>
          <w:rStyle w:val="Ancredenotedefin"/>
          <w:rStyle w:val="Ancredenotedefin"/>
        </w:rPr>
        <w:endnoteReference w:id="152"/>
      </w:r>
      <w:r>
        <w:rPr/>
        <w:t xml:space="preserve"> și să indice în mod explicit repartizarea competențelor între instituțiile europene și statele membre</w:t>
      </w:r>
      <w:r>
        <w:rPr>
          <w:rStyle w:val="Ancredenotedefin"/>
          <w:rStyle w:val="Ancredenotedefin"/>
        </w:rPr>
        <w:endnoteReference w:id="153"/>
      </w:r>
      <w:r>
        <w:rPr/>
        <w:t>.</w:t>
      </w:r>
    </w:p>
    <w:p>
      <w:pPr>
        <w:pStyle w:val="Alineanegatifpuce"/>
        <w:numPr>
          <w:ilvl w:val="0"/>
          <w:numId w:val="3"/>
        </w:numPr>
        <w:rPr/>
      </w:pPr>
      <w:r>
        <w:rPr/>
        <w:t xml:space="preserve"> </w:t>
      </w:r>
      <w:r>
        <w:rPr/>
        <w:t>De exemplu, Consiliul Uniunii Europene ar putea fi redenumit „Senatul Uniunii” și Comisia Europeană „Comisia Executivă a Uniunii”</w:t>
      </w:r>
      <w:r>
        <w:rPr>
          <w:rStyle w:val="Ancredenotedefin"/>
          <w:rStyle w:val="Ancredenotedefin"/>
        </w:rPr>
        <w:endnoteReference w:id="154"/>
      </w:r>
      <w:r>
        <w:rPr/>
        <w:t>.</w:t>
      </w:r>
    </w:p>
    <w:p>
      <w:pPr>
        <w:pStyle w:val="Puce3"/>
        <w:tabs>
          <w:tab w:val="clear" w:pos="720"/>
        </w:tabs>
        <w:rPr/>
      </w:pPr>
      <w:r>
        <w:rPr/>
        <w:t>4.</w:t>
        <w:tab/>
        <w:t>Consolidarea capacității Uniunii de a obține rezultate în domenii-cheie</w:t>
      </w:r>
      <w:r>
        <w:rPr>
          <w:rStyle w:val="Ancredenotedefin"/>
          <w:rStyle w:val="Ancredenotedefin"/>
        </w:rPr>
        <w:endnoteReference w:id="155"/>
      </w:r>
      <w:r>
        <w:rPr/>
        <w:t>.</w:t>
      </w:r>
    </w:p>
    <w:p>
      <w:pPr>
        <w:pStyle w:val="Puce3"/>
        <w:tabs>
          <w:tab w:val="clear" w:pos="720"/>
        </w:tabs>
        <w:rPr/>
      </w:pPr>
      <w:r>
        <w:rPr/>
        <w:t>5.</w:t>
        <w:tab/>
        <w:t>Asigurarea unor mecanisme de dialog social și de consultare cu cetățenii în toate etapele procesului decizional al Uniunii, de la evaluarea impactului până la conceperea și punerea în aplicare a măsurilor</w:t>
      </w:r>
      <w:r>
        <w:rPr>
          <w:rStyle w:val="Ancredenotedefin"/>
          <w:rStyle w:val="Ancredenotedefin"/>
        </w:rPr>
        <w:endnoteReference w:id="156"/>
      </w:r>
      <w:r>
        <w:rPr/>
        <w:t>.</w:t>
      </w:r>
    </w:p>
    <w:p>
      <w:pPr>
        <w:pStyle w:val="Puce3"/>
        <w:tabs>
          <w:tab w:val="clear" w:pos="720"/>
        </w:tabs>
        <w:rPr/>
      </w:pPr>
      <w:r>
        <w:rPr/>
        <w:t>6.</w:t>
        <w:tab/>
        <w:t>Reformarea funcționării Uniunii Europene, inclusiv prin implicarea mai strânsă a partenerilor sociali și a organizațiilor societății civile. Structurile existente trebuie consolidate astfel încât procesul decizional să reflecte mai bine nevoile și așteptările cetățenilor europeni, care reprezintă un element central al democrației europene. În acest context, CESE trebuie să obțină mijloacele necesare pentru a juca un rol instituțional mai important, acela de garant și facilitator al activităților de democrație participativă, cum ar fi dialogul structurat cu organizațiile societății civile și grupurile de dezbatere ale cetățenilor. O societate civilă dinamică este esențială pentru viața democratică a Uniunii</w:t>
      </w:r>
      <w:r>
        <w:rPr>
          <w:rStyle w:val="Ancredenotedefin"/>
          <w:rStyle w:val="Ancredenotedefin"/>
        </w:rPr>
        <w:endnoteReference w:id="157"/>
      </w:r>
      <w:r>
        <w:rPr/>
        <w:t>.</w:t>
      </w:r>
    </w:p>
    <w:p>
      <w:pPr>
        <w:pStyle w:val="Puce3"/>
        <w:tabs>
          <w:tab w:val="clear" w:pos="720"/>
        </w:tabs>
        <w:rPr/>
      </w:pPr>
      <w:r>
        <w:rPr/>
        <w:t>7.</w:t>
        <w:tab/>
        <w:t>Redeschiderea dezbaterii privind constituția, dacă este cazul, pentru a defini în mod clar valorile noastre. O constituție ar putea aduce mai multă precizie, ar putea mobiliza cetățenii și ar putea conveni asupra normelor procesului decizional</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Propunere: Subsidiaritate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Subsidiaritatea activă și guvernanța pe mai multe niveluri sunt principii-cheie pentru ca Uniunea Europeană să funcționeze într-un mod democratic și responsabil</w:t>
      </w:r>
      <w:r>
        <w:rPr>
          <w:rStyle w:val="Ancredenotedefin"/>
          <w:rStyle w:val="Ancredenotedefin"/>
        </w:rPr>
        <w:endnoteReference w:id="159"/>
      </w:r>
      <w:r>
        <w:rPr/>
        <w:t>;</w:t>
      </w:r>
    </w:p>
    <w:p>
      <w:pPr>
        <w:pStyle w:val="Puce3"/>
        <w:tabs>
          <w:tab w:val="clear" w:pos="720"/>
        </w:tabs>
        <w:rPr/>
      </w:pPr>
      <w:r>
        <w:rPr/>
        <w:t>2.</w:t>
        <w:tab/>
        <w:t>UE trebuie să revizuiască mecanismul prin care parlamentele naționale examinează dacă propunerile legislative europene încalcă sau nu competențele naționale; parlamentele naționale ar trebui să poată propune inițiative legislative instituțiilor europene. Aceste mecanisme ar trebui extinse la toate parlamentele regionale cu competențe legislative</w:t>
      </w:r>
      <w:r>
        <w:rPr>
          <w:rStyle w:val="Ancredenotedefin"/>
          <w:rStyle w:val="Ancredenotedefin"/>
        </w:rPr>
        <w:endnoteReference w:id="160"/>
      </w:r>
      <w:r>
        <w:rPr/>
        <w:t>.</w:t>
      </w:r>
    </w:p>
    <w:p>
      <w:pPr>
        <w:pStyle w:val="Puce3"/>
        <w:tabs>
          <w:tab w:val="clear" w:pos="720"/>
        </w:tabs>
        <w:rPr/>
      </w:pPr>
      <w:r>
        <w:rPr/>
        <w:t>3.</w:t>
        <w:tab/>
        <w:t>CoR ar trebui reformat pentru a deschide canale adecvate de dialog cu regiunile, orașele și municipalitățile. Aceasta ar trebui să joace un rol mai important</w:t>
      </w:r>
      <w:r>
        <w:rPr>
          <w:rStyle w:val="Ancredenotedefin"/>
          <w:rStyle w:val="Ancredenotedefin"/>
        </w:rPr>
        <w:endnoteReference w:id="161"/>
      </w:r>
      <w:r>
        <w:rPr/>
        <w:t xml:space="preserve"> în arhitectura instituțională atunci când abordează chestiuni cu consecințe teritoriale</w:t>
      </w:r>
      <w:r>
        <w:rPr>
          <w:rStyle w:val="Ancredenotedefin"/>
          <w:rStyle w:val="Ancredenotedefin"/>
        </w:rPr>
        <w:endnoteReference w:id="162"/>
      </w:r>
      <w:r>
        <w:rPr/>
        <w:t>.</w:t>
      </w:r>
    </w:p>
    <w:p>
      <w:pPr>
        <w:pStyle w:val="Normal"/>
        <w:rPr/>
      </w:pPr>
      <w:r>
        <w:rPr/>
      </w:r>
    </w:p>
    <w:p>
      <w:pPr>
        <w:pStyle w:val="Puce3"/>
        <w:tabs>
          <w:tab w:val="clear" w:pos="720"/>
        </w:tabs>
        <w:rPr/>
      </w:pPr>
      <w:r>
        <w:rPr/>
        <w:t>4.</w:t>
        <w:tab/>
        <w:t>Utilizarea sistematică a unei definiții comune a subsidiarității, aprobată de toate instituțiile europene, ar putea defini mai clar la ce nivel ar trebui luate deciziile (europene, naționale sau regionale)</w:t>
      </w:r>
      <w:r>
        <w:rPr>
          <w:rStyle w:val="Ancredenotedefin"/>
          <w:rStyle w:val="Ancredenotedefin"/>
        </w:rPr>
        <w:endnoteReference w:id="163"/>
      </w:r>
      <w:r>
        <w:rPr/>
        <w:t>.</w:t>
      </w:r>
    </w:p>
    <w:p>
      <w:pPr>
        <w:pStyle w:val="Puce3"/>
        <w:tabs>
          <w:tab w:val="clear" w:pos="720"/>
        </w:tabs>
        <w:rPr/>
      </w:pPr>
      <w:r>
        <w:rPr/>
        <w:t>5.</w:t>
        <w:tab/>
        <w:t>Partenerii sociali și organizațiile societății civile, care sunt esențiale pentru democrația europeană, trebuie să fie mai bine implicate în procesul decizional. O societate dinamică este esențială pentru viața democratică a Uniunii.</w:t>
      </w:r>
      <w:r>
        <w:rPr>
          <w:rStyle w:val="Ancredenotedefin"/>
          <w:rStyle w:val="Ancredenotedefin"/>
        </w:rPr>
        <w:endnoteReference w:id="164"/>
      </w:r>
    </w:p>
    <w:p>
      <w:pPr>
        <w:pStyle w:val="Puce3"/>
        <w:tabs>
          <w:tab w:val="clear" w:pos="720"/>
        </w:tabs>
        <w:rPr/>
      </w:pPr>
      <w:r>
        <w:rPr/>
        <w:t>6.</w:t>
        <w:tab/>
        <w:t>Solicităm instituțiilor UE să pună în aplicare concluziile acestui grup de lucru și să le eficientizeze. Acest lucru ar putea fi realizat prin dispozițiile existente ale Tratatului de la Lisabona și, dacă este necesar, prin solicitarea lansării unei convenții europene</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Jocuri cu Jocul 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Jocuri cu Jocul Image28"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Migrații”</w:t>
      </w:r>
    </w:p>
    <w:p>
      <w:pPr>
        <w:pStyle w:val="Titre3"/>
        <w:numPr>
          <w:ilvl w:val="2"/>
          <w:numId w:val="2"/>
        </w:numPr>
        <w:rPr/>
      </w:pPr>
      <w:bookmarkStart w:id="93" w:name="__RefHeading___Toc298360_1346298689"/>
      <w:bookmarkEnd w:id="93"/>
      <w:r>
        <w:rPr/>
        <w:t>41. Propunere: Migrația legală</w:t>
      </w:r>
    </w:p>
    <w:p>
      <w:pPr>
        <w:pStyle w:val="P68B1DB1Normal15"/>
        <w:rPr>
          <w:b/>
          <w:b/>
        </w:rPr>
      </w:pPr>
      <w:r>
        <w:rPr/>
        <w:t>Obiectiv: Consolidarea rolului UE în migrația legală</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66"/>
      </w:r>
      <w:r>
        <w:rPr/>
        <w:t>:</w:t>
      </w:r>
    </w:p>
    <w:p>
      <w:pPr>
        <w:pStyle w:val="Puce3"/>
        <w:tabs>
          <w:tab w:val="clear" w:pos="720"/>
        </w:tabs>
        <w:rPr/>
      </w:pPr>
      <w:r>
        <w:rPr/>
        <w:t>1.</w:t>
        <w:tab/>
        <w:t>Lansarea unei campanii de comunicare la nivel european pentru a se asigura că EURES (Rețeaua serviciilor europene de ocupare a forței de muncă), portalul UE privind imigrația și instrumentul european de stabilire a profilurilor competențelor pentru resortisanții țărilor terțe sunt mai bine cunoscute de cetățenii europeni și utilizate mai frecvent de întreprinderile din UE atunci când recrutează (recomandarea 6).</w:t>
      </w:r>
    </w:p>
    <w:p>
      <w:pPr>
        <w:pStyle w:val="Puce3"/>
        <w:tabs>
          <w:tab w:val="clear" w:pos="720"/>
        </w:tabs>
        <w:rPr/>
      </w:pPr>
      <w:r>
        <w:rPr/>
        <w:t>2.</w:t>
        <w:tab/>
        <w:t>Crearea unei entități europene pentru accesul migranților la piața forței de muncă din UE sau, în caz contrar, extinderea competențelor Rețelei europene de servicii de ocupare a forței de muncă (EURES), de exemplu îmbunătățirea proiectelor de parteneriat pentru atragerea de talente (Recomandarea nr. 7 și discuții în cadrul GL), cu posibilitatea de a răspunde online cererii și ofertei de competențe în țara de plecare pe baza criteriilor de evaluare (recomandarea nr. 9 și dezbaterea în cadrul GL). Uniunea ar trebui să încurajeze statele membre să simplifice procesul de primire și integrare a migranților legali și accesul acestora la piața muncii din Uniune prin îmbunătățirea interoperabilității între diferitele administrații în cauză (dezbatere în cadrul GL).</w:t>
      </w:r>
    </w:p>
    <w:p>
      <w:pPr>
        <w:pStyle w:val="Puce3"/>
        <w:tabs>
          <w:tab w:val="clear" w:pos="720"/>
        </w:tabs>
        <w:rPr/>
      </w:pPr>
      <w:r>
        <w:rPr/>
        <w:t>3.</w:t>
        <w:tab/>
        <w:t>Să îmbunătățească funcționarea și punerea în aplicare a Directivei privind cartea albastră pentru a atrage competențele de care are nevoie economia UE (recomandarea nr. 7 și dezbaterea în cadrul GL), ținând seama în mod corespunzător de riscul de exod al creierelor (în conformitate cu măsura 1 din propunerea 42).</w:t>
      </w:r>
    </w:p>
    <w:p>
      <w:pPr>
        <w:pStyle w:val="Puce3"/>
        <w:tabs>
          <w:tab w:val="clear" w:pos="720"/>
        </w:tabs>
        <w:rPr/>
      </w:pPr>
      <w:r>
        <w:rPr/>
        <w:t>4.</w:t>
        <w:tab/>
        <w:t>Promovarea convergenței ascendente a condițiilor de muncă într-un mod armonios în întreaga Uniune, pentru a combate inegalitățile în ceea ce privește condițiile de muncă, pentru a asigura o politică eficace a UE în domeniul migrației forței de muncă și pentru a apăra drepturile lucrătorilor. În acest context, consolidarea rolului sindicatelor la nivel național și transnațional (recomandarea nr. 28 și dezbaterea în cadrul GL), în cooperare cu organizațiile patronale (dezbatere în plen).</w:t>
      </w:r>
    </w:p>
    <w:p>
      <w:pPr>
        <w:pStyle w:val="Puce3"/>
        <w:tabs>
          <w:tab w:val="clear" w:pos="720"/>
        </w:tabs>
        <w:rPr/>
      </w:pPr>
      <w:r>
        <w:rPr/>
        <w:t>5.</w:t>
        <w:tab/>
        <w:t>Să intensifice eforturile de informare și educare a cetățenilor statelor membre cu privire la chestiuni legate de migrație și integrare (Recomandarea 30, recomandarea 9 din Grupul de lucru pentru LT și dezbaterea GL).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Propunere: Migrația neregulamentară</w:t>
      </w:r>
    </w:p>
    <w:p>
      <w:pPr>
        <w:pStyle w:val="P68B1DB1Normal15"/>
        <w:rPr>
          <w:b/>
          <w:b/>
        </w:rPr>
      </w:pPr>
      <w:r>
        <w:rPr/>
        <w:t>Obiectiv: Consolidarea rolului Uniunii în combaterea tuturor formelor de migrație neregulamentară și consolidarea protecției frontierelor externe ale Uniunii Europene, respectând în același timp drepturile omului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67"/>
      </w:r>
      <w:r>
        <w:rPr/>
        <w:t>:</w:t>
      </w:r>
    </w:p>
    <w:p>
      <w:pPr>
        <w:pStyle w:val="Puce3"/>
        <w:tabs>
          <w:tab w:val="clear" w:pos="720"/>
        </w:tabs>
        <w:rPr/>
      </w:pPr>
      <w:r>
        <w:rPr/>
        <w:t>1.</w:t>
        <w:tab/>
        <w:t>Să participe activ, de exemplu prin acorduri de parteneriat, la dezvoltarea economică și socială a țărilor din afara Uniunii Europene și din care există un aflux mare de migranți, pentru a aborda cauzele profunde ale migrației, inclusiv schimbările climatice. Aceste acțiuni ar trebui să fie transparente și să producă rezultate tangibile, cu efecte măsurabile, care ar trebui să fie comunicate în mod clar cetățenilor UE (Recomandarea 27, Recomandarea NL 3 și dezbaterea în cadrul GL).</w:t>
      </w:r>
    </w:p>
    <w:p>
      <w:pPr>
        <w:pStyle w:val="Puce3"/>
        <w:tabs>
          <w:tab w:val="clear" w:pos="720"/>
        </w:tabs>
        <w:rPr/>
      </w:pPr>
      <w:r>
        <w:rPr/>
        <w:t>2.</w:t>
        <w:tab/>
        <w:t>Să asigure protecția tuturor frontierelor externe prin îmbunătățirea transparenței și a răspunderii Frontex și prin consolidarea rolului său (recomandarea nr. 8 și dezbaterea din cadrul GL) și prin adaptarea legislației UE pentru a aborda mai bine provocările actuale legate de migrația neregulamentară, cum ar fi traficul de persoane, traficul de persoane, exploatarea sexuală, atacurile hibride comise de statele care exploatează migranții și încălcarea drepturilor omului (recomandarea LT 10 și dezbaterea în cadrul GL).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Propunere: Migrația neregulamentară (bis)</w:t>
      </w:r>
    </w:p>
    <w:p>
      <w:pPr>
        <w:pStyle w:val="P68B1DB1Normal15"/>
        <w:rPr>
          <w:b/>
          <w:b/>
        </w:rPr>
      </w:pPr>
      <w:r>
        <w:rPr/>
        <w:t>Obiectiv: Aplicarea uniformă a normelor comune în toate statele membre în ceea ce privește prima primire a migranților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68"/>
      </w:r>
      <w:r>
        <w:rPr/>
        <w:t>:</w:t>
      </w:r>
    </w:p>
    <w:p>
      <w:pPr>
        <w:pStyle w:val="Puce3"/>
        <w:tabs>
          <w:tab w:val="clear" w:pos="720"/>
        </w:tabs>
        <w:rPr/>
      </w:pPr>
      <w:r>
        <w:rPr/>
        <w:t>1.</w:t>
        <w:tab/>
        <w:t>Să elaboreze măsuri la nivelul UE pentru a asigura siguranța și sănătatea tuturor migranților, în special a femeilor însărcinate, a copiilor, a minorilor neînsoțiți și a tuturor persoanelor vulnerabile (recomandările 10 și 38 și dezbaterea din cadrul Grupului de lucru).</w:t>
      </w:r>
    </w:p>
    <w:p>
      <w:pPr>
        <w:pStyle w:val="Normal"/>
        <w:rPr/>
      </w:pPr>
      <w:r>
        <w:rPr/>
      </w:r>
    </w:p>
    <w:p>
      <w:pPr>
        <w:pStyle w:val="Puce3"/>
        <w:tabs>
          <w:tab w:val="clear" w:pos="720"/>
        </w:tabs>
        <w:rPr/>
      </w:pPr>
      <w:r>
        <w:rPr/>
        <w:t>2.</w:t>
        <w:tab/>
        <w:t>Sporirea sprijinului financiar, logistic și operațional acordat de UE, inclusiv autorităților locale, factorilor de decizie regionali și organizațiilor societății civile, pentru gestionarea primei recepții, ceea ce ar putea duce la integrarea refugiaților sau a migranților obișnuiți în UE și la repatrierea migranților în situație neregulamentară (recomandarea 35 și dezbaterea din cadrul Grupului de lucru).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Propunere: Azil, integrare</w:t>
      </w:r>
    </w:p>
    <w:p>
      <w:pPr>
        <w:pStyle w:val="P68B1DB1Normal15"/>
        <w:rPr>
          <w:b/>
          <w:b/>
        </w:rPr>
      </w:pPr>
      <w:r>
        <w:rPr/>
        <w:t>Obiectiv: Consolidarea rolului Uniunii și reformarea sistemului european de azil pe baza principiilor solidarității și partajării echitabile a responsabilității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69"/>
      </w:r>
      <w:r>
        <w:rPr/>
        <w:t>:</w:t>
      </w:r>
    </w:p>
    <w:p>
      <w:pPr>
        <w:pStyle w:val="Puce3"/>
        <w:tabs>
          <w:tab w:val="clear" w:pos="720"/>
        </w:tabs>
        <w:rPr/>
      </w:pPr>
      <w:r>
        <w:rPr/>
        <w:t>1.</w:t>
        <w:tab/>
        <w:t>Să adopte norme comune ale Uniunii privind procedurile de examinare a cererilor de protecție internațională în statele membre, aplicate în mod uniform tuturor solicitanților de azil. Aceste proceduri trebuie să respecte demnitatea umană și dreptul internațional (Recomandarea 29, recomandările IT 3.8 și 4.4, p. 15 și dezbaterea în cadrul GL). Întrucât primirea solicitanților de azil implică diferiți actori la nivel național, Uniunea ar trebui să încurajeze statele membre să simplifice și să accelereze acest proces prin îmbunătățirea interoperabilității între diferitele administrații în cauză și să înființeze un birou unic (ghișeu sau ghișeu unic) pentru solicitanții de azil, în vederea raționalizării procedurilor administrative naționale (recomandarea 37 și dezbaterea în cadrul GL).</w:t>
      </w:r>
    </w:p>
    <w:p>
      <w:pPr>
        <w:pStyle w:val="Puce3"/>
        <w:tabs>
          <w:tab w:val="clear" w:pos="720"/>
        </w:tabs>
        <w:rPr/>
      </w:pPr>
      <w:r>
        <w:rPr/>
        <w:t>2.</w:t>
        <w:tab/>
        <w:t>Revizuirea sistemului Dublin pentru a asigura solidaritatea și partajarea echitabilă a responsabilității, inclusiv distribuirea migranților între statele membre; ar putea fi avute în vedere și alte forme de sprijin (recomandările 33, 36, 37, 40; recomandarea nr. 2; recomandările IT 3.8 (p. 15) și NL 2, dezbatere în cadrul grupului de lucru și dezbatere în plen).</w:t>
      </w:r>
    </w:p>
    <w:p>
      <w:pPr>
        <w:pStyle w:val="Puce3"/>
        <w:tabs>
          <w:tab w:val="clear" w:pos="720"/>
        </w:tabs>
        <w:rPr/>
      </w:pPr>
      <w:r>
        <w:rPr/>
        <w:t>3.</w:t>
        <w:tab/>
        <w:t>Consolidarea standardelor minime de primire pentru solicitanții de azil prevăzute în Directiva 2013/33/UE prin măsuri legislative mai stricte pentru îmbunătățirea facilităților de primire și a cazării (Recomandarea 31 din MCE, Recomandarea IT 5.6, p. 11 și dezbaterea în cadrul GL).</w:t>
      </w:r>
    </w:p>
    <w:p>
      <w:pPr>
        <w:pStyle w:val="Puce3"/>
        <w:tabs>
          <w:tab w:val="clear" w:pos="720"/>
        </w:tabs>
        <w:rPr/>
      </w:pPr>
      <w:r>
        <w:rPr/>
        <w:t>4.</w:t>
        <w:tab/>
        <w:t>O atenție deosebită ar trebui acordată femeilor însărcinate, copiilor și, în special, minorilor neînsoțiți (Recomandarea nr. 38 și discuții în cadrul GL).</w:t>
      </w:r>
    </w:p>
    <w:p>
      <w:pPr>
        <w:pStyle w:val="Puce3"/>
        <w:tabs>
          <w:tab w:val="clear" w:pos="720"/>
        </w:tabs>
        <w:rPr/>
      </w:pPr>
      <w:r>
        <w:rPr/>
        <w:t>5.</w:t>
        <w:tab/>
        <w:t>Consolidarea și creșterea resurselor financiare și umane și a capacităților de gestionare ale Agenției pentru Azil a Uniunii Europene pentru a coordona și a gestiona transferul solicitanților de azil în statele membre ale UE în vederea realizării unei distribuții echitabile (Recomandările 36 și 37, Recomandarea privind LT 3 și dezbaterea în cadrul Grupului de lucru).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Propunere: Azil, integrare (bis)</w:t>
      </w:r>
    </w:p>
    <w:p>
      <w:pPr>
        <w:pStyle w:val="P68B1DB1Normal15"/>
        <w:rPr>
          <w:b/>
          <w:b/>
        </w:rPr>
      </w:pPr>
      <w:r>
        <w:rPr/>
        <w:t>Obiectiv: Îmbunătățirea politicilor de integrare în toate statele membre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rPr>
        <w:endnoteReference w:id="170"/>
      </w:r>
      <w:r>
        <w:rPr/>
        <w:t>:</w:t>
      </w:r>
    </w:p>
    <w:p>
      <w:pPr>
        <w:pStyle w:val="Puce3"/>
        <w:tabs>
          <w:tab w:val="clear" w:pos="720"/>
        </w:tabs>
        <w:rPr/>
      </w:pPr>
      <w:r>
        <w:rPr/>
        <w:t>1.</w:t>
        <w:tab/>
        <w:t>Uniunea se asigură, de asemenea, cu participarea autorităților locale și regionale și cu contribuția organizațiilor societății civile, că toți solicitanții de azil și refugiații participă la cursuri și activități lingvistice și de integrare, precum și la formare profesională în timpul examinării cererii lor de ședere (Recomandarea nr. 32, Recomandarea FR nr. 13, dezbaterea în cadrul Grupului de lucru și dezbaterea în plen).</w:t>
      </w:r>
    </w:p>
    <w:p>
      <w:pPr>
        <w:pStyle w:val="Puce3"/>
        <w:tabs>
          <w:tab w:val="clear" w:pos="720"/>
        </w:tabs>
        <w:rPr/>
      </w:pPr>
      <w:r>
        <w:rPr/>
        <w:t>2.</w:t>
        <w:tab/>
        <w:t>Solicitanții de azil cu calificările adecvate ar trebui să aibă acces la piața forței de muncă, dacă este posibil, în vederea consolidării autonomiei lor, în întreaga Uniune (recomandarea nr. 7 și dezbaterea în cadrul GL).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Jocuri cu Jocul 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Jocuri cu Jocul Image29"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Educație, cultură, tineret și sport</w:t>
      </w:r>
    </w:p>
    <w:p>
      <w:pPr>
        <w:pStyle w:val="Titre3"/>
        <w:numPr>
          <w:ilvl w:val="2"/>
          <w:numId w:val="2"/>
        </w:numPr>
        <w:rPr/>
      </w:pPr>
      <w:bookmarkStart w:id="99" w:name="__RefHeading___Toc298372_1346298689"/>
      <w:bookmarkEnd w:id="99"/>
      <w:r>
        <w:rPr/>
        <w:t>46. Propunere: Educație</w:t>
      </w:r>
    </w:p>
    <w:p>
      <w:pPr>
        <w:pStyle w:val="P68B1DB1Normal15"/>
        <w:rPr>
          <w:b/>
          <w:b/>
        </w:rPr>
      </w:pPr>
      <w:r>
        <w:rPr/>
        <w:t>Obiectiv: UE și statele sale membre ar trebui să depună eforturi pentru a institui, până în 2025, un spațiu european al educației favorabil incluziunii, în care toți cetățenii să aibă acces egal la învățare și educație de calitate pe tot parcursul vieții, inclusiv la persoanele care locuiesc în zone rurale și îndepărtate. În acest scop, Uniunea Europeană și statele sale membre ar trebui, în 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Să coordoneze nivelul tuturor programelor educaționale din Uniunea Europeană prin acceptarea conținutului național, regional și local și să creeze legături mai strânse între sistemele de învățământ, în special prin echivalența diplomelor</w:t>
      </w:r>
      <w:r>
        <w:rPr>
          <w:rStyle w:val="Ancredenotedefin"/>
          <w:rStyle w:val="Ancredenotedefin"/>
        </w:rPr>
        <w:endnoteReference w:id="171"/>
      </w:r>
      <w:r>
        <w:rPr/>
        <w:t>. Un standard minim certificat pentru predarea în discipline esențiale ar trebui adoptat încă de la școala primară</w:t>
      </w:r>
      <w:r>
        <w:rPr>
          <w:rStyle w:val="Ancredenotedefin"/>
          <w:rStyle w:val="Ancredenotedefin"/>
        </w:rPr>
        <w:endnoteReference w:id="172"/>
      </w:r>
      <w:r>
        <w:rPr/>
        <w:t>171. Ar trebui stabilite competențe partajate în domeniul educației, cel puțin în ceea ce privește educația civică, iar exercitarea acestei competențe de către Uniune nu poate împiedica statele membre să își exercite propriile competențe. Diplomele și formarea profesională ar trebui validate și recunoscute reciproc în toate statele membre ale Uniunii</w:t>
      </w:r>
      <w:r>
        <w:rPr>
          <w:rStyle w:val="Ancredenotedefin"/>
          <w:rStyle w:val="Ancredenotedefin"/>
        </w:rPr>
        <w:endnoteReference w:id="173"/>
      </w:r>
      <w:r>
        <w:rPr/>
        <w:t>. Uniunea Europeană ar trebui, de asemenea, să exploateze recunoașterea învățării non-formale</w:t>
      </w:r>
      <w:r>
        <w:rPr>
          <w:rStyle w:val="Ancredenotedefin"/>
          <w:rStyle w:val="Ancredenotedefin"/>
        </w:rPr>
        <w:endnoteReference w:id="174"/>
      </w:r>
      <w:r>
        <w:rPr/>
        <w:t xml:space="preserve"> și informale și a organizațiilor de tineret care o oferă, precum și a perioadelor de învățare în străinătate.</w:t>
      </w:r>
    </w:p>
    <w:p>
      <w:pPr>
        <w:pStyle w:val="Puce3"/>
        <w:tabs>
          <w:tab w:val="clear" w:pos="720"/>
        </w:tabs>
        <w:rPr/>
      </w:pPr>
      <w:r>
        <w:rPr/>
        <w:t>2.</w:t>
        <w:tab/>
        <w:t>Dezvoltarea unei educații pe tot parcursul vieții adaptate exigențelor viitorului în Europa – în conformitate cu dreptul la formare la locul de muncă pentru toți – cu accent pe următoarele aspecte:</w:t>
        <w:br/>
        <w:t>Educația civică privind procesele democratice și valorile UE și istoria Europei</w:t>
      </w:r>
      <w:r>
        <w:rPr>
          <w:rStyle w:val="Ancredenotedefin"/>
          <w:rStyle w:val="Ancredenotedefin"/>
        </w:rPr>
        <w:endnoteReference w:id="175"/>
      </w:r>
      <w:r>
        <w:rPr/>
        <w:t>. Acesta ar trebui să devină un modul comun care să fie predat în toate statele membre. Cunoașterea economiei ar trebui, de asemenea, îmbunătățită pentru a permite o mai bună înțelegere a procesului de integrare europeană</w:t>
      </w:r>
      <w:r>
        <w:rPr>
          <w:rStyle w:val="Ancredenotedefin"/>
          <w:rStyle w:val="Ancredenotedefin"/>
        </w:rPr>
        <w:endnoteReference w:id="176"/>
      </w:r>
      <w:r>
        <w:rPr/>
        <w:t>.</w:t>
        <w:br/>
        <w:t>− Competențe digitale</w:t>
      </w:r>
      <w:r>
        <w:rPr>
          <w:rStyle w:val="Ancredenotedefin"/>
          <w:rStyle w:val="Ancredenotedefin"/>
        </w:rPr>
        <w:endnoteReference w:id="177"/>
      </w:r>
      <w:r>
        <w:rPr/>
        <w:t>.</w:t>
        <w:br/>
        <w:t>STIAM</w:t>
      </w:r>
      <w:r>
        <w:rPr>
          <w:rStyle w:val="Ancredenotedefin"/>
          <w:rStyle w:val="Ancredenotedefin"/>
        </w:rPr>
        <w:endnoteReference w:id="178"/>
      </w:r>
      <w:r>
        <w:rPr/>
        <w:br/>
        <w:t>Antreprenoriat și cercetare.</w:t>
        <w:br/>
        <w:t>Dezvoltarea gândirii critice. Educația în domeniul mass-mediei ar trebui îmbunătățită pentru a asigura securitatea online și pentru a permite cetățenilor din toate statele membre să evalueze în mod independent dacă informațiile sunt credibile sau nu și să identifice informații false, profitând în același timp de oportunitățile oferite de internet. Această educație ar trebui să implice organizarea de cursuri specifice la nivelul învățământului de bază și ar trebui să fie oferită, în alte spații publice, cetățenilor de toate vârstele, sub egida unui organism specializat la nivelul Uniunii, profitând de bunele practici existente în toate statele membre. UE ar trebui să se asigure că fondurile alocate în mod specific acestor activități sunt utilizate în scopul propus</w:t>
      </w:r>
      <w:r>
        <w:rPr>
          <w:rStyle w:val="Ancredenotedefin"/>
          <w:rStyle w:val="Ancredenotedefin"/>
        </w:rPr>
        <w:endnoteReference w:id="179"/>
      </w:r>
      <w:r>
        <w:rPr/>
        <w:t>.</w:t>
        <w:br/>
        <w:t>integrarea competențelor non-tehnice în toate cursurile din programa școlară. Competență netehnică înseamnă: ascultarea reciprocă, dialogul, reziliența, înțelegerea, respectul și aprecierea celorlalți, gândirea critică, auto-învățarea și să rămână curioși și orientate spre rezultate</w:t>
      </w:r>
      <w:r>
        <w:rPr>
          <w:rStyle w:val="Ancredenotedefin"/>
          <w:rStyle w:val="Ancredenotedefin"/>
        </w:rPr>
        <w:endnoteReference w:id="180"/>
      </w:r>
      <w:r>
        <w:rPr/>
        <w:t>; Oferind tuturor posibilitatea de a afla mai multe despre sustenabilitatea mediului și legăturile acesteia cu sănătatea. Biodiversitatea ar trebui să fie un subiect obligatoriu în școală. Acesta ar trebui să înceapă de la școală cu subiecte specifice care abordează toate problemele ecologice și să includă excursii pentru a prezenta exemple reale relevante, toate cu ajutorul unui program de finanțare</w:t>
      </w:r>
      <w:r>
        <w:rPr>
          <w:rStyle w:val="Ancredenotedefin"/>
          <w:rStyle w:val="Ancredenotedefin"/>
        </w:rPr>
        <w:endnoteReference w:id="181"/>
      </w:r>
      <w:r>
        <w:rPr/>
        <w:t xml:space="preserve">. </w:t>
        <w:br/>
        <w:t>Lupta împotriva hărțuirii în școli și a rasismului.</w:t>
      </w:r>
    </w:p>
    <w:p>
      <w:pPr>
        <w:pStyle w:val="Puce3"/>
        <w:tabs>
          <w:tab w:val="clear" w:pos="720"/>
        </w:tabs>
        <w:rPr/>
      </w:pPr>
      <w:r>
        <w:rPr/>
        <w:t>3.</w:t>
        <w:tab/>
        <w:t>Sprijinirea formării cadrelor didactice</w:t>
      </w:r>
      <w:r>
        <w:rPr>
          <w:rStyle w:val="Ancredenotedefin"/>
          <w:rStyle w:val="Ancredenotedefin"/>
        </w:rPr>
        <w:endnoteReference w:id="182"/>
      </w:r>
      <w:r>
        <w:rPr/>
        <w:t>, pentru a învăța din cele mai bune practici și pentru a utiliza tehnici de predare inovatoare și creative actualizate care reflectă evoluția metodelor pedagogice, inclusiv a activităților practice, bazându-se, de asemenea, pe lecțiile care trebuie învățate în urma pandemiei de COVID-19 și a altor tipuri de crize, precum și promovarea oportunităților de mobilitate</w:t>
      </w:r>
      <w:r>
        <w:rPr>
          <w:rStyle w:val="Ancredenotedefin"/>
          <w:rStyle w:val="Ancredenotedefin"/>
        </w:rPr>
        <w:endnoteReference w:id="183"/>
      </w:r>
      <w:r>
        <w:rPr/>
        <w:t>.</w:t>
      </w:r>
    </w:p>
    <w:p>
      <w:pPr>
        <w:pStyle w:val="Puce3"/>
        <w:tabs>
          <w:tab w:val="clear" w:pos="720"/>
        </w:tabs>
        <w:rPr/>
      </w:pPr>
      <w:r>
        <w:rPr/>
        <w:t>4.</w:t>
        <w:tab/>
        <w:t>Pentru a răspunde nevoilor educaționale ale tuturor copiilor și familiilor, să acorde prioritate accesului la echipamente și conectivității eficiente în bandă largă</w:t>
      </w:r>
      <w:r>
        <w:rPr>
          <w:rStyle w:val="Ancredenotedefin"/>
          <w:rStyle w:val="Ancredenotedefin"/>
        </w:rPr>
        <w:endnoteReference w:id="184"/>
      </w:r>
      <w:r>
        <w:rPr/>
        <w:t>.</w:t>
      </w:r>
    </w:p>
    <w:p>
      <w:pPr>
        <w:pStyle w:val="Puce3"/>
        <w:tabs>
          <w:tab w:val="clear" w:pos="720"/>
        </w:tabs>
        <w:rPr/>
      </w:pPr>
      <w:r>
        <w:rPr/>
        <w:t>5.</w:t>
        <w:tab/>
        <w:t>Crearea unei platforme de informare pentru schimbul de cunoștințe și de experiență la nivelul Uniunii, prin schimbul de informații privind cursurile transnaționale de educație și formare din Uniune, prin prezentarea exemplelor de bune practici și prin oferirea posibilității cetățenilor de a prezenta noi idei pentru schimburile transfrontaliere. Acesta ar trebui să furnizeze materiale educaționale privind schimbările climatice, aspectele de mediu și digitalizarea și să furnizeze informații cu privire la forumurile specializate existente cu privire la principalele teme</w:t>
      </w:r>
      <w:r>
        <w:rPr>
          <w:rStyle w:val="Ancredenotedefin"/>
          <w:rStyle w:val="Ancredenotedefin"/>
        </w:rPr>
        <w:endnoteReference w:id="185"/>
      </w:r>
      <w:r>
        <w:rPr/>
        <w:t>. Acesta ar putea fi însoțit de un program de finanțare care să sprijine utilizarea și exploatarea informațiilor platformei.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Propunere: Întrebări privind tineretul european</w:t>
      </w:r>
    </w:p>
    <w:p>
      <w:pPr>
        <w:pStyle w:val="P68B1DB1Normal15"/>
        <w:rPr>
          <w:b/>
          <w:b/>
        </w:rPr>
      </w:pPr>
      <w:r>
        <w:rPr/>
        <w:t>Obiectiv: UE și statele sale membre ar trebui să se concentreze asupra nevoilor specifice ale tinerilor în toate politicile relevante, inclusiv în politica regională a UE, pentru a le oferi cele mai bune condiții posibile pentru a studia și a lucra și pentru a începe o viață independentă, implicându-i în viața democratică și în procesele decizionale, inclusiv la nivel european. Organizațiile de tineret au un rol esențial de jucat. Pentru a atinge acest obiectiv, propunem următoarele: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Să ofere tinerilor mai multe oportunități de participare și reprezentare în procesele democratice și de luare a deciziilor la toate nivelurile și să sprijine programele existente în acest domeniu, inclusiv prin organizarea de grupuri de cetățeni cu copii (de exemplu, cu vârste cuprinse între 10 și 16 ani) în școli. Reprezentanții europeni s-ar putea întâlni cu elevi în școlile lor pentru a consolida apropierea și înțelegerea de către cetățeni a Europei de la o vârstă fragedă</w:t>
      </w:r>
      <w:r>
        <w:rPr>
          <w:rStyle w:val="Ancredenotedefin"/>
          <w:rStyle w:val="Ancredenotedefin"/>
        </w:rPr>
        <w:endnoteReference w:id="186"/>
      </w:r>
      <w:r>
        <w:rPr/>
        <w:t>. Pentru ca toate deciziile politice ale UE să fie analizate în funcție de obiectivul pentru tineret, ar trebui elaborat un „test pentru tineret” la nivel european pentru a se asigura că orice nouă politică și propunere legislativă face obiectul unei evaluări a impactului axate pe tineret, care să includă o consultare a tinerilor.</w:t>
      </w:r>
    </w:p>
    <w:p>
      <w:pPr>
        <w:pStyle w:val="Puce3"/>
        <w:tabs>
          <w:tab w:val="clear" w:pos="720"/>
        </w:tabs>
        <w:rPr/>
      </w:pPr>
      <w:r>
        <w:rPr/>
        <w:t>2.</w:t>
        <w:tab/>
        <w:t>Ar trebui discutată și luată în considerare acordarea dreptului de vot de la vârsta de 16 ani la alegerile pentru Parlamentul European, precum și consolidarea educației cetățenești și a UE. Partidele politice naționale ar trebui, de asemenea, să se asigure că candidații mai tineri sunt înscriși pe listele lor pentru alegerile pentru Parlamentul European</w:t>
      </w:r>
      <w:r>
        <w:rPr>
          <w:rStyle w:val="Ancredenotedefin"/>
          <w:rStyle w:val="Ancredenotedefin"/>
        </w:rPr>
        <w:endnoteReference w:id="187"/>
      </w:r>
      <w:r>
        <w:rPr/>
        <w:t>.</w:t>
      </w:r>
    </w:p>
    <w:p>
      <w:pPr>
        <w:pStyle w:val="Puce3"/>
        <w:tabs>
          <w:tab w:val="clear" w:pos="720"/>
        </w:tabs>
        <w:rPr/>
      </w:pPr>
      <w:r>
        <w:rPr/>
        <w:t>3.</w:t>
        <w:tab/>
        <w:t>O mai bună pregătire a tinerilor pentru a intra pe piața forței de muncă, oferind elevilor de liceu (cu vârsta de 12 ani) posibilitatea de a participa la vizite de observare de calitate la organizații cu scop lucrativ și non-profit, în strânsă cooperare între școli, autorități locale și organizații și întreprinderi relevante</w:t>
      </w:r>
      <w:r>
        <w:rPr>
          <w:rStyle w:val="Ancredenotedefin"/>
          <w:rStyle w:val="Ancredenotedefin"/>
        </w:rPr>
        <w:endnoteReference w:id="188"/>
      </w:r>
      <w:r>
        <w:rPr/>
        <w:t>. Aceste vizite ar trebui considerate ca făcând parte dintr-un proces mai amplu de orientare profesională în domeniul educației formale, pentru a permite tinerilor să aibă un prim contact cu mediul profesional, astfel încât să își poată ghida alegerile profesionale și/sau să ia în considerare posibilitatea de a deveni întreprinzători.</w:t>
      </w:r>
    </w:p>
    <w:p>
      <w:pPr>
        <w:pStyle w:val="Puce3"/>
        <w:tabs>
          <w:tab w:val="clear" w:pos="720"/>
        </w:tabs>
        <w:rPr/>
      </w:pPr>
      <w:r>
        <w:rPr/>
        <w:t>4.</w:t>
        <w:tab/>
        <w:t>O mai mare finanțare din partea UE în cadrul NextGenerationEU ar trebui, de asemenea, să fie dedicată punerii în aplicare a Garanției europene pentru tineret consolidate, inclusiv unei mai mari implicări, unei mai mari sensibilizări, îmbunătățirii calității ofertei, finanțării și acțiunilor întreprinse de toate statele membre și de nivelurile relevante ale autorităților. Întrucât organizațiile de tineret sunt mai în măsură să identifice nevoile tinerilor, guvernele naționale ar trebui să colaboreze cu organizațiile de tineret printr-un dialog strâns pentru a asigura cea mai eficientă punere în aplicare a Garanției pentru tineret.</w:t>
      </w:r>
    </w:p>
    <w:p>
      <w:pPr>
        <w:pStyle w:val="Puce3"/>
        <w:tabs>
          <w:tab w:val="clear" w:pos="720"/>
        </w:tabs>
        <w:rPr/>
      </w:pPr>
      <w:r>
        <w:rPr/>
        <w:t>5.</w:t>
        <w:tab/>
        <w:t>Să se asigure că stagiile și locurile de muncă ale tinerilor respectă standardele de calitate, în special în ceea ce privește remunerarea, prin eliminarea salariilor minime pentru tineri și a oricăror alte dispoziții discriminatorii ale legislației muncii specifice tinerilor, precum și prin interzicerea, prin intermediul unui instrument juridic, a stagiilor neremunerate pe piața muncii și în afara educației formale</w:t>
      </w:r>
      <w:r>
        <w:rPr>
          <w:rStyle w:val="Ancredenotedefin"/>
          <w:rStyle w:val="Ancredenotedefin"/>
        </w:rPr>
        <w:endnoteReference w:id="189"/>
      </w:r>
      <w:r>
        <w:rPr/>
        <w:t>.</w:t>
      </w:r>
    </w:p>
    <w:p>
      <w:pPr>
        <w:pStyle w:val="Puce3"/>
        <w:tabs>
          <w:tab w:val="clear" w:pos="720"/>
        </w:tabs>
        <w:rPr/>
      </w:pPr>
      <w:r>
        <w:rPr/>
        <w:t>6.</w:t>
        <w:tab/>
        <w:t>Asigurarea unui nivel de trai rezonabil pentru tineri, inclusiv accesul la protecție socială și la locuințe. Tinerii ar trebui să aibă acces la un nivel de protecție socială echivalent cu cel al altor categorii de vârstă. De asemenea, ar trebui facilitat accesul tinerilor la locuințe la prețuri accesibile, inclusiv prin finanțare din partea UE</w:t>
      </w:r>
      <w:r>
        <w:rPr>
          <w:rStyle w:val="Ancredenotedefin"/>
          <w:rStyle w:val="Ancredenotedefin"/>
        </w:rPr>
        <w:endnoteReference w:id="190"/>
      </w:r>
      <w:r>
        <w:rPr/>
        <w:t>.</w:t>
      </w:r>
    </w:p>
    <w:p>
      <w:pPr>
        <w:pStyle w:val="Puce3"/>
        <w:tabs>
          <w:tab w:val="clear" w:pos="720"/>
        </w:tabs>
        <w:rPr/>
      </w:pPr>
      <w:r>
        <w:rPr/>
        <w:t>7.</w:t>
        <w:tab/>
        <w:t>Sunt necesare măsuri specifice pentru a preveni exodul creierelor din anumite regiuni și țări din Uniune, din cauza oportunităților insuficiente pentru tineri, făcând în același timp Europa mai atractivă pentru a preveni fuga talentelor și a forței de muncă europene către țări terțe, pentru a evita subminarea coeziunii teritoriale, în special în ceea ce privește regiunile care suferă o pierdere considerabilă a tinerelor talente, inclusiv prin finanțare din partea UE</w:t>
      </w:r>
      <w:r>
        <w:rPr>
          <w:rStyle w:val="Ancredenotedefin"/>
          <w:rStyle w:val="Ancredenotedefin"/>
        </w:rPr>
        <w:endnoteReference w:id="191"/>
      </w:r>
      <w:r>
        <w:rPr/>
        <w:t>.</w:t>
      </w:r>
    </w:p>
    <w:p>
      <w:pPr>
        <w:pStyle w:val="Puce3"/>
        <w:tabs>
          <w:tab w:val="clear" w:pos="720"/>
        </w:tabs>
        <w:rPr/>
      </w:pPr>
      <w:r>
        <w:rPr/>
        <w:t>8.</w:t>
        <w:tab/>
        <w:t>În cazul unei crize grave (de exemplu, criza sanitară, războiul), ar trebui să fie pregătite planuri bine concepute, cu scenarii detaliate, pentru a se reduce la minimum impactul asupra educației, formării profesionale, tranziției către piața muncii și bunăstării mintale a tinerilor</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Propunere: Cultură și schimburi</w:t>
      </w:r>
    </w:p>
    <w:p>
      <w:pPr>
        <w:pStyle w:val="P68B1DB1Normal15"/>
        <w:rPr>
          <w:b/>
          <w:b/>
        </w:rPr>
      </w:pPr>
      <w:r>
        <w:rPr/>
        <w:t>Obiectiv: Pentru a promova o cultură a schimburilor și pentru a promova identitatea și diversitatea europeană în diferite domenii, statele membre ar trebui, cu sprijinul Uniunii Europene: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r>
        <w:rPr>
          <w:rStyle w:val="Ancredenotedefin"/>
          <w:rStyle w:val="Ancredenotedefin"/>
          <w:b/>
        </w:rPr>
        <w:endnoteReference w:id="193"/>
      </w:r>
      <w:r>
        <w:rPr/>
        <w:t>:</w:t>
      </w:r>
    </w:p>
    <w:p>
      <w:pPr>
        <w:pStyle w:val="Puce3"/>
        <w:tabs>
          <w:tab w:val="clear" w:pos="720"/>
        </w:tabs>
        <w:rPr/>
      </w:pPr>
      <w:r>
        <w:rPr/>
        <w:t>1.</w:t>
        <w:tab/>
        <w:t>Promovarea schimburilor europene în diferite domenii, atât din punct de vedere fizic, cât și digital, inclusiv schimburile educaționale, înfrățirea, călătoriile și mobilitatea profesională (în special pentru profesori și pentru funcționarii aleși locali). Astfel de schimburi ar trebui să fie accesibile tuturor în toate statele membre, indiferent de vârstă, nivel de educație, origine și mijloace financiare</w:t>
      </w:r>
      <w:r>
        <w:rPr>
          <w:rStyle w:val="Ancredenotedefin"/>
          <w:rStyle w:val="Ancredenotedefin"/>
        </w:rPr>
        <w:endnoteReference w:id="194"/>
      </w:r>
      <w:r>
        <w:rPr/>
        <w:t>. În acest scop, Uniunea ar trebui, în special, să consolideze programele de schimb și de mobilitate existente la nivelul Uniunii, cum ar fi Corpul european de solidaritate, Erasmus+ și DiscoverEU, să asigure o participare mai largă și diversificată la programele respective și să ia în considerare adăugarea de noi elemente, cum ar fi un obiectiv suplimentar al serviciului civic încurajat de voluntariat (pentru Corpul european de solidaritate) și de „titluri de acces cultural” (pentru DiscoverEU). Autoritățile locale și regionale, sub auspiciile Comitetului Regiunilor, trebuie să joace un rol principal în acest domeniu.</w:t>
      </w:r>
    </w:p>
    <w:p>
      <w:pPr>
        <w:pStyle w:val="Puce3"/>
        <w:tabs>
          <w:tab w:val="clear" w:pos="720"/>
        </w:tabs>
        <w:rPr/>
      </w:pPr>
      <w:r>
        <w:rPr/>
        <w:t>2.</w:t>
        <w:tab/>
        <w:t>Promovarea multilingvismului ca o poartă de acces către alte culturi de la o vârstă fragedă. Limbile regionale și minoritare au nevoie de o protecție suplimentară, ținând seama de Convenția Consiliului Europei privind limbile minoritare și de Convenția-cadru pentru protecția minorităților naționale. UE ar trebui să aibă în vedere înființarea unei instituții care să promoveze diversitatea lingvistică la nivel european. Copiilor ar trebui să li se solicite de la școala primară să dobândească competențe într-o altă limbă activă a UE decât a lor, la cel mai înalt nivel posibil. Pentru a facilita capacitatea cetățenilor europeni de a comunica cu grupuri mai largi de alți europeni și ca factor de coeziune europeană, statele membre ar trebui încurajate să învețe limba statelor membre ale UE care se învecinează direct în regiunile de frontieră și să dobândească un nivel certificat de limba engleză</w:t>
      </w:r>
      <w:r>
        <w:rPr>
          <w:rStyle w:val="Ancredenotedefin"/>
          <w:rStyle w:val="Ancredenotedefin"/>
        </w:rPr>
        <w:endnoteReference w:id="195"/>
      </w:r>
      <w:r>
        <w:rPr/>
        <w:t>.</w:t>
      </w:r>
    </w:p>
    <w:p>
      <w:pPr>
        <w:pStyle w:val="Puce3"/>
        <w:tabs>
          <w:tab w:val="clear" w:pos="720"/>
        </w:tabs>
        <w:rPr/>
      </w:pPr>
      <w:r>
        <w:rPr/>
        <w:t>3.</w:t>
        <w:tab/>
        <w:t>Crearea de oportunități de împărtășire a culturilor europene, apropierea popoarelor și promovarea unei identități europene comune, de exemplu prin evenimente și adunări care implică toate grupurile-țintă și au loc în locuri diferite. Printre exemple se numără organizarea Zilelor mondiale ale</w:t>
      </w:r>
      <w:r>
        <w:rPr>
          <w:rStyle w:val="Ancredenotedefin"/>
          <w:rStyle w:val="Ancredenotedefin"/>
        </w:rPr>
        <w:endnoteReference w:id="196"/>
      </w:r>
      <w:r>
        <w:rPr/>
        <w:t>artei, o expoziție europeană cu evenimente pedagogice sau transformarea Zilei Europei (9 mai) într-o zi de sărbătoare europeană oficială pentru toți cetățenii UE</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Protejarea patrimoniului cultural european și a culturii europene</w:t>
      </w:r>
      <w:r>
        <w:rPr>
          <w:rStyle w:val="Ancredenotedefin"/>
          <w:rStyle w:val="Ancredenotedefin"/>
        </w:rPr>
        <w:endnoteReference w:id="198"/>
      </w:r>
      <w:r>
        <w:rPr/>
        <w:t>, în special prin recunoașterea particularităților locale și regionale în materie de cultură și producție,</w:t>
      </w:r>
      <w:r>
        <w:rPr>
          <w:rStyle w:val="Ancredenotedefin"/>
          <w:rStyle w:val="Ancredenotedefin"/>
        </w:rPr>
        <w:endnoteReference w:id="199"/>
      </w:r>
      <w:r>
        <w:rPr/>
        <w:t>prin noi inițiative de conservare și celebrare a acestuia, prin mobilitatea pentru încurajarea schimbului de patrimoniu cultural și prin promovarea măsurilor existente, cum ar fi Europa creativă, noul Bauhaus european, programele de înfrățire ale orașelor și capitalelor europene ale culturii, în conformitate cu obiectivele de dezvoltare durabilă.</w:t>
      </w:r>
    </w:p>
    <w:p>
      <w:pPr>
        <w:pStyle w:val="Puce3"/>
        <w:tabs>
          <w:tab w:val="clear" w:pos="720"/>
        </w:tabs>
        <w:rPr/>
      </w:pPr>
      <w:r>
        <w:rPr/>
        <w:t>5.</w:t>
        <w:tab/>
        <w:t>Să ia măsuri pentru a se asigura că profesioniștii din domeniul culturii sunt protejați suficient la nivelul UE, în special în orice criză viitoare, prin adoptarea unui statut juridic la nivel european.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Propunere: Sport</w:t>
      </w:r>
    </w:p>
    <w:p>
      <w:pPr>
        <w:pStyle w:val="P68B1DB1Normal15"/>
        <w:rPr>
          <w:b/>
          <w:b/>
        </w:rPr>
      </w:pPr>
      <w:r>
        <w:rPr/>
        <w:t>Obiectiv: Sportul este esențial pentru societățile noastre – pentru a ne apăra valorile, pentru a duce un stil de viață sănătos și o vârstă sănătoasă, pentru a promova o cultură a schimburilor și pentru a sărbători diversitatea patrimoniului european. Din acest motiv, statele membre ar trebui să urmărească, cu sprijinul Uniunii Europene: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Măsuri:</w:t>
      </w:r>
    </w:p>
    <w:p>
      <w:pPr>
        <w:pStyle w:val="Puce3"/>
        <w:tabs>
          <w:tab w:val="clear" w:pos="720"/>
        </w:tabs>
        <w:rPr/>
      </w:pPr>
      <w:r>
        <w:rPr/>
        <w:t>1.</w:t>
        <w:tab/>
        <w:t>Să sublinieze valorile, în special egalitatea de gen, echitatea și incluziunea, care pot fi reflectate în mod concret în practicarea sportului pe parcursul întregului parcurs educațional.</w:t>
      </w:r>
    </w:p>
    <w:p>
      <w:pPr>
        <w:pStyle w:val="Puce3"/>
        <w:tabs>
          <w:tab w:val="clear" w:pos="720"/>
        </w:tabs>
        <w:rPr/>
      </w:pPr>
      <w:r>
        <w:rPr/>
        <w:t>2.</w:t>
        <w:tab/>
        <w:t>Sensibilizarea cu privire la beneficiile pentru sănătate ale sportului și ale activității fizice</w:t>
      </w:r>
      <w:r>
        <w:rPr>
          <w:rStyle w:val="Ancredenotedefin"/>
          <w:rStyle w:val="Ancredenotedefin"/>
        </w:rPr>
        <w:endnoteReference w:id="200"/>
      </w:r>
      <w:r>
        <w:rPr/>
        <w:t>.</w:t>
      </w:r>
    </w:p>
    <w:p>
      <w:pPr>
        <w:pStyle w:val="Puce3"/>
        <w:tabs>
          <w:tab w:val="clear" w:pos="720"/>
        </w:tabs>
        <w:rPr/>
      </w:pPr>
      <w:r>
        <w:rPr/>
        <w:t>3.</w:t>
        <w:tab/>
        <w:t>Integrarea activităților sportive în programele de schimb și mobilitate la nivelul UE</w:t>
      </w:r>
      <w:r>
        <w:rPr>
          <w:rStyle w:val="Ancredenotedefin"/>
          <w:rStyle w:val="Ancredenotedefin"/>
        </w:rPr>
        <w:endnoteReference w:id="201"/>
      </w:r>
      <w:r>
        <w:rPr/>
        <w:t>200.</w:t>
      </w:r>
    </w:p>
    <w:p>
      <w:pPr>
        <w:pStyle w:val="Puce3"/>
        <w:tabs>
          <w:tab w:val="clear" w:pos="720"/>
        </w:tabs>
        <w:rPr/>
      </w:pPr>
      <w:r>
        <w:rPr/>
        <w:t>4.</w:t>
        <w:tab/>
        <w:t>Să îmbunătățească atenția acordată nu numai sporturilor profesionale și comerciale, ci și sporturilor locale și tradiționale, care sunt martori ai diversității culturale europene, pentru a promova patrimoniul cultural și pentru a sprijini campionii sportivi într-un cadru neprofesionist.</w:t>
      </w:r>
    </w:p>
    <w:p>
      <w:pPr>
        <w:pStyle w:val="Normal"/>
        <w:rPr/>
      </w:pPr>
      <w:r>
        <w:rPr/>
      </w:r>
    </w:p>
    <w:p>
      <w:pPr>
        <w:pStyle w:val="Puce3"/>
        <w:tabs>
          <w:tab w:val="clear" w:pos="720"/>
        </w:tabs>
        <w:rPr/>
      </w:pPr>
      <w:r>
        <w:rPr/>
        <w:t>5.</w:t>
        <w:tab/>
        <w:t>În același timp, să încurajeze promovarea identității europene prin organizarea mai multor evenimente sportive intereuropene, prin înființarea</w:t>
      </w:r>
      <w:r>
        <w:rPr/>
        <w:commentReference w:id="0"/>
      </w:r>
      <w:r>
        <w:rPr/>
        <w:t>de echipe sportive ale UE sau prin afișarea steagurilor sau simbolurilor europene la evenimentele sportive europene.</w:t>
      </w:r>
    </w:p>
    <w:p>
      <w:pPr>
        <w:pStyle w:val="Puce3"/>
        <w:tabs>
          <w:tab w:val="clear" w:pos="720"/>
        </w:tabs>
        <w:rPr/>
      </w:pPr>
      <w:r>
        <w:rPr/>
        <w:t>6.</w:t>
        <w:tab/>
        <w:t>Să investească mai mult în comunicare, cum ar fi Săptămâna europeană a sportului, astfel încât cetățenii din întreaga UE să poată beneficia de oportunități de vârf împreună.</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Considerațiile finale ale Comitetului executiv</w:t>
      </w:r>
    </w:p>
    <w:p>
      <w:pPr>
        <w:pStyle w:val="Normal"/>
        <w:rPr/>
      </w:pPr>
      <w:r>
        <w:rPr/>
      </w:r>
      <w:r>
        <w:br w:type="page"/>
      </w:r>
    </w:p>
    <w:p>
      <w:pPr>
        <w:pStyle w:val="Corpsdetexte"/>
        <w:rPr/>
      </w:pPr>
      <w:r>
        <w:rPr/>
        <w:t>Obiectivul principal al Conferinței privind viitorul Europei a fost de a se asigura că Uniunea Europeană este pregătită să facă față provocărilor actuale și viitoare, oferind cetățenilor posibilitatea de a-și exprima preocupările și aspirațiile și, în colaborare cu reprezentanți ai celor trei instituții, ai parlamentelor naționale și ai altor părți interesate, de a oferi orientări pentru viitor. Pentru a atinge acest obiectiv, conferința a trebuit să fie un exercițiu centrat pe cetățeni, bazat pe o abordare ascendentă, capabil să creeze un nou spațiu pentru a discuta prioritățile Europei și pentru a elabora o imagine de ansamblu asupra așteptărilor cetățenilor de la Uniunea Europeană.</w:t>
      </w:r>
    </w:p>
    <w:p>
      <w:pPr>
        <w:pStyle w:val="Corpsdetexte"/>
        <w:rPr/>
      </w:pPr>
      <w:r>
        <w:rPr/>
        <w:t>Într-adevăr, Conferința a fost capabilă să joace acest rol. Cetățenii europeni din toate categoriile sociale și din toate colțurile Uniunii au participat la conferință și au făcut recomandări din partea grupurilor de dezbatere ale cetățenilor și propuneri pentru viitorul Europei, în colaborare cu sesiunea plenară ulterioară, inclusiv cu membri ai Parlamentului European, ai Consiliului și ai Comisiei Europene, precum și cu reprezentanți ai tuturor parlamentelor naționale, ai Comitetului Regiunilor, ai aleșilor regionali și locali, ai Comitetului Economic și Social European, ai partenerilor sociali și ai societății civile și ai altor actori-cheie. Instrumentele și metodologia elaborate pentru acest proces constituie un set unic de resurse care ar putea servi drept bază pentru viitoarele exerciții privind participarea cetățenilor și democrația deliberativă la nivelul UE.</w:t>
      </w:r>
    </w:p>
    <w:p>
      <w:pPr>
        <w:pStyle w:val="Corpsdetexte"/>
        <w:rPr/>
      </w:pPr>
      <w:r>
        <w:rPr/>
        <w:t>Datorită unei serii de evenimente și dezbateri în întreaga UE, a platformei digitale multilingve interactive, a grupurilor cetățenești europene și naționale și a sesiunii plenare a conferinței, Conferința a prezentat acum un raport final, care include o imagine de ansamblu a lucrărilor desfășurate în mod susținut în acest an, precum și a propunerilor formulate de Adunarea Plenară pentru viitorul Europei. Din aceste propuneri reiese foarte clar că UE trebuie să acționeze pentru a reuși în tranziția verde și cea digitală, pentru a consolida reziliența Europei și contractul său social, abordând în același timp inegalitățile și asigurându-se că Uniunea Europeană este o economie justă, durabilă, inovatoare și competitivă, care nu lasă pe nimeni în urmă.</w:t>
      </w:r>
    </w:p>
    <w:p>
      <w:pPr>
        <w:pStyle w:val="Corpsdetexte"/>
        <w:rPr/>
      </w:pPr>
      <w:r>
        <w:rPr/>
        <w:t>Evoluția situației geopolitice în timpul conferinței, în special războiul rus de agresiune împotriva Ucrainei, a arătat, de asemenea, că UE trebuie să devină mai asertivă, jucând un rol de lider pe scena mondială în promovarea valorilor și normelor sale într-o lume din ce în ce mai zguduită.</w:t>
      </w:r>
    </w:p>
    <w:p>
      <w:pPr>
        <w:pStyle w:val="Corpsdetexte"/>
        <w:rPr/>
      </w:pPr>
      <w:r>
        <w:rPr/>
        <w:t>Conferința a oferit orientări clare în aceste domenii, iar cele trei instituții ale UE trebuie acum să analizeze modalitățile de abordare a preocupărilor, aspirațiilor și ideilor exprimate. Următorul pas în acest proces este dezvoltarea unor acțiuni concrete ale UE pe baza rezultatelor conferinței, astfel cum se prevede în prezentul raport final. Prin urmare, instituțiile UE vor examina acum acest raport și acțiunile ulterioare acestuia, fiecare în limitele competențelor sale și în conformitate cu tratatele. În toamna anului 2022 va avea loc un eveniment de monitorizare pentru a informa cetățenii cu privire la modul în care instituțiile își vor respecta angajamentul de a se asigura că sunt ascultați și țin în mâinile lor viitorul Europei.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Jocuri cu Jocul 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Jocuri cu Jocul Image30" descr=""/>
                    <pic:cNvPicPr>
                      <a:picLocks noChangeAspect="1" noChangeArrowheads="1"/>
                    </pic:cNvPicPr>
                  </pic:nvPicPr>
                  <pic:blipFill>
                    <a:blip r:embed="rId83"/>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Anexa I – Recomandările celor patru grupuri cetățenești europene</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Imagini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ini31" descr=""/>
                    <pic:cNvPicPr>
                      <a:picLocks noChangeAspect="1" noChangeArrowheads="1"/>
                    </pic:cNvPicPr>
                  </pic:nvPicPr>
                  <pic:blipFill>
                    <a:blip r:embed="rId84"/>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Cadru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Conferință despre </w:t>
                            </w:r>
                          </w:p>
                          <w:p>
                            <w:pPr>
                              <w:pStyle w:val="P68B1DB1Normal16"/>
                              <w:rPr>
                                <w:color w:val="FFFFFF"/>
                                <w:sz w:val="72"/>
                              </w:rPr>
                            </w:pPr>
                            <w:r>
                              <w:rPr/>
                              <w:t xml:space="preserve">viitorul Europei </w:t>
                            </w:r>
                          </w:p>
                          <w:p>
                            <w:pPr>
                              <w:pStyle w:val="P68B1DB1Normal17"/>
                              <w:rPr>
                                <w:color w:val="FFFFFF"/>
                              </w:rPr>
                            </w:pPr>
                            <w:r>
                              <w:rPr/>
                              <w:t xml:space="preserve"> </w:t>
                            </w:r>
                            <w:r>
                              <w:rPr>
                                <w:sz w:val="32"/>
                              </w:rPr>
                              <w:t xml:space="preserve">Grupul cetățenilor europeni 1: O economie mai puternică, justiție socială și ocuparea forței de muncă/educație, cultură, tineret și sport/transformare digitală </w:t>
                            </w:r>
                          </w:p>
                          <w:p>
                            <w:pPr>
                              <w:pStyle w:val="P68B1DB1Normal17"/>
                              <w:rPr>
                                <w:color w:val="FFFFFF"/>
                              </w:rPr>
                            </w:pPr>
                            <w:r>
                              <w:rPr/>
                              <w:t xml:space="preserve"> </w:t>
                            </w:r>
                          </w:p>
                          <w:p>
                            <w:pPr>
                              <w:pStyle w:val="P68B1DB1Normal17"/>
                              <w:rPr>
                                <w:color w:val="FFFFFF"/>
                              </w:rPr>
                            </w:pPr>
                            <w:r>
                              <w:rPr/>
                              <w:t>Recomandări</w:t>
                            </w:r>
                          </w:p>
                          <w:p>
                            <w:pPr>
                              <w:pStyle w:val="P68B1DB1Normal17"/>
                              <w:rPr>
                                <w:color w:val="FFFFFF"/>
                              </w:rPr>
                            </w:pPr>
                            <w:r>
                              <w:rPr/>
                              <w:t xml:space="preserve"> </w:t>
                            </w:r>
                            <w:r>
                              <w:rPr/>
                              <w:t>Fotografii © Uniunea Europeană, 2021 – PE/Kenton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Cadru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Conferință despre </w:t>
                      </w:r>
                    </w:p>
                    <w:p>
                      <w:pPr>
                        <w:pStyle w:val="P68B1DB1Normal16"/>
                        <w:rPr>
                          <w:color w:val="FFFFFF"/>
                          <w:sz w:val="72"/>
                        </w:rPr>
                      </w:pPr>
                      <w:r>
                        <w:rPr/>
                        <w:t xml:space="preserve">viitorul Europei </w:t>
                      </w:r>
                    </w:p>
                    <w:p>
                      <w:pPr>
                        <w:pStyle w:val="P68B1DB1Normal17"/>
                        <w:rPr>
                          <w:color w:val="FFFFFF"/>
                        </w:rPr>
                      </w:pPr>
                      <w:r>
                        <w:rPr/>
                        <w:t xml:space="preserve"> </w:t>
                      </w:r>
                      <w:r>
                        <w:rPr>
                          <w:sz w:val="32"/>
                        </w:rPr>
                        <w:t xml:space="preserve">Grupul cetățenilor europeni 1: O economie mai puternică, justiție socială și ocuparea forței de muncă/educație, cultură, tineret și sport/transformare digitală </w:t>
                      </w:r>
                    </w:p>
                    <w:p>
                      <w:pPr>
                        <w:pStyle w:val="P68B1DB1Normal17"/>
                        <w:rPr>
                          <w:color w:val="FFFFFF"/>
                        </w:rPr>
                      </w:pPr>
                      <w:r>
                        <w:rPr/>
                        <w:t xml:space="preserve"> </w:t>
                      </w:r>
                    </w:p>
                    <w:p>
                      <w:pPr>
                        <w:pStyle w:val="P68B1DB1Normal17"/>
                        <w:rPr>
                          <w:color w:val="FFFFFF"/>
                        </w:rPr>
                      </w:pPr>
                      <w:r>
                        <w:rPr/>
                        <w:t>Recomandări</w:t>
                      </w:r>
                    </w:p>
                    <w:p>
                      <w:pPr>
                        <w:pStyle w:val="P68B1DB1Normal17"/>
                        <w:rPr>
                          <w:color w:val="FFFFFF"/>
                        </w:rPr>
                      </w:pPr>
                      <w:r>
                        <w:rPr/>
                        <w:t xml:space="preserve"> </w:t>
                      </w:r>
                      <w:r>
                        <w:rPr/>
                        <w:t>Fotografii © Uniunea Europeană, 2021 – PE/Kenton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Grupul cetățenilor europeni 1: O economie mai puternică, justiție socială și ocuparea forței de muncă/educație, cultură, tineret și sport/transformare digitală </w:t>
      </w:r>
    </w:p>
    <w:p>
      <w:pPr>
        <w:pStyle w:val="P68B1DB1Normal18"/>
        <w:widowControl w:val="false"/>
        <w:spacing w:lineRule="exact" w:line="468"/>
        <w:ind w:left="425" w:right="0" w:hanging="0"/>
        <w:jc w:val="left"/>
        <w:rPr/>
      </w:pPr>
      <w:r>
        <w:rPr>
          <w:b/>
          <w:color w:val="1C4587"/>
        </w:rPr>
        <w:t>RECOMANDĂRI ADOPTATE DE JURIU (CARE URMEAZĂ SĂ FIE PREZENTATE ÎN PLEN)</w:t>
      </w:r>
      <w:r>
        <w:rPr>
          <w:color w:val="000000"/>
        </w:rPr>
        <w:t xml:space="preserve"> </w:t>
      </w:r>
    </w:p>
    <w:p>
      <w:pPr>
        <w:pStyle w:val="Titre3"/>
        <w:numPr>
          <w:ilvl w:val="2"/>
          <w:numId w:val="2"/>
        </w:numPr>
        <w:rPr/>
      </w:pPr>
      <w:bookmarkStart w:id="106" w:name="__RefHeading___Toc297145_1346298689"/>
      <w:bookmarkEnd w:id="106"/>
      <w:r>
        <w:rPr/>
        <w:t xml:space="preserve">Axa 1: Munca în Europa </w:t>
      </w:r>
    </w:p>
    <w:p>
      <w:pPr>
        <w:pStyle w:val="Titre4"/>
        <w:numPr>
          <w:ilvl w:val="3"/>
          <w:numId w:val="2"/>
        </w:numPr>
        <w:rPr/>
      </w:pPr>
      <w:bookmarkStart w:id="107" w:name="__RefHeading___Toc297147_1346298689"/>
      <w:bookmarkEnd w:id="107"/>
      <w:r>
        <w:rPr/>
        <w:t xml:space="preserve">Subaxa 1.1 Piața muncii </w:t>
      </w:r>
    </w:p>
    <w:p>
      <w:pPr>
        <w:pStyle w:val="P68B1DB1Normal15"/>
        <w:rPr>
          <w:b/>
          <w:b/>
        </w:rPr>
      </w:pPr>
      <w:r>
        <w:rPr/>
        <w:t xml:space="preserve">1. Recomandăm introducerea unui salariu minim pentru a asigura o calitate a vieții similară în toate statele membre. Suntem conștienți de eforturile depuse în prezent în temeiul Directivei UE COM(2020) 682 de armonizare a modului de viață. Salariul minim trebuie să garanteze un venit minim net pentru a atinge un obiectiv esențial: toți cei nevoiași ar trebui să aibă un venit mai mare. Salariul minim ar trebui să ia în considerare următoarele aspecte: </w:t>
      </w:r>
    </w:p>
    <w:p>
      <w:pPr>
        <w:pStyle w:val="P68B1DB1Normal15"/>
        <w:rPr>
          <w:b/>
          <w:b/>
        </w:rPr>
      </w:pPr>
      <w:r>
        <w:rPr/>
        <w:t xml:space="preserve">● </w:t>
      </w:r>
      <w:r>
        <w:rPr/>
        <w:t xml:space="preserve">UE ar trebui să asigure punerea sa efectivă în aplicare, deoarece, în prezent, nu toate statele membre aplică în mod corect protecția lucrătorilor; </w:t>
      </w:r>
    </w:p>
    <w:p>
      <w:pPr>
        <w:pStyle w:val="P68B1DB1Normal15"/>
        <w:rPr>
          <w:b/>
          <w:b/>
        </w:rPr>
      </w:pPr>
      <w:r>
        <w:rPr/>
        <w:t xml:space="preserve">● </w:t>
      </w:r>
      <w:r>
        <w:rPr/>
        <w:t xml:space="preserve">ar trebui acordată o atenție deosebită monitorizării îmbunătățirii standardelor de viață; </w:t>
      </w:r>
    </w:p>
    <w:p>
      <w:pPr>
        <w:pStyle w:val="Normal"/>
        <w:rPr/>
      </w:pPr>
      <w:r>
        <w:rPr>
          <w:b/>
        </w:rPr>
        <w:t xml:space="preserve">● </w:t>
      </w:r>
      <w:r>
        <w:rPr>
          <w:b/>
        </w:rPr>
        <w:t>salariul minim trebuie să țină seama de puterea de cumpărare din diferite țări. Este necesară o procedură de revizuire periodică pentru a o adapta la modificările costului vieții (de exemplu, pentru a ține seama de inflație).</w:t>
      </w:r>
      <w:r>
        <w:rPr/>
        <w:t xml:space="preserve"> </w:t>
      </w:r>
    </w:p>
    <w:p>
      <w:pPr>
        <w:pStyle w:val="Normal"/>
        <w:rPr/>
      </w:pPr>
      <w:r>
        <w:rPr/>
        <w:t xml:space="preserve"> </w:t>
      </w:r>
    </w:p>
    <w:p>
      <w:pPr>
        <w:pStyle w:val="Normal"/>
        <w:rPr/>
      </w:pPr>
      <w:r>
        <w:rPr/>
        <w:t xml:space="preserve">Facem această recomandare deoarece un salariu minim consolidează justiția socială pe piața forței de muncă și îmbunătățește condițiile concrete de viață ale lucrătorilor din toate statele membre, ceea ce este deosebit de important în contextul unei schimbări rapide a mediului de lucru, de exemplu din cauza digitalizării. </w:t>
      </w:r>
    </w:p>
    <w:p>
      <w:pPr>
        <w:pStyle w:val="Normal"/>
        <w:rPr/>
      </w:pPr>
      <w:r>
        <w:rPr/>
        <w:t xml:space="preserve"> </w:t>
      </w:r>
    </w:p>
    <w:p>
      <w:pPr>
        <w:pStyle w:val="P68B1DB1Normal15"/>
        <w:rPr>
          <w:b/>
          <w:b/>
        </w:rPr>
      </w:pPr>
      <w:r>
        <w:rPr/>
        <w:t xml:space="preserve">2. Există deja un act legislativ al UE (Directiva 2003/88/CE privind timpul de lucru), dar nu este suficient pentru a asigura un echilibru sănătos între viața profesională și cea privată. Ca un prim pas, recomandăm revizuirea cadrului existent pentru a se asigura că acesta este adaptat la circumstanțele actuale. În al doilea rând, UE ar trebui să instituie un mecanism de monitorizare mai riguros pentru a asigura punerea sa în aplicare în toate statele membre. O atenție deosebită ar trebui acordată diferitelor sectoare cu niveluri diferite de stres și de sarcină, atât din punct de vedere psihologic, cât și fizic. Cu toate acestea, în același timp, alte sectoare depind de o mai mare flexibilitate din partea angajaților lor pentru a se adapta la nevoile specifice ale întreprinderilor. </w:t>
      </w:r>
    </w:p>
    <w:p>
      <w:pPr>
        <w:pStyle w:val="Normal"/>
        <w:rPr/>
      </w:pPr>
      <w:r>
        <w:rPr/>
        <w:t xml:space="preserve">Facem această recomandare datorită importanței unui echilibru mai bun între viața profesională și cea privată. Un echilibru mai bun între viața profesională și cea privată consolidează coeziunea socială și contribuie la crearea unor condiții de concurență echitabile între lucrători. În plus, aceasta are un impact pozitiv asupra bunăstării individuale a lucrătorilor. </w:t>
      </w:r>
    </w:p>
    <w:p>
      <w:pPr>
        <w:pStyle w:val="Normal"/>
        <w:rPr/>
      </w:pPr>
      <w:r>
        <w:rPr/>
        <w:t xml:space="preserve"> </w:t>
      </w:r>
    </w:p>
    <w:p>
      <w:pPr>
        <w:pStyle w:val="Titre4"/>
        <w:numPr>
          <w:ilvl w:val="3"/>
          <w:numId w:val="2"/>
        </w:numPr>
        <w:rPr/>
      </w:pPr>
      <w:bookmarkStart w:id="108" w:name="__RefHeading___Toc297151_1346298689"/>
      <w:bookmarkEnd w:id="108"/>
      <w:r>
        <w:rPr/>
        <w:t xml:space="preserve">Subaxa 1.2 Tineretul și ocuparea forței de muncă </w:t>
      </w:r>
    </w:p>
    <w:p>
      <w:pPr>
        <w:pStyle w:val="Normal"/>
        <w:rPr/>
      </w:pPr>
      <w:r>
        <w:rPr/>
        <w:t xml:space="preserve"> </w:t>
      </w:r>
    </w:p>
    <w:p>
      <w:pPr>
        <w:pStyle w:val="P68B1DB1Normal15"/>
        <w:rPr>
          <w:b/>
          <w:b/>
        </w:rPr>
      </w:pPr>
      <w:r>
        <w:rPr/>
        <w:t xml:space="preserve">3. Recomandăm armonizarea nivelului tuturor programelor educaționale din UE, acceptând conținutul național. Prin urmare, recomandăm ca toate diplomele profesionale să fie validate și recunoscute reciproc în toate statele membre ale UE. </w:t>
      </w:r>
    </w:p>
    <w:p>
      <w:pPr>
        <w:pStyle w:val="Normal"/>
        <w:rPr/>
      </w:pPr>
      <w:r>
        <w:rPr/>
        <w:t xml:space="preserve"> </w:t>
      </w:r>
    </w:p>
    <w:p>
      <w:pPr>
        <w:pStyle w:val="Normal"/>
        <w:rPr/>
      </w:pPr>
      <w:r>
        <w:rPr/>
        <w:t xml:space="preserve">Facem această recomandare pentru că dorim să facilităm mobilitatea forței de muncă europene și să reducem sarcinile administrative. </w:t>
      </w:r>
    </w:p>
    <w:p>
      <w:pPr>
        <w:pStyle w:val="Normal"/>
        <w:rPr/>
      </w:pPr>
      <w:r>
        <w:rPr/>
      </w:r>
    </w:p>
    <w:p>
      <w:pPr>
        <w:pStyle w:val="P68B1DB1Normal15"/>
        <w:rPr>
          <w:b/>
          <w:b/>
        </w:rPr>
      </w:pPr>
      <w:r>
        <w:rPr/>
        <w:t xml:space="preserve">4. Vă recomandăm să oferiți elevilor de gimnaziu (de la vârsta de 12 ani) o imagine de ansamblu asupra viitoarei lor piețe a forței de muncă, oferindu-le posibilitatea de a participa la diferite vizite de observare de calitate la organizații cu scop lucrativ și non-profit. Propunem să încurajăm companiile să ureze bun venit studenților pentru stagii de observare, acordându-le granturi. În zonele îndepărtate cu mai puține oportunități, școlile locale, autoritățile publice, organizațiile și întreprinderile trebuie să colaboreze îndeaproape pentru a se asigura că aceste vizite de observare sunt, de asemenea, disponibile. </w:t>
      </w:r>
    </w:p>
    <w:p>
      <w:pPr>
        <w:pStyle w:val="Normal"/>
        <w:rPr/>
      </w:pPr>
      <w:r>
        <w:rPr/>
        <w:t xml:space="preserve"> </w:t>
      </w:r>
    </w:p>
    <w:p>
      <w:pPr>
        <w:pStyle w:val="Normal"/>
        <w:rPr/>
      </w:pPr>
      <w:r>
        <w:rPr/>
        <w:t xml:space="preserve">Facem această recomandare pentru că ne dorim ca tinerii să-și facă o idee despre diferitele oportunități oferite de piața forței de muncă, astfel încât să își poată alege mai bine studiile și munca viitoare și să înțeleagă importanța alegerii educației potrivite. De asemenea, le-ar da un sentiment de responsabilitate și respect pentru piața forței de muncă și i-ar ajuta să se integreze pe piața forței de muncă, oferind beneficii pentru toți. </w:t>
      </w:r>
    </w:p>
    <w:p>
      <w:pPr>
        <w:pStyle w:val="Normal"/>
        <w:rPr/>
      </w:pPr>
      <w:r>
        <w:rPr/>
        <w:t xml:space="preserve"> </w:t>
      </w:r>
    </w:p>
    <w:p>
      <w:pPr>
        <w:pStyle w:val="P68B1DB1Normal15"/>
        <w:rPr>
          <w:b/>
          <w:b/>
        </w:rPr>
      </w:pPr>
      <w:r>
        <w:rPr/>
        <w:t xml:space="preserve">5. Recomandăm integrarea practicii abilităților non-tehnice în toate cursurile școlare. Prin abilități non-tehnice, ne referim la: ascultare reciprocă, dialog, reziliență, înțelegere, respect și apreciere a celorlalți, gândire critică, auto-învățare și rămânerea curioasă și orientată spre rezultate. Profesorii ar trebui să fie instruiți în ceea ce privește transmiterea acestor competențe, colaborând îndeaproape cu asistenți sociali și/sau psihologi. Alte sugestii de punere în aplicare: organizarea de programe de schimb de elevi între școli, participarea la evenimente sportive și culturale interșcolare etc. </w:t>
      </w:r>
    </w:p>
    <w:p>
      <w:pPr>
        <w:pStyle w:val="Normal"/>
        <w:rPr/>
      </w:pPr>
      <w:r>
        <w:rPr/>
        <w:t xml:space="preserve"> </w:t>
      </w:r>
    </w:p>
    <w:p>
      <w:pPr>
        <w:pStyle w:val="Normal"/>
        <w:rPr/>
      </w:pPr>
      <w:r>
        <w:rPr/>
        <w:t xml:space="preserve">Facem această recomandare deoarece competențele non-tehnice sunt competențe de bază necesare care se pierd în era digitală și că tinerii noștri vor avea nevoie absolut în viața lor viitoare. Acesta este motivul pentru care insistăm asupra integrării acestor competențe în programele școlare pentru a ajuta tinerii să fie rezilienti și să evite sau să depășească problemele mentale pe care le pot experimenta în viața lor viitoare. Competențele sociale consolidează relațiile interpersonale și, prin urmare, îi ajută pe oameni să-și găsească locul în societate. </w:t>
      </w:r>
    </w:p>
    <w:p>
      <w:pPr>
        <w:pStyle w:val="Normal"/>
        <w:rPr/>
      </w:pPr>
      <w:r>
        <w:rPr/>
        <w:t xml:space="preserve"> </w:t>
      </w:r>
    </w:p>
    <w:p>
      <w:pPr>
        <w:pStyle w:val="P68B1DB1Normal15"/>
        <w:rPr>
          <w:b/>
          <w:b/>
        </w:rPr>
      </w:pPr>
      <w:r>
        <w:rPr/>
        <w:t xml:space="preserve">6. Recomandăm ca, în cazul unei crize grave (criză sanitară, război etc.), planuri bine concepute, cu scenarii detaliate, să fie pregătite pentru a fi implementate în mod flexibil pentru a reduce la minimum impactul asupra educației, formării profesionale și bunăstării mentale a tinerilor noștri etc. Prin impact, ne referim la: o creștere a costului educației sau formării, o extindere obligatorie a studiilor, imposibilitatea de a finaliza stagii, o creștere a problemelor de sănătate mintală. Aceste planuri trebuie puse în aplicare astfel încât să se reducă la minimum impactul asupra tinerilor și tranziția acestora către piața forței de muncă. </w:t>
      </w:r>
    </w:p>
    <w:p>
      <w:pPr>
        <w:pStyle w:val="Normal"/>
        <w:rPr/>
      </w:pPr>
      <w:r>
        <w:rPr/>
        <w:t xml:space="preserve"> </w:t>
      </w:r>
    </w:p>
    <w:p>
      <w:pPr>
        <w:pStyle w:val="Normal"/>
        <w:rPr/>
      </w:pPr>
      <w:r>
        <w:rPr/>
        <w:t xml:space="preserve">Facem această recomandare pentru că tinerii sunt foarte vulnerabili în perioade de criză. </w:t>
      </w:r>
    </w:p>
    <w:p>
      <w:pPr>
        <w:pStyle w:val="Normal"/>
        <w:rPr/>
      </w:pPr>
      <w:r>
        <w:rPr/>
        <w:t xml:space="preserve"> </w:t>
      </w:r>
    </w:p>
    <w:p>
      <w:pPr>
        <w:pStyle w:val="Titre4"/>
        <w:numPr>
          <w:ilvl w:val="3"/>
          <w:numId w:val="2"/>
        </w:numPr>
        <w:rPr/>
      </w:pPr>
      <w:bookmarkStart w:id="109" w:name="__RefHeading___Toc297153_1346298689"/>
      <w:bookmarkEnd w:id="109"/>
      <w:r>
        <w:rPr/>
        <w:t xml:space="preserve">Subaxa 1.3 Transformarea digitală la locul de muncă </w:t>
      </w:r>
    </w:p>
    <w:p>
      <w:pPr>
        <w:pStyle w:val="Normal"/>
        <w:rPr/>
      </w:pPr>
      <w:r>
        <w:rPr/>
        <w:t xml:space="preserve"> </w:t>
      </w:r>
    </w:p>
    <w:p>
      <w:pPr>
        <w:pStyle w:val="P68B1DB1Normal15"/>
        <w:rPr>
          <w:b/>
          <w:b/>
        </w:rPr>
      </w:pPr>
      <w:r>
        <w:rPr/>
        <w:t xml:space="preserve">7. Recomandăm UE să introducă sau să consolideze legislația existentă privind munca inteligentă, și anume munca online și la distanță, de exemplu, la domiciliu sau dintr-un alt loc online conectat. De asemenea, recomandăm UE să legifereze pentru a încuraja întreprinderile să fie responsabile din punct de vedere social și să mențină locuri de muncă mobile de calitate în UE. Stimulentele pot fi de natură financiară și/sau pot juca asupra imaginii întreprinderilor și ar trebui să țină seama de criteriile de mediu, sociale și de guvernanță (ESG) recunoscute la nivel internațional. În acest scop, UE ar trebui să înființeze un grup de lucru compus din experți din toate părțile interesate, care să revizuiască și să consolideze această legislație. </w:t>
      </w:r>
    </w:p>
    <w:p>
      <w:pPr>
        <w:pStyle w:val="Normal"/>
        <w:rPr/>
      </w:pPr>
      <w:r>
        <w:rPr/>
        <w:t xml:space="preserve"> </w:t>
      </w:r>
    </w:p>
    <w:p>
      <w:pPr>
        <w:pStyle w:val="Normal"/>
        <w:rPr/>
      </w:pPr>
      <w:r>
        <w:rPr/>
        <w:t xml:space="preserve">Facem această recomandare deoarece trebuie să promovăm locuri de muncă mobile de calitate și să evităm relocarea acestora în țări terțe cu costuri mai mici. Pandemia de COVID-19 și tendințele economice mondiale accentuează urgența protejării locurilor de muncă în UE și a reglementării muncii mobile. </w:t>
      </w:r>
    </w:p>
    <w:p>
      <w:pPr>
        <w:pStyle w:val="Normal"/>
        <w:rPr/>
      </w:pPr>
      <w:r>
        <w:rPr/>
        <w:t xml:space="preserve"> </w:t>
      </w:r>
    </w:p>
    <w:p>
      <w:pPr>
        <w:pStyle w:val="P68B1DB1Normal15"/>
        <w:rPr>
          <w:b/>
          <w:b/>
        </w:rPr>
      </w:pPr>
      <w:r>
        <w:rPr/>
        <w:t xml:space="preserve">8. Recomandăm ca UE să garanteze dreptul la formare digitală pentru toți cetățenii UE. În special, competențele digitale ale tinerilor ar putea fi îmbunătățite prin introducerea unui certificat UE în școli, care i-ar pregăti pentru viitoarea piață a forței de muncă. De asemenea, recomandăm formarea specifică la nivelul UE pentru recalificarea și perfecționarea lucrătorilor, astfel încât aceștia să rămână competitivi pe piața forței de muncă. În cele din urmă, recomandăm UE să sensibilizeze cu privire la platformele digitale existente care conectează cetățenii cu angajatorii și îi ajută să își găsească locuri de muncă în UE, de exemplu EURES. </w:t>
      </w:r>
    </w:p>
    <w:p>
      <w:pPr>
        <w:pStyle w:val="Normal"/>
        <w:rPr/>
      </w:pPr>
      <w:r>
        <w:rPr/>
        <w:t xml:space="preserve"> </w:t>
      </w:r>
    </w:p>
    <w:p>
      <w:pPr>
        <w:pStyle w:val="Normal"/>
        <w:rPr/>
      </w:pPr>
      <w:r>
        <w:rPr/>
        <w:t xml:space="preserve">Facem această recomandare, deoarece competențele digitale certificate sunt esențiale pentru accesul la piața muncii și pentru ca lucrătorii să se recalifice și să rămână competitivi. </w:t>
      </w:r>
    </w:p>
    <w:p>
      <w:pPr>
        <w:pStyle w:val="Normal"/>
        <w:rPr/>
      </w:pPr>
      <w:r>
        <w:rPr/>
        <w:t xml:space="preserve"> </w:t>
      </w:r>
    </w:p>
    <w:p>
      <w:pPr>
        <w:pStyle w:val="Titre3"/>
        <w:numPr>
          <w:ilvl w:val="2"/>
          <w:numId w:val="2"/>
        </w:numPr>
        <w:rPr/>
      </w:pPr>
      <w:bookmarkStart w:id="110" w:name="__RefHeading___Toc297155_1346298689"/>
      <w:bookmarkEnd w:id="110"/>
      <w:r>
        <w:rPr/>
        <w:t xml:space="preserve">Axa 2 O economie orientată spre viitor </w:t>
      </w:r>
    </w:p>
    <w:p>
      <w:pPr>
        <w:pStyle w:val="Normal"/>
        <w:rPr/>
      </w:pPr>
      <w:r>
        <w:rPr/>
        <w:t xml:space="preserve"> </w:t>
      </w:r>
    </w:p>
    <w:p>
      <w:pPr>
        <w:pStyle w:val="Titre4"/>
        <w:numPr>
          <w:ilvl w:val="3"/>
          <w:numId w:val="2"/>
        </w:numPr>
        <w:rPr/>
      </w:pPr>
      <w:bookmarkStart w:id="111" w:name="__RefHeading___Toc297157_1346298689"/>
      <w:bookmarkEnd w:id="111"/>
      <w:r>
        <w:rPr/>
        <w:t xml:space="preserve">Subaxa 2.1 Inovare și competitivitate europeană </w:t>
      </w:r>
    </w:p>
    <w:p>
      <w:pPr>
        <w:pStyle w:val="Normal"/>
        <w:rPr/>
      </w:pPr>
      <w:r>
        <w:rPr/>
        <w:t xml:space="preserve"> </w:t>
      </w:r>
    </w:p>
    <w:p>
      <w:pPr>
        <w:pStyle w:val="P68B1DB1Normal15"/>
        <w:rPr>
          <w:b/>
          <w:b/>
        </w:rPr>
      </w:pPr>
      <w:r>
        <w:rPr/>
        <w:t xml:space="preserve">9. Recomandăm UE să creeze oportunități de investiții în cercetare și inovare pentru diverse entități (universități, întreprinderi, institute de cercetare etc.) în vederea dezvoltării: </w:t>
      </w:r>
    </w:p>
    <w:p>
      <w:pPr>
        <w:pStyle w:val="P68B1DB1Normal15"/>
        <w:rPr>
          <w:b/>
          <w:b/>
        </w:rPr>
      </w:pPr>
      <w:r>
        <w:rPr/>
        <w:t xml:space="preserve">● </w:t>
      </w:r>
      <w:r>
        <w:rPr/>
        <w:t xml:space="preserve">materiale noi, mai durabile și mai biodiversificate pentru a le înlocui pe cele utilizate în prezent; </w:t>
      </w:r>
    </w:p>
    <w:p>
      <w:pPr>
        <w:pStyle w:val="P68B1DB1Normal15"/>
        <w:rPr>
          <w:b/>
          <w:b/>
        </w:rPr>
      </w:pPr>
      <w:r>
        <w:rPr/>
        <w:t xml:space="preserve">● </w:t>
      </w:r>
      <w:r>
        <w:rPr/>
        <w:t xml:space="preserve">utilizări inovatoare ale materialelor existente (bazate, printre altele, pe reciclare și pe tehnici de vârf cu cea mai mică amprentă de mediu). </w:t>
      </w:r>
    </w:p>
    <w:p>
      <w:pPr>
        <w:pStyle w:val="Normal"/>
        <w:rPr/>
      </w:pPr>
      <w:r>
        <w:rPr>
          <w:b/>
        </w:rPr>
        <w:t>Recomandăm ca acesta să fie un angajament permanent și pe termen lung al UE (cel puțin până în 2050).</w:t>
      </w:r>
      <w:r>
        <w:rPr/>
        <w:t xml:space="preserve"> </w:t>
      </w:r>
    </w:p>
    <w:p>
      <w:pPr>
        <w:pStyle w:val="Normal"/>
        <w:rPr/>
      </w:pPr>
      <w:r>
        <w:rPr/>
        <w:t xml:space="preserve"> </w:t>
      </w:r>
    </w:p>
    <w:p>
      <w:pPr>
        <w:pStyle w:val="Normal"/>
        <w:rPr/>
      </w:pPr>
      <w:r>
        <w:rPr/>
        <w:t xml:space="preserve">Facem această recomandare pentru că trăim pe o planetă cu resurse limitate. Dacă vrem să avem un viitor, trebuie să protejăm clima și să căutăm alternative care să respecte planeta. De asemenea, dorim ca UE să devină un actor de frunte în acest domeniu, cu un puternic avantaj competitiv pe scena internațională. Recomandarea urmărește să producă rezultate inovatoare care pot fi aplicate pe scară largă și pot fi puse în aplicare în diferite domenii și țări. Aceasta ar avea, de asemenea, un impact pozitiv asupra economiei și a pieței forței de muncă prin crearea de noi oportunități de ocupare a forței de muncă în domeniul inovării durabile. Aceasta ar putea contribui la combaterea nedreptăților sociale, în măsura în care mijloacele actuale de producție, bazate pe exploatare, ar fi înlocuite cu altele, mai etice. </w:t>
      </w:r>
    </w:p>
    <w:p>
      <w:pPr>
        <w:pStyle w:val="Normal"/>
        <w:rPr/>
      </w:pPr>
      <w:r>
        <w:rPr/>
        <w:t xml:space="preserve"> </w:t>
      </w:r>
    </w:p>
    <w:p>
      <w:pPr>
        <w:pStyle w:val="P68B1DB1Normal15"/>
        <w:rPr>
          <w:b/>
          <w:b/>
        </w:rPr>
      </w:pPr>
      <w:r>
        <w:rPr/>
        <w:t xml:space="preserve">10. Recomandăm UE să se angajeze în mod continuu, pe termen lung, să își mărească în mod semnificativ ponderea de energie produsă în mod durabil, utilizând o gamă largă de surse regenerabile cu cea mai mică amprentă de mediu (pe baza unei analize cuprinzătoare a ciclului de viață). În plus, UE ar trebui să investească în îmbunătățirea și menținerea calității infrastructurii și a rețelei de energie electrică. De asemenea, recomandăm ca accesul la energie și accesibilitatea din punct de vedere financiar să fie recunoscute ca un drept fundamental al cetățenilor. </w:t>
      </w:r>
    </w:p>
    <w:p>
      <w:pPr>
        <w:pStyle w:val="P68B1DB1Normal15"/>
        <w:rPr>
          <w:b/>
          <w:b/>
        </w:rPr>
      </w:pPr>
      <w:r>
        <w:rPr/>
        <w:t xml:space="preserve"> </w:t>
      </w:r>
    </w:p>
    <w:p>
      <w:pPr>
        <w:pStyle w:val="Normal"/>
        <w:rPr/>
      </w:pPr>
      <w:r>
        <w:rPr/>
        <w:t xml:space="preserve">Facem această recomandare din următoarele motive: </w:t>
      </w:r>
    </w:p>
    <w:p>
      <w:pPr>
        <w:pStyle w:val="Normal"/>
        <w:rPr/>
      </w:pPr>
      <w:r>
        <w:rPr/>
        <w:t xml:space="preserve">● </w:t>
      </w:r>
      <w:r>
        <w:rPr/>
        <w:t xml:space="preserve">diversificarea surselor de energie (inclusiv energia solară, eoliană, hidrogenul, apa de mare sau orice altă metodă durabilă viitoare) ar face UE mai independentă din punct de vedere energetic; </w:t>
      </w:r>
    </w:p>
    <w:p>
      <w:pPr>
        <w:pStyle w:val="Normal"/>
        <w:rPr/>
      </w:pPr>
      <w:r>
        <w:rPr/>
        <w:t xml:space="preserve">● </w:t>
      </w:r>
      <w:r>
        <w:rPr/>
        <w:t xml:space="preserve">ar reduce costurile cu energia electrică pentru cetățenii UE; </w:t>
      </w:r>
    </w:p>
    <w:p>
      <w:pPr>
        <w:pStyle w:val="Normal"/>
        <w:rPr/>
      </w:pPr>
      <w:r>
        <w:rPr/>
        <w:t xml:space="preserve">● </w:t>
      </w:r>
      <w:r>
        <w:rPr/>
        <w:t xml:space="preserve">ar crea locuri de muncă și ar restructura piața energiei (în special în regiunile care s-au bazat până în prezent pe combustibili fosili); </w:t>
      </w:r>
    </w:p>
    <w:p>
      <w:pPr>
        <w:pStyle w:val="Normal"/>
        <w:rPr/>
      </w:pPr>
      <w:r>
        <w:rPr/>
        <w:t xml:space="preserve">● </w:t>
      </w:r>
      <w:r>
        <w:rPr/>
        <w:t xml:space="preserve">ar putea încuraja dezvoltarea științifică a tehnicilor inovatoare de aprovizionare cu energie; </w:t>
      </w:r>
    </w:p>
    <w:p>
      <w:pPr>
        <w:pStyle w:val="Normal"/>
        <w:rPr/>
      </w:pPr>
      <w:r>
        <w:rPr/>
        <w:t xml:space="preserve">● </w:t>
      </w:r>
      <w:r>
        <w:rPr/>
        <w:t xml:space="preserve">calitatea infrastructurii și a rețelei electrice este la fel de importantă ca și sursele de energie, deoarece permite o distribuție și o transmisie de energie fără probleme, eficiente și la prețuri accesibile. </w:t>
      </w:r>
    </w:p>
    <w:p>
      <w:pPr>
        <w:pStyle w:val="Normal"/>
        <w:rPr/>
      </w:pPr>
      <w:r>
        <w:rPr/>
        <w:t xml:space="preserve"> </w:t>
      </w:r>
    </w:p>
    <w:p>
      <w:pPr>
        <w:pStyle w:val="P68B1DB1Normal15"/>
        <w:rPr>
          <w:b/>
          <w:b/>
        </w:rPr>
      </w:pPr>
      <w:r>
        <w:rPr/>
        <w:t xml:space="preserve">11. Recomandăm UE să promoveze în mod activ procese de producție mai ecologice prin subvenționarea sau recompensarea în alt mod a întreprinderilor care investesc în reducerea costurilor de mediu ale producției lor. De asemenea, solicităm un efort de a dezvolta situri postindustriale și de a crea zone verzi protejate în jurul siturilor existente. Companiile ar trebui să fie obligate să finanțeze aceste eforturi, cel puțin parțial, pe banii lor. </w:t>
      </w:r>
    </w:p>
    <w:p>
      <w:pPr>
        <w:pStyle w:val="Normal"/>
        <w:rPr/>
      </w:pPr>
      <w:r>
        <w:rPr/>
        <w:t xml:space="preserve"> </w:t>
      </w:r>
    </w:p>
    <w:p>
      <w:pPr>
        <w:pStyle w:val="Normal"/>
        <w:rPr/>
      </w:pPr>
      <w:r>
        <w:rPr/>
        <w:t xml:space="preserve">Facem această recomandare deoarece procesele de producție sunt o parte importantă a lanțului de aprovizionare. A le face mai ecologice ar putea reduce în mod semnificativ impactul nostru asupra climei. Considerăm că întreprinderile și industriile ar trebui să fie trase la răspundere pentru modul în care își fabrică produsele (inclusiv pentru măsurile de recultivare și protecție a mediului). Ecologizarea proceselor de producție pregătește, de asemenea, întreprinderile pentru viitor și le consolidează reziliența (care protejează locurile de muncă). </w:t>
      </w:r>
    </w:p>
    <w:p>
      <w:pPr>
        <w:pStyle w:val="Normal"/>
        <w:rPr/>
      </w:pPr>
      <w:r>
        <w:rPr/>
      </w:r>
    </w:p>
    <w:p>
      <w:pPr>
        <w:pStyle w:val="Titre4"/>
        <w:numPr>
          <w:ilvl w:val="3"/>
          <w:numId w:val="2"/>
        </w:numPr>
        <w:rPr/>
      </w:pPr>
      <w:bookmarkStart w:id="112" w:name="__RefHeading___Toc297159_1346298689"/>
      <w:bookmarkEnd w:id="112"/>
      <w:r>
        <w:rPr/>
        <w:t xml:space="preserve">Subaxa 2.2 Economia durabilă/subaxa 2.3 Impozitare </w:t>
      </w:r>
    </w:p>
    <w:p>
      <w:pPr>
        <w:pStyle w:val="Normal"/>
        <w:rPr/>
      </w:pPr>
      <w:r>
        <w:rPr/>
        <w:t xml:space="preserve"> </w:t>
      </w:r>
    </w:p>
    <w:p>
      <w:pPr>
        <w:pStyle w:val="P68B1DB1Normal15"/>
        <w:rPr>
          <w:b/>
          <w:b/>
        </w:rPr>
      </w:pPr>
      <w:r>
        <w:rPr/>
        <w:t xml:space="preserve">12. Recomandăm abandonarea ambalajelor din plastic și generalizarea ambalajelor reutilizabile. Ar trebui să se acorde stimulente consumatorilor și întreprinderilor, astfel încât să nu fie mai scump pentru un consumator să cumpere produse în vrac („în vrac” în limba engleză sau „sfuso” în limba italiană) decât produsele ambalate. Întreprinderile care contribuie la această tranziție ar trebui să beneficieze de avantaje fiscale, iar altele ar trebui să plătească mai multe impozite. Produsele care nu pot fi reutilizate ar trebui să fie reciclabile și/sau biodegradabile. Este necesar să se înființeze o instituție publică sau de supraveghere responsabilă cu monitorizarea, stabilirea normelor și difuzarea acestora către toată lumea. Se recomandă educarea și comunicarea – inclusiv prin intermediul platformelor de comunicare socială – cu privire la aceste acțiuni, contactând atât întreprinderile, cât și consumatorii pentru a-și schimba comportamentul pe termen lung. Întreprinderile (de exemplu, societățile de construcții) ar trebui încurajate și ajutate să găsească cele mai bune soluții pentru deșeurile lor. </w:t>
      </w:r>
    </w:p>
    <w:p>
      <w:pPr>
        <w:pStyle w:val="Normal"/>
        <w:rPr/>
      </w:pPr>
      <w:r>
        <w:rPr/>
        <w:t xml:space="preserve"> </w:t>
      </w:r>
    </w:p>
    <w:p>
      <w:pPr>
        <w:pStyle w:val="Normal"/>
        <w:rPr/>
      </w:pPr>
      <w:r>
        <w:rPr/>
        <w:t xml:space="preserve">Facem această recomandare, pentru că toți trebuie să fim responsabili pentru acțiunile noastre. Deci, trebuie să regândim toate procesele de producție. Reciclarea necesită o mulțime de resurse (apă, energie) și, prin urmare, nu poate fi singura soluție, motiv pentru care oferim să vindem produsele în vrac. Reciclarea ar trebui să fie utilizată numai pentru materiale reciclabile și am învățat din exemplul finlandez că este posibilă reciclarea la scară largă. </w:t>
      </w:r>
    </w:p>
    <w:p>
      <w:pPr>
        <w:pStyle w:val="Normal"/>
        <w:rPr/>
      </w:pPr>
      <w:r>
        <w:rPr/>
      </w:r>
    </w:p>
    <w:p>
      <w:pPr>
        <w:pStyle w:val="P68B1DB1Normal15"/>
        <w:rPr>
          <w:b/>
          <w:b/>
        </w:rPr>
      </w:pPr>
      <w:r>
        <w:rPr/>
        <w:t xml:space="preserve">13. Recomandăm să existe aceleași norme fiscale în întreaga Europă și să armonizăm politica fiscală în întreaga UE. Armonizarea în acest domeniu ar trebui să permită statelor membre să își stabilească propriile norme, evitând în același timp evaziunea fiscală. Aceasta va pune capăt practicilor fiscale dăunătoare și concurenței fiscale. Ar trebui impuse impozite pe tranzacțiile comerciale în cazul în care acestea au loc: atunci când o companie vinde într-o țară, ar trebui să plătească impozite în acea țară. Aceste noi norme ar avea ca scop prevenirea relocării și asigurarea faptului că producția și tranzacțiile au loc între țările europene. </w:t>
      </w:r>
    </w:p>
    <w:p>
      <w:pPr>
        <w:pStyle w:val="Normal"/>
        <w:rPr/>
      </w:pPr>
      <w:r>
        <w:rPr/>
        <w:t xml:space="preserve"> </w:t>
      </w:r>
    </w:p>
    <w:p>
      <w:pPr>
        <w:pStyle w:val="Normal"/>
        <w:rPr/>
      </w:pPr>
      <w:r>
        <w:rPr/>
        <w:t xml:space="preserve">Facem această recomandare pentru a proteja și dezvolta ocuparea forței de muncă și activitatea economică în Europa într-un mod echitabil pentru toate statele membre. În acest fel, Europa va avea o înțelegere comună a sistemului fiscal și situația absurdă de monopol a întreprinderilor foarte mari care nu plătesc impozite suficiente în comparație cu întreprinderile mai mici vor fi puse capăt. În plus, resursele financiare vor fi redirecționate către locul în care se desfășoară activitățile comerciale. </w:t>
      </w:r>
    </w:p>
    <w:p>
      <w:pPr>
        <w:pStyle w:val="Normal"/>
        <w:rPr/>
      </w:pPr>
      <w:r>
        <w:rPr/>
        <w:t xml:space="preserve"> </w:t>
      </w:r>
    </w:p>
    <w:p>
      <w:pPr>
        <w:pStyle w:val="P68B1DB1Normal15"/>
        <w:rPr>
          <w:b/>
          <w:b/>
        </w:rPr>
      </w:pPr>
      <w:r>
        <w:rPr/>
        <w:t xml:space="preserve">14. Vă recomandăm să eliminați sistemul de obsolescență programată de pe toate dispozitivele electronice. Schimbarea ar trebui să aibă loc atât individual, cât și comercial, pentru a se asigura că dispozitivele pot fi reparate și modernizate pe termen lung și pot fi păstrate pentru o perioadă lungă de timp. Vă recomandăm să promovați dispozitivele recondiționate. Reglementările ar trebui să impună companiilor să garanteze dreptul la reparații, inclusiv actualizări de software și actualizări, precum și să recicleze toate dispozitivele pe termen lung. De asemenea, se recomandă ca fiecare companie să utilizeze conectori standard. </w:t>
      </w:r>
    </w:p>
    <w:p>
      <w:pPr>
        <w:pStyle w:val="P68B1DB1Normal15"/>
        <w:rPr>
          <w:b/>
          <w:b/>
        </w:rPr>
      </w:pPr>
      <w:r>
        <w:rPr/>
        <w:t xml:space="preserve"> </w:t>
      </w:r>
    </w:p>
    <w:p>
      <w:pPr>
        <w:pStyle w:val="Normal"/>
        <w:rPr/>
      </w:pPr>
      <w:r>
        <w:rPr/>
        <w:t xml:space="preserve">Facem această recomandare pentru că, în lumea modernă, produsele tind să dureze doi ani, iar dorința noastră este ca acestea să aibă o durată de viață mult mai lungă, de aproximativ 10 ani. Prezenta propunere va avea un impact pozitiv asupra schimbărilor climatice și asupra ecologiei. Aceasta va reduce, de asemenea, costurile pentru consumatori, precum și pentru consumatori. </w:t>
      </w:r>
    </w:p>
    <w:p>
      <w:pPr>
        <w:pStyle w:val="Normal"/>
        <w:rPr/>
      </w:pPr>
      <w:r>
        <w:rPr/>
      </w:r>
    </w:p>
    <w:p>
      <w:pPr>
        <w:pStyle w:val="P68B1DB1Normal15"/>
        <w:rPr>
          <w:b/>
          <w:b/>
        </w:rPr>
      </w:pPr>
      <w:r>
        <w:rPr/>
        <w:t xml:space="preserve">15. Vă recomandăm să ajutați pe toată lumea să afle mai multe despre mediul nostru și legăturile sale cu sănătatea individuală prin educație. Căi educaționale îi vor ajuta pe toți să-și definească propriile strategii pentru a integra aceste teme în viața lor de zi cu zi. Această educație ar trebui să înceapă la școală cu subiecte specifice care abordează toate problemele ecologice și ar trebui să continuăm să ne educăm pe tot parcursul vieții noastre (de exemplu, la locul de muncă). Aceasta va contribui la reducerea deșeurilor și va proteja mediul și sănătatea umană și va promova consumul local de produse sănătoase și neprelucrate de la producătorii locali. Cei care nu fac nimic pentru a-și reduce deșeurile vor avea nevoie de formare gratuită în acest domeniu. Pentru a adapta modul de viață, prețurile trebuie să fie echitabile atât pentru producător, cât și pentru consumator. Prin urmare, propunem ca micii producători locali, ecologici, să beneficieze de scutiri fiscale. </w:t>
      </w:r>
    </w:p>
    <w:p>
      <w:pPr>
        <w:pStyle w:val="Normal"/>
        <w:rPr/>
      </w:pPr>
      <w:r>
        <w:rPr/>
        <w:t xml:space="preserve"> </w:t>
      </w:r>
    </w:p>
    <w:p>
      <w:pPr>
        <w:pStyle w:val="Normal"/>
        <w:rPr/>
      </w:pPr>
      <w:r>
        <w:rPr/>
        <w:t xml:space="preserve">Facem această recomandare pentru că credem că mulți oameni nu se simt încă preocupați de aceste probleme. Acesta este motivul pentru care educația pentru toți trebuie să fie pusă în aplicare. În plus, produsele locale și sănătoase tind să fie inaccesibile pentru mulți oameni. Trebuie să ne asigurăm că produsele locale sunt mai accesibile tuturor. </w:t>
      </w:r>
    </w:p>
    <w:p>
      <w:pPr>
        <w:pStyle w:val="Normal"/>
        <w:rPr/>
      </w:pPr>
      <w:r>
        <w:rPr/>
      </w:r>
    </w:p>
    <w:p>
      <w:pPr>
        <w:pStyle w:val="Titre4"/>
        <w:numPr>
          <w:ilvl w:val="3"/>
          <w:numId w:val="2"/>
        </w:numPr>
        <w:rPr/>
      </w:pPr>
      <w:bookmarkStart w:id="113" w:name="__RefHeading___Toc297161_1346298689"/>
      <w:bookmarkEnd w:id="113"/>
      <w:r>
        <w:rPr/>
        <w:t xml:space="preserve">Subaxa 2.4 Agricultură/subaxă 2.5 Infrastructură digitală </w:t>
      </w:r>
    </w:p>
    <w:p>
      <w:pPr>
        <w:pStyle w:val="Normal"/>
        <w:rPr/>
      </w:pPr>
      <w:r>
        <w:rPr/>
        <w:t xml:space="preserve"> </w:t>
      </w:r>
    </w:p>
    <w:p>
      <w:pPr>
        <w:pStyle w:val="P68B1DB1Normal15"/>
        <w:rPr>
          <w:b/>
          <w:b/>
        </w:rPr>
      </w:pPr>
      <w:r>
        <w:rPr/>
        <w:t xml:space="preserve">16. Recomandăm punerea în aplicare a unui sistem european comun de etichetare a consumatorilor și nutrițională, ușor de înțeles (de exemplu alergeni, țara de origine etc.); recomandăm transparența proceselor de autorizare în curs și digitalizarea informațiilor despre produs printr-o aplicație europeană standardizată care ar oferi un acces mai ușor de utilizat la informații și ar furniza informații suplimentare privind produsele și lanțul de producție. De asemenea, considerăm că este nevoie de un organism cu adevărat independent care să reglementeze standardele alimentare în întreaga UE și care să aibă competențe legislative pentru a impune sancțiuni. </w:t>
      </w:r>
    </w:p>
    <w:p>
      <w:pPr>
        <w:pStyle w:val="Normal"/>
        <w:rPr/>
      </w:pPr>
      <w:r>
        <w:rPr/>
        <w:t xml:space="preserve"> </w:t>
      </w:r>
    </w:p>
    <w:p>
      <w:pPr>
        <w:pStyle w:val="Normal"/>
        <w:rPr/>
      </w:pPr>
      <w:r>
        <w:rPr/>
        <w:t xml:space="preserve">Facem aceste recomandări, deoarece toți cetățenii UE ar trebui să se poată baza pe aceeași calitate a alimentelor. Integritatea produselor alimentare este necesară pentru a asigura siguranța cetățenilor. Aceste recomandări au fost formulate pentru a îmbunătăți, într-un mod armonizat, monitorizarea proceselor de autorizare și transparența producției alimentare. </w:t>
      </w:r>
    </w:p>
    <w:p>
      <w:pPr>
        <w:pStyle w:val="Normal"/>
        <w:rPr/>
      </w:pPr>
      <w:r>
        <w:rPr/>
      </w:r>
    </w:p>
    <w:p>
      <w:pPr>
        <w:pStyle w:val="P68B1DB1Normal15"/>
        <w:rPr>
          <w:b/>
          <w:b/>
        </w:rPr>
      </w:pPr>
      <w:r>
        <w:rPr/>
        <w:t xml:space="preserve">17. Recomandăm ca infrastructura să fie deținută de stat pentru a preveni apariția monopolurilor în sectorul telecomunicațiilor și al serviciilor de internet. Accesul la internet ar trebui să fie un drept; introducerea conexiunii la internet în „zone albe/zone moarte” (zone fără acces la internet) ar trebui să fie o prioritate. În ceea ce privește accesul la internet și la echipamentele informatice, copiii și familiile reprezintă o prioritate, în special în ceea ce privește educația și, în special, în perioadele de pandemie. Este necesară o inițiativă pentru a sprijini munca la distanță, de exemplu prin crearea de spații de birouri cu acces la o conexiune rapidă și fiabilă la internet sau prin organizarea de cursuri de formare în domeniul digital. </w:t>
      </w:r>
    </w:p>
    <w:p>
      <w:pPr>
        <w:pStyle w:val="Normal"/>
        <w:rPr/>
      </w:pPr>
      <w:r>
        <w:rPr/>
        <w:t xml:space="preserve"> </w:t>
      </w:r>
    </w:p>
    <w:p>
      <w:pPr>
        <w:pStyle w:val="Normal"/>
        <w:rPr/>
      </w:pPr>
      <w:r>
        <w:rPr/>
        <w:t xml:space="preserve">Facem această recomandare pentru că trebuie să ne asigurăm că transformarea digitală se face în mod echitabil. Accesul la internet este fundamental pentru democrație și este un drept al tuturor cetățenilor europeni. </w:t>
      </w:r>
    </w:p>
    <w:p>
      <w:pPr>
        <w:pStyle w:val="Normal"/>
        <w:rPr/>
      </w:pPr>
      <w:r>
        <w:rPr/>
      </w:r>
    </w:p>
    <w:p>
      <w:pPr>
        <w:pStyle w:val="Normal"/>
        <w:rPr/>
      </w:pPr>
      <w:r>
        <w:rPr>
          <w:b/>
        </w:rPr>
        <w:t>18. Vă recomandăm să respectați insectele locale și să le protejați de speciile invazive. De asemenea, propunem promovarea și apărarea obligației de a furniza spații verzi în noile proiecte de urbanizare. Solicităm ca biodiversitatea să devină un subiect obligatoriu în școli și să facă obiectul activităților școlare, de exemplu al activităților practice. Este important să se sensibilizeze publicul cu privire la biodiversitate prin campanii media și „concursuri” promovate în întreaga UE (concursuri la nivelul comunității locale). Recomandăm stabilirea unor obiective naționale obligatorii în toate statele membre ale UE pentru reîmpădurirea arborilor indigeni și reintroducerea florei locale</w:t>
      </w:r>
      <w:r>
        <w:rPr/>
        <w:t xml:space="preserve">. </w:t>
      </w:r>
    </w:p>
    <w:p>
      <w:pPr>
        <w:pStyle w:val="Normal"/>
        <w:rPr/>
      </w:pPr>
      <w:r>
        <w:rPr/>
        <w:t xml:space="preserve"> </w:t>
      </w:r>
    </w:p>
    <w:p>
      <w:pPr>
        <w:pStyle w:val="Normal"/>
        <w:rPr/>
      </w:pPr>
      <w:r>
        <w:rPr/>
        <w:t xml:space="preserve">Facem această recomandare deoarece biodiversitatea este esențială pentru mediu, pentru calitatea vieții și pentru lupta împotriva schimbărilor climatice.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Axa 3 O societate justă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Subaxa 3.1 Securitatea socială </w:t>
      </w:r>
    </w:p>
    <w:p>
      <w:pPr>
        <w:pStyle w:val="Normal"/>
        <w:rPr/>
      </w:pPr>
      <w:r>
        <w:rPr/>
        <w:t xml:space="preserve"> </w:t>
      </w:r>
    </w:p>
    <w:p>
      <w:pPr>
        <w:pStyle w:val="P68B1DB1Normal15"/>
        <w:rPr>
          <w:b/>
          <w:b/>
        </w:rPr>
      </w:pPr>
      <w:r>
        <w:rPr/>
        <w:t xml:space="preserve">19. Recomandăm promovarea egalității de drepturi și a politicilor sociale, inclusiv a politicilor de sănătate, armonizate în întreaga UE, ținând seama de reglementările adoptate și de cerințele minime din întreaga țară. </w:t>
      </w:r>
    </w:p>
    <w:p>
      <w:pPr>
        <w:pStyle w:val="Normal"/>
        <w:rPr/>
      </w:pPr>
      <w:r>
        <w:rPr/>
        <w:t xml:space="preserve"> </w:t>
      </w:r>
    </w:p>
    <w:p>
      <w:pPr>
        <w:pStyle w:val="Normal"/>
        <w:rPr/>
      </w:pPr>
      <w:r>
        <w:rPr/>
        <w:t xml:space="preserve">Facem această recomandare deoarece există mari disparități între statele membre în ceea ce privește politicile sociale, care trebuie reduse pentru a asigura o viață decentă pentru toți cetățenii și pentru a oferi îngrijirea și sprijinul necesar persoanelor vulnerabile din diverse motive (sănătate, vârstă, orientare sexuală etc.). </w:t>
      </w:r>
    </w:p>
    <w:p>
      <w:pPr>
        <w:pStyle w:val="Normal"/>
        <w:rPr/>
      </w:pPr>
      <w:r>
        <w:rPr/>
      </w:r>
    </w:p>
    <w:p>
      <w:pPr>
        <w:pStyle w:val="P68B1DB1Normal15"/>
        <w:rPr>
          <w:b/>
          <w:b/>
        </w:rPr>
      </w:pPr>
      <w:r>
        <w:rPr/>
        <w:t xml:space="preserve">20. Recomandăm promovarea cercetării sociale și în domeniul sănătății în UE, urmând liniile prioritare considerate a fi de interes public și aprobate de statele membre și asigurând o finanțare adecvată. Trebuie să consolidăm cooperarea între domenii de expertiză, țări, centre de studiu (universități etc.). </w:t>
      </w:r>
    </w:p>
    <w:p>
      <w:pPr>
        <w:pStyle w:val="Normal"/>
        <w:rPr/>
      </w:pPr>
      <w:r>
        <w:rPr/>
        <w:t xml:space="preserve"> </w:t>
      </w:r>
    </w:p>
    <w:p>
      <w:pPr>
        <w:pStyle w:val="Normal"/>
        <w:rPr/>
      </w:pPr>
      <w:r>
        <w:rPr/>
        <w:t xml:space="preserve">Facem această recomandare pentru că există multe domenii în care trebuie să avansăm și să ne aprofundăm cunoștințele. Experiența cu pandemia oferă un exemplu al modului în care cercetarea este esențială pentru îmbunătățirea vieții, că este esențială colaborarea dintre public și privat și între guverne și că este nevoie de sprijin financiar. </w:t>
      </w:r>
    </w:p>
    <w:p>
      <w:pPr>
        <w:pStyle w:val="Normal"/>
        <w:rPr/>
      </w:pPr>
      <w:r>
        <w:rPr/>
      </w:r>
    </w:p>
    <w:p>
      <w:pPr>
        <w:pStyle w:val="P68B1DB1Normal15"/>
        <w:rPr>
          <w:b/>
          <w:b/>
        </w:rPr>
      </w:pPr>
      <w:r>
        <w:rPr/>
        <w:t xml:space="preserve">21. Recomandăm ca UE să aibă competențe sporite în ceea ce privește politicile sociale pentru a armoniza normele minime și prestațiile de pensie în întreaga UE și pentru a stabili altele noi, pe baza unui diagnostic aprofundat. Pensia minimă trebuie să fie deasupra pragului de sărăcie al țării. Vârsta de pensionare ar trebui să difere în funcție de categoriile profesionale și ar trebui să fie mai mică pentru ocupațiile solicitante din punct de vedere mental și fizic. În același timp, ar trebui garantat dreptul la muncă pentru persoanele în vârstă care doresc să continue să lucreze în mod voluntar. </w:t>
      </w:r>
    </w:p>
    <w:p>
      <w:pPr>
        <w:pStyle w:val="Normal"/>
        <w:rPr/>
      </w:pPr>
      <w:r>
        <w:rPr/>
        <w:t xml:space="preserve"> </w:t>
      </w:r>
    </w:p>
    <w:p>
      <w:pPr>
        <w:pStyle w:val="Normal"/>
        <w:rPr/>
      </w:pPr>
      <w:r>
        <w:rPr/>
        <w:t xml:space="preserve">Facem această recomandare deoarece speranța de viață crește și rata natalității scade. Populația europeană îmbătrânește, motiv pentru care trebuie să luăm măsuri suplimentare pentru a evita riscul marginalizării persoanelor în vârstă și pentru a le garanta o viață decentă. </w:t>
      </w:r>
    </w:p>
    <w:p>
      <w:pPr>
        <w:pStyle w:val="Normal"/>
        <w:rPr/>
      </w:pPr>
      <w:r>
        <w:rPr/>
        <w:t xml:space="preserve"> </w:t>
      </w:r>
    </w:p>
    <w:p>
      <w:pPr>
        <w:pStyle w:val="Normal"/>
        <w:rPr/>
      </w:pPr>
      <w:r>
        <w:rPr>
          <w:b/>
        </w:rPr>
        <w:t>22. Recomandăm adoptarea unui set de măsuri pentru a încuraja creșterea ratei natalității și pentru a asigura soluții adecvate de îngrijire a copilului. Aceste măsuri ar trebui să vizeze, printre altele, servicii de îngrijire a copiilor la prețuri accesibile și accesibile (la locul de muncă, pe timp de noapte, reducerea TVA pentru facilitățile pentru copii), locuințe, stabilitatea locului de muncă, sprijin pentru maternitate, sprijin specific și protecția muncii pentru tineri și părinți, precum și sprijin pentru mame și tați sub formă de acces la cunoștințe la întoarcerea la locul de muncă.</w:t>
      </w:r>
      <w:r>
        <w:rPr/>
        <w:t xml:space="preserve"> </w:t>
      </w:r>
    </w:p>
    <w:p>
      <w:pPr>
        <w:pStyle w:val="Normal"/>
        <w:rPr/>
      </w:pPr>
      <w:r>
        <w:rPr/>
        <w:t xml:space="preserve"> </w:t>
      </w:r>
    </w:p>
    <w:p>
      <w:pPr>
        <w:pStyle w:val="Normal"/>
        <w:rPr/>
      </w:pPr>
      <w:r>
        <w:rPr/>
        <w:t xml:space="preserve">Facem această recomandare deoarece UE se distinge prin rate scăzute ale natalității, care contribuie, de asemenea, la îmbătrânirea populației Europei și care necesită acțiuni imediate. Pachetul propus urmărește să garanteze că familiile tinere au stabilitatea necesară pentru a avea grijă de copii. </w:t>
      </w:r>
    </w:p>
    <w:p>
      <w:pPr>
        <w:pStyle w:val="Normal"/>
        <w:rPr/>
      </w:pPr>
      <w:r>
        <w:rPr/>
      </w:r>
    </w:p>
    <w:p>
      <w:pPr>
        <w:pStyle w:val="P68B1DB1Normal15"/>
        <w:rPr>
          <w:b/>
          <w:b/>
        </w:rPr>
      </w:pPr>
      <w:r>
        <w:rPr/>
        <w:t xml:space="preserve">23. Vă recomandăm să asigurați asistență socială și asistență medicală pentru persoanele în vârstă la domiciliu și în centrele de îngrijire. De asemenea, este necesar să se îmbunătățească sprijinul acordat persoanelor care au grijă de persoanele în vârstă (aproape). </w:t>
      </w:r>
    </w:p>
    <w:p>
      <w:pPr>
        <w:pStyle w:val="Normal"/>
        <w:rPr/>
      </w:pPr>
      <w:r>
        <w:rPr/>
        <w:t xml:space="preserve"> </w:t>
      </w:r>
    </w:p>
    <w:p>
      <w:pPr>
        <w:pStyle w:val="Normal"/>
        <w:rPr/>
      </w:pPr>
      <w:r>
        <w:rPr/>
        <w:t xml:space="preserve">Facem această recomandare deoarece speranța de viață crește și rata natalității scade; populația europeană îmbătrânește, motiv pentru care trebuie să luăm măsuri suplimentare pentru a evita riscul marginalizării persoanelor în vârstă și pentru a le garanta o viață decentă. </w:t>
      </w:r>
    </w:p>
    <w:p>
      <w:pPr>
        <w:pStyle w:val="Normal"/>
        <w:rPr/>
      </w:pPr>
      <w:r>
        <w:rPr/>
        <w:t xml:space="preserve"> </w:t>
      </w:r>
    </w:p>
    <w:p>
      <w:pPr>
        <w:pStyle w:val="P68B1DB1Normal15"/>
        <w:rPr>
          <w:b/>
          <w:b/>
        </w:rPr>
      </w:pPr>
      <w:r>
        <w:rPr/>
        <w:t xml:space="preserve">24. Recomandăm UE să sprijine îngrijirea paliativă și moartea asistată [eutanasia], în conformitate cu un set concret de norme și reglementări. </w:t>
      </w:r>
    </w:p>
    <w:p>
      <w:pPr>
        <w:pStyle w:val="Normal"/>
        <w:rPr/>
      </w:pPr>
      <w:r>
        <w:rPr/>
        <w:t xml:space="preserve"> </w:t>
      </w:r>
    </w:p>
    <w:p>
      <w:pPr>
        <w:pStyle w:val="Normal"/>
        <w:rPr/>
      </w:pPr>
      <w:r>
        <w:rPr/>
        <w:t xml:space="preserve">Facem această recomandare pentru că ar reduce durerea pacienților și a familiilor și ar asigura un sfârșit decent al vieții. </w:t>
      </w:r>
    </w:p>
    <w:p>
      <w:pPr>
        <w:pStyle w:val="Normal"/>
        <w:rPr/>
      </w:pPr>
      <w:r>
        <w:rPr/>
        <w:t xml:space="preserve"> </w:t>
      </w:r>
    </w:p>
    <w:p>
      <w:pPr>
        <w:pStyle w:val="Titre4"/>
        <w:numPr>
          <w:ilvl w:val="3"/>
          <w:numId w:val="2"/>
        </w:numPr>
        <w:rPr/>
      </w:pPr>
      <w:bookmarkStart w:id="117" w:name="__RefHeading___Toc297169_1346298689"/>
      <w:bookmarkEnd w:id="117"/>
      <w:r>
        <w:rPr/>
        <w:t xml:space="preserve">Subaxa 3.2 Egalitatea de drepturi </w:t>
      </w:r>
    </w:p>
    <w:p>
      <w:pPr>
        <w:pStyle w:val="Normal"/>
        <w:rPr/>
      </w:pPr>
      <w:r>
        <w:rPr/>
        <w:t xml:space="preserve"> </w:t>
      </w:r>
    </w:p>
    <w:p>
      <w:pPr>
        <w:pStyle w:val="P68B1DB1Normal15"/>
        <w:rPr>
          <w:b/>
          <w:b/>
        </w:rPr>
      </w:pPr>
      <w:r>
        <w:rPr/>
        <w:t xml:space="preserve">25. Recomandăm UE să sprijine accesul specific al cetățenilor la locuințe sociale decente, în funcție de nevoile lor specifice. Efortul financiar ar trebui partajat între donatorii privați, proprietarii de locuințe, beneficiarii de locuințe, guvernele statelor membre la nivel central și local și Uniunea Europeană. Obiectivul ar trebui să fie facilitarea construirii/reparării fondului locativ social existent, inclusiv prin intermediul asociațiilor cooperative, al închirierii și al achizițiilor. Ajutorul ar trebui acordat pe baza unor criterii clare (de exemplu, suprafața maximă/persoana care urmează să fie subvenționată, venitul beneficiarilor etc.). </w:t>
      </w:r>
    </w:p>
    <w:p>
      <w:pPr>
        <w:pStyle w:val="Normal"/>
        <w:rPr/>
      </w:pPr>
      <w:r>
        <w:rPr/>
        <w:t xml:space="preserve"> </w:t>
      </w:r>
    </w:p>
    <w:p>
      <w:pPr>
        <w:pStyle w:val="Normal"/>
        <w:rPr/>
      </w:pPr>
      <w:r>
        <w:rPr/>
        <w:t xml:space="preserve">Facem această recomandare deoarece îmbunătățirea accesului la locuințe ar asigura faptul că cetățenii UE se bucură de drepturi egale tangibile și ar contribui la atenuarea tensiunilor sociale. UE este invitată în principal să supravegheze mecanismul de sprijin; autoritățile naționale și locale ar trebui să depună mai multe eforturi pentru a aborda problemele legate de locuințe. </w:t>
      </w:r>
    </w:p>
    <w:p>
      <w:pPr>
        <w:pStyle w:val="Normal"/>
        <w:rPr/>
      </w:pPr>
      <w:r>
        <w:rPr/>
      </w:r>
    </w:p>
    <w:p>
      <w:pPr>
        <w:pStyle w:val="P68B1DB1Normal15"/>
        <w:rPr>
          <w:b/>
          <w:b/>
        </w:rPr>
      </w:pPr>
      <w:r>
        <w:rPr/>
        <w:t xml:space="preserve">26. Recomandăm UE să îmbunătățească reglementarea și punerea în aplicare uniformă a măsurilor de sprijin pentru familiile cu copii în toate statele membre. Aceste măsuri includ, în special: o creștere a duratei concediului pentru creșterea copilului, a cuantumului alocației de naștere și a alocației pentru îngrijirea copilului. </w:t>
      </w:r>
    </w:p>
    <w:p>
      <w:pPr>
        <w:pStyle w:val="Normal"/>
        <w:rPr/>
      </w:pPr>
      <w:r>
        <w:rPr/>
        <w:t xml:space="preserve"> </w:t>
      </w:r>
    </w:p>
    <w:p>
      <w:pPr>
        <w:pStyle w:val="Normal"/>
        <w:rPr/>
      </w:pPr>
      <w:r>
        <w:rPr/>
        <w:t xml:space="preserve">Facem această recomandare deoarece considerăm că aceste măsuri ar atenua problema demografică cu care se confruntă UE. De asemenea, acestea ar îmbunătăți egalitatea de gen între părinți. </w:t>
      </w:r>
    </w:p>
    <w:p>
      <w:pPr>
        <w:pStyle w:val="Normal"/>
        <w:rPr/>
      </w:pPr>
      <w:r>
        <w:rPr/>
      </w:r>
    </w:p>
    <w:p>
      <w:pPr>
        <w:pStyle w:val="P68B1DB1Normal15"/>
        <w:rPr>
          <w:b/>
          <w:b/>
        </w:rPr>
      </w:pPr>
      <w:r>
        <w:rPr/>
        <w:t xml:space="preserve">27. Recomandăm UE să ia măsuri pentru a se asigura că toate familiile beneficiază de aceleași drepturi familiale în toate statele membre. Aceste drepturi includ dreptul la căsătorie și adopție. </w:t>
      </w:r>
    </w:p>
    <w:p>
      <w:pPr>
        <w:pStyle w:val="Normal"/>
        <w:rPr/>
      </w:pPr>
      <w:r>
        <w:rPr/>
        <w:t xml:space="preserve"> </w:t>
      </w:r>
    </w:p>
    <w:p>
      <w:pPr>
        <w:pStyle w:val="Normal"/>
        <w:rPr/>
      </w:pPr>
      <w:r>
        <w:rPr/>
        <w:t xml:space="preserve">Facem această recomandare deoarece credem că toți cetățenii UE ar trebui să se bucure de drepturi egale, inclusiv de drepturile familiei. Familia este forma de bază a organizării sociale. O familie fericită contribuie la o societate sănătoasă. Recomandarea urmărește să garanteze că toți cetățenii se bucură de drepturile familiei, indiferent de gen, vârsta adultă, originea etnică sau sănătatea fizică.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Subaxa 3.3 Echitate/subaxa 3.4 Accesul la sport </w:t>
      </w:r>
      <w:commentRangeEnd w:id="1"/>
      <w:r>
        <w:commentReference w:id="1"/>
      </w:r>
      <w:r>
        <w:rPr/>
      </w:r>
    </w:p>
    <w:p>
      <w:pPr>
        <w:pStyle w:val="Normal"/>
        <w:rPr/>
      </w:pPr>
      <w:r>
        <w:rPr/>
        <w:t xml:space="preserve"> </w:t>
      </w:r>
    </w:p>
    <w:p>
      <w:pPr>
        <w:pStyle w:val="P68B1DB1Normal15"/>
        <w:rPr>
          <w:b/>
          <w:b/>
        </w:rPr>
      </w:pPr>
      <w:r>
        <w:rPr/>
        <w:t xml:space="preserve">28. Recomandăm ca Strategia UE privind egalitatea de gen 2020-2025 să fie promovată cu fermitate și să i se acorde prioritate ridicată ca o problemă urgentă abordată în mod eficace de statele membre. UE ar trebui (a) să definească indicatori (atitudini, diferențe de salarizare, ocuparea forței de muncă, conducere etc.), să monitorizeze strategia anual și să fie transparentă în ceea ce privește rezultatele obținute; și b) să înființeze un ombudsman pentru a obține feedback direct de la cetățeni. </w:t>
      </w:r>
    </w:p>
    <w:p>
      <w:pPr>
        <w:pStyle w:val="Normal"/>
        <w:rPr/>
      </w:pPr>
      <w:r>
        <w:rPr/>
        <w:t xml:space="preserve"> </w:t>
      </w:r>
    </w:p>
    <w:p>
      <w:pPr>
        <w:pStyle w:val="Normal"/>
        <w:rPr/>
      </w:pPr>
      <w:r>
        <w:rPr/>
        <w:t xml:space="preserve">Facem această recomandare deoarece considerăm că situația de gen în UE este departe de a fi satisfăcătoare. Ar trebui să existe armonie în ceea ce privește egalitatea de gen și drepturile civile la nivel european, astfel încât să se atingă obiectivele egalității de gen și ale drepturilor civile în toate țările, nu doar în cele în care compromisul este mai puternic. Suntem dedicați prezenței și contribuției femeilor în funcții de putere și în toate tipurile de profesii, pentru a avea o Uniune Europeană diversă și împlinită. Femeile sunt dezavantajate în multe situații (chiar și atunci când au un nivel bun de educație/învățământ superior certificat sau alte privilegii), astfel încât o astfel de strategie este absolut necesară. </w:t>
      </w:r>
    </w:p>
    <w:p>
      <w:pPr>
        <w:pStyle w:val="Normal"/>
        <w:rPr/>
      </w:pPr>
      <w:r>
        <w:rPr/>
      </w:r>
    </w:p>
    <w:p>
      <w:pPr>
        <w:pStyle w:val="P68B1DB1Normal15"/>
        <w:rPr>
          <w:b/>
          <w:b/>
        </w:rPr>
      </w:pPr>
      <w:r>
        <w:rPr/>
        <w:t xml:space="preserve">29. Recomandăm UE să promoveze și să sensibilizeze publicul cu privire la sport și la activitatea fizică în toate statele membre, datorită beneficiilor lor pentru sănătate. Sportul și activitatea fizică ar trebui incluse în politicile sociale, în politicile de sănătate mintală și fizică, în politicile în domeniul educației și al muncii (de exemplu, promovarea prescrierii sportului și/sau a activității fizice de către medici și, acolo unde este cazul, asigurarea accesului la facilitățile sportive; 1 oră de muncă/săptămână pentru activitate fizică etc.). </w:t>
      </w:r>
    </w:p>
    <w:p>
      <w:pPr>
        <w:pStyle w:val="Normal"/>
        <w:rPr/>
      </w:pPr>
      <w:r>
        <w:rPr/>
        <w:t xml:space="preserve"> </w:t>
      </w:r>
    </w:p>
    <w:p>
      <w:pPr>
        <w:pStyle w:val="Normal"/>
        <w:rPr/>
      </w:pPr>
      <w:r>
        <w:rPr/>
        <w:t xml:space="preserve">Facem această recomandare pentru că este o investiție pe termen lung. Investițiile în sport și în activitatea fizică reduc costurile și sarcinile pentru serviciile de sănătate. De exemplu, sportul și activitatea fizică ca intervenție în domeniul sănătății ar reduce durata tratamentelor și le-ar face mai eficiente. Această strategie este deja pusă în aplicare cu succes în unele țări, cum ar fi Germania. Sportul este o modalitate de a construi valori precum angajamentul, efortul, stima de sine, respectul sau camaraderia. Stilul de viață sedentar este mai frecvent decât în cazul generațiilor anterioare din cauza, printre altele, a mai multor locuri de muncă în birouri și/sau a schimbărilor în obiceiurile de petrecere a timpului liber. </w:t>
      </w:r>
    </w:p>
    <w:p>
      <w:pPr>
        <w:pStyle w:val="Normal"/>
        <w:rPr/>
      </w:pPr>
      <w:r>
        <w:rPr/>
      </w:r>
    </w:p>
    <w:p>
      <w:pPr>
        <w:pStyle w:val="P68B1DB1Normal15"/>
        <w:rPr>
          <w:b/>
          <w:b/>
        </w:rPr>
      </w:pPr>
      <w:r>
        <w:rPr/>
        <w:t xml:space="preserve">30. Recomandăm ca UE să oblige fiecare stat membru să aibă un salariu minim care este definit în funcție de costul vieții pe teritoriul său și este considerat un salariu echitabil care permite condiții minime de viață, peste limita sărăciei. Fiecare stat membru trebuie să o monitorizeze. </w:t>
      </w:r>
    </w:p>
    <w:p>
      <w:pPr>
        <w:pStyle w:val="Normal"/>
        <w:rPr/>
      </w:pPr>
      <w:r>
        <w:rPr/>
        <w:t xml:space="preserve"> </w:t>
      </w:r>
    </w:p>
    <w:p>
      <w:pPr>
        <w:pStyle w:val="Normal"/>
        <w:rPr/>
      </w:pPr>
      <w:r>
        <w:rPr/>
        <w:t xml:space="preserve">Facem această recomandare pentru că este nedrept să nu putem ajunge la sfârșitul lunii în care lucrăm. Salariile echitabile ar trebui să contribuie la calitatea vieții la nivel social. Salariile inechitabile au un cost ridicat pentru state (securitate, evaziune fiscală, costuri sociale mai mari etc.). </w:t>
      </w:r>
    </w:p>
    <w:p>
      <w:pPr>
        <w:pStyle w:val="Normal"/>
        <w:rPr/>
      </w:pPr>
      <w:r>
        <w:rPr/>
      </w:r>
    </w:p>
    <w:p>
      <w:pPr>
        <w:pStyle w:val="P68B1DB1Normal15"/>
        <w:rPr>
          <w:b/>
          <w:b/>
        </w:rPr>
      </w:pPr>
      <w:r>
        <w:rPr/>
        <w:t xml:space="preserve">31. Recomandăm armonizarea fiscală în statele membre la nivelul UE (pentru a evita paradisurile fiscale în UE și pentru a combate relocarea în Europa), precum și un stimulent fiscal pentru a descuraja relocarea locurilor de muncă în afara Europei. </w:t>
      </w:r>
    </w:p>
    <w:p>
      <w:pPr>
        <w:pStyle w:val="Normal"/>
        <w:rPr/>
      </w:pPr>
      <w:r>
        <w:rPr/>
        <w:t xml:space="preserve"> </w:t>
      </w:r>
    </w:p>
    <w:p>
      <w:pPr>
        <w:pStyle w:val="Normal"/>
        <w:rPr/>
      </w:pPr>
      <w:r>
        <w:rPr/>
        <w:t xml:space="preserve">Facem această recomandare deoarece suntem preocupați de impactul relocării locurilor de muncă în afara Europei și credem că aceasta ar împiedica concurența fiscală între statele membre ale UE. </w:t>
      </w:r>
    </w:p>
    <w:p>
      <w:pPr>
        <w:pStyle w:val="Normal"/>
        <w:rPr/>
      </w:pPr>
      <w:r>
        <w:rPr/>
      </w:r>
    </w:p>
    <w:p>
      <w:pPr>
        <w:pStyle w:val="Titre3"/>
        <w:numPr>
          <w:ilvl w:val="2"/>
          <w:numId w:val="2"/>
        </w:numPr>
        <w:rPr/>
      </w:pPr>
      <w:bookmarkStart w:id="119" w:name="__RefHeading___Toc297173_1346298689"/>
      <w:bookmarkEnd w:id="119"/>
      <w:r>
        <w:rPr/>
        <w:t xml:space="preserve">Axa 4 Învățarea în Europa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Subaxa 4.1 Identitate europeană/subaxa 4.2 Educație digitală </w:t>
      </w:r>
      <w:commentRangeEnd w:id="2"/>
      <w:r>
        <w:commentReference w:id="2"/>
      </w:r>
      <w:r>
        <w:rPr/>
      </w:r>
    </w:p>
    <w:p>
      <w:pPr>
        <w:pStyle w:val="Normal"/>
        <w:rPr/>
      </w:pPr>
      <w:r>
        <w:rPr/>
        <w:t xml:space="preserve"> </w:t>
      </w:r>
    </w:p>
    <w:p>
      <w:pPr>
        <w:pStyle w:val="P68B1DB1Normal15"/>
        <w:rPr>
          <w:b/>
          <w:b/>
        </w:rPr>
      </w:pPr>
      <w:r>
        <w:rPr/>
        <w:t xml:space="preserve">32. Recomandăm promovarea multilingvismului de la o vârstă fragedă, de exemplu de la grădiniță. Începând cu școala primară, ar trebui să fie obligatoriu ca copiii să ajungă la nivelul C1 într-o altă limbă activă a UE decât a lor. </w:t>
      </w:r>
    </w:p>
    <w:p>
      <w:pPr>
        <w:pStyle w:val="Normal"/>
        <w:rPr/>
      </w:pPr>
      <w:r>
        <w:rPr/>
        <w:t xml:space="preserve"> </w:t>
      </w:r>
    </w:p>
    <w:p>
      <w:pPr>
        <w:pStyle w:val="Normal"/>
        <w:rPr/>
      </w:pPr>
      <w:r>
        <w:rPr/>
        <w:t xml:space="preserve">Facem această recomandare deoarece multilingvismul este un instrument care conectează cetățenii și o punte de legătură cu alte culturi, ceea ce face ca alte țări și culturile lor să devină mai accesibile. Aceasta consolidează identitatea europeană și schimburile interculturale. Este important să cunoaștem alte culturi în contextul Uniunii Europene. Prin urmare, posibilitatea de a conversa la un nivel bun în două limbi ar contribui la crearea unei identități europene comune și la înțelegerea altor culturi europene. UE trebuie să colaboreze îndeaproape cu instituțiile de învățământ pentru a obține rezultate bune în domeniul educației. De asemenea, este necesar să se instituie un program specific (de exemplu, platforme digitale, programe Erasmus+ extinse etc.) pentru a promova exclusiv multilingvismul. Școlile europene actuale pot servi drept model în acest sens. UE ar trebui să creeze și să promoveze în mod activ mai multe astfel de școli. </w:t>
      </w:r>
    </w:p>
    <w:p>
      <w:pPr>
        <w:pStyle w:val="Normal"/>
        <w:rPr/>
      </w:pPr>
      <w:r>
        <w:rPr/>
      </w:r>
    </w:p>
    <w:p>
      <w:pPr>
        <w:pStyle w:val="P68B1DB1Normal15"/>
        <w:rPr>
          <w:b/>
          <w:b/>
        </w:rPr>
      </w:pPr>
      <w:r>
        <w:rPr/>
        <w:t xml:space="preserve">33. Recomandăm UE să sensibilizeze tinerii cu privire la pericolele pe care le prezintă internetul și digitalizarea prin crearea unui subiect obligatoriu în învățământul primar. UE ar trebui să dezvolte instrumente și să creeze spații comune de formare pentru ca tinerii să poată învăța împreună. </w:t>
      </w:r>
    </w:p>
    <w:p>
      <w:pPr>
        <w:pStyle w:val="Normal"/>
        <w:rPr/>
      </w:pPr>
      <w:r>
        <w:rPr/>
        <w:t xml:space="preserve"> </w:t>
      </w:r>
    </w:p>
    <w:p>
      <w:pPr>
        <w:pStyle w:val="Normal"/>
        <w:rPr/>
      </w:pPr>
      <w:r>
        <w:rPr/>
        <w:t xml:space="preserve">Facem această recomandare deoarece inițiativele sau programele actuale în acest domeniu nu sunt suficiente. În plus, mulți cetățeni ai UE nu sunt conștienți de inițiativele UE existente în aceste domenii. Copiii nu sunt suficient de conștienți de pericolele internetului, motiv pentru care ar trebui să facem mult mai mult pentru a crește gradul de conștientizare în rândul tinerei generații. </w:t>
      </w:r>
    </w:p>
    <w:p>
      <w:pPr>
        <w:pStyle w:val="Normal"/>
        <w:rPr/>
      </w:pPr>
      <w:r>
        <w:rPr/>
        <w:t xml:space="preserve"> </w:t>
      </w:r>
    </w:p>
    <w:p>
      <w:pPr>
        <w:pStyle w:val="P68B1DB1Normal15"/>
        <w:rPr>
          <w:b/>
          <w:b/>
        </w:rPr>
      </w:pPr>
      <w:r>
        <w:rPr/>
        <w:t xml:space="preserve">34. Recomandăm UE să depună eforturi pentru a face tehnologia mai accesibilă persoanelor în vârstă prin încurajarea programelor și inițiativelor, de exemplu sub formă de cursuri adaptate nevoilor lor. UE ar trebui să garanteze dreptul de a utiliza tehnologia digitală pentru cei care o doresc și să propună alternative pentru cei care nu o doresc. </w:t>
      </w:r>
    </w:p>
    <w:p>
      <w:pPr>
        <w:pStyle w:val="Normal"/>
        <w:rPr/>
      </w:pPr>
      <w:r>
        <w:rPr/>
        <w:t xml:space="preserve"> </w:t>
      </w:r>
    </w:p>
    <w:p>
      <w:pPr>
        <w:pStyle w:val="Normal"/>
        <w:rPr/>
      </w:pPr>
      <w:r>
        <w:rPr/>
        <w:t xml:space="preserve">Facem această recomandare deoarece UE ar trebui să se asigure că persoanele în vârstă pot participa la lumea digitală și că nimeni nu este discriminat. Ar trebui instituite instrumente simplificate pentru generațiile mai puțin experimentate în utilizarea anumitor tehnologii, pentru a le integra în lumea actuală. Recomandăm o mai bună promovare a inițiativelor existente, astfel încât cetățenii să fie conștienți de acestea. Persoanele în vârstă nu ar trebui să fie discriminate în UE în ceea ce privește utilizarea instrumentelor informatice. (Ca un incident, acest lucru înseamnă că cetățenii ar trebui să își poată trăi viața fără a fi nevoiți să treacă printr-o rețea de internet). UE ar trebui să organizeze și să pună la dispoziția persoanelor în vârstă asistență gratuită permanentă pentru a facilita accesul la instrumentele digitale. </w:t>
      </w:r>
    </w:p>
    <w:p>
      <w:pPr>
        <w:pStyle w:val="Normal"/>
        <w:rPr/>
      </w:pPr>
      <w:r>
        <w:rPr/>
      </w:r>
    </w:p>
    <w:p>
      <w:pPr>
        <w:pStyle w:val="Titre4"/>
        <w:numPr>
          <w:ilvl w:val="3"/>
          <w:numId w:val="2"/>
        </w:numPr>
        <w:rPr/>
      </w:pPr>
      <w:bookmarkStart w:id="121" w:name="__RefHeading___Toc297177_1346298689"/>
      <w:bookmarkEnd w:id="121"/>
      <w:r>
        <w:rPr/>
        <w:t xml:space="preserve">Subaxa 4.3 Schimb cultural/subaxa 4.4 Educație pentru mediu </w:t>
      </w:r>
    </w:p>
    <w:p>
      <w:pPr>
        <w:pStyle w:val="Normal"/>
        <w:rPr/>
      </w:pPr>
      <w:r>
        <w:rPr/>
        <w:t xml:space="preserve"> </w:t>
      </w:r>
    </w:p>
    <w:p>
      <w:pPr>
        <w:pStyle w:val="P68B1DB1Normal15"/>
        <w:rPr>
          <w:b/>
          <w:b/>
        </w:rPr>
      </w:pPr>
      <w:r>
        <w:rPr/>
        <w:t xml:space="preserve">35. Recomandăm ca UE să creeze o platformă în care materialele educaționale privind schimbările climatice, durabilitatea și aspectele de mediu să fie puse la dispoziție în scopuri educaționale. Aceste informații ar trebui să se bazeze pe fapte, să fie verificate de experți și adaptate fiecărui stat membru. Platforma: </w:t>
      </w:r>
    </w:p>
    <w:p>
      <w:pPr>
        <w:pStyle w:val="P68B1DB1Normal15"/>
        <w:rPr>
          <w:b/>
          <w:b/>
        </w:rPr>
      </w:pPr>
      <w:r>
        <w:rPr/>
        <w:t xml:space="preserve">● </w:t>
      </w:r>
      <w:r>
        <w:rPr/>
        <w:t xml:space="preserve">ar trebui să includă lecții pentru diferite grupuri-țintă, de exemplu pentru persoanele care locuiesc în zonele urbane sau rurale, toate grupele de vârstă și nivelurile de cunoștințe anterioare; </w:t>
      </w:r>
    </w:p>
    <w:p>
      <w:pPr>
        <w:pStyle w:val="P68B1DB1Normal15"/>
        <w:rPr>
          <w:b/>
          <w:b/>
        </w:rPr>
      </w:pPr>
      <w:r>
        <w:rPr/>
        <w:t xml:space="preserve">● </w:t>
      </w:r>
      <w:r>
        <w:rPr/>
        <w:t xml:space="preserve">trebuie să fie puse la dispoziția tuturor statelor membre și să fie ușor accesibile; </w:t>
      </w:r>
    </w:p>
    <w:p>
      <w:pPr>
        <w:pStyle w:val="P68B1DB1Normal15"/>
        <w:rPr>
          <w:b/>
          <w:b/>
        </w:rPr>
      </w:pPr>
      <w:r>
        <w:rPr/>
        <w:t xml:space="preserve">● </w:t>
      </w:r>
      <w:r>
        <w:rPr/>
        <w:t xml:space="preserve">ar trebui să includă, în punerea sa în aplicare, un plan de promovare care ar trebui să implice întreprinderile în cauză; </w:t>
      </w:r>
    </w:p>
    <w:p>
      <w:pPr>
        <w:pStyle w:val="P68B1DB1Normal15"/>
        <w:rPr>
          <w:b/>
          <w:b/>
        </w:rPr>
      </w:pPr>
      <w:r>
        <w:rPr/>
        <w:t xml:space="preserve">● </w:t>
      </w:r>
      <w:r>
        <w:rPr/>
        <w:t xml:space="preserve">ar putea fi pus la dispoziție în același timp cu un program de finanțare pentru a sprijini utilizarea și punerea în aplicare a informațiilor disponibile pe platformă. Această finanțare ar trebui, de asemenea, să sprijine vizitele pe teren pentru a prezenta exemple concrete. </w:t>
      </w:r>
    </w:p>
    <w:p>
      <w:pPr>
        <w:pStyle w:val="Normal"/>
        <w:rPr/>
      </w:pPr>
      <w:r>
        <w:rPr/>
        <w:t xml:space="preserve"> </w:t>
      </w:r>
    </w:p>
    <w:p>
      <w:pPr>
        <w:pStyle w:val="Normal"/>
        <w:rPr/>
      </w:pPr>
      <w:r>
        <w:rPr/>
        <w:t xml:space="preserve">Facem această recomandare deoarece persoanele de toate vârstele au nevoie de acces la informații concrete cu privire la modul de abordare a schimbărilor climatice, a durabilității și a problemelor de mediu. Concepte importante, cum ar fi amprenta ecologică, trebuie să fie înțelese de toți, în special de tineri, pentru că ceea ce învățăm copiii ne însoțește de-a lungul vieții noastre. Aceste subiecte sunt complexe, iar dezinformarea este larg răspândită. Avem nevoie de o sursă de încredere, iar UE are credibilitatea și resursele necesare pentru a-și asuma acest rol. Acest lucru este, de asemenea, important, deoarece nivelul de cunoștințe și accesul la informații credibile variază de la un stat membru la altul. </w:t>
      </w:r>
    </w:p>
    <w:p>
      <w:pPr>
        <w:pStyle w:val="Normal"/>
        <w:rPr/>
      </w:pPr>
      <w:r>
        <w:rPr/>
      </w:r>
    </w:p>
    <w:p>
      <w:pPr>
        <w:pStyle w:val="P68B1DB1Normal15"/>
        <w:rPr>
          <w:b/>
          <w:b/>
        </w:rPr>
      </w:pPr>
      <w:r>
        <w:rPr/>
        <w:t xml:space="preserve">36. Recomandăm UE să acorde prioritate asigurării faptului că programele de schimb sunt accesibile tuturor (grupuri de vârstă, state membre, niveluri de educație și capacitate financiară) și să permită stagii sau schimburi între sectoare, țări, instituții de învățământ, orașe și întreprinderi. UE ar trebui să fie responsabilă de lansarea, medierea și finanțarea schimburilor culturale și sociale în întreaga UE, atât fizice, cât și digitale. UE trebuie să promoveze activ aceste inițiative și să vizeze persoane care nu sunt încă conștiente de programele de schimb cultural și social. Conferința privind viitorul Europei, pentru care cetățenii au fost selectați aleatoriu, este exemplul perfect al unui schimb european. Ne dorim mai multe inițiative de acest gen, dar dorim și inițiative la scară mai mică, precum și schimburi în domeniul sportului, muzicii, stagiilor (sociale) etc. </w:t>
      </w:r>
    </w:p>
    <w:p>
      <w:pPr>
        <w:pStyle w:val="P68B1DB1Normal15"/>
        <w:rPr>
          <w:b/>
          <w:b/>
        </w:rPr>
      </w:pPr>
      <w:r>
        <w:rPr/>
        <w:t xml:space="preserve"> </w:t>
      </w:r>
    </w:p>
    <w:p>
      <w:pPr>
        <w:pStyle w:val="Normal"/>
        <w:rPr/>
      </w:pPr>
      <w:r>
        <w:rPr/>
        <w:t xml:space="preserve">Facem această recomandare pentru că este important să creăm un sentiment de apartenență și coeziune și să promovăm toleranța pentru diversitatea și perspectivele noastre magnifice, precum și dezvoltarea abilităților individuale. Acest proces va dezvolta prietenii, înțelegere reciprocă și gândire critică. Dorim să promovăm implicarea tuturor membrilor comunităților noastre, chiar și a celor care nu au participat la astfel de inițiative până în prezent. </w:t>
      </w:r>
    </w:p>
    <w:p>
      <w:pPr>
        <w:pStyle w:val="Normal"/>
        <w:rPr/>
      </w:pPr>
      <w:r>
        <w:rPr/>
      </w:r>
    </w:p>
    <w:p>
      <w:pPr>
        <w:pStyle w:val="Titre4"/>
        <w:numPr>
          <w:ilvl w:val="3"/>
          <w:numId w:val="2"/>
        </w:numPr>
        <w:rPr/>
      </w:pPr>
      <w:bookmarkStart w:id="122" w:name="__RefHeading___Toc297179_1346298689"/>
      <w:bookmarkEnd w:id="122"/>
      <w:r>
        <w:rPr/>
        <w:t xml:space="preserve">Subaxa 4.5 Calitatea, finanțarea și accesul la educație/subaxa 4.6 Armonizarea educației </w:t>
      </w:r>
    </w:p>
    <w:p>
      <w:pPr>
        <w:pStyle w:val="Normal"/>
        <w:rPr/>
      </w:pPr>
      <w:r>
        <w:rPr/>
        <w:t xml:space="preserve"> </w:t>
      </w:r>
    </w:p>
    <w:p>
      <w:pPr>
        <w:pStyle w:val="P68B1DB1Normal15"/>
        <w:rPr>
          <w:b/>
          <w:b/>
        </w:rPr>
      </w:pPr>
      <w:r>
        <w:rPr/>
        <w:t xml:space="preserve">37. Recomandăm ca toate statele membre să definească și să adopte un standard minim de educație certificată în materiile esențiale începând cu școala primară. Scopul este de a garanta că toți cetățenii au acces egal la o educație de calitate, care garantează echitatea și egalitatea. </w:t>
      </w:r>
    </w:p>
    <w:p>
      <w:pPr>
        <w:pStyle w:val="Normal"/>
        <w:rPr/>
      </w:pPr>
      <w:r>
        <w:rPr/>
      </w:r>
    </w:p>
    <w:p>
      <w:pPr>
        <w:pStyle w:val="Normal"/>
        <w:rPr/>
      </w:pPr>
      <w:r>
        <w:rPr/>
        <w:t xml:space="preserve">Facem această recomandare din următoarele motive: </w:t>
      </w:r>
    </w:p>
    <w:p>
      <w:pPr>
        <w:pStyle w:val="Normal"/>
        <w:rPr/>
      </w:pPr>
      <w:r>
        <w:rPr/>
        <w:t xml:space="preserve">● </w:t>
      </w:r>
      <w:r>
        <w:rPr/>
        <w:t xml:space="preserve">existența unui standard minim ar spori încrederea părinților, a profesorilor și a studenților în sistemele lor de învățământ, lăsând în același timp loc pentru inițiativă și diversitate. </w:t>
      </w:r>
    </w:p>
    <w:p>
      <w:pPr>
        <w:pStyle w:val="Normal"/>
        <w:rPr/>
      </w:pPr>
      <w:r>
        <w:rPr/>
        <w:t xml:space="preserve">Dacă va fi pusă în aplicare, recomandarea noastră va consolida și va consolida identitatea europeană comună, promovând coeziunea, unitatea și sentimentul de apartenență. </w:t>
      </w:r>
    </w:p>
    <w:p>
      <w:pPr>
        <w:pStyle w:val="Normal"/>
        <w:rPr/>
      </w:pPr>
      <w:r>
        <w:rPr/>
        <w:t xml:space="preserve">● </w:t>
      </w:r>
      <w:r>
        <w:rPr/>
        <w:t xml:space="preserve">Punerea în aplicare a acestei recomandări ar consolida cooperarea și schimburile între școlile din întreaga UE, ceea ce ar îmbunătăți relațiile dintre cadrele didactice și elevi și ar facilita în mare măsură programele de schimb. </w:t>
      </w:r>
    </w:p>
    <w:p>
      <w:pPr>
        <w:pStyle w:val="Normal"/>
        <w:rPr/>
      </w:pPr>
      <w:r>
        <w:rPr/>
      </w:r>
    </w:p>
    <w:p>
      <w:pPr>
        <w:pStyle w:val="P68B1DB1Normal15"/>
        <w:rPr>
          <w:b/>
          <w:b/>
        </w:rPr>
      </w:pPr>
      <w:r>
        <w:rPr/>
        <w:t xml:space="preserve">38. Recomandăm ca limba engleză să fie predată, în conformitate cu un standard certificabil, ca subiect principal în școlile primare din toate statele membre ale UE, pentru a facilita și consolida capacitatea cetățenilor europeni de a comunica în mod eficient. </w:t>
      </w:r>
    </w:p>
    <w:p>
      <w:pPr>
        <w:pStyle w:val="Normal"/>
        <w:rPr/>
      </w:pPr>
      <w:r>
        <w:rPr/>
        <w:t xml:space="preserve"> </w:t>
      </w:r>
    </w:p>
    <w:p>
      <w:pPr>
        <w:pStyle w:val="Normal"/>
        <w:rPr/>
      </w:pPr>
      <w:r>
        <w:rPr/>
        <w:t xml:space="preserve">Facem această recomandare din următoarele motive: </w:t>
      </w:r>
    </w:p>
    <w:p>
      <w:pPr>
        <w:pStyle w:val="Normal"/>
        <w:rPr/>
      </w:pPr>
      <w:r>
        <w:rPr/>
        <w:t xml:space="preserve">● </w:t>
      </w:r>
      <w:r>
        <w:rPr/>
        <w:t xml:space="preserve">acest lucru ar permite o mai mare unitate și egalitate prin consolidarea capacității cetățenilor de a comunica între ei și prin sprijinirea unei identități europene comune mai puternice; </w:t>
      </w:r>
    </w:p>
    <w:p>
      <w:pPr>
        <w:pStyle w:val="Normal"/>
        <w:rPr/>
      </w:pPr>
      <w:r>
        <w:rPr/>
        <w:t xml:space="preserve">● </w:t>
      </w:r>
      <w:r>
        <w:rPr/>
        <w:t xml:space="preserve">acest lucru ar extinde piața forței de muncă și ar face-o mai flexibilă și mai accesibilă, oferind cetățenilor încrederea de a lucra și de a comunica în toate celelalte state membre care oferă perspective mai personale și profesionale. </w:t>
      </w:r>
    </w:p>
    <w:p>
      <w:pPr>
        <w:pStyle w:val="Normal"/>
        <w:rPr/>
      </w:pPr>
      <w:r>
        <w:rPr/>
        <w:t xml:space="preserve">● </w:t>
      </w:r>
      <w:r>
        <w:rPr/>
        <w:t xml:space="preserve">o astfel de abordare ar permite diseminarea unei limbi europene comune într-o perioadă foarte scurtă de timp; </w:t>
      </w:r>
    </w:p>
    <w:p>
      <w:pPr>
        <w:pStyle w:val="Normal"/>
        <w:rPr/>
      </w:pPr>
      <w:r>
        <w:rPr/>
        <w:t xml:space="preserve">● </w:t>
      </w:r>
      <w:r>
        <w:rPr/>
        <w:t xml:space="preserve">utilizarea unui limbaj comun accelerează schimbul de informații, ceea ce ar aduce beneficii cooperării, răspunsului comun în situații de criză, ajutorului umanitar și apropierii dintre Europa și europeni. </w:t>
      </w:r>
    </w:p>
    <w:p>
      <w:pPr>
        <w:pStyle w:val="Normal"/>
        <w:rPr/>
      </w:pPr>
      <w:r>
        <w:rPr/>
      </w:r>
    </w:p>
    <w:p>
      <w:pPr>
        <w:pStyle w:val="Titre3"/>
        <w:numPr>
          <w:ilvl w:val="2"/>
          <w:numId w:val="2"/>
        </w:numPr>
        <w:rPr/>
      </w:pPr>
      <w:bookmarkStart w:id="123" w:name="__RefHeading___Toc297181_1346298689"/>
      <w:bookmarkEnd w:id="123"/>
      <w:r>
        <w:rPr/>
        <w:t xml:space="preserve">Axa 5 O transformare digitală etică și sigură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Subaxa 5.1 Democratizarea transformării digitale/subaxa 5.2 Securitatea cibernetică </w:t>
      </w:r>
      <w:commentRangeEnd w:id="3"/>
      <w:r>
        <w:commentReference w:id="3"/>
      </w:r>
      <w:r>
        <w:rPr/>
      </w:r>
    </w:p>
    <w:p>
      <w:pPr>
        <w:pStyle w:val="Normal"/>
        <w:rPr/>
      </w:pPr>
      <w:r>
        <w:rPr/>
        <w:t xml:space="preserve"> </w:t>
      </w:r>
    </w:p>
    <w:p>
      <w:pPr>
        <w:pStyle w:val="P68B1DB1Normal15"/>
        <w:rPr>
          <w:b/>
          <w:b/>
        </w:rPr>
      </w:pPr>
      <w:r>
        <w:rPr/>
        <w:t xml:space="preserve">39. Recomandăm ca UE să aibă mai multe competențe de combatere a conținutului ilegal și a criminalității informatice. Recomandăm consolidarea capacității Europol/Centrul european de combatere a criminalității informatice, inclusiv: </w:t>
      </w:r>
    </w:p>
    <w:p>
      <w:pPr>
        <w:pStyle w:val="P68B1DB1Normal15"/>
        <w:rPr>
          <w:b/>
          <w:b/>
        </w:rPr>
      </w:pPr>
      <w:r>
        <w:rPr/>
        <w:t xml:space="preserve">● </w:t>
      </w:r>
      <w:r>
        <w:rPr/>
        <w:t xml:space="preserve">creșterea resurselor financiare și a personalului </w:t>
      </w:r>
    </w:p>
    <w:p>
      <w:pPr>
        <w:pStyle w:val="P68B1DB1Normal15"/>
        <w:rPr>
          <w:b/>
          <w:b/>
        </w:rPr>
      </w:pPr>
      <w:r>
        <w:rPr/>
        <w:t xml:space="preserve">● </w:t>
      </w:r>
      <w:r>
        <w:rPr/>
        <w:t xml:space="preserve">garantarea unor sancțiuni similare în fiecare țară ● asigurarea unui control prompt și eficace al legalității </w:t>
      </w:r>
    </w:p>
    <w:p>
      <w:pPr>
        <w:pStyle w:val="Normal"/>
        <w:rPr/>
      </w:pPr>
      <w:r>
        <w:rPr/>
        <w:t xml:space="preserve"> </w:t>
      </w:r>
    </w:p>
    <w:p>
      <w:pPr>
        <w:pStyle w:val="Normal"/>
        <w:rPr/>
      </w:pPr>
      <w:r>
        <w:rPr/>
        <w:t xml:space="preserve">Facem această recomandare pentru a asigura libertatea pe internet, asigurându-ne în același timp că discriminarea, abuzul și hărțuirea sunt pedepsite. Susținem ideea unui organism public european, deoarece nu dorim să lăsăm reglementarea platformelor online în seama întreprinderilor private. Platformele online trebuie să își asume responsabilitatea pentru conținutul distribuit, dar dorim să ne asigurăm că nu interesele lor prevalează. Reglementarea conținutului și urmărirea penală a făptuitorilor trebuie să fie oportune și eficiente, astfel încât acestea să aibă, de asemenea, un efect disuasiv asupra persoanelor rău intenționate. </w:t>
      </w:r>
    </w:p>
    <w:p>
      <w:pPr>
        <w:pStyle w:val="Normal"/>
        <w:rPr/>
      </w:pPr>
      <w:r>
        <w:rPr/>
      </w:r>
    </w:p>
    <w:p>
      <w:pPr>
        <w:pStyle w:val="P68B1DB1Normal15"/>
        <w:rPr>
          <w:b/>
          <w:b/>
        </w:rPr>
      </w:pPr>
      <w:r>
        <w:rPr/>
        <w:t xml:space="preserve">40. Recomandăm UE să investească în infrastructuri digitale inovatoare și de înaltă calitate (cum ar fi 5G în curs de dezvoltare în Europa) pentru a asigura autonomia Europei și pentru a preveni dependența de țări terțe sau de întreprinderi private. De asemenea, UE ar trebui să acorde o atenție deosebită investițiilor în regiunile sale rămase în urmă. </w:t>
      </w:r>
    </w:p>
    <w:p>
      <w:pPr>
        <w:pStyle w:val="Normal"/>
        <w:rPr/>
      </w:pPr>
      <w:r>
        <w:rPr/>
        <w:t xml:space="preserve"> </w:t>
      </w:r>
    </w:p>
    <w:p>
      <w:pPr>
        <w:pStyle w:val="Normal"/>
        <w:rPr/>
      </w:pPr>
      <w:r>
        <w:rPr/>
        <w:t xml:space="preserve">Facem această recomandare deoarece infrastructura digitală joacă un rol-cheie în economia europeană, precum și în viața de zi cu zi a europenilor, pe care o facilitează. Prin urmare, Europa are nevoie de o infrastructură digitală de înaltă calitate. Dacă depinde de terți, Europa poate fi vulnerabilă la influențe negative din partea companiilor private sau a țărilor străine. Prin urmare, Europa ar trebui să investească în infrastructura digitală pentru a-și îmbunătăți autonomia. De asemenea, este important să se asigure incluziunea digitală prin asigurarea faptului că regiunile mai puțin dezvoltate digital beneficiază de investiții. </w:t>
      </w:r>
    </w:p>
    <w:p>
      <w:pPr>
        <w:pStyle w:val="Normal"/>
        <w:rPr/>
      </w:pPr>
      <w:r>
        <w:rPr/>
      </w:r>
    </w:p>
    <w:p>
      <w:pPr>
        <w:pStyle w:val="P68B1DB1Normal15"/>
        <w:rPr>
          <w:b/>
          <w:b/>
        </w:rPr>
      </w:pPr>
      <w:r>
        <w:rPr/>
        <w:t xml:space="preserve">41. Recomandăm UE să promoveze educația privind știrile false, dezinformarea și securitatea online în școlile europene. Acesta ar trebui să se bazeze pe exemple de bune practici din întreaga UE. UE ar trebui să înființeze o organizație responsabilă în mod specific de promovarea acestei activități și de formularea de recomandări pentru sistemele de învățământ. De asemenea, ar trebui să promoveze educația non-formală, precum și tehnicile de predare inovatoare și creative (de exemplu, jocurile participative). </w:t>
      </w:r>
    </w:p>
    <w:p>
      <w:pPr>
        <w:pStyle w:val="Normal"/>
        <w:rPr/>
      </w:pPr>
      <w:r>
        <w:rPr/>
      </w:r>
    </w:p>
    <w:p>
      <w:pPr>
        <w:pStyle w:val="Normal"/>
        <w:rPr/>
      </w:pPr>
      <w:r>
        <w:rPr/>
        <w:t xml:space="preserve">Facem această recomandare deoarece introducerea cursurilor privind securitatea online și cultura securității digitale (combaterea escrocheriilor online, a știrilor false etc.) la școală este importantă pentru a oferi tuturor instrumentele necesare pentru a se proteja de amenințările online. Este important să se vizeze tinerii, care sunt foarte expuși la astfel de amenințări. Școlile pot comunica, de asemenea, cu părinții pentru a promova bunele practici. Aceste cursuri se pot baza pe exemple de bune practici în Europa (de exemplu, Finlanda), adaptându-se în același timp la nevoile fiecărei țări. </w:t>
      </w:r>
    </w:p>
    <w:p>
      <w:pPr>
        <w:pStyle w:val="Normal"/>
        <w:rPr/>
      </w:pPr>
      <w:r>
        <w:rPr/>
        <w:t xml:space="preserve"> </w:t>
      </w:r>
    </w:p>
    <w:p>
      <w:pPr>
        <w:pStyle w:val="Titre4"/>
        <w:numPr>
          <w:ilvl w:val="3"/>
          <w:numId w:val="2"/>
        </w:numPr>
        <w:rPr/>
      </w:pPr>
      <w:bookmarkStart w:id="125" w:name="__RefHeading___Toc297185_1346298689"/>
      <w:bookmarkEnd w:id="125"/>
      <w:r>
        <w:rPr/>
        <w:t xml:space="preserve">Subaxa 5.3 Protecția datelor </w:t>
      </w:r>
    </w:p>
    <w:p>
      <w:pPr>
        <w:pStyle w:val="Normal"/>
        <w:rPr/>
      </w:pPr>
      <w:r>
        <w:rPr/>
        <w:t xml:space="preserve"> </w:t>
      </w:r>
    </w:p>
    <w:p>
      <w:pPr>
        <w:pStyle w:val="P68B1DB1Normal15"/>
        <w:rPr>
          <w:b/>
          <w:b/>
        </w:rPr>
      </w:pPr>
      <w:r>
        <w:rPr/>
        <w:t xml:space="preserve">42. Recomandăm limitarea în continuare a utilizării abuzive a datelor de către „giganții de date” prin creșterea gradului de respectare a RGPD (Regulamentul general privind protecția datelor), crearea unor mecanisme mai standardizate în întreaga UE și asigurarea faptului că și companiile din afara Europei care își desfășoară activitatea în UE respectă acest regulament. Această îmbunătățire ar trebui să ofere o explicație clară și concisă a condițiilor de utilizare a datelor pentru a evita ambiguitatea și furnizarea de informații suplimentare cu privire la modul în care datele vor fi utilizate și de către cine, precum și pentru a evita consimțământul pentru reutilizarea și revânzarea datelor ca opțiune implicită. Ar trebui să se asigure că datele sunt șterse permanent atunci când un cetățean solicită acest lucru. De asemenea, aceasta ar trebui să consolideze coerența monitorizării respectării normelor în ceea ce privește crearea de profiluri ale persoanelor pe baza activităților lor online. Propunem două tipuri de sancțiuni: o amendă proporțională cu cifra de afaceri a companiei și limitările activităților acesteia. </w:t>
      </w:r>
    </w:p>
    <w:p>
      <w:pPr>
        <w:pStyle w:val="Normal"/>
        <w:rPr/>
      </w:pPr>
      <w:r>
        <w:rPr/>
        <w:t xml:space="preserve"> </w:t>
      </w:r>
    </w:p>
    <w:p>
      <w:pPr>
        <w:pStyle w:val="Normal"/>
        <w:rPr/>
      </w:pPr>
      <w:r>
        <w:rPr/>
        <w:t xml:space="preserve">Facem această recomandare deoarece transparența este în prezent foarte limitată în ceea ce privește tipul de date colectate, modul în care sunt prelucrate și identitatea celor cărora le sunt vândute. Trebuie să limităm și mai mult abuzurile de putere comise de giganții de date și să ne asigurăm că cetățenii sunt de acord cu prelucrarea cu bună știință a datelor lor. </w:t>
      </w:r>
    </w:p>
    <w:p>
      <w:pPr>
        <w:pStyle w:val="Normal"/>
        <w:rPr/>
      </w:pPr>
      <w:r>
        <w:rPr/>
        <w:t xml:space="preserve"> </w:t>
      </w:r>
    </w:p>
    <w:p>
      <w:pPr>
        <w:pStyle w:val="P68B1DB1Normal15"/>
        <w:rPr>
          <w:b/>
          <w:b/>
        </w:rPr>
      </w:pPr>
      <w:r>
        <w:rPr/>
        <w:t xml:space="preserve">43. Recomandăm crearea unei agenții paneuropene independente care ar trebui să definească în mod clar comportamentul intruziv (de exemplu, spam) și să elaboreze orientări privind modul în care cetățenii se pot opune prelucrării datelor lor și pot obține ștergerea acestora, în special de la terți. Această agenție trebuie să aibă mandatul de a identifica și sancționa fraudatorii și organizațiile care nu respectă regulile. Acesta ar trebui să se concentreze pe asigurarea respectării normelor UE de către entitățile stabilite în afara UE, dar care își desfășoară activitatea acolo. Acesta ar fi finanțat de instituțiile UE și ar consta într-un consiliu comun de organisme independente (și anume experți din mediul academic și entități care reprezintă profesioniști). Ar trebui să aibă un prezidiu rotativ. Propunem două tipuri de sancțiuni: o amendă proporțională cu cifra de afaceri a întreprinderilor și cu limitările activității întreprinderilor. </w:t>
      </w:r>
    </w:p>
    <w:p>
      <w:pPr>
        <w:pStyle w:val="Normal"/>
        <w:rPr/>
      </w:pPr>
      <w:r>
        <w:rPr/>
      </w:r>
    </w:p>
    <w:p>
      <w:pPr>
        <w:pStyle w:val="Normal"/>
        <w:rPr/>
      </w:pPr>
      <w:r>
        <w:rPr/>
        <w:t xml:space="preserve">Facem această recomandare pentru că nu există o agenție centrală cu un mandat puternic care să îi ajute pe cetățeni, în special atunci când au o problemă și au nevoie de ajutor, consiliere sau sprijin. Nu există reguli clare și obligatorii pe care companiile trebuie să le respecte. În ceea ce privește sancțiunile, acestea nu sunt aplicate sau au un impact neglijabil asupra întreprinderilor. </w:t>
      </w:r>
    </w:p>
    <w:p>
      <w:pPr>
        <w:pStyle w:val="Normal"/>
        <w:rPr/>
      </w:pPr>
      <w:r>
        <w:rPr/>
        <w:t xml:space="preserve"> </w:t>
      </w:r>
    </w:p>
    <w:p>
      <w:pPr>
        <w:pStyle w:val="P68B1DB1Normal15"/>
        <w:rPr>
          <w:b/>
          <w:b/>
        </w:rPr>
      </w:pPr>
      <w:r>
        <w:rPr/>
        <w:t xml:space="preserve">44. Recomandăm crearea unui sistem UE de certificare care să demonstreze conformitatea cu GDPR (Regulamentul general privind protecția datelor) într-un mod transparent și care să asigure că informațiile privind protecția datelor sunt prezentate într-un mod accesibil, clar și simplu. Acest certificat ar fi obligatoriu și vizibil pe site-uri web și platforme. Acesta ar trebui să fie emis de un certificator independent la nivel european, existent sau creat în acest scop, care nu ar fi legat de guvernele naționale sau de sectorul privat. </w:t>
      </w:r>
    </w:p>
    <w:p>
      <w:pPr>
        <w:pStyle w:val="Normal"/>
        <w:rPr/>
      </w:pPr>
      <w:r>
        <w:rPr/>
        <w:t xml:space="preserve"> </w:t>
      </w:r>
    </w:p>
    <w:p>
      <w:pPr>
        <w:pStyle w:val="Normal"/>
        <w:rPr/>
      </w:pPr>
      <w:r>
        <w:rPr/>
        <w:t xml:space="preserve">Facem această recomandare deoarece în prezent există o transparență redusă sau deloc cu privire la modul în care datele sunt protejate de fiecare companie, iar utilizatorii/clienții nu pot face alegeri în cunoștință de cauză. </w:t>
      </w:r>
    </w:p>
    <w:p>
      <w:pPr>
        <w:pStyle w:val="Normal"/>
        <w:rPr/>
      </w:pPr>
      <w:r>
        <w:rPr/>
      </w:r>
    </w:p>
    <w:p>
      <w:pPr>
        <w:pStyle w:val="P68B1DB1Normal15"/>
        <w:rPr>
          <w:b/>
          <w:b/>
        </w:rPr>
      </w:pPr>
      <w:r>
        <w:rPr/>
        <w:t xml:space="preserve">45. Vă recomandăm să explicați mai bine GDPR (Regulamentul general privind protecția datelor) și să îmbunătățiți comunicarea cu privire la acesta prin crearea unui text standard privind conformitatea, care utilizează un limbaj simplu și clar, ușor de înțeles de către toți. Acest text ar trebui să prezinte un mesaj-cheie și/sau principii fundamentale. Procedura de aprobare ar trebui să fie mai vizuală (de exemplu, o cerere de autorizare explicită a accesului telefonic printr-o cerere). Aceasta ar trebui să fie însoțită de o campanie de informare (inclusiv televiziune) și, în mod sistematic, de cursuri obligatorii (cel puțin pentru cei care lucrează cu date) și de consiliere cu privire la intenția celor care au nevoie de asistență. </w:t>
      </w:r>
    </w:p>
    <w:p>
      <w:pPr>
        <w:pStyle w:val="Normal"/>
        <w:rPr/>
      </w:pPr>
      <w:r>
        <w:rPr/>
        <w:t xml:space="preserve"> </w:t>
      </w:r>
    </w:p>
    <w:p>
      <w:pPr>
        <w:pStyle w:val="Normal"/>
        <w:rPr/>
      </w:pPr>
      <w:r>
        <w:rPr/>
        <w:t xml:space="preserve">Facem această recomandare pentru că, în prezent, formularea GDPR este prea vagă și prea tehnică, iar cantitatea de informații este copleșitoare și nu este accesibilă tuturor. De asemenea, comunicarea nu este similară între țări și exclude adesea diferite grupuri, în special persoanele în vârstă și persoanele născute înainte de digitalizare. </w:t>
      </w:r>
    </w:p>
    <w:p>
      <w:pPr>
        <w:pStyle w:val="Normal"/>
        <w:rPr/>
      </w:pPr>
      <w:r>
        <w:rPr/>
      </w:r>
    </w:p>
    <w:p>
      <w:pPr>
        <w:pStyle w:val="Titre4"/>
        <w:numPr>
          <w:ilvl w:val="3"/>
          <w:numId w:val="2"/>
        </w:numPr>
        <w:rPr/>
      </w:pPr>
      <w:bookmarkStart w:id="126" w:name="__RefHeading___Toc297187_1346298689"/>
      <w:bookmarkEnd w:id="126"/>
      <w:r>
        <w:rPr/>
        <w:t xml:space="preserve">Subaxa 5.4 Transformarea digitală și sănătatea </w:t>
      </w:r>
    </w:p>
    <w:p>
      <w:pPr>
        <w:pStyle w:val="Normal"/>
        <w:rPr/>
      </w:pPr>
      <w:r>
        <w:rPr/>
        <w:t xml:space="preserve"> </w:t>
      </w:r>
    </w:p>
    <w:p>
      <w:pPr>
        <w:pStyle w:val="P68B1DB1Normal15"/>
        <w:rPr>
          <w:b/>
          <w:b/>
        </w:rPr>
      </w:pPr>
      <w:r>
        <w:rPr/>
        <w:t xml:space="preserve">46. Recomandăm UE să abordeze problema „informațiilor false” prin două mijloace: </w:t>
      </w:r>
    </w:p>
    <w:p>
      <w:pPr>
        <w:pStyle w:val="P68B1DB1Normal15"/>
        <w:rPr>
          <w:b/>
          <w:b/>
        </w:rPr>
      </w:pPr>
      <w:r>
        <w:rPr/>
        <w:t xml:space="preserve">● </w:t>
      </w:r>
      <w:r>
        <w:rPr/>
        <w:t xml:space="preserve">legislație care permite companiilor de social media să implementeze algoritmi de învățare automată care pot evidenția fiabilitatea informațiilor pe platformele de comunicare socială și pe noile mijloace de comunicare, oferind utilizatorului surse verificate de informații. Recomandăm ca algoritmii să fie controlați de experți pentru a asigura buna funcționare a acestora; </w:t>
      </w:r>
    </w:p>
    <w:p>
      <w:pPr>
        <w:pStyle w:val="P68B1DB1Normal15"/>
        <w:rPr>
          <w:b/>
          <w:b/>
        </w:rPr>
      </w:pPr>
      <w:r>
        <w:rPr/>
        <w:t xml:space="preserve">● </w:t>
      </w:r>
      <w:r>
        <w:rPr/>
        <w:t xml:space="preserve">crearea unei platforme digitale care să atribuie un punctaj informațiilor din mass-media tradiționale (de exemplu, televiziune, imprimare, radio), indiferent de interesele politice și economice, și care informează cetățenii cu privire la calitatea informațiilor fără a aplica nicio formă de cenzură. Această platformă ar trebui să facă obiectul unui control public și să respecte cele mai înalte standarde de transparență, iar UE ar trebui să se asigure că fondurile alocate acesteia sunt utilizate în scopul propus. </w:t>
      </w:r>
    </w:p>
    <w:p>
      <w:pPr>
        <w:pStyle w:val="Normal"/>
        <w:rPr/>
      </w:pPr>
      <w:r>
        <w:rPr/>
        <w:t xml:space="preserve"> </w:t>
      </w:r>
    </w:p>
    <w:p>
      <w:pPr>
        <w:pStyle w:val="Normal"/>
        <w:rPr/>
      </w:pPr>
      <w:r>
        <w:rPr/>
        <w:t xml:space="preserve">Facem această recomandare deoarece sunt vizate diferite tipuri de mass-media și credem că sancțiunile sau eliminarea conținutului ar putea duce la cenzură și ar putea submina libertatea de exprimare și libertatea presei. Recomandăm experților să verifice și să controleze funcționarea corectă a algoritmului pentru a se asigura că acesta funcționează corect. În cele din urmă, recomandăm ca platforma să fie apolitică și independentă pentru a asigura transparența și libertatea de exprimare. În plus, deoarece este imposibil să se elimine complet informațiile false, punerea acestor instrumente la dispoziția cetățenilor va contribui la reducerea efectelor acestora în Europa. </w:t>
      </w:r>
    </w:p>
    <w:p>
      <w:pPr>
        <w:pStyle w:val="Normal"/>
        <w:rPr/>
      </w:pPr>
      <w:r>
        <w:rPr/>
        <w:t xml:space="preserve"> </w:t>
      </w:r>
    </w:p>
    <w:p>
      <w:pPr>
        <w:pStyle w:val="P68B1DB1Normal15"/>
        <w:rPr>
          <w:b/>
          <w:b/>
        </w:rPr>
      </w:pPr>
      <w:r>
        <w:rPr/>
        <w:t xml:space="preserve">47. Recomandăm UE să pună în aplicare diferite acțiuni pentru a asigura o utilizare sănătoasă a internetului: </w:t>
      </w:r>
    </w:p>
    <w:p>
      <w:pPr>
        <w:pStyle w:val="P68B1DB1Normal15"/>
        <w:rPr>
          <w:b/>
          <w:b/>
        </w:rPr>
      </w:pPr>
      <w:r>
        <w:rPr/>
        <w:t xml:space="preserve">● </w:t>
      </w:r>
      <w:r>
        <w:rPr/>
        <w:t xml:space="preserve">În primul rând, UE trebuie să abordeze lipsa infrastructurii și a echipamentelor care împiedică cetățenii să acceseze internetul; </w:t>
      </w:r>
    </w:p>
    <w:p>
      <w:pPr>
        <w:pStyle w:val="P68B1DB1Normal15"/>
        <w:rPr>
          <w:b/>
          <w:b/>
        </w:rPr>
      </w:pPr>
      <w:r>
        <w:rPr/>
        <w:t xml:space="preserve">● </w:t>
      </w:r>
      <w:r>
        <w:rPr/>
        <w:t xml:space="preserve">În continuare, recomandăm UE să încurajeze statele membre să desfășoare cursuri de formare pe internet și riscurile acesteia pentru toate grupele de vârstă. Acest lucru ar putea fi realizat prin introducerea de cursuri în școli pentru copii și tineri și prin crearea de programe și programe de învățământ diferite pentru a ajunge la cetățenii adulți și vârstnici. Conținutul acestor cursuri ar trebui stabilit la nivel european de către un grup de experți independenți. </w:t>
      </w:r>
    </w:p>
    <w:p>
      <w:pPr>
        <w:pStyle w:val="P68B1DB1Normal15"/>
        <w:rPr>
          <w:b/>
          <w:b/>
        </w:rPr>
      </w:pPr>
      <w:r>
        <w:rPr/>
        <w:t xml:space="preserve">● </w:t>
      </w:r>
      <w:r>
        <w:rPr/>
        <w:t xml:space="preserve">În cele din urmă, solicităm UE să ia toate măsurile necesare pentru a se asigura că digitalizarea societății nu exclude persoanele în vârstă și pentru a se asigura că serviciile esențiale sunt accesibile și în persoană. </w:t>
      </w:r>
    </w:p>
    <w:p>
      <w:pPr>
        <w:pStyle w:val="Normal"/>
        <w:rPr/>
      </w:pPr>
      <w:r>
        <w:rPr/>
      </w:r>
    </w:p>
    <w:p>
      <w:pPr>
        <w:pStyle w:val="P68B1DB1Normal15"/>
        <w:rPr>
          <w:b/>
          <w:b/>
        </w:rPr>
      </w:pPr>
      <w:r>
        <w:rPr/>
        <w:t xml:space="preserve">● </w:t>
      </w:r>
      <w:r>
        <w:rPr/>
        <w:t xml:space="preserve">UE ar trebui să se asigure că fondurile alocate în mod specific acestor activități sunt utilizate în scopul propus. </w:t>
      </w:r>
    </w:p>
    <w:p>
      <w:pPr>
        <w:pStyle w:val="Normal"/>
        <w:rPr/>
      </w:pPr>
      <w:r>
        <w:rPr/>
        <w:t xml:space="preserve"> </w:t>
      </w:r>
    </w:p>
    <w:p>
      <w:pPr>
        <w:pStyle w:val="Normal"/>
        <w:rPr/>
      </w:pPr>
      <w:r>
        <w:rPr/>
        <w:t xml:space="preserve">Facem această recomandare, din cauza lipsei de infrastructură și echipamente (de exemplu, dispozitive) în unele locuri din Europa și a necesității de a asigura conexiunea înainte de educarea cetățenilor, deoarece știm că accesul la internet este limitat în anumite regiuni și pentru anumite profiluri. Recomandăm organizarea de cursuri care să ajute copiii să dobândească competențe digitale, să ofere programe suplimentare pentru a ajuta persoanele în vârstă să digitalizeze și să ia măsurile necesare pentru a se asigura că transformarea digitală nu subminează drepturile persoanelor în vârstă. </w:t>
      </w:r>
    </w:p>
    <w:p>
      <w:pPr>
        <w:pStyle w:val="Normal"/>
        <w:rPr/>
      </w:pPr>
      <w:r>
        <w:rPr/>
      </w:r>
    </w:p>
    <w:p>
      <w:pPr>
        <w:pStyle w:val="P68B1DB1Normal15"/>
        <w:rPr>
          <w:b/>
          <w:b/>
        </w:rPr>
      </w:pPr>
      <w:r>
        <w:rPr/>
        <w:t xml:space="preserve">48. Recomandăm UE să promoveze educația cetățenilor în fiecare stat membru pentru a consolida gândirea critică, scepticismul și verificarea faptelor și pentru a-i învăța să evalueze în mod independent dacă informațiile sunt fiabile sau nu. Această educație ar trebui să implice organizarea de cursuri specifice la nivelul învățământului de bază și ar trebui să fie oferită, în alte spații publice, cetățenilor de toate vârstele care doresc să beneficieze de ea. UE ar trebui să se asigure că fondurile alocate în mod specific acestor activități sunt utilizate în scopul propus. </w:t>
      </w:r>
    </w:p>
    <w:p>
      <w:pPr>
        <w:pStyle w:val="Normal"/>
        <w:rPr/>
      </w:pPr>
      <w:r>
        <w:rPr/>
        <w:t xml:space="preserve"> </w:t>
      </w:r>
    </w:p>
    <w:p>
      <w:pPr>
        <w:pStyle w:val="Normal"/>
        <w:rPr/>
      </w:pPr>
      <w:r>
        <w:rPr/>
        <w:t xml:space="preserve">Facem această recomandare pentru că credem că este imposibil să scăpăm complet de informații false. Această formare îi va ajuta pe cetățeni să îi recunoască pentru ei înșiși. Ca urmare, efectele informațiilor false asupra societății și asupra cetățenilor înșiși vor fi reduse. De asemenea, ar oferi cetățenilor mai multe oportunități de acțiune decât să se bazeze pe instituții pentru a obține informații fiabile. </w:t>
      </w:r>
    </w:p>
    <w:p>
      <w:pPr>
        <w:pStyle w:val="Normal"/>
        <w:rPr/>
      </w:pPr>
      <w:r>
        <w:rPr/>
        <w:t xml:space="preserve"> </w:t>
      </w:r>
    </w:p>
    <w:p>
      <w:pPr>
        <w:pStyle w:val="Titre3"/>
        <w:numPr>
          <w:ilvl w:val="2"/>
          <w:numId w:val="2"/>
        </w:numPr>
        <w:rPr/>
      </w:pPr>
      <w:bookmarkStart w:id="127" w:name="__RefHeading___Toc297189_1346298689"/>
      <w:bookmarkEnd w:id="127"/>
      <w:r>
        <w:rPr/>
        <w:t xml:space="preserve">Anexă: ALTE RECOMANDĂRI LUATE ÎN CONSIDERARE DE COMITETUL CARE NU AU FOST ADOPTATE </w:t>
      </w:r>
    </w:p>
    <w:p>
      <w:pPr>
        <w:pStyle w:val="Normal"/>
        <w:rPr/>
      </w:pPr>
      <w:r>
        <w:rPr/>
        <w:t xml:space="preserve"> </w:t>
      </w:r>
    </w:p>
    <w:p>
      <w:pPr>
        <w:pStyle w:val="Titre4"/>
        <w:numPr>
          <w:ilvl w:val="3"/>
          <w:numId w:val="2"/>
        </w:numPr>
        <w:rPr/>
      </w:pPr>
      <w:bookmarkStart w:id="128" w:name="__RefHeading___Toc297191_1346298689"/>
      <w:bookmarkEnd w:id="128"/>
      <w:r>
        <w:rPr/>
        <w:t xml:space="preserve">Axa 3 O societate justă </w:t>
      </w:r>
    </w:p>
    <w:p>
      <w:pPr>
        <w:pStyle w:val="Normal"/>
        <w:rPr/>
      </w:pPr>
      <w:r>
        <w:rPr/>
        <w:t xml:space="preserve"> </w:t>
      </w:r>
    </w:p>
    <w:p>
      <w:pPr>
        <w:pStyle w:val="Normal"/>
        <w:rPr/>
      </w:pPr>
      <w:r>
        <w:rPr/>
        <w:t xml:space="preserve">Subaxa 3.2 Egalitatea de drepturi </w:t>
      </w:r>
    </w:p>
    <w:p>
      <w:pPr>
        <w:pStyle w:val="Normal"/>
        <w:rPr/>
      </w:pPr>
      <w:r>
        <w:rPr/>
        <w:t xml:space="preserve"> </w:t>
      </w:r>
    </w:p>
    <w:p>
      <w:pPr>
        <w:pStyle w:val="P68B1DB1Normal15"/>
        <w:rPr>
          <w:b/>
          <w:b/>
        </w:rPr>
      </w:pPr>
      <w:r>
        <w:rPr/>
        <w:t xml:space="preserve">Recomandăm UE să instituie un mecanism de monitorizare și respectare a drepturilor minorităților (de exemplu, un portal sau un birou în care persoanele ar putea depune plângeri). </w:t>
      </w:r>
    </w:p>
    <w:p>
      <w:pPr>
        <w:pStyle w:val="Normal"/>
        <w:rPr/>
      </w:pPr>
      <w:r>
        <w:rPr/>
        <w:t xml:space="preserve"> </w:t>
      </w:r>
    </w:p>
    <w:p>
      <w:pPr>
        <w:pStyle w:val="Normal"/>
        <w:rPr/>
      </w:pPr>
      <w:r>
        <w:rPr/>
        <w:t xml:space="preserve">Facem această recomandare deoarece credem că fiecare individ își poate exprima opinia și are dreptul de a căuta și de a primi ajutor. O astfel de funcție este necesară pentru a reduce tensiunile dintre minorități și majoritate. </w:t>
      </w:r>
    </w:p>
    <w:p>
      <w:pPr>
        <w:pStyle w:val="Normal"/>
        <w:rPr/>
      </w:pPr>
      <w:r>
        <w:rPr/>
      </w:r>
    </w:p>
    <w:p>
      <w:pPr>
        <w:pStyle w:val="Normal"/>
        <w:rPr/>
      </w:pPr>
      <w:r>
        <w:rPr/>
        <w:t xml:space="preserve">Subaxa 3.3 Echitate/subaxa 3.4 Accesul la sport </w:t>
      </w:r>
    </w:p>
    <w:p>
      <w:pPr>
        <w:pStyle w:val="Normal"/>
        <w:rPr/>
      </w:pPr>
      <w:r>
        <w:rPr/>
        <w:t xml:space="preserve"> </w:t>
      </w:r>
    </w:p>
    <w:p>
      <w:pPr>
        <w:pStyle w:val="P68B1DB1Normal15"/>
        <w:rPr>
          <w:b/>
          <w:b/>
        </w:rPr>
      </w:pPr>
      <w:r>
        <w:rPr/>
        <w:t xml:space="preserve">Recomandăm UE să sensibilizeze UE cu privire la activitatea fizică prin „modelarea rolurilor”, implicând personalități publice (deci evenimentele organizate de Parlament ar trebui să includă o anumită formă de activitate fizică sau mișcare, timp de câteva secunde, cum ar fi întinderea, mersul pe jos sau săriturile). </w:t>
      </w:r>
    </w:p>
    <w:p>
      <w:pPr>
        <w:pStyle w:val="Normal"/>
        <w:rPr/>
      </w:pPr>
      <w:r>
        <w:rPr/>
        <w:t xml:space="preserve"> </w:t>
      </w:r>
    </w:p>
    <w:p>
      <w:pPr>
        <w:pStyle w:val="Normal"/>
        <w:rPr/>
      </w:pPr>
      <w:r>
        <w:rPr/>
        <w:t xml:space="preserve">Facem această recomandare deoarece mobilizarea personalităților publice pentru activitatea fizică va crește gradul de conștientizare a publicului. </w:t>
      </w:r>
    </w:p>
    <w:p>
      <w:pPr>
        <w:pStyle w:val="Normal"/>
        <w:rPr/>
      </w:pPr>
      <w:r>
        <w:rPr/>
      </w:r>
    </w:p>
    <w:p>
      <w:pPr>
        <w:pStyle w:val="Titre4"/>
        <w:numPr>
          <w:ilvl w:val="3"/>
          <w:numId w:val="2"/>
        </w:numPr>
        <w:rPr/>
      </w:pPr>
      <w:bookmarkStart w:id="129" w:name="__RefHeading___Toc297193_1346298689"/>
      <w:bookmarkEnd w:id="129"/>
      <w:r>
        <w:rPr/>
        <w:t xml:space="preserve">Axa 5 O transformare digitală etică și sigură </w:t>
      </w:r>
    </w:p>
    <w:p>
      <w:pPr>
        <w:pStyle w:val="Normal"/>
        <w:rPr/>
      </w:pPr>
      <w:r>
        <w:rPr/>
        <w:t xml:space="preserve"> </w:t>
      </w:r>
    </w:p>
    <w:p>
      <w:pPr>
        <w:pStyle w:val="Normal"/>
        <w:rPr/>
      </w:pPr>
      <w:r>
        <w:rPr/>
        <w:t xml:space="preserve">Subaxa 5.3 Protecția datelor </w:t>
      </w:r>
    </w:p>
    <w:p>
      <w:pPr>
        <w:pStyle w:val="Normal"/>
        <w:rPr/>
      </w:pPr>
      <w:r>
        <w:rPr/>
        <w:t xml:space="preserve"> </w:t>
      </w:r>
    </w:p>
    <w:p>
      <w:pPr>
        <w:pStyle w:val="P68B1DB1Normal15"/>
        <w:rPr>
          <w:b/>
          <w:b/>
        </w:rPr>
      </w:pPr>
      <w:r>
        <w:rPr/>
        <w:t xml:space="preserve">Recomandăm crearea unui ID web care să stocheze date personale și sensibile, dar care să le pună la dispoziția autorităților și a poliției. Platformele și vânzătorii online vor utiliza codul online asociat cu identificatorul web respectiv și datele necesare pentru o anumită activitate. Setarea implicită pentru schimbul de date utilizând acest identificator ar trebui să nu fie de acord. Datele ar trebui comunicate numai părților direct interesate și nu unui terț. În cazul în care datele sunt comunicate unui terț, un cetățean ar trebui să aibă posibilitatea de a se opune cu ușurință la acestea. Datele ar trebui să fie disponibile numai pentru o perioadă limitată de timp sau pentru o anumită tranzacție. Autorizația de utilizare a datelor ar trebui să fie limitată în timp sau să definească în mod clar ce pot face întreprinderile cu aceste date. </w:t>
      </w:r>
    </w:p>
    <w:p>
      <w:pPr>
        <w:pStyle w:val="Normal"/>
        <w:rPr/>
      </w:pPr>
      <w:r>
        <w:rPr/>
        <w:t xml:space="preserve"> </w:t>
      </w:r>
    </w:p>
    <w:p>
      <w:pPr>
        <w:pStyle w:val="Normal"/>
        <w:rPr/>
      </w:pPr>
      <w:r>
        <w:rPr/>
        <w:t xml:space="preserve">Facem această recomandare deoarece, în prezent, companiile pot colecta toate datele, inclusiv datele cu caracter personal și datele sensibile, și le pot utiliza în mai multe scopuri, fără a dezvălui exact cum și de ce. Prin urmare, operatorii obțin mai multe informații decât au nevoie de fapt pentru a ne furniza servicii și apoi pot revinde sau reutiliza alte date fără consimțământul nostru. În același timp, acest lucru va asigura responsabilitatea utilizatorilor de internet, păstrând în același timp anonimatul lor relativ. </w:t>
      </w:r>
      <w:r>
        <w:br w:type="page"/>
      </w:r>
    </w:p>
    <w:p>
      <w:pPr>
        <w:pStyle w:val="Titre2"/>
        <w:numPr>
          <w:ilvl w:val="1"/>
          <w:numId w:val="2"/>
        </w:numPr>
        <w:rPr/>
      </w:pPr>
      <w:bookmarkStart w:id="130" w:name="__RefHeading___Toc297195_1346298689"/>
      <w:bookmarkEnd w:id="130"/>
      <w:r>
        <w:rPr/>
        <w:t xml:space="preserve">Grupul cetățenilor europeni 2: „Democrația europeană; valori și drepturi, statul de drept, securitate </w:t>
      </w:r>
    </w:p>
    <w:p>
      <w:pPr>
        <w:pStyle w:val="Normal"/>
        <w:rPr/>
      </w:pPr>
      <w:r>
        <w:rPr/>
      </w:r>
    </w:p>
    <w:p>
      <w:pPr>
        <w:pStyle w:val="Normal"/>
        <w:rPr/>
      </w:pPr>
      <w:r>
        <w:rPr/>
        <w:t xml:space="preserve">RECOMANDĂRILE ADOPTATE DE JURIU (CARE URMEAZĂ SĂ FIE PREZENTATE ÎN PLEN) </w:t>
      </w:r>
    </w:p>
    <w:p>
      <w:pPr>
        <w:pStyle w:val="Normal"/>
        <w:rPr/>
      </w:pPr>
      <w:r>
        <w:rPr/>
        <w:t xml:space="preserve"> </w:t>
      </w:r>
    </w:p>
    <w:p>
      <w:pPr>
        <w:pStyle w:val="Titre3"/>
        <w:numPr>
          <w:ilvl w:val="2"/>
          <w:numId w:val="2"/>
        </w:numPr>
        <w:rPr/>
      </w:pPr>
      <w:bookmarkStart w:id="131" w:name="__RefHeading___Toc297197_1346298689"/>
      <w:bookmarkEnd w:id="131"/>
      <w:r>
        <w:rPr/>
        <w:t xml:space="preserve">Axa 1: Garantarea drepturilor și nediscriminarea </w:t>
      </w:r>
    </w:p>
    <w:p>
      <w:pPr>
        <w:pStyle w:val="Normal"/>
        <w:rPr/>
      </w:pPr>
      <w:r>
        <w:rPr/>
        <w:t xml:space="preserve"> </w:t>
      </w:r>
    </w:p>
    <w:p>
      <w:pPr>
        <w:pStyle w:val="Titre4"/>
        <w:numPr>
          <w:ilvl w:val="3"/>
          <w:numId w:val="2"/>
        </w:numPr>
        <w:rPr/>
      </w:pPr>
      <w:bookmarkStart w:id="132" w:name="__RefHeading___Toc297199_1346298689"/>
      <w:bookmarkEnd w:id="132"/>
      <w:r>
        <w:rPr/>
        <w:t xml:space="preserve">Subaxa 1.1 Nediscriminare/subaxa 1.2 Egalitatea de gen </w:t>
      </w:r>
    </w:p>
    <w:p>
      <w:pPr>
        <w:pStyle w:val="Normal"/>
        <w:rPr/>
      </w:pPr>
      <w:r>
        <w:rPr/>
        <w:t xml:space="preserve"> </w:t>
      </w:r>
    </w:p>
    <w:p>
      <w:pPr>
        <w:pStyle w:val="P68B1DB1Normal15"/>
        <w:rPr>
          <w:b/>
          <w:b/>
        </w:rPr>
      </w:pPr>
      <w:r>
        <w:rPr/>
        <w:t xml:space="preserve">1. „Recomandăm ca UE să includă criterii de combatere a discriminării pe piața forței de muncă (cote pentru tineri, persoane în vârstă, femei, minorități). În cazul în care întreprinderile îndeplinesc aceste criterii, acestea vor primi subvenții sau facilități fiscale.” </w:t>
      </w:r>
    </w:p>
    <w:p>
      <w:pPr>
        <w:pStyle w:val="P68B1DB1Normal15"/>
        <w:rPr>
          <w:b/>
          <w:b/>
        </w:rPr>
      </w:pPr>
      <w:r>
        <w:rPr/>
        <w:t xml:space="preserve">Vă recomandăm să creșteți gradul de conștientizare în rândul angajaților cu privire la următoarele aspecte: </w:t>
      </w:r>
    </w:p>
    <w:p>
      <w:pPr>
        <w:pStyle w:val="P68B1DB1Normal15"/>
        <w:rPr>
          <w:b/>
          <w:b/>
        </w:rPr>
      </w:pPr>
      <w:r>
        <w:rPr/>
        <w:t xml:space="preserve">● </w:t>
      </w:r>
      <w:r>
        <w:rPr/>
        <w:t xml:space="preserve">instituții supranaționale și naționale (de exemplu, sindicate); </w:t>
      </w:r>
    </w:p>
    <w:p>
      <w:pPr>
        <w:pStyle w:val="P68B1DB1Normal15"/>
        <w:rPr>
          <w:b/>
          <w:b/>
        </w:rPr>
      </w:pPr>
      <w:r>
        <w:rPr/>
        <w:t xml:space="preserve">● </w:t>
      </w:r>
      <w:r>
        <w:rPr/>
        <w:t xml:space="preserve">mecanisme pentru a se asigura că întreprinderile respectă normele existente privind nediscriminarea la locul de muncă; </w:t>
      </w:r>
    </w:p>
    <w:p>
      <w:pPr>
        <w:pStyle w:val="P68B1DB1Normal15"/>
        <w:rPr>
          <w:b/>
          <w:b/>
        </w:rPr>
      </w:pPr>
      <w:r>
        <w:rPr/>
        <w:t xml:space="preserve">● </w:t>
      </w:r>
      <w:r>
        <w:rPr/>
        <w:t xml:space="preserve">programe de calificare pentru grupurile sociale care se confruntă cu discriminare pe piața forței de muncă (tineri, persoane în vârstă, femei, minorități). </w:t>
      </w:r>
    </w:p>
    <w:p>
      <w:pPr>
        <w:pStyle w:val="Normal"/>
        <w:rPr/>
      </w:pPr>
      <w:r>
        <w:rPr/>
        <w:t xml:space="preserve"> </w:t>
      </w:r>
    </w:p>
    <w:p>
      <w:pPr>
        <w:pStyle w:val="P68B1DB1Normal15"/>
        <w:rPr>
          <w:b/>
          <w:b/>
        </w:rPr>
      </w:pPr>
      <w:r>
        <w:rPr/>
        <w:t xml:space="preserve">Recomandăm adoptarea legislației UE în două etape. În primul rând, ar trebui să se prevadă subvenții pentru angajarea de angajați din anumite categorii care pot fi discriminate. În al doilea rând, actul legislativ ar trebui să impună angajatorilor să angajeze aceste grupuri pentru o perioadă minimă de timp. </w:t>
      </w:r>
    </w:p>
    <w:p>
      <w:pPr>
        <w:pStyle w:val="Normal"/>
        <w:rPr/>
      </w:pPr>
      <w:r>
        <w:rPr/>
        <w:t xml:space="preserve"> </w:t>
      </w:r>
    </w:p>
    <w:p>
      <w:pPr>
        <w:pStyle w:val="Normal"/>
        <w:rPr/>
      </w:pPr>
      <w:r>
        <w:rPr/>
        <w:t xml:space="preserve">Într-adevăr, UE este responsabilă de menținerea unui echilibru între interesele pieței libere și protecția grupurilor vulnerabile care trebuie protejate din punct de vedere juridic. Grupurile eterogene sunt de dorit pentru companii, deoarece oferă calificări diverse. Subvențiile reprezintă un stimulent suplimentar care trebuie acordat întreprinderilor. </w:t>
      </w:r>
    </w:p>
    <w:p>
      <w:pPr>
        <w:pStyle w:val="Normal"/>
        <w:rPr/>
      </w:pPr>
      <w:r>
        <w:rPr/>
        <w:t xml:space="preserve"> </w:t>
      </w:r>
    </w:p>
    <w:p>
      <w:pPr>
        <w:pStyle w:val="P68B1DB1Normal15"/>
        <w:rPr>
          <w:b/>
          <w:b/>
        </w:rPr>
      </w:pPr>
      <w:r>
        <w:rPr/>
        <w:t xml:space="preserve">2. „Recomandăm ca UE să creeze un program de stimulare care să faciliteze crearea de grădinițe și locuri de joacă la prețuri accesibile în întreprinderile mari și mici. Facilitățile comune reprezintă, de asemenea, o soluție viabilă pentru întreprinderile mici pentru a beneficia de subvenție. </w:t>
      </w:r>
    </w:p>
    <w:p>
      <w:pPr>
        <w:pStyle w:val="P68B1DB1Normal15"/>
        <w:rPr>
          <w:b/>
          <w:b/>
        </w:rPr>
      </w:pPr>
      <w:r>
        <w:rPr/>
        <w:t xml:space="preserve">Recomandăm ca UE să oblige întreprinderile să înființeze grădinițe proporțional cu numărul de angajați. </w:t>
      </w:r>
    </w:p>
    <w:p>
      <w:pPr>
        <w:pStyle w:val="Normal"/>
        <w:rPr/>
      </w:pPr>
      <w:r>
        <w:rPr/>
        <w:t xml:space="preserve"> </w:t>
      </w:r>
    </w:p>
    <w:p>
      <w:pPr>
        <w:pStyle w:val="Normal"/>
        <w:rPr/>
      </w:pPr>
      <w:r>
        <w:rPr/>
        <w:t xml:space="preserve">Recomandăm acest lucru deoarece reconcilierea vieții de familie cu cea profesională îmbunătățește performanța profesională, reduce șomajul și plasează părinții, în special femeile, într-o poziție care le permite să-și urmeze cariera. Concentrându-se pe dimensiunea socială, soluția propusă asigură siguranța copiilor și reduce anxietatea părinților. </w:t>
      </w:r>
    </w:p>
    <w:p>
      <w:pPr>
        <w:pStyle w:val="Normal"/>
        <w:rPr/>
      </w:pPr>
      <w:r>
        <w:rPr/>
      </w:r>
    </w:p>
    <w:p>
      <w:pPr>
        <w:pStyle w:val="Titre4"/>
        <w:numPr>
          <w:ilvl w:val="3"/>
          <w:numId w:val="2"/>
        </w:numPr>
        <w:rPr/>
      </w:pPr>
      <w:bookmarkStart w:id="133" w:name="__RefHeading___Toc297201_1346298689"/>
      <w:bookmarkEnd w:id="133"/>
      <w:r>
        <w:rPr/>
        <w:t xml:space="preserve">Subaxa 1.3: Protejarea drepturilor omului și a drepturilor naturii și animalelor </w:t>
      </w:r>
    </w:p>
    <w:p>
      <w:pPr>
        <w:pStyle w:val="Normal"/>
        <w:rPr/>
      </w:pPr>
      <w:r>
        <w:rPr/>
        <w:t xml:space="preserve"> </w:t>
      </w:r>
    </w:p>
    <w:p>
      <w:pPr>
        <w:pStyle w:val="P68B1DB1Normal15"/>
        <w:rPr>
          <w:b/>
          <w:b/>
        </w:rPr>
      </w:pPr>
      <w:r>
        <w:rPr/>
        <w:t xml:space="preserve">3. „Recomandăm menținerea bunăstării și sustenabilității animalelor prin modificarea Directivei 98/58/CE privind protecția animalelor în ferme. Trebuie definite criterii minime mai detaliate. Acestea trebuie să fie precise, măsurabile și limitate în timp. Criteriile minime trebuie stabilite astfel încât să conducă la standarde mai ridicate de bunăstare a animalelor și, în același timp, să permită tranziția către un climat și un mediu durabile și o agricultură ecologică. </w:t>
      </w:r>
    </w:p>
    <w:p>
      <w:pPr>
        <w:pStyle w:val="Normal"/>
        <w:rPr/>
      </w:pPr>
      <w:r>
        <w:rPr/>
        <w:t xml:space="preserve"> </w:t>
      </w:r>
    </w:p>
    <w:p>
      <w:pPr>
        <w:pStyle w:val="Normal"/>
        <w:rPr/>
      </w:pPr>
      <w:r>
        <w:rPr/>
        <w:t xml:space="preserve">În calitate de cetățeni, considerăm că este important să existe standarde minime mai stricte care să fie armonizate în UE pentru creșterea animalelor. Suntem conștienți de faptul că tranziția ar putea pune probleme în unele sectoare agricole care beneficiază de subvenții și pentru cele aflate în tranziție către o agricultură ecologică și durabilă. Cu toate acestea, considerăm că este foarte important să ne asigurăm că această tranziție are loc. </w:t>
      </w:r>
    </w:p>
    <w:p>
      <w:pPr>
        <w:pStyle w:val="Normal"/>
        <w:rPr/>
      </w:pPr>
      <w:r>
        <w:rPr/>
        <w:t xml:space="preserve"> </w:t>
      </w:r>
    </w:p>
    <w:p>
      <w:pPr>
        <w:pStyle w:val="P68B1DB1Normal15"/>
        <w:rPr>
          <w:b/>
          <w:b/>
        </w:rPr>
      </w:pPr>
      <w:r>
        <w:rPr/>
        <w:t xml:space="preserve">4. Recomandăm promovarea unei agriculturi mai ecologice și climatice în Europa și în întreaga lume, de exemplu, prin impozitarea tuturor emisiilor negative, a pesticidelor și a utilizării extreme a apei, în funcție de impactul acestora asupra mediului. Taxele vamale pentru toate produsele agricole importate în Uniune trebuie să elimine avantajele concurențiale ale țărilor terțe care nu respectă aceleași standarde ca și Uniunea. Pentru a promova agricultura favorabilă animalelor, recomandăm impozitarea emisiilor cauzate de transportul animalelor pe distanțe lungi. </w:t>
      </w:r>
    </w:p>
    <w:p>
      <w:pPr>
        <w:pStyle w:val="Normal"/>
        <w:rPr/>
      </w:pPr>
      <w:r>
        <w:rPr/>
        <w:t xml:space="preserve"> </w:t>
      </w:r>
    </w:p>
    <w:p>
      <w:pPr>
        <w:pStyle w:val="Normal"/>
        <w:rPr/>
      </w:pPr>
      <w:r>
        <w:rPr/>
        <w:t xml:space="preserve">Prin instituirea unui astfel de sistem, considerăm că este posibil să se sprijine tranziția către o agricultură ecologică și ecologică. </w:t>
      </w:r>
    </w:p>
    <w:p>
      <w:pPr>
        <w:pStyle w:val="Normal"/>
        <w:rPr/>
      </w:pPr>
      <w:r>
        <w:rPr/>
        <w:t xml:space="preserve"> </w:t>
      </w:r>
    </w:p>
    <w:p>
      <w:pPr>
        <w:pStyle w:val="P68B1DB1Normal15"/>
        <w:rPr>
          <w:b/>
          <w:b/>
        </w:rPr>
      </w:pPr>
      <w:r>
        <w:rPr/>
        <w:t xml:space="preserve">5. În timp ce o mulțime de știri false au circulat în ultima vreme, recomandăm promovarea unei acoperiri mediatice mai independente, obiective și echilibrate prin luarea următorilor pași: 1. elaborarea unei directive a UE de stabilire a unor standarde minime pentru independența mass-mediei; 2. să promoveze la nivelul Uniunii dezvoltarea competențelor mediatice pentru fiecare cetățean.” </w:t>
      </w:r>
    </w:p>
    <w:p>
      <w:pPr>
        <w:pStyle w:val="Normal"/>
        <w:rPr/>
      </w:pPr>
      <w:r>
        <w:rPr/>
        <w:t xml:space="preserve"> </w:t>
      </w:r>
    </w:p>
    <w:p>
      <w:pPr>
        <w:pStyle w:val="Normal"/>
        <w:rPr/>
      </w:pPr>
      <w:r>
        <w:rPr/>
        <w:t xml:space="preserve">UE trebuie să elaboreze o directivă care să garanteze independența mass-mediei și libertatea de exprimare. </w:t>
      </w:r>
    </w:p>
    <w:p>
      <w:pPr>
        <w:pStyle w:val="Normal"/>
        <w:rPr/>
      </w:pPr>
      <w:r>
        <w:rPr/>
        <w:t xml:space="preserve"> </w:t>
      </w:r>
    </w:p>
    <w:p>
      <w:pPr>
        <w:pStyle w:val="Normal"/>
        <w:rPr/>
      </w:pPr>
      <w:r>
        <w:rPr>
          <w:b/>
        </w:rPr>
        <w:t>6. Recomandăm să nu mai subvenționăm producția agricolă de masă dacă aceasta nu duce la o tranziție către o agricultură climatică, ecologică și durabilă. În schimb, recomandăm redirecționarea granturilor pentru a sprijini o tranziție durabilă.</w:t>
      </w:r>
      <w:r>
        <w:rPr/>
        <w:t xml:space="preserve"> </w:t>
      </w:r>
    </w:p>
    <w:p>
      <w:pPr>
        <w:pStyle w:val="Normal"/>
        <w:rPr/>
      </w:pPr>
      <w:r>
        <w:rPr/>
        <w:t xml:space="preserve"> </w:t>
      </w:r>
    </w:p>
    <w:p>
      <w:pPr>
        <w:pStyle w:val="Normal"/>
        <w:rPr/>
      </w:pPr>
      <w:r>
        <w:rPr/>
        <w:t xml:space="preserve">În loc să subvenționeze sectorul agricol al creșterii în masă, subvențiile ar trebui redirecționate către fermele aflate în tranziție pentru a îndeplini noile standarde minime de bunăstare a animalelor. </w:t>
      </w:r>
    </w:p>
    <w:p>
      <w:pPr>
        <w:pStyle w:val="Normal"/>
        <w:rPr/>
      </w:pPr>
      <w:r>
        <w:rPr/>
        <w:t xml:space="preserve"> </w:t>
      </w:r>
    </w:p>
    <w:p>
      <w:pPr>
        <w:pStyle w:val="Titre4"/>
        <w:numPr>
          <w:ilvl w:val="3"/>
          <w:numId w:val="2"/>
        </w:numPr>
        <w:rPr/>
      </w:pPr>
      <w:bookmarkStart w:id="134" w:name="__RefHeading___Toc297203_1346298689"/>
      <w:bookmarkEnd w:id="134"/>
      <w:r>
        <w:rPr/>
        <w:t xml:space="preserve">Subaxa 1.4 Dreptul la confidențialitate </w:t>
      </w:r>
    </w:p>
    <w:p>
      <w:pPr>
        <w:pStyle w:val="Normal"/>
        <w:rPr/>
      </w:pPr>
      <w:r>
        <w:rPr/>
        <w:t xml:space="preserve"> </w:t>
      </w:r>
    </w:p>
    <w:p>
      <w:pPr>
        <w:pStyle w:val="P68B1DB1Normal15"/>
        <w:rPr>
          <w:b/>
          <w:b/>
        </w:rPr>
      </w:pPr>
      <w:r>
        <w:rPr/>
        <w:t xml:space="preserve">7. „Recomandăm ca entitățile care prelucrează date cu caracter personal să fie autorizate la nivelul UE. Aceste entități vor trebui, de asemenea, să facă obiectul unui audit anual independent și extern privind protecția datelor. Aceste entități vor fi sancționate pentru încălcări ale protecției datelor proporțional cu cifra lor de afaceri anuală, într-un mod mai strict decât în temeiul regulamentului actual. Aprobarea trebuie retrasă după două încălcări consecutive și imediat după o încălcare gravă. </w:t>
      </w:r>
    </w:p>
    <w:p>
      <w:pPr>
        <w:pStyle w:val="Normal"/>
        <w:rPr/>
      </w:pPr>
      <w:r>
        <w:rPr/>
        <w:t xml:space="preserve"> </w:t>
      </w:r>
    </w:p>
    <w:p>
      <w:pPr>
        <w:pStyle w:val="Normal"/>
        <w:rPr/>
      </w:pPr>
      <w:r>
        <w:rPr/>
        <w:t xml:space="preserve">Recomandăm astfel de măsuri, deoarece reglementarea actuală (RGPD) nu este suficientă, iar entitățile trebuie să fie mai bine controlate și sancționate pentru a se asigura că nu încalcă protecția datelor și dreptul la viață privată. </w:t>
      </w:r>
    </w:p>
    <w:p>
      <w:pPr>
        <w:pStyle w:val="Normal"/>
        <w:rPr/>
      </w:pPr>
      <w:r>
        <w:rPr/>
        <w:t xml:space="preserve"> </w:t>
      </w:r>
    </w:p>
    <w:p>
      <w:pPr>
        <w:pStyle w:val="P68B1DB1Normal15"/>
        <w:rPr>
          <w:b/>
          <w:b/>
        </w:rPr>
      </w:pPr>
      <w:r>
        <w:rPr/>
        <w:t xml:space="preserve">8. „Recomandăm consolidarea competențelor Uniunii în următoarele domenii: 1) educația privind protecția datelor, 2) sensibilizarea cu privire la protecția datelor și 3) protecția datelor cu caracter personal ale minorilor. Vă recomandăm clarificarea și consolidarea normelor privind prelucrarea datelor minorilor în RGPD, inclusiv a normelor privind consimțământul, verificarea vârstei și controlul de către tutorii legali. De asemenea, recomandăm introducerea în RGPD a unei categorii speciale pentru datele sensibile ale minorilor (de exemplu, cazierul judiciar, informațiile privind sănătatea, nuditatea), astfel încât minorii să fie protejați de orice formă de abuz și discriminare. </w:t>
      </w:r>
    </w:p>
    <w:p>
      <w:pPr>
        <w:pStyle w:val="Normal"/>
        <w:rPr/>
      </w:pPr>
      <w:r>
        <w:rPr/>
        <w:t xml:space="preserve"> </w:t>
      </w:r>
    </w:p>
    <w:p>
      <w:pPr>
        <w:pStyle w:val="Normal"/>
        <w:rPr/>
      </w:pPr>
      <w:r>
        <w:rPr/>
        <w:t xml:space="preserve">Această recomandare este necesară deoarece minorii sunt deosebit de vulnerabili la protecția datelor și la încălcarea vieții private și deoarece, în prezent, populația generală (în special minorii, profesorii și tutorii legali) nu este suficient de conștientă de protecția datelor. Toți trebuie să învețe cum să utilizeze serviciile de date online și offline și să protejeze drepturile de confidențialitate ale copiilor. În plus, tutorii legali pot adesea să consimtă la prelucrarea datelor copiilor fără a fi pe deplin conștienți sau informați, iar copiii pot falsifica consimțământul părinților. În cele din urmă, această recomandare este necesară deoarece nu există o campanie reală de sensibilizare la nivelul UE privind protecția datelor, care să vizeze, în special, minorii, tutorii legali și profesorii, în timp ce o astfel de campanie este indispensabilă. </w:t>
      </w:r>
    </w:p>
    <w:p>
      <w:pPr>
        <w:pStyle w:val="Normal"/>
        <w:rPr/>
      </w:pPr>
      <w:r>
        <w:rPr/>
      </w:r>
    </w:p>
    <w:p>
      <w:pPr>
        <w:pStyle w:val="P68B1DB1Normal15"/>
        <w:rPr>
          <w:b/>
          <w:b/>
        </w:rPr>
      </w:pPr>
      <w:r>
        <w:rPr/>
        <w:t xml:space="preserve">9. Recomandăm să se pună în aplicare politici standardizate de confidențialitate și formulare de consimțământ ușor de înțeles, concise și intuitive, care să indice în mod clar ce prelucrare a datelor este strict necesară și ce este opțional. Vă recomandăm ca retragerea consimțământului să fie ușoară, rapidă și permanentă. Vă recomandăm să interziceți entităților să își restricționeze serviciile mai mult decât este necesar în cazul în care nu s-a acordat consimțământul pentru prelucrarea opțională a datelor. </w:t>
      </w:r>
    </w:p>
    <w:p>
      <w:pPr>
        <w:pStyle w:val="Normal"/>
        <w:rPr/>
      </w:pPr>
      <w:r>
        <w:rPr/>
        <w:t xml:space="preserve"> </w:t>
      </w:r>
    </w:p>
    <w:p>
      <w:pPr>
        <w:pStyle w:val="Normal"/>
        <w:rPr/>
      </w:pPr>
      <w:r>
        <w:rPr/>
        <w:t xml:space="preserve">Recomandăm acest lucru deoarece normele actuale ale UE nu sunt suficient de precise, retragerea consimțământului este lungă, temporară și complexă, iar entitățile nu au niciun interes în a-și oferi serviciile cetățenilor care își invocă dreptul la protecția datelor. </w:t>
      </w:r>
    </w:p>
    <w:p>
      <w:pPr>
        <w:pStyle w:val="Normal"/>
        <w:rPr/>
      </w:pPr>
      <w:r>
        <w:rPr/>
        <w:t xml:space="preserve"> </w:t>
      </w:r>
    </w:p>
    <w:p>
      <w:pPr>
        <w:pStyle w:val="Titre3"/>
        <w:numPr>
          <w:ilvl w:val="2"/>
          <w:numId w:val="2"/>
        </w:numPr>
        <w:rPr/>
      </w:pPr>
      <w:bookmarkStart w:id="135" w:name="__RefHeading___Toc297205_1346298689"/>
      <w:bookmarkEnd w:id="135"/>
      <w:r>
        <w:rPr/>
        <w:t xml:space="preserve">Axa 2: Protejarea democrației și a statului de drept </w:t>
      </w:r>
    </w:p>
    <w:p>
      <w:pPr>
        <w:pStyle w:val="Normal"/>
        <w:rPr/>
      </w:pPr>
      <w:r>
        <w:rPr/>
        <w:t xml:space="preserve"> </w:t>
      </w:r>
    </w:p>
    <w:p>
      <w:pPr>
        <w:pStyle w:val="Titre4"/>
        <w:numPr>
          <w:ilvl w:val="3"/>
          <w:numId w:val="2"/>
        </w:numPr>
        <w:rPr/>
      </w:pPr>
      <w:bookmarkStart w:id="136" w:name="__RefHeading___Toc297207_1346298689"/>
      <w:bookmarkEnd w:id="136"/>
      <w:r>
        <w:rPr/>
        <w:t xml:space="preserve">Subaxa 2.1 Protejarea statului de drept </w:t>
      </w:r>
    </w:p>
    <w:p>
      <w:pPr>
        <w:pStyle w:val="Normal"/>
        <w:rPr/>
      </w:pPr>
      <w:r>
        <w:rPr/>
        <w:t xml:space="preserve"> </w:t>
      </w:r>
    </w:p>
    <w:p>
      <w:pPr>
        <w:pStyle w:val="P68B1DB1Normal15"/>
        <w:rPr>
          <w:b/>
          <w:b/>
        </w:rPr>
      </w:pPr>
      <w:r>
        <w:rPr/>
        <w:t xml:space="preserve">10. „Recomandăm ca Regulamentul privind ecocondiționalitatea (2020/2092, adoptat la 16 decembrie 2020) să fie modificat pentru a se aplica tuturor încălcărilor statului de drept, mai degrabă decât încălcărilor care au un impact asupra bugetului UE.” </w:t>
      </w:r>
    </w:p>
    <w:p>
      <w:pPr>
        <w:pStyle w:val="Normal"/>
        <w:rPr/>
      </w:pPr>
      <w:r>
        <w:rPr/>
        <w:t xml:space="preserve"> </w:t>
      </w:r>
    </w:p>
    <w:p>
      <w:pPr>
        <w:pStyle w:val="Normal"/>
        <w:rPr/>
      </w:pPr>
      <w:r>
        <w:rPr/>
        <w:t xml:space="preserve">Regulamentul privind ecocondiționalitatea permite suspendarea plății fondurilor UE către statele membre care încalcă statul de drept. Cu toate acestea, în formularea sa actuală, aceasta se aplică numai încălcărilor care au sau sunt susceptibile de a avea un impact asupra bugetului UE. În plus, formularea actuală a Regulamentului privind ecocondiționalitatea protejează bugetul UE și instituțiile UE, mai degrabă decât cetățenii statelor membre în cauză. Prin urmare, recomandăm modificarea textului actual al regulamentului pentru a acoperi toate încălcările statului de drept. </w:t>
      </w:r>
    </w:p>
    <w:p>
      <w:pPr>
        <w:pStyle w:val="Normal"/>
        <w:rPr/>
      </w:pPr>
      <w:r>
        <w:rPr/>
        <w:t xml:space="preserve"> </w:t>
      </w:r>
    </w:p>
    <w:p>
      <w:pPr>
        <w:pStyle w:val="P68B1DB1Normal15"/>
        <w:rPr>
          <w:b/>
          <w:b/>
        </w:rPr>
      </w:pPr>
      <w:r>
        <w:rPr/>
        <w:t xml:space="preserve">11. „Recomandăm UE să organizeze conferințe anuale privind statul de drept după publicarea Raportului anual privind statul de drept (mecanismul Comisiei de monitorizare a respectării statului de drept de către statele membre). Statele membre ar trebui să fie obligate să trimită diverse delegații sociale naționale la conferință, inclusiv cetățeni și funcționari publici.” </w:t>
      </w:r>
    </w:p>
    <w:p>
      <w:pPr>
        <w:pStyle w:val="Normal"/>
        <w:rPr/>
      </w:pPr>
      <w:r>
        <w:rPr/>
        <w:t xml:space="preserve"> </w:t>
      </w:r>
    </w:p>
    <w:p>
      <w:pPr>
        <w:pStyle w:val="Normal"/>
        <w:rPr/>
      </w:pPr>
      <w:r>
        <w:rPr/>
        <w:t xml:space="preserve">Această conferință ar promova dialogul între cetățenii UE pe teme legate de statul de drept, precum și dialogul dintre cetățeni și experții care elaborează rapoartele anuale privind statul de drept. Credem că, într-un climat de apreciere și împărtășire reciprocă, participanții vor putea să aducă cele mai bune practici și idei înapoi în țările lor de origine. În plus, conferința ar spori gradul de conștientizare și înțelegerea principiului statului de drept, precum și concluziile și procesul care stau la baza raportului anual privind statul de drept. De asemenea, aceasta ar atrage atenția mass-mediei și le-ar permite cetățenilor să își împărtășească experiențele și să le compare cu constatările raportului. </w:t>
      </w:r>
    </w:p>
    <w:p>
      <w:pPr>
        <w:pStyle w:val="Normal"/>
        <w:rPr/>
      </w:pPr>
      <w:r>
        <w:rPr/>
      </w:r>
    </w:p>
    <w:p>
      <w:pPr>
        <w:pStyle w:val="Titre4"/>
        <w:numPr>
          <w:ilvl w:val="3"/>
          <w:numId w:val="2"/>
        </w:numPr>
        <w:rPr/>
      </w:pPr>
      <w:bookmarkStart w:id="137" w:name="__RefHeading___Toc297209_1346298689"/>
      <w:bookmarkEnd w:id="137"/>
      <w:r>
        <w:rPr/>
        <w:t xml:space="preserve">Subaxa 2.2 Protejarea și consolidarea democrației/subaxa 2.4 Media și dezinformarea </w:t>
      </w:r>
    </w:p>
    <w:p>
      <w:pPr>
        <w:pStyle w:val="Normal"/>
        <w:rPr/>
      </w:pPr>
      <w:r>
        <w:rPr/>
        <w:t xml:space="preserve"> </w:t>
      </w:r>
    </w:p>
    <w:p>
      <w:pPr>
        <w:pStyle w:val="P68B1DB1Normal15"/>
        <w:rPr>
          <w:b/>
          <w:b/>
        </w:rPr>
      </w:pPr>
      <w:r>
        <w:rPr/>
        <w:t xml:space="preserve">12. „Recomandăm ca UE să aplice mai riguros normele sale în materie de concurență în sectorul mass-mediei, pentru a asigura protecția pluralismului mass-mediei în toate statele membre. UE ar trebui să prevină monopolurile mass-media mari și numirile politice în consiliile de administrație ale mass-mediei. De asemenea, recomandăm ca viitoarea legislație a UE privind libertatea mass-mediei să includă norme care să împiedice politicienii să dețină sau să aibă o influență puternică asupra conținutului lor. </w:t>
      </w:r>
    </w:p>
    <w:p>
      <w:pPr>
        <w:pStyle w:val="Normal"/>
        <w:rPr/>
      </w:pPr>
      <w:r>
        <w:rPr/>
        <w:t xml:space="preserve"> </w:t>
      </w:r>
    </w:p>
    <w:p>
      <w:pPr>
        <w:pStyle w:val="Normal"/>
        <w:rPr/>
      </w:pPr>
      <w:r>
        <w:rPr/>
        <w:t xml:space="preserve">Recomandăm acest lucru deoarece aplicarea normelor UE în materie de concurență favorizează un peisaj mediatic pluralist, în care cetățenii pot alege. Întrucât Comisia pregătește în prezent un act legislativ (privind libertatea mass-mediei) pentru integritatea pieței mass-mediei din UE, ar trebui să se prevadă, de asemenea, ca mass-media să nu fie deținută sau influențată de politicieni. </w:t>
      </w:r>
    </w:p>
    <w:p>
      <w:pPr>
        <w:pStyle w:val="Normal"/>
        <w:rPr/>
      </w:pPr>
      <w:r>
        <w:rPr/>
        <w:t xml:space="preserve"> </w:t>
      </w:r>
    </w:p>
    <w:p>
      <w:pPr>
        <w:pStyle w:val="Titre4"/>
        <w:numPr>
          <w:ilvl w:val="3"/>
          <w:numId w:val="2"/>
        </w:numPr>
        <w:rPr/>
      </w:pPr>
      <w:bookmarkStart w:id="138" w:name="__RefHeading___Toc297211_1346298689"/>
      <w:bookmarkEnd w:id="138"/>
      <w:r>
        <w:rPr/>
        <w:t xml:space="preserve">Subaxa 2.3 Securitate </w:t>
      </w:r>
    </w:p>
    <w:p>
      <w:pPr>
        <w:pStyle w:val="Normal"/>
        <w:rPr/>
      </w:pPr>
      <w:r>
        <w:rPr/>
        <w:t xml:space="preserve"> </w:t>
      </w:r>
    </w:p>
    <w:p>
      <w:pPr>
        <w:pStyle w:val="P68B1DB1Normal15"/>
        <w:rPr>
          <w:b/>
          <w:b/>
        </w:rPr>
      </w:pPr>
      <w:r>
        <w:rPr/>
        <w:t xml:space="preserve">13. „Recomandăm ca instituțiile UE să joace un rol mai important cu toate instrumentele de care dispun, inclusiv centrele naționale de securitate cibernetică și Agenția Uniunii Europene pentru Securitate Cibernetică (ENISA), pentru a proteja cetățenii, organizațiile și instituțiile împotriva noilor amenințări care decurg din încălcarea securității cibernetice și utilizarea inteligenței artificiale în scopuri infracționale. De asemenea, recomandăm ca directivele din Europa și agențiile sale să fie puse în aplicare și diseminate în mod corespunzător în toate statele membre.” </w:t>
      </w:r>
    </w:p>
    <w:p>
      <w:pPr>
        <w:pStyle w:val="Normal"/>
        <w:rPr/>
      </w:pPr>
      <w:r>
        <w:rPr/>
        <w:t xml:space="preserve"> </w:t>
      </w:r>
    </w:p>
    <w:p>
      <w:pPr>
        <w:pStyle w:val="Normal"/>
        <w:rPr/>
      </w:pPr>
      <w:r>
        <w:rPr/>
        <w:t xml:space="preserve">Recomandăm acest lucru deoarece cetățenii se simt neputincioși și nu sunt conștienți de ceea ce face Uniunea Europeană pentru a combate aceste amenințări. Recomandăm acest lucru deoarece aceste amenințări constituie o problemă gravă de securitate națională și europeană. Recomandăm acest lucru, deoarece Europa ar trebui să fie un adevărat motor al inovării în acest domeniu. </w:t>
      </w:r>
    </w:p>
    <w:p>
      <w:pPr>
        <w:pStyle w:val="Normal"/>
        <w:rPr/>
      </w:pPr>
      <w:r>
        <w:rPr/>
        <w:t xml:space="preserve"> </w:t>
      </w:r>
    </w:p>
    <w:p>
      <w:pPr>
        <w:pStyle w:val="P68B1DB1Normal15"/>
        <w:rPr>
          <w:b/>
          <w:b/>
        </w:rPr>
      </w:pPr>
      <w:r>
        <w:rPr/>
        <w:t xml:space="preserve">14. „Recomandăm ca, în relațiile sale cu țările externe, Uniunea să consolideze mai întâi valorile democratice comune la frontierele sale. Abia după atingerea acestui obiectiv recomandăm ca Uniunea să devină ambasadorul modelului nostru democratic în țările care sunt dispuse să aplice acest model și care sunt dispuse să facă acest lucru prin diplomație și dialog. </w:t>
      </w:r>
    </w:p>
    <w:p>
      <w:pPr>
        <w:pStyle w:val="Normal"/>
        <w:rPr/>
      </w:pPr>
      <w:r>
        <w:rPr/>
        <w:t xml:space="preserve"> </w:t>
      </w:r>
    </w:p>
    <w:p>
      <w:pPr>
        <w:pStyle w:val="Normal"/>
        <w:rPr/>
      </w:pPr>
      <w:r>
        <w:rPr/>
        <w:t xml:space="preserve">Recomandăm această măsură pentru că trebuie să privim spre interior înainte de a privi spre exterior. Deoarece Europa poate și trebuie să ajute statele membre să își consolideze democrațiile. Pentru că, de asemenea, prin a da un exemplu și a sprijini eforturile țărilor externe pentru democrație, ne protejăm pe noi înșine. </w:t>
      </w:r>
    </w:p>
    <w:p>
      <w:pPr>
        <w:pStyle w:val="Normal"/>
        <w:rPr/>
      </w:pPr>
      <w:r>
        <w:rPr/>
        <w:t xml:space="preserve"> </w:t>
      </w:r>
    </w:p>
    <w:p>
      <w:pPr>
        <w:pStyle w:val="Titre3"/>
        <w:numPr>
          <w:ilvl w:val="2"/>
          <w:numId w:val="2"/>
        </w:numPr>
        <w:rPr/>
      </w:pPr>
      <w:bookmarkStart w:id="139" w:name="__RefHeading___Toc297213_1346298689"/>
      <w:bookmarkEnd w:id="139"/>
      <w:r>
        <w:rPr/>
        <w:t xml:space="preserve">Axa 3: Reformarea Uniunii Europene </w:t>
      </w:r>
    </w:p>
    <w:p>
      <w:pPr>
        <w:pStyle w:val="Normal"/>
        <w:rPr/>
      </w:pPr>
      <w:r>
        <w:rPr/>
        <w:t xml:space="preserve"> </w:t>
      </w:r>
    </w:p>
    <w:p>
      <w:pPr>
        <w:pStyle w:val="Titre4"/>
        <w:numPr>
          <w:ilvl w:val="3"/>
          <w:numId w:val="2"/>
        </w:numPr>
        <w:rPr/>
      </w:pPr>
      <w:bookmarkStart w:id="140" w:name="__RefHeading___Toc297215_1346298689"/>
      <w:bookmarkEnd w:id="140"/>
      <w:r>
        <w:rPr/>
        <w:t>Subaxa 3.1 Reforma instituțională</w:t>
      </w:r>
    </w:p>
    <w:p>
      <w:pPr>
        <w:pStyle w:val="Normal"/>
        <w:rPr/>
      </w:pPr>
      <w:r>
        <w:rPr/>
        <w:t xml:space="preserve"> </w:t>
      </w:r>
    </w:p>
    <w:p>
      <w:pPr>
        <w:pStyle w:val="Normal"/>
        <w:rPr/>
      </w:pPr>
      <w:r>
        <w:rPr>
          <w:b/>
        </w:rPr>
        <w:t>15. „Recomandăm schimbarea denumirilor instituțiilor UE pentru a le clarifica funcțiile. De exemplu, Consiliul Uniunii Europene ar putea fi numit Senatul Uniunii Europene. Comisia Europeană ar putea fi numită Comisia Executivă a Uniunii Europene</w:t>
      </w:r>
      <w:r>
        <w:rPr/>
        <w:t xml:space="preserve">. </w:t>
      </w:r>
    </w:p>
    <w:p>
      <w:pPr>
        <w:pStyle w:val="Normal"/>
        <w:rPr/>
      </w:pPr>
      <w:r>
        <w:rPr/>
        <w:t xml:space="preserve"> </w:t>
      </w:r>
    </w:p>
    <w:p>
      <w:pPr>
        <w:pStyle w:val="Normal"/>
        <w:rPr/>
      </w:pPr>
      <w:r>
        <w:rPr/>
        <w:t xml:space="preserve">Recomandăm acest lucru, deoarece în prezent este dificil pentru cetățeni să înțeleagă rolurile și funcțiile fiecărei instituții a UE. Numele lor nu reflectă funcțiile lor. Nu se poate aștepta ca cetățenii să facă distincția între Consiliul Uniunii Europene, Consiliul European și Consiliul Europei. Este important să se evite suprapunerile. </w:t>
      </w:r>
    </w:p>
    <w:p>
      <w:pPr>
        <w:pStyle w:val="Normal"/>
        <w:rPr/>
      </w:pPr>
      <w:r>
        <w:rPr/>
        <w:t xml:space="preserve"> </w:t>
      </w:r>
    </w:p>
    <w:p>
      <w:pPr>
        <w:pStyle w:val="P68B1DB1Normal15"/>
        <w:rPr>
          <w:b/>
          <w:b/>
        </w:rPr>
      </w:pPr>
      <w:r>
        <w:rPr/>
        <w:t xml:space="preserve">16. Recomandăm adoptarea unei legi electorale pentru Parlamentul European, care să armonizeze condițiile electorale (vârsta dreptului de vot, data alegerilor, cerințele privind circumscripțiile electorale, candidații, partidele politice și finanțarea acestora). Cetățenii europeni ar trebui să aibă drept de vot pentru diferite partide la nivelul UE, fiecare compus din candidați din mai multe state membre. Într-o perioadă de tranziție suficientă, cetățenii ar putea vota în continuare pentru partidele naționale și transnaționale. </w:t>
      </w:r>
    </w:p>
    <w:p>
      <w:pPr>
        <w:pStyle w:val="Normal"/>
        <w:rPr/>
      </w:pPr>
      <w:r>
        <w:rPr/>
        <w:t xml:space="preserve"> </w:t>
      </w:r>
    </w:p>
    <w:p>
      <w:pPr>
        <w:pStyle w:val="Normal"/>
        <w:rPr/>
      </w:pPr>
      <w:r>
        <w:rPr/>
        <w:t xml:space="preserve">Recomandăm acest lucru deoarece Uniunea trebuie să dezvolte un sentiment de unitate, care ar putea apărea printr-o alegere cu adevărat unificată a Parlamentului European. Aceste alegeri comune vor permite împuternicirea deputaților în Parlamentul European și concentrarea campaniei electorale pe teme europene comune. </w:t>
      </w:r>
    </w:p>
    <w:p>
      <w:pPr>
        <w:pStyle w:val="Normal"/>
        <w:rPr/>
      </w:pPr>
      <w:r>
        <w:rPr/>
        <w:t xml:space="preserve"> </w:t>
      </w:r>
    </w:p>
    <w:p>
      <w:pPr>
        <w:pStyle w:val="Titre4"/>
        <w:numPr>
          <w:ilvl w:val="3"/>
          <w:numId w:val="2"/>
        </w:numPr>
        <w:rPr/>
      </w:pPr>
      <w:bookmarkStart w:id="141" w:name="__RefHeading___Toc297217_1346298689"/>
      <w:bookmarkEnd w:id="141"/>
      <w:r>
        <w:rPr/>
        <w:t xml:space="preserve">Subaxa 3.2 Procesul decizional </w:t>
      </w:r>
    </w:p>
    <w:p>
      <w:pPr>
        <w:pStyle w:val="Normal"/>
        <w:rPr/>
      </w:pPr>
      <w:r>
        <w:rPr/>
        <w:t xml:space="preserve"> </w:t>
      </w:r>
    </w:p>
    <w:p>
      <w:pPr>
        <w:pStyle w:val="P68B1DB1Normal15"/>
        <w:rPr>
          <w:b/>
          <w:b/>
        </w:rPr>
      </w:pPr>
      <w:r>
        <w:rPr/>
        <w:t xml:space="preserve">17. Vă recomandăm să creați o platformă online în care cetățenii să poată găsi și solicita informații verificate faptic. Platforma ar trebui să fie asociată în mod clar cu instituțiile UE, să fie structurată tematic și ușor accesibilă (de exemplu, prin furnizarea unei linii telefonice de urgență). Cetățenii ar trebui să aibă posibilitatea de a adresa întrebări critice experților (de exemplu, cadre universitare, jurnaliști) și de a obține răspunsuri concrete din surse. </w:t>
      </w:r>
    </w:p>
    <w:p>
      <w:pPr>
        <w:pStyle w:val="Normal"/>
        <w:rPr/>
      </w:pPr>
      <w:r>
        <w:rPr/>
        <w:t xml:space="preserve"> </w:t>
      </w:r>
    </w:p>
    <w:p>
      <w:pPr>
        <w:pStyle w:val="Normal"/>
        <w:rPr/>
      </w:pPr>
      <w:r>
        <w:rPr/>
        <w:t xml:space="preserve">Accesul liber la informații factuale este extrem de important pentru societatea noastră, astfel încât cetățenii să fie bine informați și protejați de știrile false și de dezinformare. Avem nevoie de o sursă credibilă și independentă de informații care să nu fie influențată de interesele politice, economice și naționale. În plus, platforma poate stabili o punte (adică o relație directă) între cetățeni și UE. </w:t>
      </w:r>
    </w:p>
    <w:p>
      <w:pPr>
        <w:pStyle w:val="Normal"/>
        <w:rPr/>
      </w:pPr>
      <w:r>
        <w:rPr/>
      </w:r>
    </w:p>
    <w:p>
      <w:pPr>
        <w:pStyle w:val="P68B1DB1Normal15"/>
        <w:rPr>
          <w:b/>
          <w:b/>
        </w:rPr>
      </w:pPr>
      <w:r>
        <w:rPr/>
        <w:t xml:space="preserve">18. Recomandăm organizarea unui referendum la nivelul UE în cazuri excepționale cu privire la chestiuni de mare importanță pentru toți cetățenii europeni. Referendumul ar trebui lansat de Parlamentul European și ar trebui să fie obligatoriu din punct de vedere juridic. </w:t>
      </w:r>
    </w:p>
    <w:p>
      <w:pPr>
        <w:pStyle w:val="Normal"/>
        <w:rPr/>
      </w:pPr>
      <w:r>
        <w:rPr/>
        <w:t xml:space="preserve"> </w:t>
      </w:r>
    </w:p>
    <w:p>
      <w:pPr>
        <w:pStyle w:val="Normal"/>
        <w:rPr/>
      </w:pPr>
      <w:r>
        <w:rPr/>
        <w:t xml:space="preserve">Cetățenii UE ar trebui să aibă o influență mai directă asupra deciziilor importante privind chestiunile europene. Cu toate acestea, referendumurile ar trebui să aibă loc numai în circumstanțe excepționale, deoarece, având în vedere costul lor ridicat, nu ar fi posibil să fie organizate în mod regulat. Suntem conștienți de faptul că această recomandare poate necesita o modificare a tratatului și adaptarea constituțiilor naționale. </w:t>
      </w:r>
    </w:p>
    <w:p>
      <w:pPr>
        <w:pStyle w:val="Normal"/>
        <w:rPr/>
      </w:pPr>
      <w:r>
        <w:rPr/>
        <w:t xml:space="preserve"> </w:t>
      </w:r>
    </w:p>
    <w:p>
      <w:pPr>
        <w:pStyle w:val="P68B1DB1Normal15"/>
        <w:rPr>
          <w:b/>
          <w:b/>
        </w:rPr>
      </w:pPr>
      <w:r>
        <w:rPr/>
        <w:t xml:space="preserve">19. Recomandăm crearea unei platforme digitale multifuncționale prin care cetățenii să poată vota în alegerile și sondajele online. Cetățenii ar trebui să aibă posibilitatea de a-și motiva votul pe teme importante și propuneri legislative din partea instituțiilor europene. Această platformă ar trebui să fie sigură, accesibilă pe scară largă și foarte vizibilă pentru fiecare cetățean. </w:t>
      </w:r>
    </w:p>
    <w:p>
      <w:pPr>
        <w:pStyle w:val="Normal"/>
        <w:rPr/>
      </w:pPr>
      <w:r>
        <w:rPr/>
        <w:t xml:space="preserve"> </w:t>
      </w:r>
    </w:p>
    <w:p>
      <w:pPr>
        <w:pStyle w:val="Normal"/>
        <w:rPr/>
      </w:pPr>
      <w:r>
        <w:rPr/>
        <w:t xml:space="preserve">Scopul acestei platforme este de a spori participarea la politica europeană și de a facilita accesul cetățenilor la consultare și la vot. Instrumentele și procesele existente nu sunt suficient de vizibile și de aceea avem nevoie de un nou instrument integrat pentru aceste funcții diferite. O mai mare participare duce la decizii mai bune, la o mai mare încredere în rândul cetățenilor europeni și la o mai bună funcționare a Uniunii în general. </w:t>
      </w:r>
    </w:p>
    <w:p>
      <w:pPr>
        <w:pStyle w:val="Normal"/>
        <w:rPr/>
      </w:pPr>
      <w:r>
        <w:rPr/>
        <w:t xml:space="preserve"> </w:t>
      </w:r>
    </w:p>
    <w:p>
      <w:pPr>
        <w:pStyle w:val="P68B1DB1Normal15"/>
        <w:rPr>
          <w:b/>
          <w:b/>
        </w:rPr>
      </w:pPr>
      <w:r>
        <w:rPr/>
        <w:t xml:space="preserve">20. „Recomandăm ca sistemele de vot din instituțiile UE să fie reevaluate concentrându-se asupra chestiunii votului în unanimitate. „Ponderea” voturilor ar trebui calculată în mod echitabil, pentru a proteja interesele țărilor mici. </w:t>
      </w:r>
    </w:p>
    <w:p>
      <w:pPr>
        <w:pStyle w:val="Normal"/>
        <w:rPr/>
      </w:pPr>
      <w:r>
        <w:rPr/>
        <w:t xml:space="preserve"> </w:t>
      </w:r>
    </w:p>
    <w:p>
      <w:pPr>
        <w:pStyle w:val="Normal"/>
        <w:rPr/>
      </w:pPr>
      <w:r>
        <w:rPr/>
        <w:t xml:space="preserve">Unanimitatea este o provocare importantă pentru procesul decizional în UE. Având în vedere numărul mare de state membre, este foarte dificil să se ajungă la un acord. Dacă este necesar, tratatele europene ar trebui modificate pentru a soluționa problema unanimității. </w:t>
      </w:r>
    </w:p>
    <w:p>
      <w:pPr>
        <w:pStyle w:val="Normal"/>
        <w:rPr/>
      </w:pPr>
      <w:r>
        <w:rPr/>
        <w:t xml:space="preserve"> </w:t>
      </w:r>
    </w:p>
    <w:p>
      <w:pPr>
        <w:pStyle w:val="Titre4"/>
        <w:numPr>
          <w:ilvl w:val="3"/>
          <w:numId w:val="2"/>
        </w:numPr>
        <w:rPr/>
      </w:pPr>
      <w:bookmarkStart w:id="142" w:name="__RefHeading___Toc297219_1346298689"/>
      <w:bookmarkEnd w:id="142"/>
      <w:r>
        <w:rPr/>
        <w:t xml:space="preserve">Subaxa 3.3 Integrare mai strânsă </w:t>
      </w:r>
    </w:p>
    <w:p>
      <w:pPr>
        <w:pStyle w:val="Normal"/>
        <w:rPr/>
      </w:pPr>
      <w:r>
        <w:rPr/>
        <w:t xml:space="preserve"> </w:t>
      </w:r>
    </w:p>
    <w:p>
      <w:pPr>
        <w:pStyle w:val="P68B1DB1Normal15"/>
        <w:rPr>
          <w:b/>
          <w:b/>
        </w:rPr>
      </w:pPr>
      <w:r>
        <w:rPr/>
        <w:t xml:space="preserve">21. „Recomandăm Uniunii să facă investiții publice care să conducă la crearea de locuri de muncă adecvate și la îmbunătățirea și armonizarea calității vieții în întreaga Uniune, între statele membre și în statele membre (și anume, la nivel regional). Este necesar să se asigure supravegherea, transparența și comunicarea eficace cu cetățenii în ceea ce privește punerea în aplicare a investițiilor publice și să se permită cetățenilor să monitorizeze întregul proces de investiții. Pentru o mai bună calitate a vieții, ar trebui făcute investiții în domenii precum educația, sănătatea, locuințele, infrastructura fizică, îngrijirea persoanelor în vârstă și a persoanelor cu handicap, ținând seama de nevoile fiecărui stat membru. Investițiile suplimentare ar trebui să vizeze stabilirea unui bun echilibru între o viață profesională adecvată și cea personală, pentru a permite un stil de viață sănătos. </w:t>
      </w:r>
    </w:p>
    <w:p>
      <w:pPr>
        <w:pStyle w:val="Normal"/>
        <w:rPr/>
      </w:pPr>
      <w:r>
        <w:rPr/>
        <w:t xml:space="preserve"> </w:t>
      </w:r>
    </w:p>
    <w:p>
      <w:pPr>
        <w:pStyle w:val="Normal"/>
        <w:rPr/>
      </w:pPr>
      <w:r>
        <w:rPr/>
        <w:t xml:space="preserve">Recomandăm această măsură deoarece armonizarea nivelului de trai în Uniune va îmbunătăți progresul economic în întreaga Uniune, ceea ce va duce la o Uniune Europeană unificată. Acesta este un indicator-cheie pentru o mai bună integrare a Uniunii. Deși unele dintre aceste mecanisme sunt deja în vigoare, considerăm că acestea pot fi încă îmbunătățite. </w:t>
      </w:r>
    </w:p>
    <w:p>
      <w:pPr>
        <w:pStyle w:val="Normal"/>
        <w:rPr/>
      </w:pPr>
      <w:r>
        <w:rPr/>
        <w:t xml:space="preserve"> </w:t>
      </w:r>
    </w:p>
    <w:p>
      <w:pPr>
        <w:pStyle w:val="P68B1DB1Normal15"/>
        <w:rPr>
          <w:b/>
          <w:b/>
        </w:rPr>
      </w:pPr>
      <w:r>
        <w:rPr/>
        <w:t xml:space="preserve">22. „Recomandăm stabilirea unei baze comune, bazată pe un set de indicatori economici și de calitate a vieții, pentru toate statele membre, pentru a oferi șanse egale și pentru a plasa toată lumea pe picior de egalitate pentru a realiza o structură economică comună. Este important ca această bază comună să fie stabilită în conformitate cu un calendar clar și realist stabilit de instituții la recomandarea experților. Experții ar trebui, de asemenea, consultați cu privire la forma unei astfel de structuri economice comune. De asemenea, este important ca indicatorii pe care se bazează această bază comună să fie definiți mai precis cu ajutorul experților. </w:t>
      </w:r>
    </w:p>
    <w:p>
      <w:pPr>
        <w:pStyle w:val="Normal"/>
        <w:rPr/>
      </w:pPr>
      <w:r>
        <w:rPr/>
        <w:t xml:space="preserve"> </w:t>
      </w:r>
    </w:p>
    <w:p>
      <w:pPr>
        <w:pStyle w:val="Normal"/>
        <w:rPr/>
      </w:pPr>
      <w:r>
        <w:rPr/>
        <w:t xml:space="preserve">Recomandăm acest lucru pentru că, dacă avem o Uniune echitabilă, vom avea o Europă mai unită. Pentru a fi echitabili, trebuie să oferim șanse egale și o bază comună pentru întreaga Uniune. Va fi posibilă realizarea unei structuri economice comune numai după stabilirea unei baze comune. </w:t>
      </w:r>
    </w:p>
    <w:p>
      <w:pPr>
        <w:pStyle w:val="Normal"/>
        <w:rPr/>
      </w:pPr>
      <w:r>
        <w:rPr/>
        <w:t xml:space="preserve"> </w:t>
      </w:r>
    </w:p>
    <w:p>
      <w:pPr>
        <w:pStyle w:val="P68B1DB1Normal15"/>
        <w:rPr>
          <w:b/>
          <w:b/>
        </w:rPr>
      </w:pPr>
      <w:r>
        <w:rPr/>
        <w:t xml:space="preserve">23. Recomandăm impozitarea companiilor mari și a veniturilor întreprinderilor pentru a contribui la investițiile publice și utilizarea impozitării pentru a investi în educație și dezvoltare în fiecare țară (C &amp; D, burse – Erasmus etc.). De asemenea, este important să se asigure eliminarea paradisurilor fiscale în UE.” </w:t>
      </w:r>
    </w:p>
    <w:p>
      <w:pPr>
        <w:pStyle w:val="Normal"/>
        <w:rPr/>
      </w:pPr>
      <w:r>
        <w:rPr/>
        <w:t xml:space="preserve"> </w:t>
      </w:r>
    </w:p>
    <w:p>
      <w:pPr>
        <w:pStyle w:val="Normal"/>
        <w:rPr/>
      </w:pPr>
      <w:r>
        <w:rPr/>
        <w:t xml:space="preserve">Recomandăm această măsură, deoarece va contribui la prevenirea evaziunii fiscale și la crearea de paradisuri fiscale și va promova respectarea normelor. </w:t>
      </w:r>
    </w:p>
    <w:p>
      <w:pPr>
        <w:pStyle w:val="Normal"/>
        <w:rPr/>
      </w:pPr>
      <w:r>
        <w:rPr/>
      </w:r>
    </w:p>
    <w:p>
      <w:pPr>
        <w:pStyle w:val="Titre3"/>
        <w:numPr>
          <w:ilvl w:val="2"/>
          <w:numId w:val="2"/>
        </w:numPr>
        <w:rPr/>
      </w:pPr>
      <w:bookmarkStart w:id="143" w:name="__RefHeading___Toc297221_1346298689"/>
      <w:bookmarkEnd w:id="143"/>
      <w:r>
        <w:rPr/>
        <w:t xml:space="preserve">Axa 4: Construirea unei identități europene </w:t>
      </w:r>
    </w:p>
    <w:p>
      <w:pPr>
        <w:pStyle w:val="Normal"/>
        <w:rPr/>
      </w:pPr>
      <w:r>
        <w:rPr/>
        <w:t xml:space="preserve"> </w:t>
      </w:r>
    </w:p>
    <w:p>
      <w:pPr>
        <w:pStyle w:val="Titre4"/>
        <w:numPr>
          <w:ilvl w:val="3"/>
          <w:numId w:val="2"/>
        </w:numPr>
        <w:rPr/>
      </w:pPr>
      <w:bookmarkStart w:id="144" w:name="__RefHeading___Toc297223_1346298689"/>
      <w:bookmarkEnd w:id="144"/>
      <w:r>
        <w:rPr/>
        <w:t xml:space="preserve">Subaxa 4.1 Educație pentru democrație </w:t>
      </w:r>
    </w:p>
    <w:p>
      <w:pPr>
        <w:pStyle w:val="Normal"/>
        <w:rPr/>
      </w:pPr>
      <w:r>
        <w:rPr/>
        <w:t xml:space="preserve"> </w:t>
      </w:r>
    </w:p>
    <w:p>
      <w:pPr>
        <w:pStyle w:val="P68B1DB1Normal15"/>
        <w:rPr>
          <w:b/>
          <w:b/>
        </w:rPr>
      </w:pPr>
      <w:r>
        <w:rPr/>
        <w:t xml:space="preserve">24. Recomandăm ca educația pentru democrație în UE să îmbunătățească și să atingă un nivel minim de cunoștințe în toate statele membre. Această educație ar trebui să acopere, dar fără a se limita la acestea, procesele democratice și informațiile generale privind Uniunea, care ar trebui predate în toate statele membre ale UE. Ea ar trebui să fie îmbogățită printr-un set de concepte diferite care vizează predarea procesului democratic, care ar trebui să fie atractiv și adecvat vârstei. </w:t>
      </w:r>
    </w:p>
    <w:p>
      <w:pPr>
        <w:pStyle w:val="Normal"/>
        <w:rPr/>
      </w:pPr>
      <w:r>
        <w:rPr/>
        <w:t xml:space="preserve"> </w:t>
      </w:r>
    </w:p>
    <w:p>
      <w:pPr>
        <w:pStyle w:val="Normal"/>
        <w:rPr/>
      </w:pPr>
      <w:r>
        <w:rPr/>
        <w:t xml:space="preserve">Această recomandare și motivele acesteia sunt importante, deoarece, dacă va fi pusă în aplicare, va duce la o viață mai armonioasă și mai democratică în Uniune. Justificările sunt următoarele: tinerii ar urma să fie educați în procesele democratice; această educație ar putea limita populismul și dezinformarea în dezbaterea publică; ar putea reduce discriminarea; și, în cele din urmă, ar face posibilă educarea și mobilizarea cetățenilor pentru democrație dincolo de simpla lor datorie de a vota. </w:t>
      </w:r>
    </w:p>
    <w:p>
      <w:pPr>
        <w:pStyle w:val="Normal"/>
        <w:rPr/>
      </w:pPr>
      <w:r>
        <w:rPr/>
        <w:t xml:space="preserve"> </w:t>
      </w:r>
    </w:p>
    <w:p>
      <w:pPr>
        <w:pStyle w:val="P68B1DB1Normal15"/>
        <w:rPr>
          <w:b/>
          <w:b/>
        </w:rPr>
      </w:pPr>
      <w:r>
        <w:rPr/>
        <w:t xml:space="preserve">25. „Recomandăm ca tehnologiile de traducere existente și emergente, cum ar fi inteligența artificială, să fie dezvoltate în continuare, îmbunătățite și să devină mai accesibile pentru a reduce barierele lingvistice și a consolida identitatea comună și democrația în UE.” </w:t>
      </w:r>
    </w:p>
    <w:p>
      <w:pPr>
        <w:pStyle w:val="Normal"/>
        <w:rPr/>
      </w:pPr>
      <w:r>
        <w:rPr/>
        <w:t xml:space="preserve"> </w:t>
      </w:r>
    </w:p>
    <w:p>
      <w:pPr>
        <w:pStyle w:val="Normal"/>
        <w:rPr/>
      </w:pPr>
      <w:r>
        <w:rPr/>
        <w:t xml:space="preserve">Această recomandare și motivele acesteia sunt importante, deoarece, dacă va fi pusă în aplicare, va contribui la construirea unei identități europene comune prin îmbunătățirea comunicării între cetățenii tuturor statelor membre. </w:t>
      </w:r>
    </w:p>
    <w:p>
      <w:pPr>
        <w:pStyle w:val="Normal"/>
        <w:rPr/>
      </w:pPr>
      <w:r>
        <w:rPr/>
        <w:t xml:space="preserve"> </w:t>
      </w:r>
    </w:p>
    <w:p>
      <w:pPr>
        <w:pStyle w:val="P68B1DB1Normal15"/>
        <w:rPr>
          <w:b/>
          <w:b/>
        </w:rPr>
      </w:pPr>
      <w:r>
        <w:rPr/>
        <w:t xml:space="preserve">26. Recomandăm ca informațiile verificabile să fie ușor accesibile, în termeni ușor de înțeles, cetățenilor prin intermediul unei aplicații mobile, pentru a îmbunătăți transparența, dezbaterea publică și democrația. Această aplicație ar putea fi utilizată pentru a disemina informații privind, de exemplu, legislația, discuțiile în cadrul UE, modificările tratatelor etc. </w:t>
      </w:r>
    </w:p>
    <w:p>
      <w:pPr>
        <w:pStyle w:val="Normal"/>
        <w:rPr/>
      </w:pPr>
      <w:r>
        <w:rPr/>
        <w:t xml:space="preserve"> </w:t>
      </w:r>
    </w:p>
    <w:p>
      <w:pPr>
        <w:pStyle w:val="Normal"/>
        <w:rPr/>
      </w:pPr>
      <w:r>
        <w:rPr/>
        <w:t xml:space="preserve">Această recomandare și motivele acesteia sunt importante, deoarece, dacă este pusă în aplicare, va facilita comunicarea în măsura în care va permite o dezbatere mai informată în rândul cetățenilor diferitelor state membre, printr-o cerere care ar putea avea multe funcții diferite. Această aplicație ar trebui să fie concepută astfel încât să fie de interes pentru toată lumea și capabilă să atragă în continuare curiozitatea și să facă informațiile tehnice mai accesibile și mai atractive. Cererea ar trebui privită ca o sursă complementară, care difuzează informații verificate în mod oficial direct de Uniune pentru a îmbunătăți încrederea și transparența în dezbaterea publică și pentru a contribui la construirea unei identități europene comune. </w:t>
      </w:r>
    </w:p>
    <w:p>
      <w:pPr>
        <w:pStyle w:val="Normal"/>
        <w:rPr/>
      </w:pPr>
      <w:r>
        <w:rPr/>
      </w:r>
    </w:p>
    <w:p>
      <w:pPr>
        <w:pStyle w:val="Titre4"/>
        <w:numPr>
          <w:ilvl w:val="3"/>
          <w:numId w:val="2"/>
        </w:numPr>
        <w:rPr/>
      </w:pPr>
      <w:bookmarkStart w:id="145" w:name="__RefHeading___Toc297225_1346298689"/>
      <w:bookmarkEnd w:id="145"/>
      <w:r>
        <w:rPr/>
        <w:t xml:space="preserve">Subaxa 4.2 Valori și identitate europeană </w:t>
      </w:r>
    </w:p>
    <w:p>
      <w:pPr>
        <w:pStyle w:val="Normal"/>
        <w:rPr/>
      </w:pPr>
      <w:r>
        <w:rPr/>
        <w:t xml:space="preserve"> </w:t>
      </w:r>
    </w:p>
    <w:p>
      <w:pPr>
        <w:pStyle w:val="P68B1DB1Normal15"/>
        <w:rPr>
          <w:b/>
          <w:b/>
        </w:rPr>
      </w:pPr>
      <w:r>
        <w:rPr/>
        <w:t xml:space="preserve">27. „Recomandăm ca UE să înființeze un fond special pentru interacțiunile online și offline (de exemplu, programe de schimb, grupuri de experți, reuniuni) de scurtă durată și lungă durată între cetățenii UE, pentru a consolida identitatea europeană. Participanții ar trebui să fie reprezentativi pentru societate în cadrul Uniunii, inclusiv grupuri selectate în mod specific pe baza diferitelor criterii, și anume criterii demografice, socioeconomice și profesionale. Obiectivele acestui fond trebuie precizate în mod clar pentru a promova identitatea europeană, iar acest fond ar trebui evaluat la intervale regulate. </w:t>
      </w:r>
    </w:p>
    <w:p>
      <w:pPr>
        <w:pStyle w:val="Normal"/>
        <w:rPr/>
      </w:pPr>
      <w:r>
        <w:rPr/>
        <w:t xml:space="preserve"> </w:t>
      </w:r>
    </w:p>
    <w:p>
      <w:pPr>
        <w:pStyle w:val="Normal"/>
        <w:rPr/>
      </w:pPr>
      <w:r>
        <w:rPr/>
        <w:t xml:space="preserve">Recomandăm acest lucru, deoarece acest tip de interacțiune permite cetățenilor să facă schimb de idei, iar schimburile mai lungi le permit să înțeleagă diferite culturi și să împărtășească experiențe, inclusiv practici profesionale. Este nevoie de un fond al UE, deoarece este important ca toată lumea să poată participa, inclusiv cei care nu participă de obicei. </w:t>
      </w:r>
    </w:p>
    <w:p>
      <w:pPr>
        <w:pStyle w:val="Normal"/>
        <w:rPr/>
      </w:pPr>
      <w:r>
        <w:rPr/>
        <w:t xml:space="preserve"> </w:t>
      </w:r>
    </w:p>
    <w:p>
      <w:pPr>
        <w:pStyle w:val="P68B1DB1Normal15"/>
        <w:rPr>
          <w:b/>
          <w:b/>
        </w:rPr>
      </w:pPr>
      <w:r>
        <w:rPr/>
        <w:t xml:space="preserve">28. „Recomandăm ca UE să investească rapid în lupta împotriva dezinformării, sprijinind organizațiile și inițiativele existente, cum ar fi Codul de bune practici privind dezinformarea și Observatorul european al mass-mediei digitale, precum și inițiative comparabile în statele membre. Ar putea fi instituite diferite contramăsuri: verificarea faptelor, sensibilizarea cu privire la dezinformare, producerea de statistici ușor accesibile, impunerea de sancțiuni adecvate în temeiul unui cadru juridic pentru persoanele care diseminează dezinformarea și combaterea surselor de dezinformare. </w:t>
      </w:r>
    </w:p>
    <w:p>
      <w:pPr>
        <w:pStyle w:val="Normal"/>
        <w:rPr/>
      </w:pPr>
      <w:r>
        <w:rPr/>
        <w:t xml:space="preserve"> </w:t>
      </w:r>
    </w:p>
    <w:p>
      <w:pPr>
        <w:pStyle w:val="Normal"/>
        <w:rPr/>
      </w:pPr>
      <w:r>
        <w:rPr/>
        <w:t xml:space="preserve">Această recomandare este importantă deoarece dezinformarea și dezinformarea, atât din interiorul, cât și din afara UE, au ca efect crearea de conflicte între cetățenii UE, polarizarea societății, punerea în pericol a democrației și afectarea economiei. Având în vedere complexitatea subiectului, sunt necesare resurse umane și financiare semnificative. </w:t>
      </w:r>
    </w:p>
    <w:p>
      <w:pPr>
        <w:pStyle w:val="Normal"/>
        <w:rPr/>
      </w:pPr>
      <w:r>
        <w:rPr/>
        <w:t xml:space="preserve"> </w:t>
      </w:r>
    </w:p>
    <w:p>
      <w:pPr>
        <w:pStyle w:val="P68B1DB1Normal15"/>
        <w:rPr>
          <w:b/>
          <w:b/>
        </w:rPr>
      </w:pPr>
      <w:r>
        <w:rPr/>
        <w:t xml:space="preserve">29. „Recomandăm 1) creșterea frecvenței interacțiunilor online și offline dintre Uniune și cetățenii săi (adică prin intervievarea directă a cetățenilor pe teme europene și prin crearea unei platforme ușor de utilizat pentru a se asigura că fiecare cetățean poate interacționa cu instituțiile și funcționarii UE); și 2) asigurarea faptului că cetățenii pot participa la procesul de elaborare a politicilor UE, își pot exprima opiniile și primesc feedback și recomandăm crearea unei Carte sau a unui cod de conduită sau orientări pentru funcționarii UE. Ar trebui să existe diferite mijloace de interacțiune, astfel încât fiecare cetățean să poată participa. </w:t>
      </w:r>
    </w:p>
    <w:p>
      <w:pPr>
        <w:pStyle w:val="Normal"/>
        <w:rPr/>
      </w:pPr>
      <w:r>
        <w:rPr/>
        <w:t xml:space="preserve"> </w:t>
      </w:r>
    </w:p>
    <w:p>
      <w:pPr>
        <w:pStyle w:val="Normal"/>
        <w:rPr/>
      </w:pPr>
      <w:r>
        <w:rPr/>
        <w:t xml:space="preserve">Recomandăm această măsură deoarece există mai multe modalități de a lua legătura cu instituțiile europene (platforme online, organisme reprezentative), dar acestea nu sunt cunoscute, nu sunt eficace și nu sunt transparente. Accesibilitatea variază considerabil de la o țară la alta. Interacțiunile mai frecvente și mai bune vor da naștere unui sentiment de apartenență la cetățenia europeană. </w:t>
      </w:r>
    </w:p>
    <w:p>
      <w:pPr>
        <w:pStyle w:val="Normal"/>
        <w:rPr/>
      </w:pPr>
      <w:r>
        <w:rPr/>
        <w:t xml:space="preserve"> </w:t>
      </w:r>
    </w:p>
    <w:p>
      <w:pPr>
        <w:pStyle w:val="P68B1DB1Normal15"/>
        <w:rPr>
          <w:b/>
          <w:b/>
        </w:rPr>
      </w:pPr>
      <w:r>
        <w:rPr/>
        <w:t xml:space="preserve">30. Recomandăm ca identitatea și valorile europene (și anume statul de drept, democrația și solidaritatea) să joace un rol special în procesul de integrare a migranților. Pot fi avute în vedere diferite măsuri, cum ar fi crearea de programe sau sprijinirea programelor (locale) deja existente, pentru a încuraja interacțiunile sociale dintre migranți și cetățenii UE sau participarea întreprinderilor la programe de sprijinire a integrării migranților. În același timp, ar trebui lansate programe similare pentru a sensibiliza cetățenii UE cu privire la aspectele legate de migrație. </w:t>
      </w:r>
    </w:p>
    <w:p>
      <w:pPr>
        <w:pStyle w:val="Normal"/>
        <w:rPr/>
      </w:pPr>
      <w:r>
        <w:rPr/>
        <w:t xml:space="preserve"> </w:t>
      </w:r>
    </w:p>
    <w:p>
      <w:pPr>
        <w:pStyle w:val="Normal"/>
        <w:rPr/>
      </w:pPr>
      <w:r>
        <w:rPr/>
        <w:t xml:space="preserve">Această recomandare este importantă, deoarece programele de interacțiune socială pot ajuta migranții în noile lor vieți și le permit nemigranților să înțeleagă mai bine viața de zi cu zi a migranților. Dacă migranții trăiesc în ghetouri, nu există posibilitatea de a-i integra în societate la nivel național sau la nivelul UE. Este necesară o politică comună, deoarece, odată ce migranții intră pe teritoriul Uniunii, aceștia pot merge în toate țările UE. Inițiativele locale ar trebui sprijinite, deoarece administrațiile locale vor utiliza fondurile mai eficient decât la nivel național. </w:t>
      </w:r>
    </w:p>
    <w:p>
      <w:pPr>
        <w:pStyle w:val="Normal"/>
        <w:rPr/>
      </w:pPr>
      <w:r>
        <w:rPr/>
        <w:t xml:space="preserve"> </w:t>
      </w:r>
    </w:p>
    <w:p>
      <w:pPr>
        <w:pStyle w:val="Titre4"/>
        <w:numPr>
          <w:ilvl w:val="3"/>
          <w:numId w:val="2"/>
        </w:numPr>
        <w:rPr/>
      </w:pPr>
      <w:bookmarkStart w:id="146" w:name="__RefHeading___Toc297227_1346298689"/>
      <w:bookmarkEnd w:id="146"/>
      <w:r>
        <w:rPr/>
        <w:t xml:space="preserve">Subaxa 4.3 Informații UE </w:t>
      </w:r>
    </w:p>
    <w:p>
      <w:pPr>
        <w:pStyle w:val="Normal"/>
        <w:rPr/>
      </w:pPr>
      <w:r>
        <w:rPr/>
        <w:t xml:space="preserve"> </w:t>
      </w:r>
    </w:p>
    <w:p>
      <w:pPr>
        <w:pStyle w:val="P68B1DB1Normal15"/>
        <w:rPr>
          <w:b/>
          <w:b/>
        </w:rPr>
      </w:pPr>
      <w:r>
        <w:rPr/>
        <w:t xml:space="preserve">31. „Recomandăm ca UE să informeze mai bine cetățenii europeni. În acest scop, Uniunea ar trebui să utilizeze toate mijloacele necesare, respectând în același timp libertatea și independența mass-mediei. Acesta ar trebui să pună la dispoziția mass-mediei resurse și informații generale și fiabile cu privire la activitățile și politicile Uniunii. Uniunea ar trebui să se asigure că informațiile sunt difuzate în mod egal în toate statele membre prin intermediul mass-mediei naționale și europene și să se asigure că statele membre încurajează radiodifuzorii publici și agențiile publice de știri să abordeze problemele europene.” </w:t>
      </w:r>
    </w:p>
    <w:p>
      <w:pPr>
        <w:pStyle w:val="Normal"/>
        <w:rPr/>
      </w:pPr>
      <w:r>
        <w:rPr/>
      </w:r>
    </w:p>
    <w:p>
      <w:pPr>
        <w:pStyle w:val="Normal"/>
        <w:rPr/>
      </w:pPr>
      <w:r>
        <w:rPr/>
        <w:t xml:space="preserve">Recomandăm acest lucru deoarece, din experiența noastră personală și conform datelor Eurobarometru, majoritatea cetățenilor europeni sunt informați de mass-media principală (presă, radio și televiziune), iar aceste canale oferă în prezent foarte puține informații despre UE. Mass-media, inclusiv mass-media publică, au o funcție de serviciu public. Prin urmare, este esențial să se abordeze problemele europene care afectează populația europeană pentru a îndeplini această funcție. Recomandăm ca informațiile UE difuzate în diferite state membre să fie aceleași pentru a promova integrarea și recomandăm evitarea informațiilor divergente cu privire la diferite aspecte din fiecare țară. Este mai convenabil și mai ieftin să utilizați canalele media existente decât să creați un nou canal, pentru același rezultat. Canalele existente au, de asemenea, avantajul de a fi deja cunoscute de cetățeni. Niciun cetățean nu ar trebui să aleagă între diferite canale pentru a accesa conținuturi diferite (naționale sau europene). </w:t>
      </w:r>
    </w:p>
    <w:p>
      <w:pPr>
        <w:pStyle w:val="Normal"/>
        <w:rPr/>
      </w:pPr>
      <w:r>
        <w:rPr/>
        <w:t xml:space="preserve"> </w:t>
      </w:r>
    </w:p>
    <w:p>
      <w:pPr>
        <w:pStyle w:val="P68B1DB1Normal15"/>
        <w:rPr>
          <w:b/>
          <w:b/>
        </w:rPr>
      </w:pPr>
      <w:r>
        <w:rPr/>
        <w:t xml:space="preserve">32. „Recomandăm UE să creeze și să promoveze forumuri online multilingve și reuniuni offline care să le permită cetățenilor să se angajeze într-o dezbatere cu reprezentanții UE, indiferent de subiectul și de domeniul geografic de aplicare al problemei ridicate. Răspunsurile la întrebările adresate în cadrul acestor forumuri online și reuniuni offline ar trebui furnizate într-un interval de timp scurt bine definit. Toate informațiile referitoare la aceste spații ar trebui centralizate pe un site web oficial integrat cu caracteristici diferite, cum ar fi un spațiu pentru întrebări frecvente, posibilitatea de a împărtăși idei, propuneri sau preocupări cu alți cetățeni, precum și un mecanism care să indice care dintre acestea primesc cel mai mult sprijin. În orice caz, accesul la acest site ar trebui să fie ușor și ar trebui utilizat un limbaj non-birocratic. </w:t>
      </w:r>
    </w:p>
    <w:p>
      <w:pPr>
        <w:pStyle w:val="Normal"/>
        <w:rPr/>
      </w:pPr>
      <w:r>
        <w:rPr/>
        <w:t xml:space="preserve"> </w:t>
      </w:r>
    </w:p>
    <w:p>
      <w:pPr>
        <w:pStyle w:val="Normal"/>
        <w:rPr/>
      </w:pPr>
      <w:r>
        <w:rPr/>
        <w:t xml:space="preserve">Recomandăm acest lucru deoarece este o modalitate de a crea o punte directă între cetățenii europeni și reprezentanții europeni pentru a vorbi și a se angaja împreună, pentru a le oferi cetățenilor un acces facil la informații despre Uniune și pentru a-i informa mai bine cu privire la informațiile deja disponibile. Acest lucru va crea o Uniune mai transparentă și mai deschisă și va ajuta cetățenii să își împărtășească problemele și reflecțiile și să primească răspunsuri și soluții politice și va permite cetățenilor să se implice și să împărtășească perspective și experiențe cu alți cetățeni. </w:t>
      </w:r>
    </w:p>
    <w:p>
      <w:pPr>
        <w:pStyle w:val="Normal"/>
        <w:rPr/>
      </w:pPr>
      <w:r>
        <w:rPr/>
        <w:t xml:space="preserve"> </w:t>
      </w:r>
    </w:p>
    <w:p>
      <w:pPr>
        <w:pStyle w:val="Normal"/>
        <w:rPr>
          <w:b/>
          <w:b/>
        </w:rPr>
      </w:pPr>
      <w:r>
        <w:rPr>
          <w:b/>
        </w:rPr>
        <w:t xml:space="preserve">33. </w:t>
      </w:r>
      <w:commentRangeStart w:id="4"/>
      <w:r>
        <w:rPr>
          <w:b/>
          <w:i/>
        </w:rPr>
        <w:t>„Recomandăm ca instituțiile și reprezentanții UE să utilizeze un limbaj mai accesibil și să evite utilizarea termenilor birocratici în comunicările lor, menținând în același timp calitatea și nivelul tehnic al informațiilor furnizate.</w:t>
      </w:r>
      <w:r>
        <w:rPr>
          <w:b/>
        </w:rPr>
        <w:t xml:space="preserve"> Uniunea</w:t>
      </w:r>
      <w:r>
        <w:rPr>
          <w:b/>
        </w:rPr>
      </w:r>
      <w:commentRangeEnd w:id="4"/>
      <w:r>
        <w:commentReference w:id="4"/>
      </w:r>
      <w:r>
        <w:rPr>
          <w:b/>
        </w:rPr>
        <w:t xml:space="preserve">ar trebui, de asemenea, să adapteze informațiile pe care le oferă cetățenilor care utilizează diferite canale de comunicare și diferite categorii de public (de exemplu, ziare, televiziune, platforme de comunicare socială). UE ar trebui să depună un efort special pentru a adapta comunicarea la mass-media digitală pentru a-și spori capacitatea de a se adresa tinerilor.” </w:t>
      </w:r>
    </w:p>
    <w:p>
      <w:pPr>
        <w:pStyle w:val="Normal"/>
        <w:rPr/>
      </w:pPr>
      <w:r>
        <w:rPr/>
        <w:t xml:space="preserve"> </w:t>
      </w:r>
    </w:p>
    <w:p>
      <w:pPr>
        <w:pStyle w:val="Normal"/>
        <w:rPr/>
      </w:pPr>
      <w:r>
        <w:rPr/>
        <w:t xml:space="preserve">Recomandăm această măsură, deoarece furnizarea de informații inteligibile va permite Uniunii să ajungă la mai mulți cetățeni europeni, nu doar la cei implicați. Cu ajutorul unor noi instrumente moderne pentru a viza anumite categorii de public, cetățenii vor înțelege mai bine activitățile și politicile UE, în special tinerii care nu se simt apropiați sau atașați de UE. </w:t>
      </w:r>
    </w:p>
    <w:p>
      <w:pPr>
        <w:pStyle w:val="Normal"/>
        <w:rPr/>
      </w:pPr>
      <w:r>
        <w:rPr/>
      </w:r>
    </w:p>
    <w:p>
      <w:pPr>
        <w:pStyle w:val="Titre3"/>
        <w:numPr>
          <w:ilvl w:val="2"/>
          <w:numId w:val="2"/>
        </w:numPr>
        <w:rPr/>
      </w:pPr>
      <w:bookmarkStart w:id="147" w:name="__RefHeading___Toc297229_1346298689"/>
      <w:bookmarkEnd w:id="147"/>
      <w:r>
        <w:rPr/>
        <w:t xml:space="preserve">Axa 5: Consolidarea participării cetățenilor </w:t>
      </w:r>
    </w:p>
    <w:p>
      <w:pPr>
        <w:pStyle w:val="Normal"/>
        <w:rPr/>
      </w:pPr>
      <w:r>
        <w:rPr/>
        <w:t xml:space="preserve"> </w:t>
      </w:r>
    </w:p>
    <w:p>
      <w:pPr>
        <w:pStyle w:val="Titre4"/>
        <w:numPr>
          <w:ilvl w:val="3"/>
          <w:numId w:val="2"/>
        </w:numPr>
        <w:rPr/>
      </w:pPr>
      <w:bookmarkStart w:id="148" w:name="__RefHeading___Toc297231_1346298689"/>
      <w:bookmarkEnd w:id="148"/>
      <w:r>
        <w:rPr/>
        <w:t xml:space="preserve">Subaxa 5.1 Participarea cetățenilor </w:t>
      </w:r>
    </w:p>
    <w:p>
      <w:pPr>
        <w:pStyle w:val="Normal"/>
        <w:rPr/>
      </w:pPr>
      <w:r>
        <w:rPr/>
        <w:t xml:space="preserve"> </w:t>
      </w:r>
    </w:p>
    <w:p>
      <w:pPr>
        <w:pStyle w:val="P68B1DB1Normal15"/>
        <w:rPr>
          <w:b/>
          <w:b/>
        </w:rPr>
      </w:pPr>
      <w:r>
        <w:rPr/>
        <w:t xml:space="preserve">34. „Recomandăm ca observatorii independenți ai cetățenilor să fie prezenți în toate procesele decizionale ale UE. Ar trebui să existe un forum sau un organism permanent de reprezentanți ai cetățenilor, care să fie responsabil de difuzarea informațiilor relevante și importante către toți cetățenii Uniunii definiți ca atare. Acești cetățeni s-ar angaja împreună cu toți ceilalți cetățeni europeni într-o abordare de sus în jos/de jos în sus, care ar dezvolta în continuare dialogul dintre cetățeni și instituțiile UE.” </w:t>
      </w:r>
    </w:p>
    <w:p>
      <w:pPr>
        <w:pStyle w:val="Normal"/>
        <w:rPr/>
      </w:pPr>
      <w:r>
        <w:rPr/>
        <w:t xml:space="preserve"> </w:t>
      </w:r>
    </w:p>
    <w:p>
      <w:pPr>
        <w:pStyle w:val="Normal"/>
        <w:rPr/>
      </w:pPr>
      <w:r>
        <w:rPr/>
        <w:t xml:space="preserve">Cetățenii, desigur, merită să fie informați cu privire la toate problemele și este important să se asigure că politicienii nu pot trece cu vederea unele dintre problemele pe care ar prefera să le ignore. O astfel de măsură ar reduce decalajul dintre cetățeni și reprezentanții aleși prin crearea unor noi căi de încredere. </w:t>
      </w:r>
    </w:p>
    <w:p>
      <w:pPr>
        <w:pStyle w:val="Normal"/>
        <w:rPr/>
      </w:pPr>
      <w:r>
        <w:rPr/>
        <w:t xml:space="preserve"> </w:t>
      </w:r>
    </w:p>
    <w:p>
      <w:pPr>
        <w:pStyle w:val="P68B1DB1Normal15"/>
        <w:rPr>
          <w:b/>
          <w:b/>
        </w:rPr>
      </w:pPr>
      <w:r>
        <w:rPr/>
        <w:t xml:space="preserve"> </w:t>
      </w:r>
      <w:r>
        <w:rPr/>
        <w:t xml:space="preserve">35. „Recomandăm ca Uniunea să redeschidă discuția privind constituția Europei în vederea elaborării unei constituții inspirate de cetățenii Uniunii. Cetățenii ar trebui să poată vota pentru o astfel de constituție. Pentru a evita orice conflict cu statele membre, valorile drepturilor omului și ale democrației ar trebui incluse cu prioritate în această constituție. La elaborarea unei astfel de constituții, trebuie să se țină seama de eforturile anterioare care nu au dus niciodată la o constituție. </w:t>
      </w:r>
    </w:p>
    <w:p>
      <w:pPr>
        <w:pStyle w:val="Normal"/>
        <w:rPr/>
      </w:pPr>
      <w:r>
        <w:rPr/>
        <w:t xml:space="preserve"> </w:t>
      </w:r>
    </w:p>
    <w:p>
      <w:pPr>
        <w:pStyle w:val="Normal"/>
        <w:rPr/>
      </w:pPr>
      <w:r>
        <w:rPr/>
        <w:t xml:space="preserve">Deoarece această constituție ar implica tinerii în politică la nivelul UE și ar contracara forțele naționalismului care câștigă teren. Aceasta ar oferi o definiție comună a democrației în Europa și ar fi pusă în aplicare în mod egal în toate statele membre. Deoarece UE împărtășește valori comune privind democrația și drepturile omului. Întrucât cetățenii ar avea posibilitatea de a se implica în procesul decizional și de a se identifica mai mult cu Uniunea prin participarea la acest proces. </w:t>
      </w:r>
    </w:p>
    <w:p>
      <w:pPr>
        <w:pStyle w:val="Normal"/>
        <w:rPr/>
      </w:pPr>
      <w:r>
        <w:rPr/>
        <w:t xml:space="preserve"> </w:t>
      </w:r>
    </w:p>
    <w:p>
      <w:pPr>
        <w:pStyle w:val="P68B1DB1Normal15"/>
        <w:rPr>
          <w:b/>
          <w:b/>
        </w:rPr>
      </w:pPr>
      <w:r>
        <w:rPr/>
        <w:t xml:space="preserve">36. Recomandăm ca politicienii să fie mai responsabili în modul în care îi reprezintă pe cetățenii care i-au ales. Tinerii, în special, sunt deosebit de detașați de politică și nu sunt luați în serios atunci când participă. Dar dezinteresul este o problemă universală și oamenii de toate vârstele ar trebui să fie mai implicați decât sunt acum. </w:t>
      </w:r>
    </w:p>
    <w:p>
      <w:pPr>
        <w:pStyle w:val="Normal"/>
        <w:rPr/>
      </w:pPr>
      <w:r>
        <w:rPr/>
        <w:t xml:space="preserve"> </w:t>
      </w:r>
    </w:p>
    <w:p>
      <w:pPr>
        <w:pStyle w:val="Normal"/>
        <w:rPr/>
      </w:pPr>
      <w:r>
        <w:rPr/>
        <w:t xml:space="preserve">Pentru că definiția democrației ar trebui actualizată. Trebuie să ne amintim ce este cu adevărat democrația. Pentru că tinerii s-au săturat și sunt deziluzionați de politicienii pe care îi văd ca pe niște elite care nu-și împărtășesc opiniile. Acesta este motivul pentru care cetățenii trebuie să fie mai implicați într-un mod original și atractiv. Sistemul educațional, platformele de comunicare socială și toate celelalte forme de mass-media ar putea îndeplini acest rol pe parcursul întregului ciclu de viață și în toate limbile. </w:t>
      </w:r>
    </w:p>
    <w:p>
      <w:pPr>
        <w:pStyle w:val="Normal"/>
        <w:rPr/>
      </w:pPr>
      <w:r>
        <w:rPr/>
        <w:t xml:space="preserve"> </w:t>
      </w:r>
    </w:p>
    <w:p>
      <w:pPr>
        <w:pStyle w:val="Titre4"/>
        <w:numPr>
          <w:ilvl w:val="3"/>
          <w:numId w:val="2"/>
        </w:numPr>
        <w:rPr/>
      </w:pPr>
      <w:bookmarkStart w:id="149" w:name="__RefHeading___Toc297233_1346298689"/>
      <w:bookmarkEnd w:id="149"/>
      <w:r>
        <w:rPr/>
        <w:t xml:space="preserve">Subaxa 5.2 Participarea cetățenilor </w:t>
      </w:r>
    </w:p>
    <w:p>
      <w:pPr>
        <w:pStyle w:val="Normal"/>
        <w:rPr/>
      </w:pPr>
      <w:r>
        <w:rPr/>
        <w:t xml:space="preserve"> </w:t>
      </w:r>
    </w:p>
    <w:p>
      <w:pPr>
        <w:pStyle w:val="P68B1DB1Normal15"/>
        <w:rPr>
          <w:b/>
          <w:b/>
        </w:rPr>
      </w:pPr>
      <w:r>
        <w:rPr/>
        <w:t xml:space="preserve">37. „Recomandăm ca UE să se apropie mai mult de cetățeni într-un mod mai asertiv. În acest scop, statele membre ar trebui să fie implicate în promovarea participării cetățenilor la Uniune. Uniunea ar trebui să promoveze utilizarea mecanismelor de participare a cetățenilor prin organizarea de campanii comerciale și publicitare. Autoritățile naționale și locale ar trebui să fie obligate să participe la acest proces. Uniunea ar trebui să asigure eficacitatea platformelor de democrație participativă.” </w:t>
      </w:r>
    </w:p>
    <w:p>
      <w:pPr>
        <w:pStyle w:val="Normal"/>
        <w:rPr/>
      </w:pPr>
      <w:r>
        <w:rPr/>
        <w:t xml:space="preserve"> </w:t>
      </w:r>
    </w:p>
    <w:p>
      <w:pPr>
        <w:pStyle w:val="Normal"/>
        <w:rPr/>
      </w:pPr>
      <w:r>
        <w:rPr/>
        <w:t xml:space="preserve">Recomandăm acest lucru deoarece platforma care există deja trebuie să fie consolidată și să devină mai eficientă: cetățenii trebuie să primească mai multe feedback către UE și viceversa. Nu există suficientă dezbatere în cadrul UE, atât între cetățeni, cât și între guverne. Deoarece cetățenii nu depun petiții, fie pentru că nu știu că mecanismul există, fie pentru că nu cred că astfel de petiții pot avea succes. </w:t>
      </w:r>
    </w:p>
    <w:p>
      <w:pPr>
        <w:pStyle w:val="Normal"/>
        <w:rPr/>
      </w:pPr>
      <w:r>
        <w:rPr/>
        <w:t xml:space="preserve"> </w:t>
      </w:r>
    </w:p>
    <w:p>
      <w:pPr>
        <w:pStyle w:val="P68B1DB1Normal15"/>
        <w:rPr>
          <w:b/>
          <w:b/>
        </w:rPr>
      </w:pPr>
      <w:r>
        <w:rPr/>
        <w:t xml:space="preserve">38. „Recomandăm Uniunii să creeze și să pună în aplicare programe de învățământ pentru școli cu privire la ceea ce se face în UE în ceea ce privește mecanismele de participare. Astfel de programe ar trebui integrate în programele școlare privind cetățenia și etica europeană, cu conținut adaptat vârstei elevilor. Ar trebui să existe și programe pentru adulți. Ar trebui puse la dispoziția cetățenilor programe de învățare pe tot parcursul vieții pentru a le aprofunda cunoștințele privind oportunitățile de participare a cetățenilor în Uniune.” </w:t>
      </w:r>
    </w:p>
    <w:p>
      <w:pPr>
        <w:pStyle w:val="Normal"/>
        <w:rPr/>
      </w:pPr>
      <w:r>
        <w:rPr/>
        <w:t xml:space="preserve"> </w:t>
      </w:r>
    </w:p>
    <w:p>
      <w:pPr>
        <w:pStyle w:val="Normal"/>
        <w:rPr/>
      </w:pPr>
      <w:r>
        <w:rPr/>
        <w:t xml:space="preserve">Recomandăm această măsură pentru că este importantă pentru viitorul copiilor noștri. Cetățenii vor să știe cum să-și exprime vocea. Este important ca ei să cunoască mecanismele exacte și modul în care pot fi utilizate, astfel încât vocea lor să fie auzită de Uniune. Acest lucru este important pentru ca toți cetățenii europeni să fie plasați pe picior de egalitate. În calitate de cetățeni europeni, trebuie să știm cum să ne folosim drepturile. În calitate de cetățeni europeni, avem dreptul de a cunoaște aceste informații. </w:t>
      </w:r>
    </w:p>
    <w:p>
      <w:pPr>
        <w:pStyle w:val="Normal"/>
        <w:rPr/>
      </w:pPr>
      <w:r>
        <w:rPr/>
        <w:t xml:space="preserve"> </w:t>
      </w:r>
    </w:p>
    <w:p>
      <w:pPr>
        <w:pStyle w:val="Titre4"/>
        <w:numPr>
          <w:ilvl w:val="3"/>
          <w:numId w:val="2"/>
        </w:numPr>
        <w:rPr/>
      </w:pPr>
      <w:bookmarkStart w:id="150" w:name="__RefHeading___Toc297235_1346298689"/>
      <w:bookmarkEnd w:id="150"/>
      <w:r>
        <w:rPr/>
        <w:t xml:space="preserve">Subaxa 5.3 Participarea cetățenilor </w:t>
      </w:r>
    </w:p>
    <w:p>
      <w:pPr>
        <w:pStyle w:val="Normal"/>
        <w:rPr/>
      </w:pPr>
      <w:r>
        <w:rPr/>
        <w:t xml:space="preserve"> </w:t>
      </w:r>
    </w:p>
    <w:p>
      <w:pPr>
        <w:pStyle w:val="P68B1DB1Normal15"/>
        <w:rPr>
          <w:b/>
          <w:b/>
        </w:rPr>
      </w:pPr>
      <w:r>
        <w:rPr/>
        <w:t xml:space="preserve">39. Recomandăm Uniunii să organizeze adunări ale cetățenilor. Recomandăm insistent ca acestea să fie puse în aplicare în temeiul unei legi sau reglementări obligatorii din punct de vedere juridic. Aceste adunări ale cetățenilor ar trebui să aibă loc o dată la 12-18 luni. Participarea cetățenilor nu ar trebui să fie obligatorie, ci ar trebui încurajată, fiind organizată în același timp pe baza unor mandate limitate. Participanții trebuie selectați aleatoriu în funcție de criteriile de reprezentativitate. Aceștia nu trebuie să reprezinte organizații de nici un fel și nu ar trebui să fie chemați să participe din cauza funcției lor profesionale atunci când sunt membri ai adunării. Dacă este necesar, experții vor acorda sprijin pentru a se asigura că membrii adunării dispun de suficiente informații pentru a delibera. Procesul decizional va fi în mâinile cetățenilor. Uniunea trebuie să garanteze angajamentul politicienilor față de deciziile luate de cetățeni în adunările cetățenilor. În cazul în care propunerile cetățenilor sunt ignorate sau respinse în mod explicit, instituțiile europene trebuie să raporteze cu privire la acestea, precizând motivele pentru care a fost luată această decizie. </w:t>
      </w:r>
    </w:p>
    <w:p>
      <w:pPr>
        <w:pStyle w:val="Normal"/>
        <w:rPr/>
      </w:pPr>
      <w:r>
        <w:rPr/>
        <w:t xml:space="preserve"> </w:t>
      </w:r>
    </w:p>
    <w:p>
      <w:pPr>
        <w:pStyle w:val="Normal"/>
        <w:rPr/>
      </w:pPr>
      <w:r>
        <w:rPr/>
        <w:t xml:space="preserve">Recomandăm înființarea de adunări ale cetățenilor, deoarece dorim ca cetățenii să se simtă mai aproape de instituțiile europene și să contribuie direct la procesul decizional, mână în mână cu politicienii, pentru a consolida sentimentul de apartenență și eficacitatea directă. În plus, dorim ca partidele politice să fie trase la răspundere în fața cetățenilor, inclusiv a programelor lor electorale. </w:t>
      </w:r>
    </w:p>
    <w:p>
      <w:pPr>
        <w:pStyle w:val="Normal"/>
        <w:rPr/>
      </w:pPr>
      <w:r>
        <w:rPr/>
        <w:t xml:space="preserve"> </w:t>
      </w:r>
    </w:p>
    <w:p>
      <w:pPr>
        <w:pStyle w:val="Titre3"/>
        <w:numPr>
          <w:ilvl w:val="2"/>
          <w:numId w:val="2"/>
        </w:numPr>
        <w:rPr/>
      </w:pPr>
      <w:bookmarkStart w:id="151" w:name="__RefHeading___Toc297237_1346298689"/>
      <w:bookmarkEnd w:id="151"/>
      <w:r>
        <w:rPr/>
        <w:t xml:space="preserve">Anexă: ALTE RECOMANDĂRI LUATE ÎN CONSIDERARE DE COMITET, DAR NEADOPTATE </w:t>
      </w:r>
    </w:p>
    <w:p>
      <w:pPr>
        <w:pStyle w:val="Normal"/>
        <w:rPr/>
      </w:pPr>
      <w:r>
        <w:rPr/>
        <w:t xml:space="preserve"> </w:t>
      </w:r>
    </w:p>
    <w:p>
      <w:pPr>
        <w:pStyle w:val="Titre4"/>
        <w:numPr>
          <w:ilvl w:val="3"/>
          <w:numId w:val="2"/>
        </w:numPr>
        <w:rPr/>
      </w:pPr>
      <w:bookmarkStart w:id="152" w:name="__RefHeading___Toc297239_1346298689"/>
      <w:bookmarkEnd w:id="152"/>
      <w:r>
        <w:rPr/>
        <w:t xml:space="preserve">Axa 1: Garantarea drepturilor și nediscriminarea </w:t>
      </w:r>
    </w:p>
    <w:p>
      <w:pPr>
        <w:pStyle w:val="Normal"/>
        <w:rPr/>
      </w:pPr>
      <w:r>
        <w:rPr/>
        <w:t xml:space="preserve"> </w:t>
      </w:r>
    </w:p>
    <w:p>
      <w:pPr>
        <w:pStyle w:val="Normal"/>
        <w:rPr/>
      </w:pPr>
      <w:r>
        <w:rPr/>
        <w:t xml:space="preserve">Subaxa 1.1 Nediscriminare/subaxa 1.2 Egalitatea de gen </w:t>
      </w:r>
    </w:p>
    <w:p>
      <w:pPr>
        <w:pStyle w:val="Normal"/>
        <w:rPr/>
      </w:pPr>
      <w:r>
        <w:rPr/>
        <w:t xml:space="preserve"> </w:t>
      </w:r>
    </w:p>
    <w:p>
      <w:pPr>
        <w:pStyle w:val="P68B1DB1Normal15"/>
        <w:rPr>
          <w:b/>
          <w:b/>
        </w:rPr>
      </w:pPr>
      <w:r>
        <w:rPr/>
        <w:t>„</w:t>
      </w:r>
      <w:r>
        <w:rPr/>
        <w:t xml:space="preserve">Recomandăm ca UE să implice activ minoritățile în procesul de elaborare a politicilor privind aspecte-cheie ale instituțiilor statului (de exemplu, poliția și ONG-urile). Recomandăm Uniunii să înființeze un consiliu consultativ, ales direct de minorități. Acesta ar trebui să fie compus în principal din reprezentanți ai minorităților, inclusiv reprezentanți ai ONG-urilor. Aceasta ar trebui să aibă un rol de formare în sensibilizarea funcționarilor publici cu privire la nevoile minorităților. Acest organism ar trebui să aibă drept de veto asupra problemelor minorităților. </w:t>
      </w:r>
    </w:p>
    <w:p>
      <w:pPr>
        <w:pStyle w:val="Normal"/>
        <w:rPr/>
      </w:pPr>
      <w:r>
        <w:rPr/>
        <w:t xml:space="preserve">Recomandăm acest lucru pentru că vocile minorităților nu sunt suficient de auzite. Aceștia ar trebui să se exprime în nume propriu, într-un mod autodeterminat și la nivel profesional; de aceea, am combinat reprezentarea prin vot și expertiză. </w:t>
      </w:r>
    </w:p>
    <w:p>
      <w:pPr>
        <w:pStyle w:val="Normal"/>
        <w:rPr/>
      </w:pPr>
      <w:r>
        <w:rPr/>
        <w:t xml:space="preserve"> </w:t>
      </w:r>
    </w:p>
    <w:p>
      <w:pPr>
        <w:pStyle w:val="Titre4"/>
        <w:numPr>
          <w:ilvl w:val="3"/>
          <w:numId w:val="2"/>
        </w:numPr>
        <w:rPr/>
      </w:pPr>
      <w:bookmarkStart w:id="153" w:name="__RefHeading___Toc297241_1346298689"/>
      <w:bookmarkEnd w:id="153"/>
      <w:r>
        <w:rPr/>
        <w:t xml:space="preserve">Axa 2: Protejarea democrației și a statului de drept </w:t>
      </w:r>
    </w:p>
    <w:p>
      <w:pPr>
        <w:pStyle w:val="Normal"/>
        <w:rPr/>
      </w:pPr>
      <w:r>
        <w:rPr/>
        <w:t xml:space="preserve"> </w:t>
      </w:r>
    </w:p>
    <w:p>
      <w:pPr>
        <w:pStyle w:val="Normal"/>
        <w:rPr/>
      </w:pPr>
      <w:r>
        <w:rPr/>
        <w:t xml:space="preserve">Subaxa 2.2 Protejarea și consolidarea democrației/subaxa 2.4 Media și dezinformarea </w:t>
      </w:r>
    </w:p>
    <w:p>
      <w:pPr>
        <w:pStyle w:val="Normal"/>
        <w:rPr/>
      </w:pPr>
      <w:r>
        <w:rPr/>
        <w:t xml:space="preserve"> </w:t>
      </w:r>
    </w:p>
    <w:p>
      <w:pPr>
        <w:pStyle w:val="P68B1DB1Normal15"/>
        <w:rPr>
          <w:b/>
          <w:b/>
        </w:rPr>
      </w:pPr>
      <w:r>
        <w:rPr/>
        <w:t>„</w:t>
      </w:r>
      <w:r>
        <w:rPr/>
        <w:t xml:space="preserve">Recomandăm crearea unei agenții de monitorizare pentru mass-media audiovizuală, tipărită și digitală la nivel european. Această agenție ar trebui să verifice dacă mass-media națională urmează un proces imparțial și obiectiv în producerea conținutului lor. Pentru a preveni dezinformarea, agenția ar trebui să prevadă un sistem de evaluare a fiabilității mass-mediei naționale. Acest sistem de rating ar trebui să fie ușor de înțeles de către cetățeni. </w:t>
      </w:r>
    </w:p>
    <w:p>
      <w:pPr>
        <w:pStyle w:val="Normal"/>
        <w:rPr/>
      </w:pPr>
      <w:r>
        <w:rPr/>
        <w:t xml:space="preserve"> </w:t>
      </w:r>
    </w:p>
    <w:p>
      <w:pPr>
        <w:pStyle w:val="Normal"/>
        <w:rPr/>
      </w:pPr>
      <w:r>
        <w:rPr/>
        <w:t xml:space="preserve">Recomandăm acest lucru deoarece avem nevoie de o evaluare a mass-mediei și a fiabilității acestora, dar și de diversitatea mass-mediei din țările UE. O agenție europeană ar fi organismul cel mai obiectiv pentru a asigura o astfel de misiune. În plus, un astfel de sistem de rating permite cetățenilor să facă alegeri în cunoștință de cauză și încurajează mass-media să furnizeze informații fiabile. În cazul în care sistemul de rating se dovedește insuficient pentru a asigura fiabilitatea mass-mediei, agenția ar trebui, de asemenea, să fie împuternicită să impună sancțiuni. </w:t>
      </w:r>
    </w:p>
    <w:p>
      <w:pPr>
        <w:pStyle w:val="Normal"/>
        <w:rPr/>
      </w:pPr>
      <w:r>
        <w:rPr/>
        <w:t xml:space="preserve"> </w:t>
      </w:r>
    </w:p>
    <w:p>
      <w:pPr>
        <w:pStyle w:val="Titre3"/>
        <w:numPr>
          <w:ilvl w:val="2"/>
          <w:numId w:val="2"/>
        </w:numPr>
        <w:rPr/>
      </w:pPr>
      <w:bookmarkStart w:id="154" w:name="__RefHeading___Toc297243_1346298689"/>
      <w:bookmarkEnd w:id="154"/>
      <w:r>
        <w:rPr/>
        <w:t xml:space="preserve">Axa 5: Consolidarea participării cetățenilor </w:t>
      </w:r>
    </w:p>
    <w:p>
      <w:pPr>
        <w:pStyle w:val="Normal"/>
        <w:rPr/>
      </w:pPr>
      <w:r>
        <w:rPr/>
        <w:t xml:space="preserve"> </w:t>
      </w:r>
    </w:p>
    <w:p>
      <w:pPr>
        <w:pStyle w:val="Titre4"/>
        <w:numPr>
          <w:ilvl w:val="3"/>
          <w:numId w:val="2"/>
        </w:numPr>
        <w:rPr/>
      </w:pPr>
      <w:r>
        <w:rPr/>
        <w:t xml:space="preserve">Subaxa 5.1 Participarea cetățenilor </w:t>
      </w:r>
    </w:p>
    <w:p>
      <w:pPr>
        <w:pStyle w:val="Normal"/>
        <w:rPr/>
      </w:pPr>
      <w:r>
        <w:rPr/>
        <w:t xml:space="preserve"> </w:t>
      </w:r>
    </w:p>
    <w:p>
      <w:pPr>
        <w:pStyle w:val="P68B1DB1Normal15"/>
        <w:rPr>
          <w:b/>
          <w:b/>
        </w:rPr>
      </w:pPr>
      <w:r>
        <w:rPr/>
        <w:t>„</w:t>
      </w:r>
      <w:r>
        <w:rPr/>
        <w:t xml:space="preserve">Recomandăm crearea unui organism reprezentativ al cetățenilor care să discute și să contribuie în mod semnificativ la procesul decizional – ori de câte ori o chestiune-cheie pentru cetățenii europeni este decisă la nivelul UE (în conformitate cu decizia cetățenilor – eventual printr-o anchetă). Acesta ar trebui să fie un grup eterogen de aproximativ 100 de cetățeni din toate țările UE, în care fiecare țară este reprezentată în mod egal. Ar trebui să fie un grup prin rotație, ai cărui membri sunt înlocuiți în mod regulat. </w:t>
      </w:r>
    </w:p>
    <w:p>
      <w:pPr>
        <w:pStyle w:val="Normal"/>
        <w:rPr/>
      </w:pPr>
      <w:r>
        <w:rPr/>
        <w:t xml:space="preserve"> </w:t>
      </w:r>
    </w:p>
    <w:p>
      <w:pPr>
        <w:pStyle w:val="Normal"/>
        <w:rPr/>
      </w:pPr>
      <w:r>
        <w:rPr/>
        <w:t xml:space="preserve">Deoarece este important să se evite probleme precum corupția, care ar putea apărea dintr-un organism reprezentativ permanent, este esențial ca un astfel de organism să aibă o reprezentare egală a tuturor țărilor pentru a evita puterea decizională neloială. Deoarece acest mod de operare ar evita problemele legate de instalarea sau utilizarea constantă a tehnologiilor de la distanță.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Grupul cetățenilor europeni 3: Schimbări climatice și mediu/sănătate </w:t>
      </w:r>
    </w:p>
    <w:p>
      <w:pPr>
        <w:pStyle w:val="Normal"/>
        <w:rPr/>
      </w:pPr>
      <w:r>
        <w:rPr/>
        <w:t xml:space="preserve"> </w:t>
      </w:r>
    </w:p>
    <w:p>
      <w:pPr>
        <w:pStyle w:val="Normal"/>
        <w:rPr/>
      </w:pPr>
      <w:r>
        <w:rPr/>
        <w:t xml:space="preserve">RECOMANDĂRI ADOPTATE DE JURIU (CARE URMEAZĂ SĂ FIE PREZENTATE ÎN PLEN) </w:t>
      </w:r>
    </w:p>
    <w:p>
      <w:pPr>
        <w:pStyle w:val="Normal"/>
        <w:rPr/>
      </w:pPr>
      <w:r>
        <w:rPr/>
        <w:t xml:space="preserve"> </w:t>
      </w:r>
    </w:p>
    <w:p>
      <w:pPr>
        <w:pStyle w:val="Titre3"/>
        <w:numPr>
          <w:ilvl w:val="2"/>
          <w:numId w:val="2"/>
        </w:numPr>
        <w:rPr/>
      </w:pPr>
      <w:bookmarkStart w:id="156" w:name="__RefHeading___Toc297247_1346298689"/>
      <w:bookmarkEnd w:id="156"/>
      <w:r>
        <w:rPr/>
        <w:t xml:space="preserve">Axa 1: Moduri de viață mai bune </w:t>
      </w:r>
    </w:p>
    <w:p>
      <w:pPr>
        <w:pStyle w:val="Normal"/>
        <w:rPr/>
      </w:pPr>
      <w:r>
        <w:rPr/>
        <w:t xml:space="preserve"> </w:t>
      </w:r>
    </w:p>
    <w:p>
      <w:pPr>
        <w:pStyle w:val="Titre4"/>
        <w:numPr>
          <w:ilvl w:val="3"/>
          <w:numId w:val="2"/>
        </w:numPr>
        <w:rPr/>
      </w:pPr>
      <w:bookmarkStart w:id="157" w:name="__RefHeading___Toc297249_1346298689"/>
      <w:bookmarkEnd w:id="157"/>
      <w:r>
        <w:rPr/>
        <w:t xml:space="preserve">Subaxa 1.1 Stiluri de viață sănătoase </w:t>
      </w:r>
    </w:p>
    <w:p>
      <w:pPr>
        <w:pStyle w:val="P68B1DB1Normal15"/>
        <w:rPr>
          <w:b/>
          <w:b/>
        </w:rPr>
      </w:pPr>
      <w:r>
        <w:rPr/>
        <w:t xml:space="preserve">1. Recomandăm UE să acorde subvenții pentru agricultura ecologică, inclusiv stimulente pentru pesticide ecologice, pentru a face produsele ecologice mai accesibile. În plus, UE trebuie să sprijine educația fermierilor cu privire la agricultura ecologică și durabilă și la monoculturi. Micile ferme ecologice, fermele neintensive și fermele cu lanțuri scurte de aprovizionare ar trebui să beneficieze de sprijin care să le permită să fie mai competitive. </w:t>
      </w:r>
    </w:p>
    <w:p>
      <w:pPr>
        <w:pStyle w:val="Normal"/>
        <w:rPr/>
      </w:pPr>
      <w:r>
        <w:rPr/>
        <w:t xml:space="preserve"> </w:t>
      </w:r>
    </w:p>
    <w:p>
      <w:pPr>
        <w:pStyle w:val="Normal"/>
        <w:rPr/>
      </w:pPr>
      <w:r>
        <w:rPr/>
        <w:t xml:space="preserve">Subvenționarea produselor ecologice le-ar face mai accesibile. Ar trebui să ajutăm supermarketurile care utilizează lanțuri de aprovizionare mai scurte și micii fermieri, oferindu-le posibilitatea de a-și vinde produsele. Acest lucru face posibilă extinderea accesului la produse mai proaspete. În plus, prețurile scăzute ale produselor neecologice nu reflectă daunele pe care le cauzează. </w:t>
      </w:r>
    </w:p>
    <w:p>
      <w:pPr>
        <w:pStyle w:val="Normal"/>
        <w:rPr/>
      </w:pPr>
      <w:r>
        <w:rPr/>
        <w:t xml:space="preserve"> </w:t>
      </w:r>
    </w:p>
    <w:p>
      <w:pPr>
        <w:pStyle w:val="P68B1DB1Normal15"/>
        <w:rPr>
          <w:b/>
          <w:b/>
        </w:rPr>
      </w:pPr>
      <w:r>
        <w:rPr/>
        <w:t xml:space="preserve">2. Recomandăm ca inovarea în agricultura verticală să fie finanțată prin investiții ale UE. </w:t>
      </w:r>
    </w:p>
    <w:p>
      <w:pPr>
        <w:pStyle w:val="Normal"/>
        <w:rPr/>
      </w:pPr>
      <w:r>
        <w:rPr/>
        <w:t xml:space="preserve">Agricultura verticală ne permite să economisim spațiu terestru care ar putea fi folosit pentru silvicultură. De asemenea, nu este nevoie de pesticide, ceea ce ne permite să producem mai multe alimente ecologice. În plus, nu este afectată de condițiile meteorologice nefavorabile, care sunt din ce în ce mai frecvente din cauza schimbărilor climatice și pot scurta lanțurile de aprovizionare. </w:t>
      </w:r>
    </w:p>
    <w:p>
      <w:pPr>
        <w:pStyle w:val="Normal"/>
        <w:rPr/>
      </w:pPr>
      <w:r>
        <w:rPr/>
        <w:t xml:space="preserve"> </w:t>
      </w:r>
    </w:p>
    <w:p>
      <w:pPr>
        <w:pStyle w:val="P68B1DB1Normal15"/>
        <w:rPr>
          <w:b/>
          <w:b/>
        </w:rPr>
      </w:pPr>
      <w:r>
        <w:rPr/>
        <w:t xml:space="preserve">3. UE ar trebui să stabilească standarde minime privind calitatea alimentelor, trasabilitatea alimentelor și consumul de produse sezoniere în cantinele școlare. Prin urmare, ingredientele sănătoase pentru cantinele școlare ar trebui subvenționate pentru a oferi studenților alimente de calitate la prețuri accesibile. </w:t>
      </w:r>
    </w:p>
    <w:p>
      <w:pPr>
        <w:pStyle w:val="Normal"/>
        <w:rPr/>
      </w:pPr>
      <w:r>
        <w:rPr/>
        <w:t xml:space="preserve"> </w:t>
      </w:r>
    </w:p>
    <w:p>
      <w:pPr>
        <w:pStyle w:val="Normal"/>
        <w:rPr/>
      </w:pPr>
      <w:r>
        <w:rPr/>
        <w:t xml:space="preserve">Dobândim de la o vârstă fragedă obiceiuri care ne modelează atitudinea față de sănătate; obiceiurile bune ar trebui încurajate la școală, iar elevii ar putea să le reproducă acasă. Este, de asemenea, o chestiune de justiție socială: fiecare elev din UE ar trebui să aibă dreptul la alimente de calitate în școală. </w:t>
      </w:r>
    </w:p>
    <w:p>
      <w:pPr>
        <w:pStyle w:val="Normal"/>
        <w:rPr/>
      </w:pPr>
      <w:r>
        <w:rPr/>
        <w:t xml:space="preserve"> </w:t>
      </w:r>
    </w:p>
    <w:p>
      <w:pPr>
        <w:pStyle w:val="P68B1DB1Normal15"/>
        <w:rPr>
          <w:b/>
          <w:b/>
        </w:rPr>
      </w:pPr>
      <w:r>
        <w:rPr/>
        <w:t xml:space="preserve">4. Recomandăm să investim în noi trasee pentru biciclete și să îmbunătățim traseele existente, pentru a face ciclismul sigur și atractiv și pentru a ne asigura că toate grupele de vârstă pot beneficia de formare în domeniul normelor de circulație rutieră în Europa, în special pentru utilizatorii de biciclete electronice și persoanele fără permis de conducere. Producătorii de biciclete electrice ar trebui să fie obligați să furnizeze informații cu privire la utilizarea bicicletei electrice și la riscurile asociate. În cazul unui accident care implică un vehicul, ar trebui asigurată protecția juridică a bicicliștilor (a se vedea normele olandeze). Suntem în favoarea zonelor fără mașini în orașe (fără a afecta zonele comerciale). În sens mai larg, recomandăm să se acorde prioritate și drepturi suplimentare bicicliștilor și pietonilor asupra vehiculelor motorizate, asigurând în același timp siguranța rutieră și respectarea normelor de circulație. </w:t>
      </w:r>
    </w:p>
    <w:p>
      <w:pPr>
        <w:pStyle w:val="Normal"/>
        <w:rPr/>
      </w:pPr>
      <w:r>
        <w:rPr/>
        <w:t xml:space="preserve"> </w:t>
      </w:r>
    </w:p>
    <w:p>
      <w:pPr>
        <w:pStyle w:val="Normal"/>
        <w:rPr/>
      </w:pPr>
      <w:r>
        <w:rPr/>
        <w:t xml:space="preserve">Aceste recomandări sunt importante, deoarece ciclismul aduce beneficii în ceea ce privește sănătatea individuală și publică, calitatea aerului, nivelurile de zgomot, clima și traficul în centrele orașelor. Bicicliștii și pietonii trebuie să se simtă în siguranță, având în vedere riscurile asociate cu utilizarea sporită a bicicletei electrice. Uneori, benzile de ciclism lipsesc sau sunt în stare proastă. </w:t>
      </w:r>
    </w:p>
    <w:p>
      <w:pPr>
        <w:pStyle w:val="Normal"/>
        <w:rPr/>
      </w:pPr>
      <w:r>
        <w:rPr/>
        <w:t xml:space="preserve"> </w:t>
      </w:r>
    </w:p>
    <w:p>
      <w:pPr>
        <w:pStyle w:val="P68B1DB1Normal15"/>
        <w:rPr>
          <w:b/>
          <w:b/>
        </w:rPr>
      </w:pPr>
      <w:r>
        <w:rPr/>
        <w:t xml:space="preserve">5. Vă recomandăm integrarea producției alimentare în educația publică. Recomandăm subvenționarea și sprijinirea creării de grădini în școli, dacă este posibil, și proiecte de grădinărit urban în spații publice și private. Cadrele de planificare urbană trebuie să integreze nevoia de spațiu, apă și infrastructură de sprijin. De exemplu, fostele parcări ar putea fi utilizate pentru proiecte de ecologizare, proiectele de grădinărit vertical ar putea fi realizate pe clădiri sau obținerea autorizațiilor de construcție ar putea fi condiționată de integrarea spațiilor verzi. Recomandăm schimbul de bune practici inovatoare în toate statele membre. </w:t>
      </w:r>
    </w:p>
    <w:p>
      <w:pPr>
        <w:pStyle w:val="Normal"/>
        <w:rPr/>
      </w:pPr>
      <w:r>
        <w:rPr/>
        <w:t xml:space="preserve"> </w:t>
      </w:r>
    </w:p>
    <w:p>
      <w:pPr>
        <w:pStyle w:val="Normal"/>
        <w:rPr/>
      </w:pPr>
      <w:r>
        <w:rPr/>
        <w:t xml:space="preserve">Proiectele de grădinărit promovează reziliența orașelor și a locuitorilor acestora, reunind persoane de diferite vârste și grupuri sociale. Multiplicarea spațiilor verzi îmbunătățește calitatea vieții, calitatea aerului, sănătatea mentală și fizică și mediul înconjurător. </w:t>
      </w:r>
    </w:p>
    <w:p>
      <w:pPr>
        <w:pStyle w:val="Normal"/>
        <w:rPr/>
      </w:pPr>
      <w:r>
        <w:rPr/>
        <w:t xml:space="preserve"> </w:t>
      </w:r>
    </w:p>
    <w:p>
      <w:pPr>
        <w:pStyle w:val="Titre4"/>
        <w:numPr>
          <w:ilvl w:val="3"/>
          <w:numId w:val="2"/>
        </w:numPr>
        <w:rPr/>
      </w:pPr>
      <w:bookmarkStart w:id="158" w:name="__RefHeading___Toc297251_1346298689"/>
      <w:bookmarkEnd w:id="158"/>
      <w:r>
        <w:rPr/>
        <w:t xml:space="preserve">Subaxa 1.2 Educație pentru mediu </w:t>
      </w:r>
    </w:p>
    <w:p>
      <w:pPr>
        <w:pStyle w:val="P68B1DB1Normal15"/>
        <w:rPr>
          <w:b/>
          <w:b/>
        </w:rPr>
      </w:pPr>
      <w:r>
        <w:rPr/>
        <w:t>6. Recomandăm UE să adopte o directivă care să impună ca programele de urbanism să respecte cerințe de mediu specifice pentru a face orașele mai ecologice. Prezenta directivă ar trebui să se aplice bunurilor și spațiilor private și publice, în special clădirilor noi în curs de dezvoltare. Ea trebuie să impună standarde minime pentru a se asigura că clădirile și spațiile sunt cât mai verzi posibil. Adjectivul „verde” se referă aici la utilizarea surselor regenerabile de energie, la reducerea consumului de energie, la emisii scăzute de</w:t>
      </w:r>
      <w:r>
        <w:rPr>
          <w:vertAlign w:val="subscript"/>
        </w:rPr>
        <w:t>CO2 și</w:t>
      </w:r>
      <w:r>
        <w:rPr/>
        <w:t xml:space="preserve"> la includerea instalațiilor în proiectele de arhitectură. </w:t>
      </w:r>
    </w:p>
    <w:p>
      <w:pPr>
        <w:pStyle w:val="Normal"/>
        <w:rPr/>
      </w:pPr>
      <w:r>
        <w:rPr/>
        <w:t xml:space="preserve"> </w:t>
      </w:r>
    </w:p>
    <w:p>
      <w:pPr>
        <w:pStyle w:val="Normal"/>
        <w:rPr/>
      </w:pPr>
      <w:r>
        <w:rPr/>
        <w:t>Orașele mai ecologice contribuie în mod activ la reducerea efectelor schimbărilor climatice și ale emisiilor de</w:t>
      </w:r>
      <w:r>
        <w:rPr>
          <w:vertAlign w:val="subscript"/>
        </w:rPr>
        <w:t>CO2 și ozon</w:t>
      </w:r>
      <w:r>
        <w:rPr/>
        <w:t xml:space="preserve">, în special, care au un impact negativ asupra sănătății cetățenilor. Investițiile în orașe mai ecologice contribuie la dezvoltarea durabilă a comunității, care oferă beneficii economice și sociale pe termen lung. </w:t>
      </w:r>
    </w:p>
    <w:p>
      <w:pPr>
        <w:pStyle w:val="Normal"/>
        <w:rPr/>
      </w:pPr>
      <w:r>
        <w:rPr/>
        <w:t xml:space="preserve"> </w:t>
      </w:r>
    </w:p>
    <w:p>
      <w:pPr>
        <w:pStyle w:val="P68B1DB1Normal15"/>
        <w:rPr>
          <w:b/>
          <w:b/>
        </w:rPr>
      </w:pPr>
      <w:r>
        <w:rPr/>
        <w:t xml:space="preserve">7. Recomandăm UE, cu sprijinul statelor membre, să elaboreze, să adopte și să pună în aplicare o Cartă europeană comună care să vizeze problemele de mediu în complexitatea lor. Carta va oferi statelor membre un cadru pentru organizarea periodică de campanii de informare și de formare, diseminate prin toate canalele media disponibile și pe un nou portal de informare creat în acest scop. Aceste campanii ar trebui organizate în întreaga UE și la toate nivelurile, pentru a sensibiliza toți cetățenii cu privire la mediu. </w:t>
      </w:r>
    </w:p>
    <w:p>
      <w:pPr>
        <w:pStyle w:val="Normal"/>
        <w:rPr/>
      </w:pPr>
      <w:r>
        <w:rPr/>
        <w:t xml:space="preserve"> </w:t>
      </w:r>
    </w:p>
    <w:p>
      <w:pPr>
        <w:pStyle w:val="Normal"/>
        <w:rPr/>
      </w:pPr>
      <w:r>
        <w:rPr/>
        <w:t xml:space="preserve">Lipsa de coordonare între statele membre împiedică eficacitatea campaniilor existente și încetinește eforturile de abordare a provocării globale reprezentate de schimbările climatice. O cartă comună va stimula sinergiile dintre planurile de acțiune ale statelor membre, asigurând o mai mare eficacitate a eforturilor. În plus, se va asigura că cetățenilor li se oferă informații coerente și coerente cu privire la impactul acțiunilor lor zilnice, cum ar fi alegerea modului de transport și tratarea deșeurilor acestora. </w:t>
      </w:r>
    </w:p>
    <w:p>
      <w:pPr>
        <w:pStyle w:val="Normal"/>
        <w:rPr/>
      </w:pPr>
      <w:r>
        <w:rPr/>
        <w:t xml:space="preserve"> </w:t>
      </w:r>
    </w:p>
    <w:p>
      <w:pPr>
        <w:pStyle w:val="Titre3"/>
        <w:numPr>
          <w:ilvl w:val="2"/>
          <w:numId w:val="2"/>
        </w:numPr>
        <w:rPr/>
      </w:pPr>
      <w:bookmarkStart w:id="159" w:name="__RefHeading___Toc297253_1346298689"/>
      <w:bookmarkEnd w:id="159"/>
      <w:r>
        <w:rPr/>
        <w:t xml:space="preserve">Axa 2: Protejarea mediului și a sănătății </w:t>
      </w:r>
    </w:p>
    <w:p>
      <w:pPr>
        <w:pStyle w:val="Titre4"/>
        <w:numPr>
          <w:ilvl w:val="3"/>
          <w:numId w:val="2"/>
        </w:numPr>
        <w:rPr/>
      </w:pPr>
      <w:bookmarkStart w:id="160" w:name="__RefHeading___Toc297255_1346298689"/>
      <w:bookmarkEnd w:id="160"/>
      <w:r>
        <w:rPr/>
        <w:t xml:space="preserve">Subaxa 2.1 Un mediu natural sănătos </w:t>
      </w:r>
    </w:p>
    <w:p>
      <w:pPr>
        <w:pStyle w:val="P68B1DB1Normal15"/>
        <w:rPr>
          <w:b/>
          <w:b/>
        </w:rPr>
      </w:pPr>
      <w:r>
        <w:rPr/>
        <w:t xml:space="preserve">8. Recomandăm un sistem uniform de eco-scor care să afișeze amprenta ecologică globală a fiecărui produs disponibil achiziționat în UE. Produsele din țări terțe trebuie să respecte acest sistem de eco-scor într-un mod transparent. Acest sistem ar trebui să se bazeze pe criterii clare de clasificare aplicabile produselor în sine și să utilizeze, de exemplu, un cod QR care oferă informații mai detaliate despre produs. </w:t>
      </w:r>
    </w:p>
    <w:p>
      <w:pPr>
        <w:pStyle w:val="Normal"/>
        <w:rPr/>
      </w:pPr>
      <w:r>
        <w:rPr/>
        <w:t xml:space="preserve"> </w:t>
      </w:r>
    </w:p>
    <w:p>
      <w:pPr>
        <w:pStyle w:val="Normal"/>
        <w:rPr/>
      </w:pPr>
      <w:r>
        <w:rPr/>
        <w:t xml:space="preserve">Aceste informații privind ciclul de viață al produselor sunt fundamentale pentru toți cetățenii UE, pentru a capacita consumatorii atunci când fac cumpărături. Acest lucru va permite cetățenilor UE să ia decizii responsabile care vor contribui la protecția mediului lor. </w:t>
      </w:r>
    </w:p>
    <w:p>
      <w:pPr>
        <w:pStyle w:val="Normal"/>
        <w:rPr/>
      </w:pPr>
      <w:r>
        <w:rPr/>
        <w:t xml:space="preserve"> </w:t>
      </w:r>
    </w:p>
    <w:p>
      <w:pPr>
        <w:pStyle w:val="P68B1DB1Normal15"/>
        <w:rPr>
          <w:b/>
          <w:b/>
        </w:rPr>
      </w:pPr>
      <w:r>
        <w:rPr/>
        <w:t xml:space="preserve">9. Recomandăm să se facă mai multe investiții pentru a explora noi surse de energie ecologice și, până la implementarea acestor noi surse, să se aloce investiții suplimentare soluțiilor optime de producție de energie existente. De asemenea, recomandăm informarea și educarea transparentă a cetățenilor europeni cu privire la anumite surse de energie. Recomandăm insistent luarea în considerare a impactului ecologic și social global al procesului de producție a energiei pentru generațiile actuale și viitoare. </w:t>
      </w:r>
    </w:p>
    <w:p>
      <w:pPr>
        <w:pStyle w:val="Normal"/>
        <w:rPr/>
      </w:pPr>
      <w:r>
        <w:rPr/>
        <w:t xml:space="preserve"> </w:t>
      </w:r>
    </w:p>
    <w:p>
      <w:pPr>
        <w:pStyle w:val="Normal"/>
        <w:rPr/>
      </w:pPr>
      <w:r>
        <w:rPr/>
        <w:t xml:space="preserve">Ne confruntăm cu niveluri foarte ridicate de emisii de carbon și alte substanțe toxice rezultate din producția de energie care degradează clima și calitatea aerului. Pentru a respecta orientările UE, recomandările din rapoartele IPCC și obiectivele COP26, trebuie să consolidăm cercetarea și investițiile pentru a obține o producție de energie neutră din punct de vedere climatic. </w:t>
      </w:r>
    </w:p>
    <w:p>
      <w:pPr>
        <w:pStyle w:val="Normal"/>
        <w:rPr/>
      </w:pPr>
      <w:r>
        <w:rPr/>
        <w:t xml:space="preserve"> </w:t>
      </w:r>
    </w:p>
    <w:p>
      <w:pPr>
        <w:pStyle w:val="Titre4"/>
        <w:numPr>
          <w:ilvl w:val="3"/>
          <w:numId w:val="2"/>
        </w:numPr>
        <w:rPr/>
      </w:pPr>
      <w:bookmarkStart w:id="161" w:name="__RefHeading___Toc297257_1346298689"/>
      <w:bookmarkEnd w:id="161"/>
      <w:r>
        <w:rPr/>
        <w:t xml:space="preserve">Subaxa 2.2 Protejarea biodiversității noastre </w:t>
      </w:r>
    </w:p>
    <w:p>
      <w:pPr>
        <w:pStyle w:val="P68B1DB1Normal15"/>
        <w:rPr>
          <w:b/>
          <w:b/>
        </w:rPr>
      </w:pPr>
      <w:r>
        <w:rPr/>
        <w:t xml:space="preserve">10. Recomandăm reducerea drastică a utilizării pesticidelor chimice și a îngrășămintelor în toate tipurile de agricultură prin asigurarea aplicării unor standarde comune mai stricte, accelerarea cercetării privind alternativele naturale și sprijinirea adoptării de noi soluții, inclusiv formarea fermierilor. </w:t>
      </w:r>
    </w:p>
    <w:p>
      <w:pPr>
        <w:pStyle w:val="Normal"/>
        <w:rPr/>
      </w:pPr>
      <w:r>
        <w:rPr/>
        <w:t xml:space="preserve"> </w:t>
      </w:r>
    </w:p>
    <w:p>
      <w:pPr>
        <w:pStyle w:val="Normal"/>
        <w:rPr/>
      </w:pPr>
      <w:r>
        <w:rPr/>
        <w:t xml:space="preserve">Deși s-au înregistrat progrese în ceea ce privește îngrășămintele și pesticidele alternative, cele mai multe dintre acestea nu sunt încă utilizabile de fermele mari. Prin urmare, este necesar un efort mai susținut pentru a dezvolta noi soluții. Cercetarea ar trebui încurajată prin cheltuieli publice și standarde mai ridicate pentru utilizarea pesticidelor și a îngrășămintelor. Rezultatele cercetării trebuie diseminate rapid la nivelul UE. </w:t>
      </w:r>
    </w:p>
    <w:p>
      <w:pPr>
        <w:pStyle w:val="Normal"/>
        <w:rPr/>
      </w:pPr>
      <w:r>
        <w:rPr/>
        <w:t xml:space="preserve"> </w:t>
      </w:r>
    </w:p>
    <w:p>
      <w:pPr>
        <w:pStyle w:val="P68B1DB1Normal15"/>
        <w:rPr>
          <w:b/>
          <w:b/>
        </w:rPr>
      </w:pPr>
      <w:r>
        <w:rPr/>
        <w:t xml:space="preserve">11. Recomandăm extinderea ariilor protejate pentru conservarea biodiversității (mamifere, păsări, insecte și plante) și consolidarea statului de drept în ceea ce privește intervenția umană în aceste zone. Zonele protejate vor fi considerate nu numai ca insule, ci și ca un continuum cu zone urbane mai verzi, în conformitate cu standardele armonizate ale UE. </w:t>
      </w:r>
    </w:p>
    <w:p>
      <w:pPr>
        <w:pStyle w:val="Normal"/>
        <w:rPr/>
      </w:pPr>
      <w:r>
        <w:rPr/>
        <w:t xml:space="preserve"> </w:t>
      </w:r>
    </w:p>
    <w:p>
      <w:pPr>
        <w:pStyle w:val="Normal"/>
        <w:rPr/>
      </w:pPr>
      <w:r>
        <w:rPr/>
        <w:t xml:space="preserve">Biodiversitatea suferă foarte mult din cauza defrișărilor. Crearea de arii protejate este unul dintre principalele mijloace de protejare a biodiversității terestre. Cu toate acestea, este dificil să se păstreze zonele protejate din apropierea orașelor poluate sau să se evite interferențele umane atunci când zonele înconjurătoare lasă puțin loc pentru natură. Trebuie să înverzim zonele de locuit și să le integrăm în natura lor înconjurătoare. </w:t>
      </w:r>
    </w:p>
    <w:p>
      <w:pPr>
        <w:pStyle w:val="Normal"/>
        <w:rPr/>
      </w:pPr>
      <w:r>
        <w:rPr/>
        <w:t xml:space="preserve"> </w:t>
      </w:r>
    </w:p>
    <w:p>
      <w:pPr>
        <w:pStyle w:val="Normal"/>
        <w:rPr/>
      </w:pPr>
      <w:r>
        <w:rPr>
          <w:b/>
        </w:rPr>
        <w:t>12. Recomandăm redirecționarea subvențiilor generice către agricultură, în principal către proiecte legate de dezvoltarea agriculturii durabile, inclusiv respectarea naturii și a lucrătorilor. Beneficiarii ar trebui să respecte standarde de mediu clare și să fie monitorizați îndeaproape.</w:t>
      </w:r>
      <w:r>
        <w:rPr/>
        <w:t xml:space="preserve"> </w:t>
      </w:r>
    </w:p>
    <w:p>
      <w:pPr>
        <w:pStyle w:val="Normal"/>
        <w:rPr/>
      </w:pPr>
      <w:r>
        <w:rPr/>
        <w:t xml:space="preserve"> </w:t>
      </w:r>
    </w:p>
    <w:p>
      <w:pPr>
        <w:pStyle w:val="Normal"/>
        <w:rPr/>
      </w:pPr>
      <w:r>
        <w:rPr/>
        <w:t xml:space="preserve">Considerăm că ar trebui încurajată numai agricultura durabilă, ceea ce implică realocarea fondurilor utilizate în prezent pentru subvenții generice. În plus, este posibilă creșterea eficienței fondurilor utilizate prin concentrarea pe proiecte transformatoare și soluții inovatoare, mai degrabă decât pe plățile anuale. Ar trebui asigurată o mai bună monitorizare a impactului ecologic al activităților și proiectelor agricole. Drepturile omului ale lucrătorilor trebuie, de asemenea, să fie considerate o parte integrantă a durabilității. </w:t>
      </w:r>
    </w:p>
    <w:p>
      <w:pPr>
        <w:pStyle w:val="Normal"/>
        <w:rPr/>
      </w:pPr>
      <w:r>
        <w:rPr/>
        <w:t xml:space="preserve"> </w:t>
      </w:r>
    </w:p>
    <w:p>
      <w:pPr>
        <w:pStyle w:val="Normal"/>
        <w:rPr/>
      </w:pPr>
      <w:r>
        <w:rPr>
          <w:b/>
        </w:rPr>
        <w:t>13. Recomandăm UE să asigure o concurență loială pentru produsele agricole ecologice prin stabilirea unor standarde mai ridicate atât pentru produsele UE, cât și pentru cele importate, asigurând trasabilitatea, etichetarea și controlul calității.</w:t>
      </w:r>
      <w:r>
        <w:rPr/>
        <w:t xml:space="preserve"> </w:t>
      </w:r>
    </w:p>
    <w:p>
      <w:pPr>
        <w:pStyle w:val="Normal"/>
        <w:rPr/>
      </w:pPr>
      <w:r>
        <w:rPr/>
        <w:t xml:space="preserve"> </w:t>
      </w:r>
    </w:p>
    <w:p>
      <w:pPr>
        <w:pStyle w:val="Normal"/>
        <w:rPr/>
      </w:pPr>
      <w:r>
        <w:rPr/>
        <w:t xml:space="preserve">Productivitatea mai scăzută a produselor agricole durabile subminează competitivitatea lor din punctul de vedere al costurilor. Produsele importate ar trebui să respecte aceleași standarde stricte în ceea ce privește impactul asupra mediului al producției lor. Autoritățile noastre ar trebui să fie în măsură să asigure trasabilitatea produselor agricole importate. </w:t>
      </w:r>
    </w:p>
    <w:p>
      <w:pPr>
        <w:pStyle w:val="Normal"/>
        <w:rPr/>
      </w:pPr>
      <w:r>
        <w:rPr/>
        <w:t xml:space="preserve"> </w:t>
      </w:r>
    </w:p>
    <w:p>
      <w:pPr>
        <w:pStyle w:val="P68B1DB1Normal15"/>
        <w:rPr>
          <w:b/>
          <w:b/>
        </w:rPr>
      </w:pPr>
      <w:r>
        <w:rPr/>
        <w:t xml:space="preserve">14. Recomandăm reîmpădurirea rapidă și masivă și împădurirea în UE, datorită utilizării optimizate a terenurilor. O atenție deosebită ar trebui acordată reîmpăduririi pădurilor exploatate sau distruse și împăduririi zonelor cu soluri degradate. Ar trebui promovate soluții noi, mai responsabile, pentru o mai bună utilizare a lemnului, de exemplu pentru a înlocui materialele plastice și alte substanțe chimice, pentru a obține o eficiență energetică sporită a biomasei și pentru a recicla produsele din lemn. </w:t>
      </w:r>
    </w:p>
    <w:p>
      <w:pPr>
        <w:pStyle w:val="Normal"/>
        <w:rPr/>
      </w:pPr>
      <w:r>
        <w:rPr/>
        <w:t xml:space="preserve"> </w:t>
      </w:r>
    </w:p>
    <w:p>
      <w:pPr>
        <w:pStyle w:val="Normal"/>
        <w:rPr/>
      </w:pPr>
      <w:r>
        <w:rPr/>
        <w:t xml:space="preserve">Reîmpădurirea are un impact pozitiv clar asupra mediului și a biodiversității în general. În același timp, trebuie să folosim mai puțin lemn pentru a ne încălzi, dar mai mult pentru a le face produse cu valoare adăugată ridicată; de exemplu, pentru a înlocui materialele plastice, utilizarea lemnului este esențială. </w:t>
      </w:r>
    </w:p>
    <w:p>
      <w:pPr>
        <w:pStyle w:val="Normal"/>
        <w:rPr/>
      </w:pPr>
      <w:r>
        <w:rPr/>
        <w:t xml:space="preserve"> </w:t>
      </w:r>
    </w:p>
    <w:p>
      <w:pPr>
        <w:pStyle w:val="Titre4"/>
        <w:numPr>
          <w:ilvl w:val="3"/>
          <w:numId w:val="2"/>
        </w:numPr>
        <w:rPr/>
      </w:pPr>
      <w:bookmarkStart w:id="162" w:name="__RefHeading___Toc297259_1346298689"/>
      <w:bookmarkEnd w:id="162"/>
      <w:r>
        <w:rPr/>
        <w:t xml:space="preserve">Subaxa 2.3 Alimente sigure și sănătoase </w:t>
      </w:r>
    </w:p>
    <w:p>
      <w:pPr>
        <w:pStyle w:val="P68B1DB1Normal15"/>
        <w:rPr>
          <w:b/>
          <w:b/>
        </w:rPr>
      </w:pPr>
      <w:r>
        <w:rPr/>
        <w:t xml:space="preserve">15. Vă recomandăm eliminarea rapidă și treptată a ambalajelor nesustenabile utilizate pentru alimente, inclusiv ambalaje din plastic și alte ambalaje nebiodegradabile. În acest scop, sugerăm să oferim stimulente financiare companiilor care trec la forme complet biodegradabile de ambalaje, investind în găsirea de alternative și impunând sancțiuni companiilor care nu utilizează ambalaje biodegradabile. </w:t>
      </w:r>
    </w:p>
    <w:p>
      <w:pPr>
        <w:pStyle w:val="Normal"/>
        <w:rPr/>
      </w:pPr>
      <w:r>
        <w:rPr/>
        <w:t xml:space="preserve"> </w:t>
      </w:r>
    </w:p>
    <w:p>
      <w:pPr>
        <w:pStyle w:val="Normal"/>
        <w:rPr/>
      </w:pPr>
      <w:r>
        <w:rPr/>
        <w:t xml:space="preserve">Deșeurile de plastic, în special microplasticele, devin din ce în ce mai abundente și se degradează lent. Consumul de plastic subminează calitatea și siguranța alimentelor și, în același timp, prezintă riscuri pentru sănătatea umană și animală. În plus, legislația UE existentă pentru reducerea ambalajelor nebiodegradabile este insuficientă. </w:t>
      </w:r>
    </w:p>
    <w:p>
      <w:pPr>
        <w:pStyle w:val="Normal"/>
        <w:rPr/>
      </w:pPr>
      <w:r>
        <w:rPr/>
        <w:t xml:space="preserve"> </w:t>
      </w:r>
    </w:p>
    <w:p>
      <w:pPr>
        <w:pStyle w:val="P68B1DB1Normal15"/>
        <w:rPr>
          <w:b/>
          <w:b/>
        </w:rPr>
      </w:pPr>
      <w:r>
        <w:rPr/>
        <w:t xml:space="preserve">16. Recomandăm abandonarea treptată a agriculturii intensive, inclusiv încetarea condițiilor de viață degradante pentru animale. Propunem să se stabilească standarde comune pentru creșterea animalelor (de exemplu, numărul maxim de animale, spații exterioare adaptate) și să se investească mai mult în metode non-intensive (agricultură extinsă și durabilă) prin oferirea de stimulente financiare și de formare fermierilor pentru a sprijini această dezvoltare. </w:t>
      </w:r>
    </w:p>
    <w:p>
      <w:pPr>
        <w:pStyle w:val="Normal"/>
        <w:rPr/>
      </w:pPr>
      <w:r>
        <w:rPr/>
        <w:t xml:space="preserve"> </w:t>
      </w:r>
    </w:p>
    <w:p>
      <w:pPr>
        <w:pStyle w:val="Normal"/>
        <w:rPr/>
      </w:pPr>
      <w:r>
        <w:rPr/>
        <w:t xml:space="preserve">Eliminarea treptată a agriculturii intensive va reduce nivelurile de poluare a mediului și va consolida protecția naturii. În plus, eliminarea treptată a creșterii intensive a animalelor va reduce cantitatea de medicamente necesare pentru combaterea bolilor animalelor și va îmbunătăți calitatea dietei noastre. De asemenea, agricultura intensivă nu respectă bunăstarea animalelor, dar există forme mai durabile de agricultură, cum ar fi agricultura extensivă; este necesar să se acorde subvenții fermierilor pentru a-i ajuta să se angajeze pe această cale. </w:t>
      </w:r>
    </w:p>
    <w:p>
      <w:pPr>
        <w:pStyle w:val="Normal"/>
        <w:rPr/>
      </w:pPr>
      <w:r>
        <w:rPr/>
        <w:t xml:space="preserve"> </w:t>
      </w:r>
    </w:p>
    <w:p>
      <w:pPr>
        <w:pStyle w:val="P68B1DB1Normal15"/>
        <w:rPr>
          <w:b/>
          <w:b/>
        </w:rPr>
      </w:pPr>
      <w:r>
        <w:rPr/>
        <w:t xml:space="preserve">17. Recomandăm consolidarea controalelor privind interzicerea utilizării inutile a antibioticelor și a altor medicamente de uz veterinar în aditivii furajeri: să facem această inițiativă să se întâmple! Propunem ca utilizarea antibioticelor în creșterea animalelor să fie permisă numai atunci când este absolut necesar, pentru a proteja sănătatea și bunăstarea animalelor, mai degrabă decât în mod preventiv. În plus, este necesar să se investească mai mult în căutarea unor antibiotice mai eficiente, dezvoltând alternative, bazându-se în același timp pe cercetările în curs în acest domeniu. </w:t>
      </w:r>
    </w:p>
    <w:p>
      <w:pPr>
        <w:pStyle w:val="Normal"/>
        <w:rPr/>
      </w:pPr>
      <w:r>
        <w:rPr/>
        <w:t xml:space="preserve"> </w:t>
      </w:r>
    </w:p>
    <w:p>
      <w:pPr>
        <w:pStyle w:val="Normal"/>
        <w:rPr/>
      </w:pPr>
      <w:r>
        <w:rPr/>
        <w:t xml:space="preserve">Rezistența umană la antibiotice este redusă datorită consumului de alimente derivate de la animale cărora li s-au administrat antibiotice. În plus, este nevoie de timp pentru a dezvolta soluții adecvate pentru a înlocui antibioticele existente și pentru a se asigura că agricultorii sunt informați și dispuși să le utilizeze. Recunoaștem că există directive UE privind antibioticele; cu toate acestea, acestea nu au fost puse în aplicare în același mod în toate statele membre. În cele din urmă, medicamentele de uz veterinar sunt utilizate în mod abuziv în scopuri de dopaj; prin urmare, o legislație mai strictă în acest domeniu va spori bunăstarea animalelor și le va îmbunătăți calitatea vieții. </w:t>
      </w:r>
    </w:p>
    <w:p>
      <w:pPr>
        <w:pStyle w:val="Normal"/>
        <w:rPr/>
      </w:pPr>
      <w:r>
        <w:rPr/>
        <w:t xml:space="preserve"> </w:t>
      </w:r>
    </w:p>
    <w:p>
      <w:pPr>
        <w:pStyle w:val="P68B1DB1Normal15"/>
        <w:rPr>
          <w:b/>
          <w:b/>
        </w:rPr>
      </w:pPr>
      <w:r>
        <w:rPr/>
        <w:t xml:space="preserve">18. Recomandăm ca legislația UE să impună raportarea utilizării substanțelor hormonale și a perturbatorilor endocrini în producția de alimente pentru a specifica tipul, cantitatea și expunerea produsului final utilizat. Etichetele care indică în mod clar substanțele prezente și motivele utilizării acestora trebuie să figureze pe ambalajul tuturor produselor alimentare în cauză. În plus, ar trebui accelerate cercetările privind efectele substanțelor hormonale și ale perturbatorilor endocrini asupra sănătății umane. </w:t>
      </w:r>
    </w:p>
    <w:p>
      <w:pPr>
        <w:pStyle w:val="Normal"/>
        <w:rPr/>
      </w:pPr>
      <w:r>
        <w:rPr/>
        <w:t xml:space="preserve"> </w:t>
      </w:r>
    </w:p>
    <w:p>
      <w:pPr>
        <w:pStyle w:val="Normal"/>
        <w:rPr/>
      </w:pPr>
      <w:r>
        <w:rPr/>
        <w:t xml:space="preserve">În prezent, trasabilitatea produselor alimentare este insuficientă, în special în ceea ce privește substanțele hormonale și perturbatorii endocrini. Considerăm că transparența în producția de alimente este necesară pentru a răspunde responsabilității. În plus, consumatorii ar trebui să poată cunoaște compoziția, în întregime, a produselor alimentare pe care le consumă și să poată alege în mod liber ceea ce mănâncă. În plus, nu există suficiente cercetări privind impactul asupra oamenilor (și riscurile potențiale) asociate consumului de produse alimentare care conțin substanțe hormonale și perturbatori endocrini. </w:t>
      </w:r>
    </w:p>
    <w:p>
      <w:pPr>
        <w:pStyle w:val="Normal"/>
        <w:rPr/>
      </w:pPr>
      <w:r>
        <w:rPr/>
        <w:t xml:space="preserve"> </w:t>
      </w:r>
    </w:p>
    <w:p>
      <w:pPr>
        <w:pStyle w:val="P68B1DB1Normal15"/>
        <w:rPr>
          <w:b/>
          <w:b/>
        </w:rPr>
      </w:pPr>
      <w:r>
        <w:rPr/>
        <w:t xml:space="preserve">19. Recomandăm descurajarea consumului de alimente procesate prin aplicarea de taxe pe alimente care sunt dăunătoare sănătății și prin investirea de fonduri în alimente sănătoase. Propunem instituirea unui sistem european de clasificare a alimentelor sănătoase, bazat pe cele mai bune practici din statele membre, și introducerea etichetelor pe produsele alimentare pentru a informa consumatorii cu privire la efectele lor asupra sănătății. </w:t>
      </w:r>
    </w:p>
    <w:p>
      <w:pPr>
        <w:pStyle w:val="Normal"/>
        <w:rPr/>
      </w:pPr>
      <w:r>
        <w:rPr/>
        <w:t xml:space="preserve"> </w:t>
      </w:r>
    </w:p>
    <w:p>
      <w:pPr>
        <w:pStyle w:val="Normal"/>
        <w:rPr/>
      </w:pPr>
      <w:r>
        <w:rPr/>
        <w:t xml:space="preserve">În acest fel, fondurile colectate pot fi utilizate pentru a dezvolta campanii de sensibilizare și promovare, pentru a prioritiza alimentația sănătoasă în sectorul educației și pentru a face alimentele nesănătoase mai puțin vizibile în supermarketuri. Investițiile în alimente sănătoase contribuie, de asemenea, la îmbunătățirea sănătății generale a populației și, prin urmare, la reducerea nivelului cheltuielilor publice necesare pentru a aborda problemele de sănătate cauzate de alimentația deficitară. În plus, credem că impozitele și subvențiile vor încuraja întreprinderile să producă alimente mai sănătoase. </w:t>
      </w:r>
    </w:p>
    <w:p>
      <w:pPr>
        <w:pStyle w:val="Normal"/>
        <w:rPr/>
      </w:pPr>
      <w:r>
        <w:rPr/>
        <w:t xml:space="preserve"> </w:t>
      </w:r>
    </w:p>
    <w:p>
      <w:pPr>
        <w:pStyle w:val="Titre3"/>
        <w:numPr>
          <w:ilvl w:val="2"/>
          <w:numId w:val="2"/>
        </w:numPr>
        <w:rPr/>
      </w:pPr>
      <w:bookmarkStart w:id="163" w:name="__RefHeading___Toc297261_1346298689"/>
      <w:bookmarkEnd w:id="163"/>
      <w:r>
        <w:rPr/>
        <w:t xml:space="preserve">Axa 3: reorientarea economiei și a consumului </w:t>
      </w:r>
    </w:p>
    <w:p>
      <w:pPr>
        <w:pStyle w:val="Titre4"/>
        <w:numPr>
          <w:ilvl w:val="3"/>
          <w:numId w:val="2"/>
        </w:numPr>
        <w:rPr/>
      </w:pPr>
      <w:bookmarkStart w:id="164" w:name="__RefHeading___Toc297263_1346298689"/>
      <w:bookmarkEnd w:id="164"/>
      <w:r>
        <w:rPr/>
        <w:t xml:space="preserve">Subaxa 3.1 Reglarea supraproducției și supraconsumului </w:t>
      </w:r>
    </w:p>
    <w:p>
      <w:pPr>
        <w:pStyle w:val="P68B1DB1Normal15"/>
        <w:rPr>
          <w:b/>
          <w:b/>
        </w:rPr>
      </w:pPr>
      <w:r>
        <w:rPr/>
        <w:t xml:space="preserve">20. Recomandăm UE să ia mai multe măsuri pentru a permite consumatorilor să utilizeze produsele mai mult timp și pentru a-i încuraja să facă acest lucru. UE ar trebui să combată obsolescența planificată prin extinderea garanției produsului și stabilirea unui preț maxim pentru piesele de schimb după expirarea perioadei de garanție. Toate statele membre ar trebui să introducă o reducere a taxei pentru serviciile de reparații, așa cum este cazul în Suedia. Producătorii ar trebui să fie obligați să indice durata de viață preconizată a produselor lor. UE ar trebui să furnizeze informații cu privire la modul de reutilizare și reparare a produselor prin intermediul unui site internet și prin educație. </w:t>
      </w:r>
    </w:p>
    <w:p>
      <w:pPr>
        <w:pStyle w:val="Normal"/>
        <w:rPr/>
      </w:pPr>
      <w:r>
        <w:rPr/>
        <w:t xml:space="preserve"> </w:t>
      </w:r>
    </w:p>
    <w:p>
      <w:pPr>
        <w:pStyle w:val="Normal"/>
        <w:rPr/>
      </w:pPr>
      <w:r>
        <w:rPr/>
        <w:t xml:space="preserve">Societatea noastră de deșeuri nu este viabilă pentru că generează prea multe deșeuri. Prin aplicarea măsurilor propuse, vom evolua spre o societate în care produsele vor fi reutilizate și reparate, al căror număr va scădea, reducând astfel consumul excesiv. </w:t>
      </w:r>
    </w:p>
    <w:p>
      <w:pPr>
        <w:pStyle w:val="Normal"/>
        <w:rPr/>
      </w:pPr>
      <w:r>
        <w:rPr/>
        <w:t xml:space="preserve"> </w:t>
      </w:r>
    </w:p>
    <w:p>
      <w:pPr>
        <w:pStyle w:val="P68B1DB1Normal15"/>
        <w:rPr>
          <w:b/>
          <w:b/>
        </w:rPr>
      </w:pPr>
      <w:r>
        <w:rPr/>
        <w:t xml:space="preserve">21. Recomandăm UE să aplice standarde de mediu mai stricte și să asigure condiții de muncă echitabile de-a lungul lanțului de producție. Standardele de producție ale UE ar trebui să fie mai durabile și mai armonizate între statele membre și să fie aplicate mărfurilor importate. Aceste standarde trebuie să fie, de asemenea, de natură socială, inclusiv un venit decent pentru lucrători și condiții de muncă satisfăcătoare în fabrici. Ar trebui să existe consecințe pentru bunurile care nu îndeplinesc aceste standarde. </w:t>
      </w:r>
    </w:p>
    <w:p>
      <w:pPr>
        <w:pStyle w:val="Normal"/>
        <w:rPr/>
      </w:pPr>
      <w:r>
        <w:rPr/>
        <w:t xml:space="preserve"> </w:t>
      </w:r>
    </w:p>
    <w:p>
      <w:pPr>
        <w:pStyle w:val="Normal"/>
        <w:rPr/>
      </w:pPr>
      <w:r>
        <w:rPr/>
        <w:t xml:space="preserve">Este important să se stabilească standarde de fabricație omogene din punct de vedere ecologic și social în Europa, pentru a se asigura că toate produsele oferite sunt produse în mod durabil. Aceste măsuri sunt esențiale pentru reorientarea economiei noastre și pentru schimbarea modelelor de producție a întreprinderilor. </w:t>
      </w:r>
    </w:p>
    <w:p>
      <w:pPr>
        <w:pStyle w:val="Normal"/>
        <w:rPr/>
      </w:pPr>
      <w:r>
        <w:rPr/>
        <w:t xml:space="preserve"> </w:t>
      </w:r>
    </w:p>
    <w:p>
      <w:pPr>
        <w:pStyle w:val="P68B1DB1Normal15"/>
        <w:rPr>
          <w:b/>
          <w:b/>
        </w:rPr>
      </w:pPr>
      <w:r>
        <w:rPr/>
        <w:t xml:space="preserve">22. Recomandăm UE și statelor membre să pună în aplicare măsuri de limitare a publicității produselor care dăunează mediului. Produsele cu o durabilitate redusă ar trebui să facă obiectul unei clauze obligatorii de nerăspundere în toate formele de publicitate care să demonstreze că sunt dăunătoare pentru mediu. UE ar trebui să interzică publicitatea pentru produse care nu sunt deloc durabile. </w:t>
      </w:r>
    </w:p>
    <w:p>
      <w:pPr>
        <w:pStyle w:val="Normal"/>
        <w:rPr/>
      </w:pPr>
      <w:r>
        <w:rPr/>
        <w:t xml:space="preserve"> </w:t>
      </w:r>
    </w:p>
    <w:p>
      <w:pPr>
        <w:pStyle w:val="Normal"/>
        <w:rPr/>
      </w:pPr>
      <w:r>
        <w:rPr/>
        <w:t xml:space="preserve">Publicitatea încurajează consumul; produsele care dăunează mediului nu trebuie evidențiate. În acest fel, consumatorii vor fi mai puțin susceptibili să cumpere produse dăunătoare mediului. </w:t>
      </w:r>
    </w:p>
    <w:p>
      <w:pPr>
        <w:pStyle w:val="Normal"/>
        <w:rPr/>
      </w:pPr>
      <w:r>
        <w:rPr/>
        <w:t xml:space="preserve"> </w:t>
      </w:r>
    </w:p>
    <w:p>
      <w:pPr>
        <w:pStyle w:val="P68B1DB1Normal15"/>
        <w:rPr>
          <w:b/>
          <w:b/>
        </w:rPr>
      </w:pPr>
      <w:r>
        <w:rPr/>
        <w:t xml:space="preserve">23. Recomandăm ca UE să înființeze și să dezvolte în mod uniform pe întreg teritoriul UE infrastructuri de sisteme de depozitare pentru toate ambalajele primare de sticlă, plastic, aluminiu etc.. Producătorii ar trebui, pe cât posibil, să reutilizeze ambalajul de returnare prin sterilizarea acestora, mai degrabă decât prin reciclarea materialelor. În plus față de ambalarea alimentelor și băuturilor, dispozitivul ar trebui să acopere și alte tipuri de sticle și recipiente, cum ar fi sticlele de șampon. </w:t>
      </w:r>
    </w:p>
    <w:p>
      <w:pPr>
        <w:pStyle w:val="Normal"/>
        <w:rPr/>
      </w:pPr>
      <w:r>
        <w:rPr/>
        <w:t xml:space="preserve"> </w:t>
      </w:r>
    </w:p>
    <w:p>
      <w:pPr>
        <w:pStyle w:val="Normal"/>
        <w:rPr/>
      </w:pPr>
      <w:r>
        <w:rPr/>
        <w:t xml:space="preserve">În prezent, consumatorii aruncă prea mult ambalaje, poluează și distrug ecosistemele noastre. Sistemele de depozitare contribuie la reducerea deșeurilor, încurajând cetățenii să aducă înapoi ambalajele, mai degrabă decât să le arunce. Prin dezvoltarea acestui sistem, vom folosi mai puține resurse; cantitatea de deșeuri generate va fi redusă. </w:t>
      </w:r>
    </w:p>
    <w:p>
      <w:pPr>
        <w:pStyle w:val="Normal"/>
        <w:rPr/>
      </w:pPr>
      <w:r>
        <w:rPr/>
        <w:t xml:space="preserve"> </w:t>
      </w:r>
    </w:p>
    <w:p>
      <w:pPr>
        <w:pStyle w:val="Titre4"/>
        <w:numPr>
          <w:ilvl w:val="3"/>
          <w:numId w:val="2"/>
        </w:numPr>
        <w:rPr/>
      </w:pPr>
      <w:bookmarkStart w:id="165" w:name="__RefHeading___Toc297265_1346298689"/>
      <w:bookmarkEnd w:id="165"/>
      <w:r>
        <w:rPr/>
        <w:t xml:space="preserve">Subaxa 3.2 Reducerea deșeurilor </w:t>
      </w:r>
    </w:p>
    <w:p>
      <w:pPr>
        <w:pStyle w:val="P68B1DB1Normal15"/>
        <w:rPr>
          <w:b/>
          <w:b/>
        </w:rPr>
      </w:pPr>
      <w:r>
        <w:rPr/>
        <w:t xml:space="preserve">24. Recomandăm promovarea unei mai bune puneri în aplicare a politicilor privind economia circulară la nivel european, care să vizeze atât întreprinderile, cât și cetățenii, sub forma unor stimulente financiare pentru cei care le respectă. </w:t>
      </w:r>
    </w:p>
    <w:p>
      <w:pPr>
        <w:pStyle w:val="Normal"/>
        <w:rPr/>
      </w:pPr>
      <w:r>
        <w:rPr/>
        <w:t xml:space="preserve"> </w:t>
      </w:r>
    </w:p>
    <w:p>
      <w:pPr>
        <w:pStyle w:val="Normal"/>
        <w:rPr/>
      </w:pPr>
      <w:r>
        <w:rPr/>
        <w:t xml:space="preserve">Mulți oameni se vor găsi în cele din urmă șomeri dacă întreprinderile de producție își reduc forța de muncă sau chiar ajung într-o stare de încetare a plății/fermentului. Măsurile de reconversie profesională pentru șomeri vor încuraja practici ecologice, limitând în același timp șomajul și promovând modernizarea unei economii diversificate. </w:t>
      </w:r>
    </w:p>
    <w:p>
      <w:pPr>
        <w:pStyle w:val="Normal"/>
        <w:rPr/>
      </w:pPr>
      <w:r>
        <w:rPr/>
        <w:t xml:space="preserve"> </w:t>
      </w:r>
    </w:p>
    <w:p>
      <w:pPr>
        <w:pStyle w:val="P68B1DB1Normal15"/>
        <w:rPr>
          <w:b/>
          <w:b/>
        </w:rPr>
      </w:pPr>
      <w:r>
        <w:rPr/>
        <w:t xml:space="preserve">25. Recomandăm UE să reglementeze utilizarea ambalajelor sigure din punctul de vedere al mediului (și anume, ambalajele bazate pe materiale biodegradabile, reciclabile sau mai durabile, dacă este posibil) și/sau utilizarea ambalajelor mai puțin voluminoase, de asemenea, cu un cod QR care să furnizeze informații relevante pentru procesul de reciclare și/sau eliminare a ambalajelor după utilizare. </w:t>
      </w:r>
    </w:p>
    <w:p>
      <w:pPr>
        <w:pStyle w:val="Normal"/>
        <w:rPr/>
      </w:pPr>
      <w:r>
        <w:rPr/>
        <w:t xml:space="preserve"> </w:t>
      </w:r>
    </w:p>
    <w:p>
      <w:pPr>
        <w:pStyle w:val="Normal"/>
        <w:rPr/>
      </w:pPr>
      <w:r>
        <w:rPr/>
        <w:t xml:space="preserve">Această recomandare va duce la o reducere a ambalajelor, la o reducere a deșeurilor și, în consecință, la poluare; prin urmare, mediul va fi mai curat și, în cele din urmă, amprenta de carbon va fi mai mică. Sarcina fiscală pentru producători va fi, de asemenea, mai mică. </w:t>
      </w:r>
    </w:p>
    <w:p>
      <w:pPr>
        <w:pStyle w:val="Normal"/>
        <w:rPr/>
      </w:pPr>
      <w:r>
        <w:rPr/>
        <w:t xml:space="preserve"> </w:t>
      </w:r>
    </w:p>
    <w:p>
      <w:pPr>
        <w:pStyle w:val="Titre4"/>
        <w:numPr>
          <w:ilvl w:val="3"/>
          <w:numId w:val="2"/>
        </w:numPr>
        <w:rPr/>
      </w:pPr>
      <w:bookmarkStart w:id="166" w:name="__RefHeading___Toc297267_1346298689"/>
      <w:bookmarkEnd w:id="166"/>
      <w:r>
        <w:rPr/>
        <w:t xml:space="preserve">Subaxa 3.3 Produse echitabile, acces egal și consum echitabil </w:t>
      </w:r>
    </w:p>
    <w:p>
      <w:pPr>
        <w:pStyle w:val="P68B1DB1Normal15"/>
        <w:rPr>
          <w:b/>
          <w:b/>
        </w:rPr>
      </w:pPr>
      <w:r>
        <w:rPr/>
        <w:t xml:space="preserve">26. Recomandăm Uniunii Europene să stabilească un cadru juridic pentru a se asigura că toți consumatorii europeni au acces accesibil și îmbunătățit la produse alimentare de calitate și locale. </w:t>
      </w:r>
    </w:p>
    <w:p>
      <w:pPr>
        <w:pStyle w:val="Normal"/>
        <w:rPr/>
      </w:pPr>
      <w:r>
        <w:rPr/>
        <w:t xml:space="preserve"> </w:t>
      </w:r>
    </w:p>
    <w:p>
      <w:pPr>
        <w:pStyle w:val="Normal"/>
        <w:rPr/>
      </w:pPr>
      <w:r>
        <w:rPr/>
        <w:t xml:space="preserve">Într-adevăr, în prezent nu există o interpretare comună la nivelul UE a ceea ce ar trebui să fie considerat alimente locale și de calitate. Acest decalaj trebuie să fie acoperit. </w:t>
      </w:r>
    </w:p>
    <w:p>
      <w:pPr>
        <w:pStyle w:val="Normal"/>
        <w:rPr/>
      </w:pPr>
      <w:r>
        <w:rPr/>
        <w:t xml:space="preserve">Importul de produse de slabă calitate are un impact negativ direct asupra mediului. Pentru a combate schimbările climatice, trebuie să abordăm toate cauzele, inclusiv importul de produse de calitate scăzută: este necesar să se reducă distanța de transport și să se promoveze produsele sezoniere. </w:t>
      </w:r>
    </w:p>
    <w:p>
      <w:pPr>
        <w:pStyle w:val="Normal"/>
        <w:rPr/>
      </w:pPr>
      <w:r>
        <w:rPr/>
        <w:t xml:space="preserve">Această recomandare este promițătoare, deoarece s-ar putea aplica și produselor nealimentare. </w:t>
      </w:r>
    </w:p>
    <w:p>
      <w:pPr>
        <w:pStyle w:val="Normal"/>
        <w:rPr/>
      </w:pPr>
      <w:r>
        <w:rPr/>
        <w:t xml:space="preserve"> </w:t>
      </w:r>
    </w:p>
    <w:p>
      <w:pPr>
        <w:pStyle w:val="P68B1DB1Normal15"/>
        <w:rPr>
          <w:b/>
          <w:b/>
        </w:rPr>
      </w:pPr>
      <w:r>
        <w:rPr/>
        <w:t xml:space="preserve">27. Recomandăm Uniunii Europene să încurajeze cercetarea și dezvoltarea prin programe de finanțare pentru a se asigura că pe piața europeană sunt disponibile produse mai durabile și mai accesibile. De asemenea, Uniunea Europeană trebuie să organizeze consultări cu cetățenii, la toate nivelurile procesului decizional, inclusiv la nivel local, pentru a stabili nevoile acestora în materie de produse durabile. </w:t>
      </w:r>
    </w:p>
    <w:p>
      <w:pPr>
        <w:pStyle w:val="Normal"/>
        <w:rPr/>
      </w:pPr>
      <w:r>
        <w:rPr/>
        <w:t xml:space="preserve"> </w:t>
      </w:r>
    </w:p>
    <w:p>
      <w:pPr>
        <w:pStyle w:val="Normal"/>
        <w:rPr/>
      </w:pPr>
      <w:r>
        <w:rPr/>
        <w:t xml:space="preserve">Considerăm că cercetarea privind produsele durabile este insuficientă și că este urgent necesar să se aloce mai multe resurse financiare cercetării, astfel încât europenii să poată avea acces la produse durabile mai accesibile. </w:t>
      </w:r>
    </w:p>
    <w:p>
      <w:pPr>
        <w:pStyle w:val="Normal"/>
        <w:rPr/>
      </w:pPr>
      <w:r>
        <w:rPr/>
        <w:t xml:space="preserve">Cetățenii trebuie să participe la procesul decizional. Programul pentru acțiuni de cercetare și inovare trebuie elaborat împreună cu cetățenii. Aceștia ar trebui să fie informați cu privire la acțiunile întreprinse, iar rezultatele ar trebui comunicate acestora. </w:t>
      </w:r>
    </w:p>
    <w:p>
      <w:pPr>
        <w:pStyle w:val="Normal"/>
        <w:rPr/>
      </w:pPr>
      <w:r>
        <w:rPr/>
      </w:r>
    </w:p>
    <w:p>
      <w:pPr>
        <w:pStyle w:val="P68B1DB1Normal15"/>
        <w:rPr>
          <w:b/>
          <w:b/>
        </w:rPr>
      </w:pPr>
      <w:r>
        <w:rPr/>
        <w:t xml:space="preserve">28. Recomandăm Uniunii Europene să introducă un mecanism de reglementare pentru articolele de modă care intră pe piața comună. Acest mecanism ar fi menit să încurajeze un consum mai bun printr-un indicator care să garanteze că produsul îndeplinește criteriile de durabilitate. </w:t>
      </w:r>
    </w:p>
    <w:p>
      <w:pPr>
        <w:pStyle w:val="Normal"/>
        <w:rPr/>
      </w:pPr>
      <w:r>
        <w:rPr/>
        <w:t xml:space="preserve"> </w:t>
      </w:r>
    </w:p>
    <w:p>
      <w:pPr>
        <w:pStyle w:val="Normal"/>
        <w:rPr/>
      </w:pPr>
      <w:r>
        <w:rPr/>
        <w:t xml:space="preserve">Sectorul modei, care produce prea multe bunuri de proastă calitate în afara granițelor europene, nu aplică standarde etice și nu adoptă un comportament durabil. </w:t>
      </w:r>
    </w:p>
    <w:p>
      <w:pPr>
        <w:pStyle w:val="Normal"/>
        <w:rPr/>
      </w:pPr>
      <w:r>
        <w:rPr/>
        <w:t xml:space="preserve">Trebuie să găsim un mecanism echitabil care să permită consumatorilor să consume mai bine. Cu toate acestea, este important să nu se majoreze impozitele, ceea ce ar avea consecințe negative pentru consumatori prin reducerea puterii lor de cumpărare. </w:t>
      </w:r>
    </w:p>
    <w:p>
      <w:pPr>
        <w:pStyle w:val="Normal"/>
        <w:rPr/>
      </w:pPr>
      <w:r>
        <w:rPr/>
        <w:t xml:space="preserve">Consumatorii ar trebui să știe în ce condiții sunt fabricate produsele pe care le cumpără și dacă respectă standardele de calitate durabile. </w:t>
      </w:r>
    </w:p>
    <w:p>
      <w:pPr>
        <w:pStyle w:val="Normal"/>
        <w:rPr/>
      </w:pPr>
      <w:r>
        <w:rPr/>
        <w:t xml:space="preserve"> </w:t>
      </w:r>
    </w:p>
    <w:p>
      <w:pPr>
        <w:pStyle w:val="Titre3"/>
        <w:numPr>
          <w:ilvl w:val="2"/>
          <w:numId w:val="2"/>
        </w:numPr>
        <w:rPr/>
      </w:pPr>
      <w:bookmarkStart w:id="167" w:name="__RefHeading___Toc297269_1346298689"/>
      <w:bookmarkEnd w:id="167"/>
      <w:r>
        <w:rPr/>
        <w:t xml:space="preserve">Axa 4: către o societate durabilă </w:t>
      </w:r>
    </w:p>
    <w:p>
      <w:pPr>
        <w:pStyle w:val="Titre4"/>
        <w:numPr>
          <w:ilvl w:val="3"/>
          <w:numId w:val="2"/>
        </w:numPr>
        <w:rPr/>
      </w:pPr>
      <w:bookmarkStart w:id="168" w:name="__RefHeading___Toc297271_1346298689"/>
      <w:bookmarkEnd w:id="168"/>
      <w:r>
        <w:rPr/>
        <w:t xml:space="preserve">Subaxa 4.1 Energii regenerabile, de acum încolo </w:t>
      </w:r>
    </w:p>
    <w:p>
      <w:pPr>
        <w:pStyle w:val="P68B1DB1Normal15"/>
        <w:rPr>
          <w:b/>
          <w:b/>
        </w:rPr>
      </w:pPr>
      <w:r>
        <w:rPr/>
        <w:t xml:space="preserve">29. Recomandăm UE să ia măsuri pentru ca filtrele de CO2 să devină obligatorii, în special pentru centralele electrice pe bază de cărbune, pe parcursul unei perioade de tranziție, atât timp cât continuăm să ne bazăm pe energia convențională. În plus, recomandăm UE să ofere asistență financiară statelor membre care nu dispun de resurse financiare pentru implementarea filtrelor de CO2. Ajutorul este condiționat de respectarea politicilor UE în domeniul climei legate de Acordul de la Paris, de Pactul verde și de orice nouă lege a climei. </w:t>
      </w:r>
    </w:p>
    <w:p>
      <w:pPr>
        <w:pStyle w:val="Normal"/>
        <w:rPr/>
      </w:pPr>
      <w:r>
        <w:rPr>
          <w:b/>
        </w:rPr>
        <w:t>Acesta este un pas concret care trebuie făcut în paralel cu continuarea investițiilor în cercetarea privind siguranța producției de energie și care urmărește să ajute statele membre ale UE să atingă treptat obiectivele comune de reducere a emisiilor de CO2.</w:t>
      </w:r>
      <w:r>
        <w:rPr/>
        <w:t xml:space="preserve"> </w:t>
      </w:r>
    </w:p>
    <w:p>
      <w:pPr>
        <w:pStyle w:val="Normal"/>
        <w:rPr/>
      </w:pPr>
      <w:r>
        <w:rPr/>
        <w:t xml:space="preserve"> </w:t>
      </w:r>
    </w:p>
    <w:p>
      <w:pPr>
        <w:pStyle w:val="Normal"/>
        <w:rPr/>
      </w:pPr>
      <w:r>
        <w:rPr/>
        <w:t xml:space="preserve">Știm că utilizarea combustibililor convenționali conduce la emisii de gaze cu efect de seră, iar statele membre ale UE trebuie să reducă utilizarea combustibililor convenționali pentru a se conforma Acordului de la Paris. Deoarece nu este posibil să se pună capăt imediat emisiilor de CO2 și suntem încă dependenți de cărbune, trebuie să luăm măsuri pe termen scurt și mediu. </w:t>
      </w:r>
    </w:p>
    <w:p>
      <w:pPr>
        <w:pStyle w:val="Normal"/>
        <w:rPr/>
      </w:pPr>
      <w:r>
        <w:rPr/>
        <w:t xml:space="preserve">Reducerea emisiilor de CO2 este de interes comun pentru toți cetățenii, atât în interiorul, cât și în afara UE; UE, în calitate de instituție, are propriile responsabilități, iar instituția face recomandări și oferă soluții, deoarece statele membre nu pot atinge obiectivele pe cont propriu. </w:t>
      </w:r>
    </w:p>
    <w:p>
      <w:pPr>
        <w:pStyle w:val="Normal"/>
        <w:rPr/>
      </w:pPr>
      <w:r>
        <w:rPr/>
      </w:r>
    </w:p>
    <w:p>
      <w:pPr>
        <w:pStyle w:val="P68B1DB1Normal15"/>
        <w:rPr>
          <w:b/>
          <w:b/>
        </w:rPr>
      </w:pPr>
      <w:r>
        <w:rPr/>
        <w:t xml:space="preserve">30. Vă recomandăm reducerea creșterii industriale intensive pentru a reduce producția de metan și poluarea apei. În acest scop, UE își revizuiește politica agricolă comună pentru a-și direcționa subvențiile către o agricultură durabilă și locală, inclusiv printr-un sistem de etichetare care să permită consumatorilor să recunoască produsele din carne durabile. De asemenea, încurajăm UE să investească în metode de reutilizare a deșeurilor provenite din producția animală și din alte industrii. </w:t>
      </w:r>
    </w:p>
    <w:p>
      <w:pPr>
        <w:pStyle w:val="Normal"/>
        <w:rPr/>
      </w:pPr>
      <w:r>
        <w:rPr/>
        <w:t xml:space="preserve"> </w:t>
      </w:r>
    </w:p>
    <w:p>
      <w:pPr>
        <w:pStyle w:val="Normal"/>
        <w:rPr/>
      </w:pPr>
      <w:r>
        <w:rPr/>
        <w:t xml:space="preserve">Populația este în creștere, ceea ce va duce la creșterea cererii de carne în viitor. Acesta este motivul pentru care consumul de carne trebuie redus. </w:t>
      </w:r>
    </w:p>
    <w:p>
      <w:pPr>
        <w:pStyle w:val="Normal"/>
        <w:rPr/>
      </w:pPr>
      <w:r>
        <w:rPr/>
        <w:t xml:space="preserve">Deoarece metanul produce gaze cu efect de seră, considerăm că este firesc să începem prin reducerea emisiilor de animale. </w:t>
      </w:r>
    </w:p>
    <w:p>
      <w:pPr>
        <w:pStyle w:val="Normal"/>
        <w:rPr/>
      </w:pPr>
      <w:r>
        <w:rPr/>
        <w:t xml:space="preserve">Știm cu toții că ar trebui consumată mai puțină carne și, prin urmare, numărul de bovine ar trebui redus în consecință. </w:t>
      </w:r>
    </w:p>
    <w:p>
      <w:pPr>
        <w:pStyle w:val="Normal"/>
        <w:rPr/>
      </w:pPr>
      <w:r>
        <w:rPr/>
        <w:t xml:space="preserve"> </w:t>
      </w:r>
    </w:p>
    <w:p>
      <w:pPr>
        <w:pStyle w:val="P68B1DB1Normal15"/>
        <w:rPr>
          <w:b/>
          <w:b/>
        </w:rPr>
      </w:pPr>
      <w:r>
        <w:rPr/>
        <w:t xml:space="preserve">31. Deși producția de hidrogen verde este un proces scump, deoarece este nevoie de 75 % din energie pentru a obține 25 % hidrogen, acest tip de energie are multe aspecte pozitive. Cea mai bună soluție poate fi producerea de energie fără CO2 alături de dezvoltarea hidrogenului verde. Energia eoliană ar trebui utilizată pentru producția de hidrogen ecologic, iar UE ar trebui să investească mai mult și să crească producția de energie eoliană și să o stocheze pentru nevoile viitoare. </w:t>
      </w:r>
    </w:p>
    <w:p>
      <w:pPr>
        <w:pStyle w:val="Normal"/>
        <w:rPr/>
      </w:pPr>
      <w:r>
        <w:rPr/>
        <w:t xml:space="preserve"> </w:t>
      </w:r>
    </w:p>
    <w:p>
      <w:pPr>
        <w:pStyle w:val="Normal"/>
        <w:rPr/>
      </w:pPr>
      <w:r>
        <w:rPr/>
        <w:t xml:space="preserve">Hidrogenul verde este flexibil și poate fi stocat pentru utilizare atunci când este necesar. Nu provoacă poluare cu CO2. </w:t>
      </w:r>
    </w:p>
    <w:p>
      <w:pPr>
        <w:pStyle w:val="Normal"/>
        <w:rPr/>
      </w:pPr>
      <w:r>
        <w:rPr/>
        <w:t xml:space="preserve"> </w:t>
      </w:r>
    </w:p>
    <w:p>
      <w:pPr>
        <w:pStyle w:val="Titre4"/>
        <w:numPr>
          <w:ilvl w:val="3"/>
          <w:numId w:val="2"/>
        </w:numPr>
        <w:rPr/>
      </w:pPr>
      <w:bookmarkStart w:id="169" w:name="__RefHeading___Toc297273_1346298689"/>
      <w:bookmarkEnd w:id="169"/>
      <w:r>
        <w:rPr/>
        <w:t xml:space="preserve">Subaxa 4.2 Susținerea schimbării </w:t>
      </w:r>
    </w:p>
    <w:p>
      <w:pPr>
        <w:pStyle w:val="P68B1DB1Normal15"/>
        <w:rPr>
          <w:b/>
          <w:b/>
        </w:rPr>
      </w:pPr>
      <w:r>
        <w:rPr/>
        <w:t xml:space="preserve">32. Recomandăm UE să instituie un sistem de constrângere și recompensare pentru a combate poluarea, inclusiv apa, solul, aerul și radiațiile. Trebuie aplicate amenzi poluatorilor, combinate cu sprijinul obligatoriu al unei organizații specializate, special concepute pentru a ajuta entitățile să elimine poluarea și să restabilească ecosistemul. Această organizație specializată ar trebui să joace un rol principal în prevenirea și controlul nivelurilor de poluare. </w:t>
      </w:r>
    </w:p>
    <w:p>
      <w:pPr>
        <w:pStyle w:val="Normal"/>
        <w:rPr/>
      </w:pPr>
      <w:r>
        <w:rPr/>
        <w:t xml:space="preserve"> </w:t>
      </w:r>
    </w:p>
    <w:p>
      <w:pPr>
        <w:pStyle w:val="Normal"/>
        <w:rPr/>
      </w:pPr>
      <w:r>
        <w:rPr/>
        <w:t xml:space="preserve">Deoarece este important să se pună accentul pe responsabilitățile poluatorilor și să se încurajeze entitățile să reducă poluarea prin direcționarea la zero a poluării. Este esențial să avem o planetă sănătoasă, deoarece este direct legată de bunăstarea noastră și de existența noastră viitoare. </w:t>
      </w:r>
    </w:p>
    <w:p>
      <w:pPr>
        <w:pStyle w:val="Normal"/>
        <w:rPr/>
      </w:pPr>
      <w:r>
        <w:rPr/>
        <w:t xml:space="preserve"> </w:t>
      </w:r>
    </w:p>
    <w:p>
      <w:pPr>
        <w:pStyle w:val="P68B1DB1Normal15"/>
        <w:rPr>
          <w:b/>
          <w:b/>
        </w:rPr>
      </w:pPr>
      <w:r>
        <w:rPr/>
        <w:t xml:space="preserve">33. Recomandăm UE să creeze un site web/o platformă specifică, verificată de mai mulți experți – cu informații științifice de mediu diverse și actualizate periodic – care să fie ușor accesibilă și transparentă pentru toți cetățenii. Acest site web/platformă va fi asociat cu un forum în care cetățenii și experții pot interacționa. De asemenea, vă recomandăm să lansați o campanie media pentru a promova acest site web/platformă (de exemplu, prin intermediul rețelelor sociale, cum ar fi YouTube, TikTok și LinkedIn). </w:t>
      </w:r>
    </w:p>
    <w:p>
      <w:pPr>
        <w:pStyle w:val="Normal"/>
        <w:rPr/>
      </w:pPr>
      <w:r>
        <w:rPr/>
        <w:t xml:space="preserve"> </w:t>
      </w:r>
    </w:p>
    <w:p>
      <w:pPr>
        <w:pStyle w:val="Normal"/>
        <w:rPr/>
      </w:pPr>
      <w:r>
        <w:rPr/>
        <w:t xml:space="preserve">Toți cetățenii trebuie să dispună de surse independente de informații, bazate pe dovezi științifice, pentru a înțelege provocările legate de schimbările climatice (consecințele și măsurile care trebuie luate pentru a le inversa), precum și pentru a face față știrilor false. Campania media va crește gradul de conștientizare cu privire la existența acestei platforme/site-uri web. De asemenea, este important ca informațiile furnizate de site-ul web/platforma să fie ușor de înțeles pentru toți cetățenii, cu acces la materiale sursă pentru cei care doresc să aprofundeze subiectul. </w:t>
      </w:r>
    </w:p>
    <w:p>
      <w:pPr>
        <w:pStyle w:val="Normal"/>
        <w:rPr/>
      </w:pPr>
      <w:r>
        <w:rPr/>
        <w:t xml:space="preserve"> </w:t>
      </w:r>
    </w:p>
    <w:p>
      <w:pPr>
        <w:pStyle w:val="P68B1DB1Normal15"/>
        <w:rPr>
          <w:b/>
          <w:b/>
        </w:rPr>
      </w:pPr>
      <w:r>
        <w:rPr/>
        <w:t xml:space="preserve">34. Recomandăm UE să reducă cantitatea de bunuri importate care nu respectă standardele UE privind amprenta de mediu. </w:t>
      </w:r>
    </w:p>
    <w:p>
      <w:pPr>
        <w:pStyle w:val="Normal"/>
        <w:rPr/>
      </w:pPr>
      <w:r>
        <w:rPr/>
        <w:t xml:space="preserve"> </w:t>
      </w:r>
    </w:p>
    <w:p>
      <w:pPr>
        <w:pStyle w:val="Normal"/>
        <w:rPr/>
      </w:pPr>
      <w:r>
        <w:rPr/>
        <w:t xml:space="preserve">Procedând astfel, ne asigurăm că mărfurile importate în UE au o amprentă mai ecologică. Scopul este de a reduce poluarea la nivel mondial. De asemenea, este important să se prezinte standardele țărilor în cazul în care acestea doresc să exporte bunuri în UE. </w:t>
      </w:r>
    </w:p>
    <w:p>
      <w:pPr>
        <w:pStyle w:val="Normal"/>
        <w:rPr/>
      </w:pPr>
      <w:r>
        <w:rPr/>
        <w:t xml:space="preserve"> </w:t>
      </w:r>
    </w:p>
    <w:p>
      <w:pPr>
        <w:pStyle w:val="P68B1DB1Normal15"/>
        <w:rPr>
          <w:b/>
          <w:b/>
        </w:rPr>
      </w:pPr>
      <w:r>
        <w:rPr/>
        <w:t xml:space="preserve">35. Recomandăm UE să încurajeze, să promoveze și să faciliteze dialogul privind schimbările climatice între toate nivelurile de luare a deciziilor, de la cetățeni (cetățeni) la nivel global (național, internațional și intercontinental), pentru a răspunde preocupărilor tuturor părților interesate. </w:t>
      </w:r>
    </w:p>
    <w:p>
      <w:pPr>
        <w:pStyle w:val="Normal"/>
        <w:rPr/>
      </w:pPr>
      <w:r>
        <w:rPr/>
        <w:t xml:space="preserve"> </w:t>
      </w:r>
    </w:p>
    <w:p>
      <w:pPr>
        <w:pStyle w:val="Normal"/>
        <w:rPr/>
      </w:pPr>
      <w:r>
        <w:rPr/>
        <w:t xml:space="preserve">Deoarece dialogul și consensul sunt cea mai bună modalitate de a aborda provocările legate de schimbările climatice: dacă părțile se înțeleg reciproc, există mai multă disponibilitate de a găsi o bază comună. </w:t>
      </w:r>
    </w:p>
    <w:p>
      <w:pPr>
        <w:pStyle w:val="Normal"/>
        <w:rPr/>
      </w:pPr>
      <w:r>
        <w:rPr/>
        <w:t xml:space="preserve"> </w:t>
      </w:r>
    </w:p>
    <w:p>
      <w:pPr>
        <w:pStyle w:val="Titre4"/>
        <w:numPr>
          <w:ilvl w:val="3"/>
          <w:numId w:val="2"/>
        </w:numPr>
        <w:rPr/>
      </w:pPr>
      <w:bookmarkStart w:id="170" w:name="__RefHeading___Toc297275_1346298689"/>
      <w:bookmarkEnd w:id="170"/>
      <w:r>
        <w:rPr/>
        <w:t xml:space="preserve">Subaxa 4.3 Transporturi ecologice </w:t>
      </w:r>
    </w:p>
    <w:p>
      <w:pPr>
        <w:pStyle w:val="Normal"/>
        <w:rPr/>
      </w:pPr>
      <w:r>
        <w:rPr>
          <w:b/>
        </w:rPr>
        <w:t>36. Recomandăm UE să sprijine financiar statele membre ale UE în vederea îmbunătățirii conectivității în zonele rurale. Acest lucru necesită dezvoltarea unei rețele europene de transport public, bazată pe prețuri accesibile (priorizarea căilor ferate) și stimulente pentru utilizarea transportului public. În acest scop, conectivitatea la internet ar trebui dezvoltată, de asemenea, într-un interval de timp scurt și realist în zonele rurale.</w:t>
      </w:r>
      <w:r>
        <w:rPr/>
        <w:t xml:space="preserve"> </w:t>
      </w:r>
    </w:p>
    <w:p>
      <w:pPr>
        <w:pStyle w:val="Normal"/>
        <w:rPr/>
      </w:pPr>
      <w:r>
        <w:rPr/>
        <w:t xml:space="preserve"> </w:t>
      </w:r>
    </w:p>
    <w:p>
      <w:pPr>
        <w:pStyle w:val="Normal"/>
        <w:rPr/>
      </w:pPr>
      <w:r>
        <w:rPr/>
        <w:t xml:space="preserve">Facem această recomandare deoarece nu există acces egal la transportul public și la conectivitatea la internet între zonele rurale și cele urbane. Un proiect european comun ar fi consolidat, deoarece toți cetățenii ar simți că au aceleași drepturi. Consolidarea rețelei de transport public și a conectivității la internet ar încuraja oamenii să se stabilească în zonele rurale. Acest proces ar reduce poluarea, deoarece mai puțini oameni ar trăi în orașe supraaglomerate. </w:t>
      </w:r>
    </w:p>
    <w:p>
      <w:pPr>
        <w:pStyle w:val="Normal"/>
        <w:rPr/>
      </w:pPr>
      <w:r>
        <w:rPr/>
        <w:t xml:space="preserve"> </w:t>
      </w:r>
    </w:p>
    <w:p>
      <w:pPr>
        <w:pStyle w:val="P68B1DB1Normal15"/>
        <w:rPr>
          <w:b/>
          <w:b/>
        </w:rPr>
      </w:pPr>
      <w:r>
        <w:rPr/>
        <w:t xml:space="preserve">37. Recomandăm îmbunătățirea infrastructurii de transport existente, care a devenit neutilizată sau care poate fi îmbunătățită în continuare din punct de vedere ecologic (stabilirea trenurilor electrice). Acest proces trebuie să se desfășoare fără a aduce atingere zonelor protejate de mediu. </w:t>
      </w:r>
    </w:p>
    <w:p>
      <w:pPr>
        <w:pStyle w:val="Normal"/>
        <w:rPr/>
      </w:pPr>
      <w:r>
        <w:rPr/>
        <w:t xml:space="preserve"> </w:t>
      </w:r>
    </w:p>
    <w:p>
      <w:pPr>
        <w:pStyle w:val="Normal"/>
        <w:rPr/>
      </w:pPr>
      <w:r>
        <w:rPr/>
        <w:t>Îmbunătățirea infrastructurii existente ar evita cheltuirea prea multor resurse și ar dăuna zonelor protejate importante pentru conservarea biodiversității. Creșterea infrastructurii feroviare ar reduce emisiile de CO2 și ar</w:t>
      </w:r>
      <w:r>
        <w:rPr>
          <w:vertAlign w:val="subscript"/>
        </w:rPr>
        <w:t>promova</w:t>
      </w:r>
      <w:r>
        <w:rPr/>
        <w:t xml:space="preserve"> mobilitatea persoanelor din zonele urbane în zonele rurale. </w:t>
      </w:r>
    </w:p>
    <w:p>
      <w:pPr>
        <w:pStyle w:val="Normal"/>
        <w:rPr/>
      </w:pPr>
      <w:r>
        <w:rPr/>
        <w:t xml:space="preserve"> </w:t>
      </w:r>
    </w:p>
    <w:p>
      <w:pPr>
        <w:pStyle w:val="P68B1DB1Normal15"/>
        <w:rPr>
          <w:b/>
          <w:b/>
        </w:rPr>
      </w:pPr>
      <w:r>
        <w:rPr/>
        <w:t xml:space="preserve">38. Recomandăm UE să încurajeze achiziționarea de vehicule electrice care îndeplinesc standarde bune de viață a bateriei. În acest scop, UE ar putea adopta stimulente pentru toate statele membre și ar putea îmbunătăți infrastructura de energie electrică. În același timp, UE ar trebui să investească în dezvoltarea altor tehnologii curate, cum ar fi biocombustibilii și hidrogenul pentru vehiculele a căror electrificare este dificil de realizat, cum ar fi ambarcațiunile și camioanele. </w:t>
      </w:r>
    </w:p>
    <w:p>
      <w:pPr>
        <w:pStyle w:val="Normal"/>
        <w:rPr/>
      </w:pPr>
      <w:r>
        <w:rPr/>
        <w:t xml:space="preserve"> </w:t>
      </w:r>
    </w:p>
    <w:p>
      <w:pPr>
        <w:pStyle w:val="Normal"/>
        <w:rPr/>
      </w:pPr>
      <w:r>
        <w:rPr/>
        <w:t xml:space="preserve">Facem această recomandare deoarece energia electrică este cea mai rapidă modalitate de a reduce emisiile vehiculelor, cu alte surse de energie, cum ar fi hidrogenul și biocombustibilii. Într-adevăr, cea mai rapidă, economică și fezabilă soluție este energia electrică, urmată de biocombustibili. Pe termen lung, hidrogenul verde ar trebui să joace un rol complementar în acoperirea modurilor de transport care nu pot fi electrificate. </w:t>
      </w:r>
    </w:p>
    <w:p>
      <w:pPr>
        <w:pStyle w:val="Normal"/>
        <w:rPr/>
      </w:pPr>
      <w:r>
        <w:rPr/>
        <w:t xml:space="preserve"> </w:t>
      </w:r>
    </w:p>
    <w:p>
      <w:pPr>
        <w:pStyle w:val="Titre3"/>
        <w:numPr>
          <w:ilvl w:val="2"/>
          <w:numId w:val="2"/>
        </w:numPr>
        <w:rPr/>
      </w:pPr>
      <w:bookmarkStart w:id="171" w:name="__RefHeading___Toc297277_1346298689"/>
      <w:bookmarkEnd w:id="171"/>
      <w:r>
        <w:rPr/>
        <w:t xml:space="preserve">Axa 5 Îngrijire pentru toți </w:t>
      </w:r>
    </w:p>
    <w:p>
      <w:pPr>
        <w:pStyle w:val="Titre4"/>
        <w:numPr>
          <w:ilvl w:val="3"/>
          <w:numId w:val="2"/>
        </w:numPr>
        <w:rPr/>
      </w:pPr>
      <w:bookmarkStart w:id="172" w:name="__RefHeading___Toc297279_1346298689"/>
      <w:bookmarkEnd w:id="172"/>
      <w:r>
        <w:rPr/>
        <w:t xml:space="preserve">Subaxa 5.1 Consolidarea sistemului de sănătate </w:t>
      </w:r>
    </w:p>
    <w:p>
      <w:pPr>
        <w:pStyle w:val="P68B1DB1Normal15"/>
        <w:rPr>
          <w:b/>
          <w:b/>
        </w:rPr>
      </w:pPr>
      <w:r>
        <w:rPr/>
        <w:t xml:space="preserve">39. Recomandăm Uniunii Europene să garanteze standarde comune de sănătate, dar și să pledeze pentru salarii minime decente, ore de lucru maxime și aceleași standarde de formare, pentru aceleași calificări, pentru profesioniștii din domeniul sănătății din întreaga Uniune Europeană. </w:t>
      </w:r>
    </w:p>
    <w:p>
      <w:pPr>
        <w:pStyle w:val="Normal"/>
        <w:rPr/>
      </w:pPr>
      <w:r>
        <w:rPr/>
        <w:t xml:space="preserve"> </w:t>
      </w:r>
    </w:p>
    <w:p>
      <w:pPr>
        <w:pStyle w:val="Normal"/>
        <w:rPr/>
      </w:pPr>
      <w:r>
        <w:rPr/>
        <w:t xml:space="preserve">Dacă nu avem standarde comune în materie de asistență medicală, salarii și formare comună pentru profesioniștii din domeniul sănătății, diferențele dintre statele membre ar putea duce la situații dezechilibrate în întreaga Uniune Europeană. Standardizarea asistenței medicale ar putea contribui la un sistem mai puternic, mai eficient și mai rezilient (de exemplu, criza provocată de pandemia de COVID-19 în ceea ce privește stabilitatea sistemelor noastre). Aceasta ar facilita, de asemenea, schimbul de cunoștințe și informații în sectorul sănătății. </w:t>
      </w:r>
    </w:p>
    <w:p>
      <w:pPr>
        <w:pStyle w:val="Normal"/>
        <w:rPr/>
      </w:pPr>
      <w:r>
        <w:rPr/>
        <w:t xml:space="preserve"> </w:t>
      </w:r>
    </w:p>
    <w:p>
      <w:pPr>
        <w:pStyle w:val="P68B1DB1Normal15"/>
        <w:rPr>
          <w:b/>
          <w:b/>
        </w:rPr>
      </w:pPr>
      <w:r>
        <w:rPr/>
        <w:t xml:space="preserve">40. Recomandăm Uniunii Europene să se asigure că tratamentele din întreaga UE sunt de calitate egală și la un cost local echitabil. Acest lucru ar putea fi asigurat, de exemplu, printr-o extindere a competențelor Agenției Europene pentru Medicamente (EMA) sau prin crearea unei noi agenții europene de achiziții publice, care ar fi competentă să negocieze și să obțină prețuri mai adecvate pentru medicamente pentru toate statele membre. Riscul monopolurilor în industria farmaceutică trebuie redus la minimum. </w:t>
      </w:r>
    </w:p>
    <w:p>
      <w:pPr>
        <w:pStyle w:val="Normal"/>
        <w:rPr/>
      </w:pPr>
      <w:r>
        <w:rPr/>
        <w:t xml:space="preserve"> </w:t>
      </w:r>
    </w:p>
    <w:p>
      <w:pPr>
        <w:pStyle w:val="Normal"/>
        <w:rPr/>
      </w:pPr>
      <w:r>
        <w:rPr/>
        <w:t xml:space="preserve">Egalitatea dispozițiilor medicale și a tratamentului în UE garantează drepturi egale în materie de sănătate pentru toți cetățenii europeni. Creșterea capacității de cumpărare asigură condiții mai bune de cumpărare. Cu toate acestea, acest lucru nu ar trebui să conducă la structuri de monopol și la lobby-ul farmaceutic. Gestionarea crizei provocate de pandemia de COVID-19 a fost un bun exemplu de gestionare colaborativă a sănătății de către Uniunea Europeană în ansamblu. </w:t>
      </w:r>
    </w:p>
    <w:p>
      <w:pPr>
        <w:pStyle w:val="Normal"/>
        <w:rPr/>
      </w:pPr>
      <w:r>
        <w:rPr/>
        <w:t xml:space="preserve"> </w:t>
      </w:r>
    </w:p>
    <w:p>
      <w:pPr>
        <w:pStyle w:val="P68B1DB1Normal15"/>
        <w:rPr>
          <w:b/>
          <w:b/>
        </w:rPr>
      </w:pPr>
      <w:r>
        <w:rPr/>
        <w:t xml:space="preserve">41. Recomandăm crearea unei baze de date europene privind asistența medicală, în care dosarele medicale să fie accesibile în caz de urgență sau boală. Participarea ar trebui să fie opțională și ar trebui asigurată protecția datelor cu caracter personal. </w:t>
      </w:r>
    </w:p>
    <w:p>
      <w:pPr>
        <w:pStyle w:val="Normal"/>
        <w:rPr/>
      </w:pPr>
      <w:r>
        <w:rPr/>
        <w:t xml:space="preserve"> </w:t>
      </w:r>
    </w:p>
    <w:p>
      <w:pPr>
        <w:pStyle w:val="Normal"/>
        <w:rPr/>
      </w:pPr>
      <w:r>
        <w:rPr/>
        <w:t xml:space="preserve">Accesul la date și utilizarea datelor permit o reacție rapidă în cazurile în care viața este în pericol. Pirateria sau utilizarea abuzivă reprezintă amenințări majore la adresa unui astfel de sistem european de baze de date medicale, prin urmare, necesitatea de a securiza datele, în timp ce participarea rămâne opțională și, desigur, de a preveni amenințările legate de securitate. </w:t>
      </w:r>
    </w:p>
    <w:p>
      <w:pPr>
        <w:pStyle w:val="Normal"/>
        <w:rPr/>
      </w:pPr>
      <w:r>
        <w:rPr/>
        <w:t xml:space="preserve"> </w:t>
      </w:r>
    </w:p>
    <w:p>
      <w:pPr>
        <w:pStyle w:val="P68B1DB1Normal15"/>
        <w:rPr>
          <w:b/>
          <w:b/>
        </w:rPr>
      </w:pPr>
      <w:r>
        <w:rPr/>
        <w:t xml:space="preserve">42. Recomandăm ca Uniunea Europeană să continue să dezvolte și să sincronizeze programele existente de cercetare și inovare în domeniul sănătății, așa cum este cazul în cadrul programului Orizont Europa existent. Rezultatele studiilor ar trebui să fie disponibile gratuit în toate statele membre. </w:t>
      </w:r>
    </w:p>
    <w:p>
      <w:pPr>
        <w:pStyle w:val="Normal"/>
        <w:rPr/>
      </w:pPr>
      <w:r>
        <w:rPr/>
        <w:t xml:space="preserve"> </w:t>
      </w:r>
    </w:p>
    <w:p>
      <w:pPr>
        <w:pStyle w:val="Normal"/>
        <w:rPr/>
      </w:pPr>
      <w:r>
        <w:rPr/>
        <w:t xml:space="preserve">Cooperarea științifică la nivelul UE ar putea îmbogăți capacitățile și cunoștințele științifice ale cercetătorilor individuali. Schimbul de cunoștințe ar putea, de exemplu, să conducă la diagnosticare timpurie și la tratamente mai bune pentru a reduce bolile grave și fatale în întreaga Europă. Aceasta ar promova, de asemenea, autosuficiența europeană în materie de medicamente și echipamente. </w:t>
      </w:r>
    </w:p>
    <w:p>
      <w:pPr>
        <w:pStyle w:val="Normal"/>
        <w:rPr/>
      </w:pPr>
      <w:r>
        <w:rPr/>
        <w:t xml:space="preserve"> </w:t>
      </w:r>
    </w:p>
    <w:p>
      <w:pPr>
        <w:pStyle w:val="P68B1DB1Normal15"/>
        <w:rPr>
          <w:b/>
          <w:b/>
        </w:rPr>
      </w:pPr>
      <w:r>
        <w:rPr/>
        <w:t xml:space="preserve">43. Recomandăm UE să își majoreze bugetul pentru proiecte comune de cercetare și inovare în domeniul sănătății (fără reduceri bugetare în alte programe ale UE în domeniul sănătății). Acest lucru ar consolida, de asemenea, instituțiile științifice și de cercetare europene în ansamblu. </w:t>
      </w:r>
    </w:p>
    <w:p>
      <w:pPr>
        <w:pStyle w:val="Normal"/>
        <w:rPr/>
      </w:pPr>
      <w:r>
        <w:rPr/>
        <w:t xml:space="preserve"> </w:t>
      </w:r>
    </w:p>
    <w:p>
      <w:pPr>
        <w:pStyle w:val="Normal"/>
        <w:rPr/>
      </w:pPr>
      <w:r>
        <w:rPr/>
        <w:t xml:space="preserve">Cercetarea și investițiile în domeniul sănătății vor consolida medicina preventivă pe termen lung și vor reduce costurile legate de sănătate. Creșterea finanțării ar putea împiedica exodul creierelor europene către alte țări dezvoltate cu bugete mai mari pentru cercetare și dezvoltare pentru sănătate. Această finanțare nu ar trebui să provină din resursele financiare existente pentru asistența medicală. </w:t>
      </w:r>
    </w:p>
    <w:p>
      <w:pPr>
        <w:pStyle w:val="Normal"/>
        <w:rPr/>
      </w:pPr>
      <w:r>
        <w:rPr/>
        <w:t xml:space="preserve"> </w:t>
      </w:r>
    </w:p>
    <w:p>
      <w:pPr>
        <w:pStyle w:val="Titre4"/>
        <w:numPr>
          <w:ilvl w:val="3"/>
          <w:numId w:val="2"/>
        </w:numPr>
        <w:rPr/>
      </w:pPr>
      <w:bookmarkStart w:id="173" w:name="__RefHeading___Toc297281_1346298689"/>
      <w:bookmarkEnd w:id="173"/>
      <w:r>
        <w:rPr/>
        <w:t xml:space="preserve">Subaxa 5.2 O viziune mai largă asupra sănătății </w:t>
      </w:r>
    </w:p>
    <w:p>
      <w:pPr>
        <w:pStyle w:val="P68B1DB1Normal15"/>
        <w:rPr>
          <w:b/>
          <w:b/>
        </w:rPr>
      </w:pPr>
      <w:r>
        <w:rPr/>
        <w:t xml:space="preserve">44. Recomandăm instituirea unei Săptămâni a sănătății ca inițiativă a UE în toate statele membre, în aceeași săptămână, dedicată tuturor problemelor de sănătate, cu accent pe sănătatea mintală. În această săptămână, toate subiectele majore de sănătate mintală vor fi abordate și promovate în mod colectiv, precum și alte inițiative deja existente, cum ar fi cele ale sănătății mintale Europa. </w:t>
      </w:r>
    </w:p>
    <w:p>
      <w:pPr>
        <w:pStyle w:val="Normal"/>
        <w:rPr/>
      </w:pPr>
      <w:r>
        <w:rPr/>
        <w:t xml:space="preserve"> </w:t>
      </w:r>
    </w:p>
    <w:p>
      <w:pPr>
        <w:pStyle w:val="Normal"/>
        <w:rPr/>
      </w:pPr>
      <w:r>
        <w:rPr/>
        <w:t xml:space="preserve">Facem această recomandare pentru că toți cetățenii europeni trebuie să se simtă acceptați și incluși, mai ales dacă suferă de probleme de sănătate mintală. În plus, este necesar să se standardizeze și să se îmbunătățească gradul de conștientizare a problemelor de sănătate mintală, precum și să se prevină problemele sociale conexe, cum ar fi discriminarea. În plus, având în vedere că problemele de sănătate mintală au crescut odată cu pandemia și probabil că vor continua, această inițiativă este cu atât mai importantă. </w:t>
      </w:r>
    </w:p>
    <w:p>
      <w:pPr>
        <w:pStyle w:val="Normal"/>
        <w:rPr/>
      </w:pPr>
      <w:r>
        <w:rPr/>
        <w:t xml:space="preserve"> </w:t>
      </w:r>
    </w:p>
    <w:p>
      <w:pPr>
        <w:pStyle w:val="P68B1DB1Normal15"/>
        <w:rPr>
          <w:b/>
          <w:b/>
        </w:rPr>
      </w:pPr>
      <w:r>
        <w:rPr/>
        <w:t xml:space="preserve">45. Recomandăm ca produsele de igienă pentru femei să nu mai fie considerate bunuri de lux în ceea ce privește impozitarea, deoarece sunt produse esențiale. De asemenea, recomandăm ca produsele contraceptive hormonale utilizate din motive medicale, cum ar fi fibromialgia și endometrioza, să fie impozitate ca tratament medical regulat. De asemenea, recomandăm Uniunii Europene să încurajeze armonizarea tratamentului de reproducere asistat medical pentru toate femeile (single sau căsătorite) în toate statele membre. </w:t>
      </w:r>
    </w:p>
    <w:p>
      <w:pPr>
        <w:pStyle w:val="Normal"/>
        <w:rPr/>
      </w:pPr>
      <w:r>
        <w:rPr/>
        <w:t xml:space="preserve"> </w:t>
      </w:r>
    </w:p>
    <w:p>
      <w:pPr>
        <w:pStyle w:val="Normal"/>
        <w:rPr/>
      </w:pPr>
      <w:r>
        <w:rPr/>
        <w:t xml:space="preserve">În unele țări europene, produsele igienice ale femeilor sunt impozitate ca bunuri de lux, ceea ce este nedrept. Unele contraceptive hormonale sunt utilizate în scopuri medicale și, prin urmare, ar trebui impozitate în consecință. Deoarece tratamentele de reproducere pentru femei, cum ar fi fertilizarea in vitro și metodele de congelare a ouălor, au condiții de eligibilitate diferite în statele membre, iar Uniunea Europeană trebuie să depună eforturi pentru a le armoniza. </w:t>
      </w:r>
    </w:p>
    <w:p>
      <w:pPr>
        <w:pStyle w:val="Normal"/>
        <w:rPr/>
      </w:pPr>
      <w:r>
        <w:rPr/>
        <w:t xml:space="preserve"> </w:t>
      </w:r>
    </w:p>
    <w:p>
      <w:pPr>
        <w:pStyle w:val="P68B1DB1Normal15"/>
        <w:rPr>
          <w:b/>
          <w:b/>
        </w:rPr>
      </w:pPr>
      <w:r>
        <w:rPr/>
        <w:t xml:space="preserve">46. Recomandăm Uniunii Europene să adopte o poziție fermă pentru a încuraja toate statele membre să includă în programele lor școlare, după caz, aspecte legate de sănătatea mintală și educația sexuală. Pentru a ajuta statele membre să adopte aceste aspecte în programele școlare, Uniunea Europeană ar trebui să elaboreze și să pună la dispoziție un program standard privind sănătatea mintală și problemele sexuale. </w:t>
      </w:r>
    </w:p>
    <w:p>
      <w:pPr>
        <w:pStyle w:val="Normal"/>
        <w:rPr/>
      </w:pPr>
      <w:r>
        <w:rPr/>
        <w:t xml:space="preserve"> </w:t>
      </w:r>
    </w:p>
    <w:p>
      <w:pPr>
        <w:pStyle w:val="Normal"/>
        <w:rPr/>
      </w:pPr>
      <w:r>
        <w:rPr/>
        <w:t xml:space="preserve">Este necesar să se reducă discriminarea și tabuurile în ceea ce privește problemele de sănătate mintală. De asemenea, trebuie evitate dezinformarea și abordările neștiințifice. În plus, educația sexuală este fundamentală pentru o viață și o comunitate sănătoasă și previne probleme cum ar fi sarcinile adolescente. </w:t>
      </w:r>
    </w:p>
    <w:p>
      <w:pPr>
        <w:pStyle w:val="Normal"/>
        <w:rPr/>
      </w:pPr>
      <w:r>
        <w:rPr/>
        <w:t xml:space="preserve"> </w:t>
      </w:r>
    </w:p>
    <w:p>
      <w:pPr>
        <w:pStyle w:val="P68B1DB1Normal15"/>
        <w:rPr>
          <w:b/>
          <w:b/>
        </w:rPr>
      </w:pPr>
      <w:r>
        <w:rPr/>
        <w:t xml:space="preserve">47. Recomandăm Uniunii Europene să dezvolte un sistem de comunicare mai bun pentru toate inițiativele sale în materie de sănătate mintală, și anume portalul de sănătate publică privind cele mai bune practici, în cadrul statelor membre și pentru toți cetățenii. Deputații în Parlamentul European și-ar putea prezenta reciproc cele mai bune practici pentru a le face mai cunoscute în toate statele membre. </w:t>
      </w:r>
    </w:p>
    <w:p>
      <w:pPr>
        <w:pStyle w:val="Normal"/>
        <w:rPr/>
      </w:pPr>
      <w:r>
        <w:rPr/>
        <w:t xml:space="preserve"> </w:t>
      </w:r>
    </w:p>
    <w:p>
      <w:pPr>
        <w:pStyle w:val="Normal"/>
        <w:rPr/>
      </w:pPr>
      <w:r>
        <w:rPr/>
        <w:t xml:space="preserve">Cetățenii nu sunt bine informați cu privire la inițiativele UE, iar schimbul de bune practici ne permite să învățăm unii de la alții. </w:t>
      </w:r>
    </w:p>
    <w:p>
      <w:pPr>
        <w:pStyle w:val="Normal"/>
        <w:rPr/>
      </w:pPr>
      <w:r>
        <w:rPr/>
        <w:t xml:space="preserve"> </w:t>
      </w:r>
    </w:p>
    <w:p>
      <w:pPr>
        <w:pStyle w:val="Titre4"/>
        <w:numPr>
          <w:ilvl w:val="3"/>
          <w:numId w:val="2"/>
        </w:numPr>
        <w:rPr/>
      </w:pPr>
      <w:bookmarkStart w:id="174" w:name="__RefHeading___Toc297283_1346298689"/>
      <w:bookmarkEnd w:id="174"/>
      <w:r>
        <w:rPr/>
        <w:t xml:space="preserve">Subaxa 5.3 Acces egal la sănătate pentru toți </w:t>
      </w:r>
    </w:p>
    <w:p>
      <w:pPr>
        <w:pStyle w:val="P68B1DB1Normal15"/>
        <w:rPr>
          <w:b/>
          <w:b/>
        </w:rPr>
      </w:pPr>
      <w:r>
        <w:rPr/>
        <w:t xml:space="preserve">48. Recomandăm UE să stabilească și să promoveze standarde minime pentru îngrijirea dentară de calitate, inclusiv profilaxia, pentru toate statele membre ale UE. Copiii, grupurile cu venituri mici și alte grupuri vulnerabile ar trebui să beneficieze de îngrijire dentară gratuită. În termen de 15-20 de ani, UE ar trebui să se asigure că îngrijirea dentară la prețuri accesibile este accesibilă tuturor. </w:t>
      </w:r>
    </w:p>
    <w:p>
      <w:pPr>
        <w:pStyle w:val="Normal"/>
        <w:rPr/>
      </w:pPr>
      <w:r>
        <w:rPr/>
        <w:t xml:space="preserve"> </w:t>
      </w:r>
    </w:p>
    <w:p>
      <w:pPr>
        <w:pStyle w:val="Normal"/>
        <w:rPr/>
      </w:pPr>
      <w:r>
        <w:rPr/>
        <w:t xml:space="preserve">Facem această recomandare, deoarece îngrijirea dentară nu este în prezent accesibilă pentru multe persoane care trăiesc în UE. Absența îngrijirii dentare și a profilaxiei dentare este în detrimentul sănătății și perspectivelor lor de viață. UE ar trebui să înceapă prin stabilirea unui standard minim pentru îngrijirea dentară și să solicite îngrijire dentară gratuită pentru copii și grupurile cu venituri mici. În cele din urmă, toată lumea ar trebui să aibă dreptul la îngrijire dentară de calitate. </w:t>
      </w:r>
    </w:p>
    <w:p>
      <w:pPr>
        <w:pStyle w:val="Normal"/>
        <w:rPr/>
      </w:pPr>
      <w:r>
        <w:rPr/>
        <w:t xml:space="preserve"> </w:t>
      </w:r>
    </w:p>
    <w:p>
      <w:pPr>
        <w:pStyle w:val="P68B1DB1Normal15"/>
        <w:rPr>
          <w:b/>
          <w:b/>
        </w:rPr>
      </w:pPr>
      <w:r>
        <w:rPr/>
        <w:t xml:space="preserve">49. Recomandăm includerea sănătății și a asistenței medicale în competențele partajate între UE și statele sale membre. Pentru a include această nouă competență partajată, este necesar să se modifice articolul 4 din Tratatul privind funcționarea Uniunii Europene (TFUE). </w:t>
      </w:r>
    </w:p>
    <w:p>
      <w:pPr>
        <w:pStyle w:val="Normal"/>
        <w:rPr/>
      </w:pPr>
      <w:r>
        <w:rPr/>
        <w:t xml:space="preserve"> </w:t>
      </w:r>
    </w:p>
    <w:p>
      <w:pPr>
        <w:pStyle w:val="Normal"/>
        <w:rPr/>
      </w:pPr>
      <w:r>
        <w:rPr/>
        <w:t xml:space="preserve">Facem această recomandare deoarece Uniunea Europeană nu dispune în prezent de competențe suficiente pentru a legifera în domeniul asistenței medicale. Pandemia de COVID-19 a demonstrat necesitatea unei prezențe sporite a UE în politicile de sănătate. Această modificare a tratatului va permite UE să depună mai multe eforturi pentru a asigura asistența medicală pentru toți cetățenii UE și să emită regulamente și decizii obligatorii. </w:t>
      </w:r>
    </w:p>
    <w:p>
      <w:pPr>
        <w:pStyle w:val="Normal"/>
        <w:rPr/>
      </w:pPr>
      <w:r>
        <w:rPr/>
        <w:t xml:space="preserve"> </w:t>
      </w:r>
    </w:p>
    <w:p>
      <w:pPr>
        <w:pStyle w:val="P68B1DB1Normal15"/>
        <w:rPr>
          <w:b/>
          <w:b/>
        </w:rPr>
      </w:pPr>
      <w:r>
        <w:rPr/>
        <w:t xml:space="preserve">50. Recomandăm UE să ofere cursuri gratuite de prim ajutor tuturor cetățenilor UE. UE ar putea lua în considerare obligativitatea acestor cursuri pentru studenți și la locul de muncă (atât în sectorul public, cât și în cel privat). Aceste cursuri trebuie să fie, de asemenea, practice, recurente și adaptate vârstei studenților. Un număr minim de defibrilatoare ar trebui să fie, de asemenea, disponibil în locuri publice din toate statele membre ale UE. </w:t>
      </w:r>
    </w:p>
    <w:p>
      <w:pPr>
        <w:pStyle w:val="Normal"/>
        <w:rPr/>
      </w:pPr>
      <w:r>
        <w:rPr/>
        <w:t xml:space="preserve"> </w:t>
      </w:r>
    </w:p>
    <w:p>
      <w:pPr>
        <w:pStyle w:val="Normal"/>
        <w:rPr/>
      </w:pPr>
      <w:r>
        <w:rPr/>
        <w:t xml:space="preserve">O recomandăm pentru că mulți oameni din Uniunea Europeană nu sunt pregătiți să acționeze atunci când o persoană are nevoie de ajutor și pentru că nu cunosc tehnicile de prim ajutor. De aceea s-au pierdut multe vieți. În unele locuri publice, nu este disponibil niciun defibrilator. </w:t>
      </w:r>
    </w:p>
    <w:p>
      <w:pPr>
        <w:pStyle w:val="Normal"/>
        <w:rPr/>
      </w:pPr>
      <w:r>
        <w:rPr/>
        <w:t xml:space="preserve"> </w:t>
      </w:r>
    </w:p>
    <w:p>
      <w:pPr>
        <w:pStyle w:val="P68B1DB1Normal15"/>
        <w:rPr>
          <w:b/>
          <w:b/>
        </w:rPr>
      </w:pPr>
      <w:r>
        <w:rPr/>
        <w:t xml:space="preserve">51. Recomandăm Uniunii Europene să se asigure că furnizorii privați de asistență medicală nu beneficiază în mod inechitabil de fonduri publice și nu se bazează pe resursele sistemelor de sănătate publică. Uniunea Europeană ar trebui să facă recomandări ferme statelor membre pentru a majora finanțarea pentru asistența medicală publică. </w:t>
      </w:r>
    </w:p>
    <w:p>
      <w:pPr>
        <w:pStyle w:val="Normal"/>
        <w:rPr/>
      </w:pPr>
      <w:r>
        <w:rPr/>
        <w:t xml:space="preserve"> </w:t>
      </w:r>
    </w:p>
    <w:p>
      <w:pPr>
        <w:pStyle w:val="Normal"/>
        <w:rPr/>
      </w:pPr>
      <w:r>
        <w:rPr/>
        <w:t xml:space="preserve">Facem această recomandare deoarece Uniunea Europeană și statele sale membre au obligația de a asigura accesul la asistență medicală pentru toți cetățenii lor. În plus, un sistem de sănătate publică mai puternic necesită, de asemenea, o mai bună pregătire pentru viitoarele pandemii. </w:t>
      </w:r>
    </w:p>
    <w:p>
      <w:pPr>
        <w:pStyle w:val="Normal"/>
        <w:rPr/>
      </w:pPr>
      <w:r>
        <w:rPr/>
        <w:t xml:space="preserve"> </w:t>
      </w:r>
    </w:p>
    <w:p>
      <w:pPr>
        <w:pStyle w:val="Titre3"/>
        <w:numPr>
          <w:ilvl w:val="2"/>
          <w:numId w:val="2"/>
        </w:numPr>
        <w:rPr/>
      </w:pPr>
      <w:bookmarkStart w:id="175" w:name="__RefHeading___Toc297285_1346298689"/>
      <w:bookmarkEnd w:id="175"/>
      <w:r>
        <w:rPr/>
        <w:t xml:space="preserve">Anexă: ALTE RECOMANDĂRI LUATE ÎN CONSIDERARE DE COMITETUL CARE NU AU FOST ADOPTATE </w:t>
      </w:r>
    </w:p>
    <w:p>
      <w:pPr>
        <w:pStyle w:val="Titre4"/>
        <w:numPr>
          <w:ilvl w:val="3"/>
          <w:numId w:val="2"/>
        </w:numPr>
        <w:rPr/>
      </w:pPr>
      <w:bookmarkStart w:id="176" w:name="__RefHeading___Toc297287_1346298689"/>
      <w:bookmarkEnd w:id="176"/>
      <w:r>
        <w:rPr/>
        <w:t xml:space="preserve">Axa 1: Moduri de viață mai bune </w:t>
      </w:r>
    </w:p>
    <w:p>
      <w:pPr>
        <w:pStyle w:val="Normal"/>
        <w:rPr/>
      </w:pPr>
      <w:r>
        <w:rPr/>
        <w:t xml:space="preserve">Subaxa 1.1 Stiluri de viață sănătoase </w:t>
      </w:r>
    </w:p>
    <w:p>
      <w:pPr>
        <w:pStyle w:val="P68B1DB1Normal15"/>
        <w:rPr>
          <w:b/>
          <w:b/>
        </w:rPr>
      </w:pPr>
      <w:r>
        <w:rPr/>
        <w:t xml:space="preserve">Recomandăm UE să trimită o recomandare tuturor statelor membre cu privire la cele mai bune practici de interzicere sau restricționare a publicității la alcool și tutun în toate formele de mass-media și pentru toate grupele de vârstă, dar acordând o atenție deosebită publicului tânăr. UE ar trebui să asigure aplicarea legilor care restricționează vânzarea acestor produse către minori. Toate statele membre ar trebui să asigure punerea în aplicare, cu sancțiuni, a dispozițiilor legale privind fumatul în spațiile publice, în special în școli, și să creeze spații rezervate fumătorilor. </w:t>
      </w:r>
    </w:p>
    <w:p>
      <w:pPr>
        <w:pStyle w:val="Normal"/>
        <w:rPr/>
      </w:pPr>
      <w:r>
        <w:rPr/>
        <w:t xml:space="preserve"> </w:t>
      </w:r>
    </w:p>
    <w:p>
      <w:pPr>
        <w:pStyle w:val="Normal"/>
        <w:rPr/>
      </w:pPr>
      <w:r>
        <w:rPr/>
        <w:t xml:space="preserve">Stilurile de viață dăunătoare sănătății nu pot apărea în publicitate și ar trebui să fie mai puțin vizibile în viața publică. În plus, întrucât alcoolul și tutunul sunt printre cele mai utilizate substanțe nocive, această recomandare va preveni utilizarea lor abuzivă. </w:t>
      </w:r>
    </w:p>
    <w:p>
      <w:pPr>
        <w:pStyle w:val="Normal"/>
        <w:rPr/>
      </w:pPr>
      <w:r>
        <w:rPr/>
        <w:t xml:space="preserve"> </w:t>
      </w:r>
    </w:p>
    <w:p>
      <w:pPr>
        <w:pStyle w:val="P68B1DB1Normal15"/>
        <w:rPr>
          <w:b/>
          <w:b/>
        </w:rPr>
      </w:pPr>
      <w:r>
        <w:rPr/>
        <w:t xml:space="preserve">Recomandăm UE să încurajeze statele membre să includă cursuri în programele școlare naționale pentru a învăța cum să gătească într-un mod durabil, sănătos și gustos. În acest scop, UE poate pune la dispoziție ghiduri de gătit sănătoase atât online, cât și tipărite. Tinerii ar trebui să fie contactați prin publicitatea activă în mass-media tradițională și socială. De asemenea, ar trebui să educăm părinții să învețe cum să folosească cel mai bine alimentele pentru a adopta un stil de viață sănătos. Cercetarea în acest domeniu ar trebui promovată și îmbogățită. </w:t>
      </w:r>
    </w:p>
    <w:p>
      <w:pPr>
        <w:pStyle w:val="Normal"/>
        <w:rPr/>
      </w:pPr>
      <w:r>
        <w:rPr/>
        <w:t xml:space="preserve"> </w:t>
      </w:r>
    </w:p>
    <w:p>
      <w:pPr>
        <w:pStyle w:val="Normal"/>
        <w:rPr/>
      </w:pPr>
      <w:r>
        <w:rPr/>
        <w:t xml:space="preserve">Organizarea cursurilor de gătit și nutriție la școală ar îmbunătăți sănătatea tinerilor și ar descuraja consumul de fast-food. Educarea tinerilor le-ar permite să le explice părinților ce au învățat. În plus, educarea părinților cu privire la un stil de viață sănătos le-ar permite să dea un exemplu copiilor lor. </w:t>
      </w:r>
    </w:p>
    <w:p>
      <w:pPr>
        <w:pStyle w:val="Normal"/>
        <w:rPr/>
      </w:pPr>
      <w:r>
        <w:rPr/>
      </w:r>
    </w:p>
    <w:p>
      <w:pPr>
        <w:pStyle w:val="P68B1DB1Normal15"/>
        <w:rPr>
          <w:b/>
          <w:b/>
        </w:rPr>
      </w:pPr>
      <w:r>
        <w:rPr/>
        <w:t xml:space="preserve">Recomandăm intensificarea campaniei publice a Comisiei Europene pentru un stil de viață sănătos, HealthyLifestyle4All și impactul pozitiv al activității sociale prin exemple concrete și printr-o strategie cuprinzătoare. Ar trebui definite campanii de informare pentru grupurile-țintă bine structurate și ar trebui alese mijloace adecvate de comunicare pentru fiecare dintre aceste grupuri. În plus, este important să se instituie sisteme de recompense și stimulente pentru promovarea comportamentului pozitiv. Campaniile ar trebui să implice influențatori, celebrități sau autorități. Acestea trebuie să evidențieze beneficiile duble pentru sănătate, mediu și climă. În plus, ar trebui să fie disponibile granturi în toate statele membre pentru a promova infrastructurile sportive publice gratuite. </w:t>
      </w:r>
    </w:p>
    <w:p>
      <w:pPr>
        <w:pStyle w:val="Normal"/>
        <w:rPr/>
      </w:pPr>
      <w:r>
        <w:rPr/>
        <w:t xml:space="preserve"> </w:t>
      </w:r>
    </w:p>
    <w:p>
      <w:pPr>
        <w:pStyle w:val="Normal"/>
        <w:rPr/>
      </w:pPr>
      <w:r>
        <w:rPr/>
        <w:t xml:space="preserve">Stilurile de viață mai sănătoase au un efect pozitiv asupra sistemului de sănătate, deoarece reduc problemele de sănătate. Sănătatea fizică afectează sănătatea mintală și fericirea. Campaniile actuale nu sunt suficient de cunoscute. Ele sunt mai eficiente și mai motivante atunci când personalitățile și influențatorii sunt asociați cu ea. </w:t>
      </w:r>
    </w:p>
    <w:p>
      <w:pPr>
        <w:pStyle w:val="Normal"/>
        <w:rPr/>
      </w:pPr>
      <w:r>
        <w:rPr/>
        <w:t xml:space="preserve"> </w:t>
      </w:r>
    </w:p>
    <w:p>
      <w:pPr>
        <w:pStyle w:val="P68B1DB1Normal15"/>
        <w:rPr>
          <w:b/>
          <w:b/>
        </w:rPr>
      </w:pPr>
      <w:r>
        <w:rPr/>
        <w:t xml:space="preserve">Vă recomandăm o campanie de informare privind alimentația sănătoasă și nutriția. UE ar trebui să încurajeze o impozitare mai mare a cărnii și a zahărului în statele membre. Aceasta ar trebui să examineze posibilitățile de a face distincția între alimentele sănătoase și alimentele dăunătoare și să aplice TVA diferențiată acestora. Vă recomandăm să plasați semnale de avertizare foarte clare asupra produselor care sunt foarte dăunătoare pentru sănătate (cum ar fi produsele din tutun). În plus, recomandăm un sistem de scoruri nutriționale la nivel european, care să furnizeze informații relevante și cod QR care să permită consumatorilor să ia decizii mai bine informate. Explorați oportunitățile de a face alimentele sănătoase mai ieftine decât alimentele nesănătoase și încurajați în continuare fermierii să producă produse sănătoase. </w:t>
      </w:r>
    </w:p>
    <w:p>
      <w:pPr>
        <w:pStyle w:val="Normal"/>
        <w:rPr/>
      </w:pPr>
      <w:r>
        <w:rPr/>
        <w:t xml:space="preserve"> </w:t>
      </w:r>
    </w:p>
    <w:p>
      <w:pPr>
        <w:pStyle w:val="Normal"/>
        <w:rPr/>
      </w:pPr>
      <w:r>
        <w:rPr/>
        <w:t xml:space="preserve">O dietă sănătoasă este baza unei vieți sănătoase. Este necesar să se intervină atât din partea producătorului, cât și din partea consumatorului. Producția de produse sănătoase are, de asemenea, efecte pozitive asupra mediului și poate contribui la sprijinirea agricultorilor locali. Dacă producția de alimente sănătoase crește, prețurile scad și cererea crește. </w:t>
      </w:r>
    </w:p>
    <w:p>
      <w:pPr>
        <w:pStyle w:val="Normal"/>
        <w:rPr/>
      </w:pPr>
      <w:r>
        <w:rPr/>
        <w:t xml:space="preserve"> </w:t>
      </w:r>
    </w:p>
    <w:p>
      <w:pPr>
        <w:pStyle w:val="Normal"/>
        <w:rPr/>
      </w:pPr>
      <w:r>
        <w:rPr/>
        <w:t xml:space="preserve">Subaxa 1.2 Educație pentru mediu </w:t>
      </w:r>
    </w:p>
    <w:p>
      <w:pPr>
        <w:pStyle w:val="P68B1DB1Normal15"/>
        <w:rPr>
          <w:b/>
          <w:b/>
        </w:rPr>
      </w:pPr>
      <w:r>
        <w:rPr/>
        <w:t xml:space="preserve">Recomandăm UE să instituie un mecanism de finanțare pentru a promova includerea unui program de educație ecologică pe termen lung în sistemele naționale de educație pentru copiii din școlile primare și secundare. Acest mecanism de finanțare ar trebui să includă finanțare pentru părinții care au nevoie de asistență financiară. </w:t>
      </w:r>
    </w:p>
    <w:p>
      <w:pPr>
        <w:pStyle w:val="Normal"/>
        <w:rPr/>
      </w:pPr>
      <w:r>
        <w:rPr/>
        <w:t xml:space="preserve"> </w:t>
      </w:r>
    </w:p>
    <w:p>
      <w:pPr>
        <w:pStyle w:val="Normal"/>
        <w:rPr/>
      </w:pPr>
      <w:r>
        <w:rPr/>
        <w:t xml:space="preserve">Sistemele educaționale actuale nu conțin suficiente elemente practice care să faciliteze interacțiunile directe și profunde între copii și mediu. Programele existente, concepute dintr-o perspectivă pe termen scurt, sunt eterogene și nu promovează schimbarea de atitudine necesară. Părinții ar trebui să fie sprijiniți pentru a se asigura că toți copiii pot beneficia în mod egal de program și că niciunul nu este exclus din motive financiare. </w:t>
      </w:r>
    </w:p>
    <w:p>
      <w:pPr>
        <w:pStyle w:val="Normal"/>
        <w:rPr/>
      </w:pPr>
      <w:r>
        <w:rPr/>
        <w:t xml:space="preserve"> </w:t>
      </w:r>
    </w:p>
    <w:p>
      <w:pPr>
        <w:pStyle w:val="Titre4"/>
        <w:numPr>
          <w:ilvl w:val="3"/>
          <w:numId w:val="2"/>
        </w:numPr>
        <w:rPr/>
      </w:pPr>
      <w:bookmarkStart w:id="177" w:name="__RefHeading___Toc297289_1346298689"/>
      <w:bookmarkEnd w:id="177"/>
      <w:r>
        <w:rPr/>
        <w:t xml:space="preserve">Axa 2: Protejarea mediului și a sănătății </w:t>
      </w:r>
    </w:p>
    <w:p>
      <w:pPr>
        <w:pStyle w:val="Normal"/>
        <w:rPr/>
      </w:pPr>
      <w:r>
        <w:rPr/>
        <w:t xml:space="preserve">Subaxa 2.1 Un mediu natural sănătos </w:t>
      </w:r>
    </w:p>
    <w:p>
      <w:pPr>
        <w:pStyle w:val="P68B1DB1Normal15"/>
        <w:rPr>
          <w:b/>
          <w:b/>
        </w:rPr>
      </w:pPr>
      <w:r>
        <w:rPr/>
        <w:t xml:space="preserve">Recomandăm implementarea imediată a celui mai înalt standard de calitate a apei în întreaga UE. Pentru a economisi apă, oferim un sistem de recompensare bazat pe prețul apei pentru a încuraja și a încuraja un consum mai mic, de exemplu: 1) prin crearea unui sistem dinamic care să descurajeze consumatorii să depășească consumul mediu de apă (de exemplu, o creștere cu 10 % a consumului de apă conduce la o creștere de 11 % a prețului), 2) prin crearea unui sistem de piață pentru cotele de apă poluate de întreprinderile producătoare, care ar fi similar cu piața autorizațiilor de carbon deja existente. </w:t>
      </w:r>
    </w:p>
    <w:p>
      <w:pPr>
        <w:pStyle w:val="Normal"/>
        <w:rPr/>
      </w:pPr>
      <w:r>
        <w:rPr/>
        <w:t xml:space="preserve"> </w:t>
      </w:r>
    </w:p>
    <w:p>
      <w:pPr>
        <w:pStyle w:val="Normal"/>
        <w:rPr/>
      </w:pPr>
      <w:r>
        <w:rPr/>
        <w:t xml:space="preserve">Această recomandare este justificată de faptul că creșterea prețurilor încurajează toți utilizatorii să ia decizii mai bine informate. Având în vedere diferitele realități ale țărilor UE și pentru a realiza un sistem echitabil din punct de vedere social, putem sprijini persoanele mai sărace în gestionarea apei prin coinvestiții în infrastructura de alimentare cu apă și în cercetare. </w:t>
      </w:r>
    </w:p>
    <w:p>
      <w:pPr>
        <w:pStyle w:val="Normal"/>
        <w:rPr/>
      </w:pPr>
      <w:r>
        <w:rPr/>
        <w:t xml:space="preserve"> </w:t>
      </w:r>
    </w:p>
    <w:p>
      <w:pPr>
        <w:pStyle w:val="Titre4"/>
        <w:numPr>
          <w:ilvl w:val="3"/>
          <w:numId w:val="2"/>
        </w:numPr>
        <w:rPr/>
      </w:pPr>
      <w:bookmarkStart w:id="178" w:name="__RefHeading___Toc297291_1346298689"/>
      <w:bookmarkEnd w:id="178"/>
      <w:r>
        <w:rPr/>
        <w:t xml:space="preserve">Axa 3: reorientarea economiei și a consumului </w:t>
      </w:r>
    </w:p>
    <w:p>
      <w:pPr>
        <w:pStyle w:val="Normal"/>
        <w:rPr/>
      </w:pPr>
      <w:r>
        <w:rPr/>
        <w:t xml:space="preserve">Subaxa 3.1 Reglarea supraproducției și supraconsumului </w:t>
      </w:r>
    </w:p>
    <w:p>
      <w:pPr>
        <w:pStyle w:val="P68B1DB1Normal15"/>
        <w:rPr>
          <w:b/>
          <w:b/>
        </w:rPr>
      </w:pPr>
      <w:r>
        <w:rPr/>
        <w:t xml:space="preserve">Recomandăm UE să impună amenzi companiilor care elimină produsele nevândute produse prin supraproducție. </w:t>
      </w:r>
    </w:p>
    <w:p>
      <w:pPr>
        <w:pStyle w:val="Normal"/>
        <w:rPr/>
      </w:pPr>
      <w:r>
        <w:rPr/>
        <w:t xml:space="preserve"> </w:t>
      </w:r>
    </w:p>
    <w:p>
      <w:pPr>
        <w:pStyle w:val="Normal"/>
        <w:rPr/>
      </w:pPr>
      <w:r>
        <w:rPr/>
        <w:t xml:space="preserve">În unele cazuri, companiile consideră că este mai rentabil să se renunțe la bunurile nevândute decât să le recicleze sau să le reutilizeze. Prin urmare, este important să se descurajeze supraproducția prin impunerea de amenzi, astfel încât această practică să nu mai fie profitabilă pentru producători. </w:t>
      </w:r>
    </w:p>
    <w:p>
      <w:pPr>
        <w:pStyle w:val="Normal"/>
        <w:rPr/>
      </w:pPr>
      <w:r>
        <w:rPr/>
        <w:t xml:space="preserve"> </w:t>
      </w:r>
    </w:p>
    <w:p>
      <w:pPr>
        <w:pStyle w:val="Normal"/>
        <w:rPr/>
      </w:pPr>
      <w:r>
        <w:rPr/>
        <w:t xml:space="preserve">Subaxa 3.2 Reducerea deșeurilor </w:t>
      </w:r>
    </w:p>
    <w:p>
      <w:pPr>
        <w:pStyle w:val="P68B1DB1Normal15"/>
        <w:rPr>
          <w:b/>
          <w:b/>
        </w:rPr>
      </w:pPr>
      <w:r>
        <w:rPr/>
        <w:t xml:space="preserve">Recomandăm ca UE să elaboreze și să pună în aplicare o politică de gestionare a deșeurilor pentru gospodării și cetățeni, atrăgând atenția asupra cantității reale de deșeuri pe care o produc și completând-o cu măsurile necesare pentru a sensibiliza cetățenii cu privire la beneficiile reducerii generării de deșeuri și ale colectării selective a deșeurilor. De asemenea, ar trebui puse în aplicare măsuri care vizează familiile dezavantajate din punct de vedere social (de exemplu, familiile tinere cu copii, persoanele în vârstă etc.), respectând totodată principiul „nu lăsa pe nimeni în urmă”. </w:t>
      </w:r>
    </w:p>
    <w:p>
      <w:pPr>
        <w:pStyle w:val="Normal"/>
        <w:rPr/>
      </w:pPr>
      <w:r>
        <w:rPr/>
        <w:t xml:space="preserve"> </w:t>
      </w:r>
    </w:p>
    <w:p>
      <w:pPr>
        <w:pStyle w:val="Normal"/>
        <w:rPr/>
      </w:pPr>
      <w:r>
        <w:rPr/>
        <w:t xml:space="preserve">Scopul unei astfel de politici este de a dezvolta o abordare uniformă a gestionării deșeurilor în gospodării; de asemenea, facilitează protecția mediului prin reducerea deșeurilor, stimulează și mai mult economia circulară și sporește eficiența colectării deșeurilor. În cele din urmă, ceea ce nu este neglijabil, crește gradul de conștientizare a cetățenilor și consolidează simțul responsabilității față de mediu. </w:t>
      </w:r>
    </w:p>
    <w:p>
      <w:pPr>
        <w:pStyle w:val="Normal"/>
        <w:rPr/>
      </w:pPr>
      <w:r>
        <w:rPr/>
        <w:t xml:space="preserve"> </w:t>
      </w:r>
    </w:p>
    <w:p>
      <w:pPr>
        <w:pStyle w:val="P68B1DB1Normal15"/>
        <w:rPr>
          <w:b/>
          <w:b/>
        </w:rPr>
      </w:pPr>
      <w:r>
        <w:rPr/>
        <w:t xml:space="preserve">Recomandăm UE să încurajeze libera concurență și să încurajeze sectorul privat să contribuie mai activ la tratarea deșeurilor, inclusiv la apele reziduale, și la activitățile de reciclare și valorificare a deșeurilor. </w:t>
      </w:r>
    </w:p>
    <w:p>
      <w:pPr>
        <w:pStyle w:val="Normal"/>
        <w:rPr/>
      </w:pPr>
      <w:r>
        <w:rPr/>
        <w:t xml:space="preserve"> </w:t>
      </w:r>
    </w:p>
    <w:p>
      <w:pPr>
        <w:pStyle w:val="Normal"/>
        <w:rPr/>
      </w:pPr>
      <w:r>
        <w:rPr/>
        <w:t xml:space="preserve">UE este nivelul adecvat pentru punerea în aplicare a prezentei recomandări, deoarece completează Directiva-cadru privind deșeurile și Planul de acțiune pentru economia circulară. În plus, punerea în aplicare a recomandării va consolida soluțiile inovatoare de gestionare a deșeurilor, va îmbunătăți calitatea gestionării deșeurilor și va crește volumul deșeurilor tratate, deoarece mai multe întreprinderi vor participa la aceste activități. </w:t>
      </w:r>
    </w:p>
    <w:p>
      <w:pPr>
        <w:pStyle w:val="Normal"/>
        <w:rPr/>
      </w:pPr>
      <w:r>
        <w:rPr/>
        <w:t xml:space="preserve"> </w:t>
      </w:r>
    </w:p>
    <w:p>
      <w:pPr>
        <w:pStyle w:val="Normal"/>
        <w:rPr/>
      </w:pPr>
      <w:r>
        <w:rPr/>
        <w:t xml:space="preserve">Subaxa 3.3 Produse echitabile, acces egal și consum echitabil </w:t>
      </w:r>
    </w:p>
    <w:p>
      <w:pPr>
        <w:pStyle w:val="P68B1DB1Normal15"/>
        <w:rPr>
          <w:b/>
          <w:b/>
        </w:rPr>
      </w:pPr>
      <w:r>
        <w:rPr/>
        <w:t xml:space="preserve">Recomandăm relocarea industriilor în Uniunea Europeană pentru a oferi produse echitabile de înaltă calitate și pentru a influența problemele legate de climă. </w:t>
      </w:r>
    </w:p>
    <w:p>
      <w:pPr>
        <w:pStyle w:val="Normal"/>
        <w:rPr/>
      </w:pPr>
      <w:r>
        <w:rPr/>
        <w:t xml:space="preserve"> </w:t>
      </w:r>
    </w:p>
    <w:p>
      <w:pPr>
        <w:pStyle w:val="Normal"/>
        <w:rPr/>
      </w:pPr>
      <w:r>
        <w:rPr/>
        <w:t xml:space="preserve">Uniunea Europeană dispune de know-how care trebuie promovat pe propria piață. </w:t>
      </w:r>
    </w:p>
    <w:p>
      <w:pPr>
        <w:pStyle w:val="Normal"/>
        <w:rPr/>
      </w:pPr>
      <w:r>
        <w:rPr/>
        <w:t xml:space="preserve">Din cauza relocării industriilor în afara UE, în special în Asia, unele competențe profesionale sunt, de asemenea, relocate. Această recomandare implică formarea profesională a lucrătorilor europeni. Subliniem necesitatea de a evita relocarea între diferitele state membre pentru a evita concurența neloială. </w:t>
      </w:r>
    </w:p>
    <w:p>
      <w:pPr>
        <w:pStyle w:val="Normal"/>
        <w:rPr/>
      </w:pPr>
      <w:r>
        <w:rPr/>
        <w:t xml:space="preserve">Am observat că relocarea masivă a industriilor din întreaga lume are un impact asupra industriilor europene. Prin urmare, producția locală va îmbunătăți sănătatea cetățenilor și a mediului. </w:t>
      </w:r>
    </w:p>
    <w:p>
      <w:pPr>
        <w:pStyle w:val="Normal"/>
        <w:rPr/>
      </w:pPr>
      <w:r>
        <w:rPr/>
      </w:r>
    </w:p>
    <w:p>
      <w:pPr>
        <w:pStyle w:val="Titre4"/>
        <w:numPr>
          <w:ilvl w:val="3"/>
          <w:numId w:val="2"/>
        </w:numPr>
        <w:rPr/>
      </w:pPr>
      <w:bookmarkStart w:id="179" w:name="__RefHeading___Toc297293_1346298689"/>
      <w:bookmarkEnd w:id="179"/>
      <w:r>
        <w:rPr/>
        <w:t xml:space="preserve">Axa 4: către o societate durabilă </w:t>
      </w:r>
    </w:p>
    <w:p>
      <w:pPr>
        <w:pStyle w:val="Normal"/>
        <w:rPr/>
      </w:pPr>
      <w:r>
        <w:rPr/>
        <w:t xml:space="preserve">Subaxa 4.3 Transporturi ecologice </w:t>
      </w:r>
    </w:p>
    <w:p>
      <w:pPr>
        <w:pStyle w:val="P68B1DB1Normal15"/>
        <w:rPr>
          <w:b/>
          <w:b/>
        </w:rPr>
      </w:pPr>
      <w:r>
        <w:rPr/>
        <w:t xml:space="preserve">Recomandăm ca orașele mari să fie amendate sau subvenționate în funcție de performanțele de mediu și de poluare ale transportului lor în comun (vehicule electrice, transport public ecologic, crearea de zone pietonale, promovarea utilizării bicicletelor etc.). În special, amenzile sau subvențiile aplicabile autorităților locale dintr-un oraș ar trebui să fie stabilite pe baza schimbărilor survenite în transportul ecologic în comparație cu situația inițială din acel oraș. Uniunea Europeană este cea care, prin legislația sa, ar trebui să definească indicatori de performanță pentru măsurile legate de poluare și să determine reducerea proporțională. În acest sens, ar trebui să se țină seama de punctul de plecare al fiecărui oraș. </w:t>
      </w:r>
    </w:p>
    <w:p>
      <w:pPr>
        <w:pStyle w:val="Normal"/>
        <w:rPr/>
      </w:pPr>
      <w:r>
        <w:rPr/>
        <w:t xml:space="preserve"> </w:t>
      </w:r>
    </w:p>
    <w:p>
      <w:pPr>
        <w:pStyle w:val="Normal"/>
        <w:rPr/>
      </w:pPr>
      <w:r>
        <w:rPr/>
        <w:t xml:space="preserve">Facem această recomandare deoarece orașele au fost afectate de poluarea aerului, ceea ce a cauzat probleme de sănătate. Dezvoltarea transportului ecologic ar îmbunătăți viața și sănătatea oamenilor și ar reduce efectul de seră. Subvențiile și sancțiunile sunt măsuri eficiente de promovare a schimbării și de facilitare a adaptării la diferite situații din diferite orașe. </w:t>
      </w:r>
    </w:p>
    <w:p>
      <w:pPr>
        <w:pStyle w:val="Normal"/>
        <w:rPr/>
      </w:pPr>
      <w:r>
        <w:rPr/>
        <w:t xml:space="preserve"> </w:t>
      </w:r>
    </w:p>
    <w:p>
      <w:pPr>
        <w:pStyle w:val="P68B1DB1Normal15"/>
        <w:rPr>
          <w:b/>
          <w:b/>
        </w:rPr>
      </w:pPr>
      <w:r>
        <w:rPr/>
        <w:t xml:space="preserve">Recomandăm ca legislația UE să limiteze și să reglementeze utilizarea zborurilor pe distanțe scurte și a navelor de croazieră. Oamenilor ar trebui să li se ofere alternative de transport ecologice. O astfel de alternativă ar trebui să fie standardizarea căilor ferate pentru a conecta capitalele europene. De asemenea, recomandăm UE să acorde subvenții pentru a face transportul de mărfuri mai ecologic, inclusiv transportul feroviar și cu ambarcațiuni (pentru călătorii scurte). </w:t>
      </w:r>
    </w:p>
    <w:p>
      <w:pPr>
        <w:pStyle w:val="Normal"/>
        <w:rPr/>
      </w:pPr>
      <w:r>
        <w:rPr/>
        <w:t xml:space="preserve"> </w:t>
      </w:r>
    </w:p>
    <w:p>
      <w:pPr>
        <w:pStyle w:val="Normal"/>
        <w:rPr/>
      </w:pPr>
      <w:r>
        <w:rPr/>
        <w:t xml:space="preserve">Facem această recomandare, deoarece călătoriile pe distanțe scurte sunt prea frecvente, poluante și ușor de înlocuit. Limitarea navelor de croazieră ar reduce poluarea marină (o problemă majoră de mediu), precum și impactul negativ asupra orașelor costiere. De aceea, trebuie să punem în aplicare alternative mai accesibile la soluții mai poluante. Ecartamentul feroviar uniform ar îmbunătăți legăturile feroviare dintre capitalele europene. </w:t>
      </w:r>
    </w:p>
    <w:p>
      <w:pPr>
        <w:pStyle w:val="Normal"/>
        <w:rPr/>
      </w:pPr>
      <w:r>
        <w:rPr/>
        <w:t xml:space="preserve"> </w:t>
      </w:r>
    </w:p>
    <w:p>
      <w:pPr>
        <w:pStyle w:val="Titre4"/>
        <w:numPr>
          <w:ilvl w:val="3"/>
          <w:numId w:val="2"/>
        </w:numPr>
        <w:rPr/>
      </w:pPr>
      <w:bookmarkStart w:id="180" w:name="__RefHeading___Toc297295_1346298689"/>
      <w:bookmarkEnd w:id="180"/>
      <w:r>
        <w:rPr/>
        <w:t xml:space="preserve">Axa 5: Grija pentru toți </w:t>
      </w:r>
    </w:p>
    <w:p>
      <w:pPr>
        <w:pStyle w:val="Normal"/>
        <w:rPr/>
      </w:pPr>
      <w:r>
        <w:rPr/>
        <w:t xml:space="preserve">Subaxa 5.2 O viziune mai largă asupra sănătății </w:t>
      </w:r>
    </w:p>
    <w:p>
      <w:pPr>
        <w:pStyle w:val="Normal"/>
        <w:rPr>
          <w:b/>
          <w:b/>
        </w:rPr>
      </w:pPr>
      <w:r>
        <w:rPr>
          <w:b/>
        </w:rPr>
        <w:t>Recomandăm Uniunii Europene, în conformitate cu</w:t>
      </w:r>
      <w:r>
        <w:rPr>
          <w:b/>
        </w:rPr>
        <w:commentReference w:id="5"/>
      </w:r>
      <w:r>
        <w:rPr>
          <w:b/>
        </w:rPr>
        <w:t xml:space="preserve"> campania sa HealthyLife4All, să încurajeze, de asemenea, inițiative precum evenimente sportive sociale, activități sportive școlare, Jocuri Olimpice bianuale deschise tuturor vârstelor și tuturor sporturilor [nu pentru profesioniști]. De asemenea, recomandăm dezvoltarea unei aplicații sportive europene gratuite pentru a încuraja activitățile sportive colective. Această aplicație ar trebui să ajute oamenii să se întâlnească prin sport. În plus, aceste inițiative ar trebui să fie larg cunoscute și diseminate. </w:t>
      </w:r>
    </w:p>
    <w:p>
      <w:pPr>
        <w:pStyle w:val="Normal"/>
        <w:rPr/>
      </w:pPr>
      <w:r>
        <w:rPr/>
        <w:t xml:space="preserve"> </w:t>
      </w:r>
    </w:p>
    <w:p>
      <w:pPr>
        <w:pStyle w:val="Normal"/>
        <w:rPr/>
      </w:pPr>
      <w:r>
        <w:rPr/>
        <w:t xml:space="preserve">Pentru a îmbunătăți sănătatea populației europene, Uniunea Europeană trebuie să promoveze sportul și un stil de viață sănătos. În plus, populația nu este adesea conștientă de relația dintre sport și un stil de viață sănătos. Aplicația este importantă, deoarece oamenii sunt mai dispuși să facă sport dacă o fac împreună.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Grupul Cetățenilor Europeni 4: „UE în lume/Migrație” </w:t>
      </w:r>
    </w:p>
    <w:p>
      <w:pPr>
        <w:pStyle w:val="Normal"/>
        <w:rPr/>
      </w:pPr>
      <w:r>
        <w:rPr/>
        <w:t xml:space="preserve">RECOMANDĂRILE ADOPTATE DE JURIU (CARE URMEAZĂ SĂ FIE PREZENTATE ÎN PLEN) </w:t>
      </w:r>
    </w:p>
    <w:p>
      <w:pPr>
        <w:pStyle w:val="Normal"/>
        <w:rPr/>
      </w:pPr>
      <w:r>
        <w:rPr/>
      </w:r>
    </w:p>
    <w:p>
      <w:pPr>
        <w:pStyle w:val="Titre3"/>
        <w:numPr>
          <w:ilvl w:val="2"/>
          <w:numId w:val="2"/>
        </w:numPr>
        <w:rPr/>
      </w:pPr>
      <w:bookmarkStart w:id="182" w:name="__RefHeading___Toc297299_1346298689"/>
      <w:bookmarkEnd w:id="182"/>
      <w:r>
        <w:rPr/>
        <w:t xml:space="preserve">Axa 1: Autosuficiența și stabilitatea </w:t>
      </w:r>
    </w:p>
    <w:p>
      <w:pPr>
        <w:pStyle w:val="Titre4"/>
        <w:numPr>
          <w:ilvl w:val="3"/>
          <w:numId w:val="2"/>
        </w:numPr>
        <w:rPr/>
      </w:pPr>
      <w:bookmarkStart w:id="183" w:name="__RefHeading___Toc297301_1346298689"/>
      <w:bookmarkEnd w:id="183"/>
      <w:r>
        <w:rPr/>
        <w:t xml:space="preserve">Subaxa 1.1 – Autonomia UE </w:t>
      </w:r>
    </w:p>
    <w:p>
      <w:pPr>
        <w:pStyle w:val="Normal"/>
        <w:rPr>
          <w:b/>
          <w:b/>
        </w:rPr>
      </w:pPr>
      <w:r>
        <w:rPr>
          <w:b/>
        </w:rPr>
        <w:t>1. Recomandăm ca produsele de fabricație europene strategice (cum ar fi produsele agricole, semiconductorii, produsele medicale sau tehnologiile digitale și de mediu inovatoare) să fie încurajate în continuare și sprijinite financiar pentru a fi disponibile și accesibile consumatorilor europeni și pentru a reduce pe cât posibil dependențele de furnizorii din afara Europei. Un astfel de sprijin ar putea include măsuri structurale și regionale, sprijin pentru menținerea industriilor și a lanțurilor de aprovizionare în cadrul Uniunii,</w:t>
      </w:r>
      <w:commentRangeStart w:id="6"/>
      <w:r>
        <w:rPr>
          <w:b/>
        </w:rPr>
        <w:t>facilități</w:t>
      </w:r>
      <w:r>
        <w:rPr>
          <w:b/>
        </w:rPr>
      </w:r>
      <w:commentRangeEnd w:id="6"/>
      <w:r>
        <w:commentReference w:id="6"/>
      </w:r>
      <w:r>
        <w:rPr>
          <w:b/>
        </w:rPr>
        <w:t xml:space="preserve"> fiscale, subvenții, o politică activă pentru IMM-uri sau programe educaționale pentru a proteja competențele și locurile de muncă relevante în Europa. Cu toate acestea, o politică industrială activă ar trebui să fie selectivă și axată pe produse sau produse inovatoare esențiale pentru garantarea bunurilor și serviciilor de bază. </w:t>
      </w:r>
    </w:p>
    <w:p>
      <w:pPr>
        <w:pStyle w:val="Normal"/>
        <w:rPr/>
      </w:pPr>
      <w:r>
        <w:rPr/>
        <w:t xml:space="preserve"> </w:t>
      </w:r>
    </w:p>
    <w:p>
      <w:pPr>
        <w:pStyle w:val="Normal"/>
        <w:rPr/>
      </w:pPr>
      <w:r>
        <w:rPr/>
        <w:t xml:space="preserve">Recomandăm aceste măsuri deoarece Europa este mult prea dependentă de furnizorii </w:t>
      </w:r>
      <w:commentRangeStart w:id="7"/>
      <w:r>
        <w:rPr/>
        <w:t>din afara Europei</w:t>
      </w:r>
      <w:r>
        <w:rPr/>
      </w:r>
      <w:commentRangeEnd w:id="7"/>
      <w:r>
        <w:commentReference w:id="7"/>
      </w:r>
      <w:r>
        <w:rPr/>
        <w:t xml:space="preserve"> în domenii-cheie care riscă să provoace conflicte diplomatice și să conducă la o penurie de produse sau servicii de bază sau de importanță strategică. Întrucât costurile de producție sunt, în general, mai ridicate în UE decât în alte părți ale lumii, o politică de încurajare activă și sprijin pentru aceste produse va permite europenilor să cumpere produse europene competitive și să fie încurajați să facă acest lucru. Această politică va consolida, de asemenea, competitivitatea europeană și va menține viitoarele industrii și locuri de muncă în Europa. În plus, o mai mare regionalizare a producției va reduce costurile de transport și va evita degradarea mediului. </w:t>
      </w:r>
    </w:p>
    <w:p>
      <w:pPr>
        <w:pStyle w:val="Normal"/>
        <w:rPr/>
      </w:pPr>
      <w:r>
        <w:rPr/>
        <w:t xml:space="preserve"> </w:t>
      </w:r>
    </w:p>
    <w:p>
      <w:pPr>
        <w:pStyle w:val="P68B1DB1Normal15"/>
        <w:rPr>
          <w:b/>
          <w:b/>
        </w:rPr>
      </w:pPr>
      <w:r>
        <w:rPr/>
        <w:t>2. Recomandăm UE să își reducă dependența de importurile de petrol și gaze. Acest lucru ar necesita un sprijin activ pentru proiectele de transport public și de eficiență energetică, o rețea feroviară europeană de transport de marfă de mare viteză, extinderea aprovizionării cu energie curată și regenerabilă (inclusiv energia solară și eoliană) și tehnologiile alternative (cum ar fi hidrogenul sau recuperarea energetică a deșeurilor). Uniunea Europeană ar trebui, de asemenea, să încurajeze o schimbare de mentalitate și să încurajeze abandonarea autoturismelor personale în favoarea transportului public, a utilizării în comun a autoturismelor cu ajutorul vehiculelor electrice și al bicicletelor.</w:t>
      </w:r>
    </w:p>
    <w:p>
      <w:pPr>
        <w:pStyle w:val="Normal"/>
        <w:rPr/>
      </w:pPr>
      <w:r>
        <w:rPr/>
      </w:r>
    </w:p>
    <w:p>
      <w:pPr>
        <w:pStyle w:val="Normal"/>
        <w:rPr/>
      </w:pPr>
      <w:r>
        <w:rPr/>
        <w:t>Recomandăm aceste măsuri deoarece creează o situație care promovează atât autonomia Europei prin reducerea dependențelor sale externe, cât și atingerea obiectivelor ambițioase de reducere a emisiilor de CO2 și climă</w:t>
      </w:r>
      <w:r>
        <w:rPr>
          <w:vertAlign w:val="subscript"/>
        </w:rPr>
        <w:t>.</w:t>
      </w:r>
      <w:r>
        <w:rPr/>
        <w:t xml:space="preserve"> De asemenea, acestea vor permite Europei să devină un actor major în domeniul tehnologiilor viitoare, să își consolideze economia și să creeze locuri de muncă. </w:t>
      </w:r>
    </w:p>
    <w:p>
      <w:pPr>
        <w:pStyle w:val="Normal"/>
        <w:rPr/>
      </w:pPr>
      <w:r>
        <w:rPr/>
        <w:t xml:space="preserve"> </w:t>
      </w:r>
    </w:p>
    <w:p>
      <w:pPr>
        <w:pStyle w:val="P68B1DB1Normal15"/>
        <w:rPr>
          <w:b/>
          <w:b/>
        </w:rPr>
      </w:pPr>
      <w:r>
        <w:rPr/>
        <w:t xml:space="preserve">3. Recomandăm adoptarea unei legi la nivelul UE pentru a se asigura că toate procesele de producție și aprovizionare din UE și mărfurile importate respectă standardele europene de calitate, etică și durabilitate, precum și toate standardele europene aplicabile în domeniul drepturilor omului și că produsele care respectă aceste criterii sunt certificate. </w:t>
      </w:r>
    </w:p>
    <w:p>
      <w:pPr>
        <w:pStyle w:val="Normal"/>
        <w:rPr/>
      </w:pPr>
      <w:r>
        <w:rPr/>
        <w:t xml:space="preserve"> </w:t>
      </w:r>
    </w:p>
    <w:p>
      <w:pPr>
        <w:pStyle w:val="Normal"/>
        <w:rPr/>
      </w:pPr>
      <w:r>
        <w:rPr/>
        <w:t xml:space="preserve">Recomandăm aceste măsuri deoarece permit consumatorilor și comercianților să aibă acces ușor la informații despre produsele pe care le cumpără sau le vând. Pentru a face acest lucru, pur și simplu consultați sistemul de certificare. Certificarea reduce, de asemenea, decalajul dintre produsele ieftine și cele scumpe disponibile pe piață. Produsele ieftine nu vor îndeplini criteriile cerute și, prin urmare, nu se vor putea prezenta ca fiind de bună calitate. Prin îndeplinirea criteriilor de certificare, mediul va fi protejat, economisind resurse și încurajând consumul responsabil. </w:t>
      </w:r>
    </w:p>
    <w:p>
      <w:pPr>
        <w:pStyle w:val="Normal"/>
        <w:rPr/>
      </w:pPr>
      <w:r>
        <w:rPr/>
        <w:t xml:space="preserve"> </w:t>
      </w:r>
    </w:p>
    <w:p>
      <w:pPr>
        <w:pStyle w:val="P68B1DB1Normal15"/>
        <w:rPr>
          <w:b/>
          <w:b/>
        </w:rPr>
      </w:pPr>
      <w:r>
        <w:rPr/>
        <w:t xml:space="preserve">4. Recomandăm punerea în aplicare a unui program european de sprijinire a micilor producători locali din sectoarele strategice din toate statele membre. Acești producători ar beneficia de formare profesională, sprijin financiar prin subvenții și (în cazul în care materiile prime sunt disponibile în Uniune) un stimulent pentru a produce bunuri mai eligibile în detrimentul importurilor. </w:t>
      </w:r>
    </w:p>
    <w:p>
      <w:pPr>
        <w:pStyle w:val="Normal"/>
        <w:rPr/>
      </w:pPr>
      <w:r>
        <w:rPr/>
        <w:t xml:space="preserve"> </w:t>
      </w:r>
    </w:p>
    <w:p>
      <w:pPr>
        <w:pStyle w:val="Normal"/>
        <w:rPr/>
      </w:pPr>
      <w:r>
        <w:rPr/>
        <w:t xml:space="preserve">Recomandăm aceste măsuri deoarece, prin sprijinirea producătorilor din sectoarele strategice situate în Uniune, Uniunea este în măsură să își dobândească independența economică în aceste sectoare. Acest lucru nu poate decât să încurajeze consolidarea întregului proces de producție și, astfel, să încurajeze inovarea. Acest lucru va duce la o producție mai durabilă de materii prime în UE, care va reduce costurile de transport și va proteja mediul. </w:t>
      </w:r>
    </w:p>
    <w:p>
      <w:pPr>
        <w:pStyle w:val="Normal"/>
        <w:rPr/>
      </w:pPr>
      <w:r>
        <w:rPr/>
        <w:t xml:space="preserve"> </w:t>
      </w:r>
    </w:p>
    <w:p>
      <w:pPr>
        <w:pStyle w:val="P68B1DB1Normal15"/>
        <w:rPr>
          <w:b/>
          <w:b/>
        </w:rPr>
      </w:pPr>
      <w:r>
        <w:rPr/>
        <w:t xml:space="preserve">5. Recomandăm îmbunătățirea punerii în aplicare a drepturilor omului la nivel european, după cum urmează: sensibilizarea țărilor care nu respectă, în măsura în care este adecvat, Convenția europeană a drepturilor omului (CEDO) sau Convenția pentru apărarea drepturilor omului și a libertăților fundamentale; să asigure o monitorizare strictă, coordonată de Uniunea Europeană și de Tabloul de bord privind justiția, a măsurii în care drepturile omului sunt respectate în diferitele state membre și să asigure respectarea strictă a acestora prin diferite forme de sancțiuni. </w:t>
      </w:r>
    </w:p>
    <w:p>
      <w:pPr>
        <w:pStyle w:val="Normal"/>
        <w:rPr/>
      </w:pPr>
      <w:r>
        <w:rPr/>
        <w:t xml:space="preserve"> </w:t>
      </w:r>
    </w:p>
    <w:p>
      <w:pPr>
        <w:pStyle w:val="Normal"/>
        <w:rPr/>
      </w:pPr>
      <w:r>
        <w:rPr/>
        <w:t xml:space="preserve">Recomandăm aceste măsuri deoarece drepturile omului au fost deja acceptate de statele membre atunci când au ratificat Convenția europeană a drepturilor omului, dar acum este necesar să se îmbunătățească acceptarea acestora în fiecare dintre statele membre, astfel încât drepturile omului să fie cunoscute și puse în aplicare în mod activ în statele membre respective. </w:t>
      </w:r>
    </w:p>
    <w:p>
      <w:pPr>
        <w:pStyle w:val="Normal"/>
        <w:rPr/>
      </w:pPr>
      <w:r>
        <w:rPr/>
        <w:t xml:space="preserve"> </w:t>
      </w:r>
    </w:p>
    <w:p>
      <w:pPr>
        <w:pStyle w:val="P68B1DB1Normal15"/>
        <w:rPr>
          <w:b/>
          <w:b/>
        </w:rPr>
      </w:pPr>
      <w:r>
        <w:rPr/>
        <w:t xml:space="preserve">6. Recomandăm lansarea unei revizuiri și organizarea unei campanii intensive de comunicare la nivel european pentru a se asigura că EURES (Rețeaua serviciilor europene de ocupare a forței de muncă), portalul UE privind imigrația și Instrumentul european pentru profilul competențelor pentru resortisanții țărilor terțe sunt mai bine cunoscute de cetățenii europeni și utilizate mai frecvent de întreprinderile din UE pentru a publica și a face publicitate ofertelor lor de locuri de muncă. </w:t>
      </w:r>
    </w:p>
    <w:p>
      <w:pPr>
        <w:pStyle w:val="Normal"/>
        <w:rPr/>
      </w:pPr>
      <w:r>
        <w:rPr/>
        <w:t xml:space="preserve"> </w:t>
      </w:r>
    </w:p>
    <w:p>
      <w:pPr>
        <w:pStyle w:val="Normal"/>
        <w:rPr/>
      </w:pPr>
      <w:r>
        <w:rPr/>
        <w:t xml:space="preserve">Recomandăm să nu se creeze o nouă platformă online pentru publicarea ofertelor de locuri de muncă pentru tinerii europeni. Există deja mai mult decât suficiente inițiative de acest tip la nivel european. Considerăm că, pentru a crește gradul de conștientizare a forței de muncă existente și a oportunităților de angajare la nivel european, este de preferat să se îmbunătățească ceea ce există deja. </w:t>
      </w:r>
    </w:p>
    <w:p>
      <w:pPr>
        <w:pStyle w:val="Normal"/>
        <w:rPr/>
      </w:pPr>
      <w:r>
        <w:rPr/>
        <w:t xml:space="preserve"> </w:t>
      </w:r>
    </w:p>
    <w:p>
      <w:pPr>
        <w:pStyle w:val="Titre4"/>
        <w:numPr>
          <w:ilvl w:val="3"/>
          <w:numId w:val="2"/>
        </w:numPr>
        <w:rPr/>
      </w:pPr>
      <w:bookmarkStart w:id="184" w:name="__RefHeading___Toc297303_1346298689"/>
      <w:bookmarkEnd w:id="184"/>
      <w:r>
        <w:rPr/>
        <w:t xml:space="preserve">Subaxa 1.2 – Frontiere </w:t>
      </w:r>
    </w:p>
    <w:p>
      <w:pPr>
        <w:pStyle w:val="P68B1DB1Normal15"/>
        <w:rPr>
          <w:b/>
          <w:b/>
        </w:rPr>
      </w:pPr>
      <w:r>
        <w:rPr/>
        <w:t xml:space="preserve">7. Recomandăm instituirea unui mecanism de migrație a forței de muncă în UE, bazat pe nevoile reale ale piețelor europene ale forței de muncă. Ar trebui să existe un sistem unitar de recunoaștere a diplomelor profesionale și academice existente în Uniunea Europeană și în țările terțe. Ar trebui să existe oferte de calificare profesională, precum și oferte de integrare culturală și lingvistică pentru migranții calificați. Solicitanții de azil cu calificările adecvate ar trebui să aibă acces la piața forței de muncă. Ar trebui să existe o agenție integrată pe care să stea la baza rețelei europene de servicii de ocupare a forței de muncă. </w:t>
      </w:r>
    </w:p>
    <w:p>
      <w:pPr>
        <w:pStyle w:val="Normal"/>
        <w:rPr/>
      </w:pPr>
      <w:r>
        <w:rPr/>
        <w:t xml:space="preserve"> </w:t>
      </w:r>
    </w:p>
    <w:p>
      <w:pPr>
        <w:pStyle w:val="Normal"/>
        <w:rPr/>
      </w:pPr>
      <w:r>
        <w:rPr/>
        <w:t xml:space="preserve">Recomandăm aceste măsuri deoarece Europa are nevoie de forță de muncă calificată în anumite sectoare în care nu este posibilă acoperirea integrală a cererii lucrătorilor din UE. În prezent, nu există suficiente modalități viabile de a solicita în mod legal un permis de muncă în UE. Un sistem european de recunoaștere a diplomelor profesionale și academice va facilita satisfacerea acestor nevoi și va simplifica migrația forței de muncă în cadrul Uniunii și migrația forței de muncă din țări din afara Uniunii. Astfel, cererea de forță de muncă ar putea fi satisfăcută mai bine, iar imigrația ilegală ar fi mai bine gestionată. Deschiderea mecanismului de migrație a forței de muncă pentru solicitanții de azil ar accelera integrarea acestora în economiile și societățile europene. </w:t>
      </w:r>
    </w:p>
    <w:p>
      <w:pPr>
        <w:pStyle w:val="Normal"/>
        <w:rPr/>
      </w:pPr>
      <w:r>
        <w:rPr/>
        <w:t xml:space="preserve"> </w:t>
      </w:r>
    </w:p>
    <w:p>
      <w:pPr>
        <w:pStyle w:val="P68B1DB1Normal15"/>
        <w:rPr>
          <w:b/>
          <w:b/>
        </w:rPr>
      </w:pPr>
      <w:r>
        <w:rPr/>
        <w:t xml:space="preserve">8. Recomandăm Uniunii Europene să își consolideze legislația pentru a conferi Frontex mai multă putere și independență. Prin urmare, Comisia va putea interveni în toate statele membre pentru a asigura protecția tuturor frontierelor externe ale Uniunii. Cu toate acestea, Uniunea ar trebui să efectueze audituri ale proceselor organizaționale ale Frontex, întrucât aceasta trebuie să funcționeze în mod transparent, pentru a evita orice tip de abuz. </w:t>
      </w:r>
    </w:p>
    <w:p>
      <w:pPr>
        <w:pStyle w:val="Normal"/>
        <w:rPr/>
      </w:pPr>
      <w:r>
        <w:rPr/>
        <w:t xml:space="preserve"> </w:t>
      </w:r>
    </w:p>
    <w:p>
      <w:pPr>
        <w:pStyle w:val="Normal"/>
        <w:rPr/>
      </w:pPr>
      <w:r>
        <w:rPr/>
        <w:t xml:space="preserve">Recomandăm aceste măsuri deoarece, în opinia noastră, este inacceptabil ca Frontex să nu aibă acces la frontiere, în special atunci când există o încălcare a drepturilor omului. Dorim să fim siguri că Frontex aplică legislația europeană. Frontex în sine trebuie să facă obiectul unor verificări și verificări pentru a evita orice comportament inadecvat în cadrul său. </w:t>
      </w:r>
    </w:p>
    <w:p>
      <w:pPr>
        <w:pStyle w:val="Normal"/>
        <w:rPr/>
      </w:pPr>
      <w:r>
        <w:rPr/>
        <w:t xml:space="preserve"> </w:t>
      </w:r>
    </w:p>
    <w:p>
      <w:pPr>
        <w:pStyle w:val="P68B1DB1Normal15"/>
        <w:rPr>
          <w:b/>
          <w:b/>
        </w:rPr>
      </w:pPr>
      <w:r>
        <w:rPr/>
        <w:t xml:space="preserve">9. Recomandăm Uniunii Europene să organizeze, în special pentru migranții economici, posibilitatea de a selecta cetățenii din țara de origine (pe baza competențelor dovedite, a antecedentelor etc.), pentru a determina cine ar putea veni să lucreze în UE în funcție de nevoile economiei și de locurile de muncă vacante din țara gazdă. Aceste criterii de selecție trebuie să fie publice și accesibile tuturor. În acest scop, ar trebui instituită o Agenție Europeană pentru Imigrare (online). </w:t>
      </w:r>
    </w:p>
    <w:p>
      <w:pPr>
        <w:pStyle w:val="Normal"/>
        <w:rPr/>
      </w:pPr>
      <w:r>
        <w:rPr/>
        <w:t xml:space="preserve"> </w:t>
      </w:r>
    </w:p>
    <w:p>
      <w:pPr>
        <w:pStyle w:val="Normal"/>
        <w:rPr/>
      </w:pPr>
      <w:r>
        <w:rPr/>
        <w:t xml:space="preserve">Recomandăm aceste măsuri deoarece, în acest fel, nu ar mai fi nevoie de trecerea ilegală a frontierelor. Fluxul de persoane care intră în UE ar fi controlat, ceea ce ar reduce presiunea la frontiere, facilitând în același timp satisfacerea nevoilor de forță de muncă ale țărilor gazdă. </w:t>
      </w:r>
    </w:p>
    <w:p>
      <w:pPr>
        <w:pStyle w:val="Normal"/>
        <w:rPr/>
      </w:pPr>
      <w:r>
        <w:rPr/>
        <w:t xml:space="preserve"> </w:t>
      </w:r>
    </w:p>
    <w:p>
      <w:pPr>
        <w:pStyle w:val="P68B1DB1Normal15"/>
        <w:rPr>
          <w:b/>
          <w:b/>
        </w:rPr>
      </w:pPr>
      <w:r>
        <w:rPr/>
        <w:t xml:space="preserve">10. Recomandăm Uniunii Europene să se asigure că politica și facilitățile de primire sunt identice la toate frontierele, să respecte drepturile omului și să asigure siguranța și sănătatea tuturor migranților (inclusiv, de exemplu, femeile însărcinate și copiii). </w:t>
      </w:r>
    </w:p>
    <w:p>
      <w:pPr>
        <w:pStyle w:val="Normal"/>
        <w:rPr/>
      </w:pPr>
      <w:r>
        <w:rPr/>
        <w:t xml:space="preserve"> </w:t>
      </w:r>
    </w:p>
    <w:p>
      <w:pPr>
        <w:pStyle w:val="Normal"/>
        <w:rPr/>
      </w:pPr>
      <w:r>
        <w:rPr/>
        <w:t xml:space="preserve">Recomandăm aceste măsuri deoarece acordăm o importanță deosebită tratamentului egal al migranților la toate frontierele. Dorim să ne asigurăm că migranții nu rămân prea mult la frontiere și că statele membre sunt copleșite de fluxul de migranți. Statele membre trebuie să fie bine echipate pentru a le găzdui. </w:t>
      </w:r>
    </w:p>
    <w:p>
      <w:pPr>
        <w:pStyle w:val="Normal"/>
        <w:rPr/>
      </w:pPr>
      <w:r>
        <w:rPr/>
        <w:t xml:space="preserve"> </w:t>
      </w:r>
    </w:p>
    <w:p>
      <w:pPr>
        <w:pStyle w:val="Titre3"/>
        <w:numPr>
          <w:ilvl w:val="2"/>
          <w:numId w:val="2"/>
        </w:numPr>
        <w:rPr/>
      </w:pPr>
      <w:bookmarkStart w:id="185" w:name="__RefHeading___Toc297305_1346298689"/>
      <w:bookmarkEnd w:id="185"/>
      <w:r>
        <w:rPr/>
        <w:t xml:space="preserve">Axa 2: UE ca partener internațional </w:t>
      </w:r>
    </w:p>
    <w:p>
      <w:pPr>
        <w:pStyle w:val="Titre4"/>
        <w:numPr>
          <w:ilvl w:val="3"/>
          <w:numId w:val="2"/>
        </w:numPr>
        <w:rPr/>
      </w:pPr>
      <w:bookmarkStart w:id="186" w:name="__RefHeading___Toc297307_1346298689"/>
      <w:bookmarkEnd w:id="186"/>
      <w:r>
        <w:rPr/>
        <w:t xml:space="preserve">Subaxa 2.1 – Comerț și relații dintr-o perspectivă etică </w:t>
      </w:r>
    </w:p>
    <w:p>
      <w:pPr>
        <w:pStyle w:val="P68B1DB1Normal15"/>
        <w:rPr>
          <w:b/>
          <w:b/>
        </w:rPr>
      </w:pPr>
      <w:r>
        <w:rPr/>
        <w:t xml:space="preserve">11. Recomandăm UE să impună restricții asupra importurilor de produse din țări care permit munca copiilor. În acest scop, ar trebui elaborată o listă neagră a întreprinderilor, care să fie actualizată periodic în funcție de evoluțiile înregistrate. De asemenea, recomandăm asigurarea accesului progresiv la educație pentru copiii care încetează să lucreze, precum și sensibilizarea consumatorilor cu privire la munca copiilor prin intermediul informațiilor difuzate oficial de Uniunea Europeană, de exemplu prin campanii sau povestiri. </w:t>
      </w:r>
    </w:p>
    <w:p>
      <w:pPr>
        <w:pStyle w:val="Normal"/>
        <w:rPr/>
      </w:pPr>
      <w:r>
        <w:rPr/>
        <w:t xml:space="preserve"> </w:t>
      </w:r>
    </w:p>
    <w:p>
      <w:pPr>
        <w:pStyle w:val="Normal"/>
        <w:rPr/>
      </w:pPr>
      <w:r>
        <w:rPr/>
        <w:t xml:space="preserve">Recomandăm aceste măsuri, deoarece considerăm că există o legătură între lipsa școlarizării și munca copiilor. Cu această recomandare, dorim să sensibilizăm consumatorii și să reducem cererea de produse făcute de copii, astfel încât această practică să dispară. </w:t>
      </w:r>
    </w:p>
    <w:p>
      <w:pPr>
        <w:pStyle w:val="Normal"/>
        <w:rPr/>
      </w:pPr>
      <w:r>
        <w:rPr/>
        <w:t xml:space="preserve"> </w:t>
      </w:r>
    </w:p>
    <w:p>
      <w:pPr>
        <w:pStyle w:val="P68B1DB1Normal15"/>
        <w:rPr>
          <w:b/>
          <w:b/>
        </w:rPr>
      </w:pPr>
      <w:r>
        <w:rPr/>
        <w:t xml:space="preserve">12. Recomandăm Uniunii Europene să dezvolte parteneriate cu țările în curs de dezvoltare pentru a-și sprijini infrastructura și pentru a face schimb de expertiză în schimbul unor acorduri comerciale reciproc avantajoase care să le însoțească în tranziția către surse de energie verde. </w:t>
      </w:r>
    </w:p>
    <w:p>
      <w:pPr>
        <w:pStyle w:val="Normal"/>
        <w:rPr/>
      </w:pPr>
      <w:r>
        <w:rPr/>
        <w:t xml:space="preserve"> </w:t>
      </w:r>
    </w:p>
    <w:p>
      <w:pPr>
        <w:pStyle w:val="Normal"/>
        <w:rPr/>
      </w:pPr>
      <w:r>
        <w:rPr/>
        <w:t xml:space="preserve">Recomandăm aceste măsuri pentru a facilita tranziția țărilor în curs de dezvoltare către energia din surse regenerabile prin parteneriate comerciale și acorduri diplomatice. Astfel, Uniunea Europeană și țările în curs de dezvoltare ar dezvolta relații bune pe termen lung, ceea ce ar contribui la combaterea schimbărilor climatice. </w:t>
      </w:r>
    </w:p>
    <w:p>
      <w:pPr>
        <w:pStyle w:val="Normal"/>
        <w:rPr/>
      </w:pPr>
      <w:r>
        <w:rPr/>
        <w:t xml:space="preserve"> </w:t>
      </w:r>
    </w:p>
    <w:p>
      <w:pPr>
        <w:pStyle w:val="P68B1DB1Normal15"/>
        <w:rPr>
          <w:b/>
          <w:b/>
        </w:rPr>
      </w:pPr>
      <w:r>
        <w:rPr/>
        <w:t xml:space="preserve">13. Recomandăm Uniunii Europene să impună un indicator european de impact asupra mediului (ecoscore) asupra tuturor produselor de consum. Ecoscore-ul ar fi calculat pe baza emisiilor provenite din producție și transport, precum și a nocivității conținutului, pe baza unei liste de produse periculoase. Ecoscore ar trebui să fie gestionat și controlat de o autoritate europeană. </w:t>
      </w:r>
    </w:p>
    <w:p>
      <w:pPr>
        <w:pStyle w:val="Normal"/>
        <w:rPr/>
      </w:pPr>
      <w:r>
        <w:rPr/>
        <w:t xml:space="preserve"> </w:t>
      </w:r>
    </w:p>
    <w:p>
      <w:pPr>
        <w:pStyle w:val="Normal"/>
        <w:rPr/>
      </w:pPr>
      <w:r>
        <w:rPr/>
        <w:t xml:space="preserve">Recomandăm aceste măsuri, astfel încât consumatorii europeni să fie mai conștienți de amprenta ecologică a produselor pe care le cumpără. Ecoscore-ul ar facilita indicarea măsurii în care un produs respectă mediul printr-o scară comună în întreaga Europă. Ecoscore ar trebui să aibă un cod QR pe spatele produsului pentru a putea consulta informații suplimentare privind amprenta sa de mediu. </w:t>
      </w:r>
    </w:p>
    <w:p>
      <w:pPr>
        <w:pStyle w:val="Normal"/>
        <w:rPr/>
      </w:pPr>
      <w:r>
        <w:rPr/>
        <w:t xml:space="preserve"> </w:t>
      </w:r>
    </w:p>
    <w:p>
      <w:pPr>
        <w:pStyle w:val="Titre4"/>
        <w:numPr>
          <w:ilvl w:val="3"/>
          <w:numId w:val="2"/>
        </w:numPr>
        <w:rPr/>
      </w:pPr>
      <w:bookmarkStart w:id="187" w:name="__RefHeading___Toc297309_1346298689"/>
      <w:bookmarkEnd w:id="187"/>
      <w:r>
        <w:rPr/>
        <w:t xml:space="preserve">Subaxa 2.2 – Politici climatice internaționale </w:t>
      </w:r>
    </w:p>
    <w:p>
      <w:pPr>
        <w:pStyle w:val="P68B1DB1Normal15"/>
        <w:rPr>
          <w:b/>
          <w:b/>
        </w:rPr>
      </w:pPr>
      <w:r>
        <w:rPr/>
        <w:t xml:space="preserve">14. Recomandăm Uniunii Europene să adopte o strategie pentru a o face mai autonomă în producția sa de energie. Un organism european care reunește actualele instituții europene din domeniul energiei ar trebui să coordoneze dezvoltarea energiei din surse regenerabile în funcție de nevoile, capacitățile și resursele statelor membre, respectând în același timp suveranitatea acestora. Instituțiile ar încuraja schimbul de cunoștințe între ele în vederea punerii în aplicare a acestei strategii. </w:t>
      </w:r>
    </w:p>
    <w:p>
      <w:pPr>
        <w:pStyle w:val="Normal"/>
        <w:rPr/>
      </w:pPr>
      <w:r>
        <w:rPr/>
        <w:t xml:space="preserve"> </w:t>
      </w:r>
    </w:p>
    <w:p>
      <w:pPr>
        <w:pStyle w:val="Normal"/>
        <w:rPr/>
      </w:pPr>
      <w:r>
        <w:rPr/>
        <w:t xml:space="preserve">Recomandăm aceste măsuri deoarece dependența noastră actuală ne face vulnerabili în cazul tensiunilor politice cu țările pe care le importăm. Acum vedem acest lucru cu criza de energie electrică. Cu toate acestea, o astfel de coordonare ar trebui să respecte suveranitatea fiecărei țări. </w:t>
      </w:r>
    </w:p>
    <w:p>
      <w:pPr>
        <w:pStyle w:val="Normal"/>
        <w:rPr/>
      </w:pPr>
      <w:r>
        <w:rPr/>
        <w:t xml:space="preserve"> </w:t>
      </w:r>
    </w:p>
    <w:p>
      <w:pPr>
        <w:pStyle w:val="P68B1DB1Normal15"/>
        <w:rPr>
          <w:b/>
          <w:b/>
        </w:rPr>
      </w:pPr>
      <w:r>
        <w:rPr/>
        <w:t xml:space="preserve">15. Recomandăm consolidarea standardelor de mediu pentru exportul de deșeuri în interiorul și în afara UE, precum și controale și sancțiuni mai stricte pentru a opri exporturile ilegale. UE ar trebui să încurajeze statele membre să recicleze în continuare propriile deșeuri și să le utilizeze pentru a produce energie. </w:t>
      </w:r>
    </w:p>
    <w:p>
      <w:pPr>
        <w:pStyle w:val="Normal"/>
        <w:rPr/>
      </w:pPr>
      <w:r>
        <w:rPr/>
        <w:t xml:space="preserve"> </w:t>
      </w:r>
    </w:p>
    <w:p>
      <w:pPr>
        <w:pStyle w:val="Normal"/>
        <w:rPr/>
      </w:pPr>
      <w:r>
        <w:rPr/>
        <w:t xml:space="preserve">Recomandăm aceste măsuri pentru a pune capăt daunelor aduse mediului de către țările care elimină deșeurile lor în detrimentul altor țări, în special atunci când există o lipsă totală de respectare a standardelor de mediu. </w:t>
      </w:r>
    </w:p>
    <w:p>
      <w:pPr>
        <w:pStyle w:val="Normal"/>
        <w:rPr/>
      </w:pPr>
      <w:r>
        <w:rPr/>
        <w:t xml:space="preserve"> </w:t>
      </w:r>
    </w:p>
    <w:p>
      <w:pPr>
        <w:pStyle w:val="P68B1DB1Normal15"/>
        <w:rPr>
          <w:b/>
          <w:b/>
        </w:rPr>
      </w:pPr>
      <w:r>
        <w:rPr/>
        <w:t xml:space="preserve">16. Recomandăm UE să încurajeze mai ferm tranziția ecologică în curs, vizând eliminarea ambalajelor poluante. Acest lucru ar trebui realizat prin încurajarea reducerii ambalajelor sau prin promovarea ambalajelor mai ecologice. Pentru ca întreprinderile mici să se adapteze, acestea ar trebui să primească sprijin și ajustări. </w:t>
      </w:r>
    </w:p>
    <w:p>
      <w:pPr>
        <w:pStyle w:val="Normal"/>
        <w:rPr/>
      </w:pPr>
      <w:r>
        <w:rPr/>
        <w:t xml:space="preserve"> </w:t>
      </w:r>
    </w:p>
    <w:p>
      <w:pPr>
        <w:pStyle w:val="Normal"/>
        <w:rPr/>
      </w:pPr>
      <w:r>
        <w:rPr/>
        <w:t xml:space="preserve">Recomandăm aceste măsuri deoarece trebuie să reducem utilizarea resurselor naturale, inclusiv a materiilor prime din țări din afara UE. De asemenea, trebuie să reducem daunele cauzate de europeni planetei noastre și climei sale. Este esențial să se sprijine mai bine întreprinderile mici, astfel încât acestea să se poată adapta fără a trebui să își crească prețurile. </w:t>
      </w:r>
    </w:p>
    <w:p>
      <w:pPr>
        <w:pStyle w:val="Normal"/>
        <w:rPr/>
      </w:pPr>
      <w:r>
        <w:rPr/>
        <w:t xml:space="preserve"> </w:t>
      </w:r>
    </w:p>
    <w:p>
      <w:pPr>
        <w:pStyle w:val="P68B1DB1Normal15"/>
        <w:rPr>
          <w:b/>
          <w:b/>
        </w:rPr>
      </w:pPr>
      <w:r>
        <w:rPr/>
        <w:t xml:space="preserve">17. Recomandăm ca țările Uniunii Europene să analizeze mai serios problema energiei nucleare împreună. Ar trebui intensificată colaborarea pentru a evalua utilizarea energiei nucleare și rolul acesteia în tranziția energetică verde a Europei. </w:t>
      </w:r>
    </w:p>
    <w:p>
      <w:pPr>
        <w:pStyle w:val="Normal"/>
        <w:rPr/>
      </w:pPr>
      <w:r>
        <w:rPr/>
        <w:t xml:space="preserve"> </w:t>
      </w:r>
    </w:p>
    <w:p>
      <w:pPr>
        <w:pStyle w:val="Normal"/>
        <w:rPr/>
      </w:pPr>
      <w:r>
        <w:rPr/>
        <w:t xml:space="preserve">Recomandăm aceste măsuri deoarece problema nucleară nu poate fi rezolvată de o țară izolată. În prezent, există peste 100 de reactoare în jumătate din statele membre, iar noi reactoare sunt în curs de construcție. Pe măsură ce împărtășim o rețea de energie electrică comună, energia electrică cu emisii scăzute de dioxid de carbon pe care o produc aduce beneficii tuturor europenilor și sporește autonomia energetică a continentului nostru. În plus, abandonarea deșeurilor nucleare sau un accident ar afecta mai multe țări. Indiferent dacă utilizarea energiei nucleare este decisă sau nu, europenii trebuie să o discute împreună și să definească strategii mai convergente, respectând în același timp suveranitatea națională. </w:t>
      </w:r>
    </w:p>
    <w:p>
      <w:pPr>
        <w:pStyle w:val="Normal"/>
        <w:rPr/>
      </w:pPr>
      <w:r>
        <w:rPr/>
        <w:t xml:space="preserve"> </w:t>
      </w:r>
    </w:p>
    <w:p>
      <w:pPr>
        <w:pStyle w:val="Titre4"/>
        <w:numPr>
          <w:ilvl w:val="3"/>
          <w:numId w:val="2"/>
        </w:numPr>
        <w:rPr/>
      </w:pPr>
      <w:bookmarkStart w:id="188" w:name="__RefHeading___Toc297311_1346298689"/>
      <w:bookmarkEnd w:id="188"/>
      <w:r>
        <w:rPr/>
        <w:t xml:space="preserve">Subaxa 2.3 – Promovarea valorilor europene </w:t>
      </w:r>
    </w:p>
    <w:p>
      <w:pPr>
        <w:pStyle w:val="P68B1DB1Normal15"/>
        <w:rPr>
          <w:b/>
          <w:b/>
        </w:rPr>
      </w:pPr>
      <w:r>
        <w:rPr/>
        <w:t xml:space="preserve">18. UE ar trebui să fie mai aproape de cetățeni. Recomandăm UE să stabilească și să consolideze legăturile cu cetățenii și cu instituțiile locale, cum ar fi autoritățile locale, școlile și municipalitățile. Scopul este de a îmbunătăți transparența, de a ajunge la cetățeni, de a-i informa mai bine cu privire la inițiativele concrete ale UE și de a comunica mai bine informațiile generale ale UE. </w:t>
      </w:r>
    </w:p>
    <w:p>
      <w:pPr>
        <w:pStyle w:val="Normal"/>
        <w:rPr/>
      </w:pPr>
      <w:r>
        <w:rPr/>
        <w:t xml:space="preserve"> </w:t>
      </w:r>
    </w:p>
    <w:p>
      <w:pPr>
        <w:pStyle w:val="Normal"/>
        <w:rPr/>
      </w:pPr>
      <w:r>
        <w:rPr/>
        <w:t xml:space="preserve">Recomandăm aceste măsuri deoarece informațiile actuale privind UE nu sunt suficient de accesibile tuturor grupurilor sociale și nu afectează cetățenii obișnuiți. Ele sunt adesea plictisitoare, greu de înțeles și neprietenoase. Această situație trebuie să se schimbe astfel încât cetățenii să aibă o viziune clară asupra acțiunilor și rolului UE. Pentru a atrage interesul public, informațiile legate de UE trebuie să fie ușor de găsit, motivant, interesant și scris într-un limbaj comun. Iată sugestiile noastre: organizarea de vizite ale politicienilor europeni în școli, campanii radio sub formă de podcasturi, scrisori, articole de presă, autobuze publicitare și platforme de comunicare socială, adunări ale cetățenilor locali și crearea unui grup de lucru special pentru îmbunătățirea comunicării în UE. Aceste măsuri vor permite cetățenilor să obțină informații despre UE care nu sunt filtrate de mass-media națională. </w:t>
      </w:r>
    </w:p>
    <w:p>
      <w:pPr>
        <w:pStyle w:val="Normal"/>
        <w:rPr/>
      </w:pPr>
      <w:r>
        <w:rPr/>
        <w:t xml:space="preserve"> </w:t>
      </w:r>
    </w:p>
    <w:p>
      <w:pPr>
        <w:pStyle w:val="P68B1DB1Normal15"/>
        <w:rPr>
          <w:b/>
          <w:b/>
        </w:rPr>
      </w:pPr>
      <w:r>
        <w:rPr/>
        <w:t xml:space="preserve">19. Recomandăm o mai mare participare a cetățenilor la politicile UE. Propunem organizarea de evenimente care implică participarea directă a cetățenilor după modelul Conferinței privind viitorul Europei. Acestea ar trebui organizate la nivel național, local și european. UE ar trebui să definească o strategie coerentă și orientări centralizate pentru aceste evenimente. </w:t>
      </w:r>
    </w:p>
    <w:p>
      <w:pPr>
        <w:pStyle w:val="Normal"/>
        <w:rPr/>
      </w:pPr>
      <w:r>
        <w:rPr/>
        <w:t xml:space="preserve"> </w:t>
      </w:r>
    </w:p>
    <w:p>
      <w:pPr>
        <w:pStyle w:val="Normal"/>
        <w:rPr/>
      </w:pPr>
      <w:r>
        <w:rPr/>
        <w:t xml:space="preserve">Recomandăm aceste măsuri deoarece aceste exerciții de democrație participativă vor oferi informații corecte cu privire la UE și vor îmbunătăți calitatea politicilor UE. Evenimentele ar trebui organizate astfel încât să se promoveze valorile fundamentale ale Uniunii – democrația și participarea cetățenilor. Aceste evenimente ar oferi politicienilor ocazia de a demonstra cetățenilor că este important pentru ei ca cetățenii să fie informați cu privire la evenimentele actuale și să fie asociați cu definiția lor. Orientările centralizate vor asigura coerența și consecvența conferințelor naționale și locale. </w:t>
      </w:r>
    </w:p>
    <w:p>
      <w:pPr>
        <w:pStyle w:val="Normal"/>
        <w:rPr/>
      </w:pPr>
      <w:r>
        <w:rPr/>
        <w:t xml:space="preserve"> </w:t>
      </w:r>
    </w:p>
    <w:p>
      <w:pPr>
        <w:pStyle w:val="Titre3"/>
        <w:numPr>
          <w:ilvl w:val="2"/>
          <w:numId w:val="2"/>
        </w:numPr>
        <w:rPr/>
      </w:pPr>
      <w:bookmarkStart w:id="189" w:name="__RefHeading___Toc297313_1346298689"/>
      <w:bookmarkEnd w:id="189"/>
      <w:r>
        <w:rPr/>
        <w:t xml:space="preserve">Axa 3: O Uniune Europeană puternică într-o lume pașnică </w:t>
      </w:r>
    </w:p>
    <w:p>
      <w:pPr>
        <w:pStyle w:val="Titre4"/>
        <w:numPr>
          <w:ilvl w:val="3"/>
          <w:numId w:val="2"/>
        </w:numPr>
        <w:rPr/>
      </w:pPr>
      <w:bookmarkStart w:id="190" w:name="__RefHeading___Toc297315_1346298689"/>
      <w:bookmarkEnd w:id="190"/>
      <w:r>
        <w:rPr/>
        <w:t xml:space="preserve">Subaxa 3.1 – Securitate și apărare </w:t>
      </w:r>
    </w:p>
    <w:p>
      <w:pPr>
        <w:pStyle w:val="P68B1DB1Normal15"/>
        <w:rPr>
          <w:b/>
          <w:b/>
        </w:rPr>
      </w:pPr>
      <w:r>
        <w:rPr/>
        <w:t xml:space="preserve">20. Recomandăm ca viitoarele „forțe armate comune ale Uniunii Europene” să fie utilizate în principal în scopuri de apărare. Orice acțiune militară agresivă, indiferent de natura ei, este exclusă. În Europa, acest lucru ar oferi mijloacele necesare pentru a oferi asistență în caz de criză, în special în cazul unui dezastru natural. În afara granițelor europene, acest lucru ar permite mobilizarea resurselor în teritorii cu circumstanțe excepționale, exclusiv în cadrul unui mandat juridic al Consiliului de Securitate al ONU și, prin urmare, în conformitate cu dreptul internațional. </w:t>
      </w:r>
    </w:p>
    <w:p>
      <w:pPr>
        <w:pStyle w:val="Normal"/>
        <w:rPr/>
      </w:pPr>
      <w:r>
        <w:rPr/>
        <w:t xml:space="preserve"> </w:t>
      </w:r>
    </w:p>
    <w:p>
      <w:pPr>
        <w:pStyle w:val="Normal"/>
        <w:rPr/>
      </w:pPr>
      <w:r>
        <w:rPr/>
        <w:t xml:space="preserve">Dacă ar fi pusă în aplicare, ar permite Uniunii Europene să fie văzută ca un partener credibil, responsabil, puternic și pașnic pe scena internațională. Capacitatea sa sporită de a răspunde situațiilor de criză atât în țară, cât și în străinătate, ar trebui, prin urmare, să își protejeze valorile fundamentale. </w:t>
      </w:r>
    </w:p>
    <w:p>
      <w:pPr>
        <w:pStyle w:val="Normal"/>
        <w:rPr/>
      </w:pPr>
      <w:r>
        <w:rPr/>
        <w:t xml:space="preserve"> </w:t>
      </w:r>
    </w:p>
    <w:p>
      <w:pPr>
        <w:pStyle w:val="Titre4"/>
        <w:numPr>
          <w:ilvl w:val="3"/>
          <w:numId w:val="2"/>
        </w:numPr>
        <w:rPr/>
      </w:pPr>
      <w:bookmarkStart w:id="191" w:name="__RefHeading___Toc297317_1346298689"/>
      <w:bookmarkEnd w:id="191"/>
      <w:r>
        <w:rPr/>
        <w:t xml:space="preserve">Subaxa 3.2 – Procesul decizional și politica externă a UE </w:t>
      </w:r>
    </w:p>
    <w:p>
      <w:pPr>
        <w:pStyle w:val="P68B1DB1Normal15"/>
        <w:rPr>
          <w:b/>
          <w:b/>
        </w:rPr>
      </w:pPr>
      <w:r>
        <w:rPr/>
        <w:t xml:space="preserve">21. Recomandăm ca toate domeniile în care deciziile sunt luate în unanimitate să fie luate acum cu majoritate calificată. Singurele excepții ar trebui să fie admiterea noilor state membre în Uniune și modificarea principiilor fundamentale ale Uniunii consacrate la articolul 2 din Tratatul de la Lisabona și în Carta drepturilor fundamentale a Uniunii Europene. </w:t>
      </w:r>
    </w:p>
    <w:p>
      <w:pPr>
        <w:pStyle w:val="Normal"/>
        <w:rPr/>
      </w:pPr>
      <w:r>
        <w:rPr/>
        <w:t xml:space="preserve"> </w:t>
      </w:r>
    </w:p>
    <w:p>
      <w:pPr>
        <w:pStyle w:val="Normal"/>
        <w:rPr/>
      </w:pPr>
      <w:r>
        <w:rPr/>
        <w:t xml:space="preserve">Acest lucru ar consolida poziția UE în lume prin prezentarea unui front unit față de țările terțe și ar facilita capacitatea sa globală de răspuns, inclusiv răspunsul la situații de criză. </w:t>
      </w:r>
    </w:p>
    <w:p>
      <w:pPr>
        <w:pStyle w:val="Normal"/>
        <w:rPr/>
      </w:pPr>
      <w:r>
        <w:rPr/>
        <w:t xml:space="preserve"> </w:t>
      </w:r>
    </w:p>
    <w:p>
      <w:pPr>
        <w:pStyle w:val="P68B1DB1Normal15"/>
        <w:rPr>
          <w:b/>
          <w:b/>
        </w:rPr>
      </w:pPr>
      <w:r>
        <w:rPr/>
        <w:t xml:space="preserve">22. Recomandăm Uniunii Europene să își consolideze capacitatea de a impune sancțiuni statelor membre, guvernelor, entităților, grupurilor sau organizațiilor și persoanelor care nu respectă principiile, acordurile și legile sale fundamentale. Este imperativ ca sancțiunile care există deja să fie puse în aplicare rapid și respectate în mod eficace. Sancțiunile impuse țărilor terțe ar trebui să fie proporționale cu acțiunea care le-a declanșat, să fie eficace și să fie aplicate în timp util. </w:t>
      </w:r>
    </w:p>
    <w:p>
      <w:pPr>
        <w:pStyle w:val="Normal"/>
        <w:rPr/>
      </w:pPr>
      <w:r>
        <w:rPr/>
        <w:t xml:space="preserve"> </w:t>
      </w:r>
    </w:p>
    <w:p>
      <w:pPr>
        <w:pStyle w:val="Normal"/>
        <w:rPr/>
      </w:pPr>
      <w:r>
        <w:rPr/>
        <w:t xml:space="preserve">Pentru ca UE să fie credibilă și fiabilă, aceasta trebuie să impună sancțiuni celor care încalcă principiile sale. Astfel de sancțiuni ar trebui aplicate în mod eficace și rapid și ar trebui să facă obiectul unor controale. </w:t>
      </w:r>
    </w:p>
    <w:p>
      <w:pPr>
        <w:pStyle w:val="Normal"/>
        <w:rPr/>
      </w:pPr>
      <w:r>
        <w:rPr/>
        <w:t xml:space="preserve"> </w:t>
      </w:r>
    </w:p>
    <w:p>
      <w:pPr>
        <w:pStyle w:val="Titre4"/>
        <w:numPr>
          <w:ilvl w:val="3"/>
          <w:numId w:val="2"/>
        </w:numPr>
        <w:rPr/>
      </w:pPr>
      <w:bookmarkStart w:id="192" w:name="__RefHeading___Toc297319_1346298689"/>
      <w:bookmarkEnd w:id="192"/>
      <w:r>
        <w:rPr/>
        <w:t xml:space="preserve">Subaxa 3.3 – Țările învecinate și extinderea </w:t>
      </w:r>
    </w:p>
    <w:p>
      <w:pPr>
        <w:pStyle w:val="P68B1DB1Normal15"/>
        <w:rPr>
          <w:b/>
          <w:b/>
        </w:rPr>
      </w:pPr>
      <w:r>
        <w:rPr/>
        <w:t xml:space="preserve">23. Recomandăm Uniunii Europene să aloce un buget specific dezvoltării programelor educaționale dedicate funcționării UE și valorilor sale. Aceste programe vor fi apoi oferite statelor membre dacă doresc să le integreze în programele școlare (învățământ primar și secundar și universități). În plus, un curs specific privind UE și funcționarea sa ar putea fi oferit studenților care doresc să studieze într-o altă țară europeană prin intermediul programului Erasmus. Studenților care aleg acest curs li se va acorda prioritate pentru a beneficia de aceste programe Erasmus. </w:t>
      </w:r>
    </w:p>
    <w:p>
      <w:pPr>
        <w:pStyle w:val="Normal"/>
        <w:rPr/>
      </w:pPr>
      <w:r>
        <w:rPr/>
        <w:t xml:space="preserve"> </w:t>
      </w:r>
    </w:p>
    <w:p>
      <w:pPr>
        <w:pStyle w:val="Normal"/>
        <w:rPr/>
      </w:pPr>
      <w:r>
        <w:rPr/>
        <w:t xml:space="preserve">Recomandăm aceste măsuri pentru a spori sentimentul de apartenență la UE. În acest fel, cetățenii se vor identifica mai bine cu Uniunea și își vor transmite valorile. În plus, aceste măsuri vor îmbunătăți transparența în ceea ce privește funcționarea UE și beneficiile de a face parte din aceasta, precum și lupta împotriva mișcărilor antieuropene. Aceste măsuri ar trebui să descurajeze statele membre să părăsească UE. </w:t>
      </w:r>
    </w:p>
    <w:p>
      <w:pPr>
        <w:pStyle w:val="Normal"/>
        <w:rPr/>
      </w:pPr>
      <w:r>
        <w:rPr/>
        <w:t xml:space="preserve"> </w:t>
      </w:r>
    </w:p>
    <w:p>
      <w:pPr>
        <w:pStyle w:val="P68B1DB1Normal15"/>
        <w:rPr>
          <w:b/>
          <w:b/>
        </w:rPr>
      </w:pPr>
      <w:r>
        <w:rPr/>
        <w:t xml:space="preserve">24. Recomandăm UE să utilizeze într-o mai mare măsură ponderea sa politică și economică în relațiile sale cu alte țări, pentru a împiedica anumite state membre să fie supuse unor presiuni economice, politice și sociale bilaterale. </w:t>
      </w:r>
    </w:p>
    <w:p>
      <w:pPr>
        <w:pStyle w:val="Normal"/>
        <w:rPr/>
      </w:pPr>
      <w:r>
        <w:rPr/>
        <w:t xml:space="preserve"> </w:t>
      </w:r>
    </w:p>
    <w:p>
      <w:pPr>
        <w:pStyle w:val="Normal"/>
        <w:rPr/>
      </w:pPr>
      <w:r>
        <w:rPr/>
        <w:t xml:space="preserve">Recomandăm aceste măsuri din trei motive. În primul rând, ele vor consolida sentimentul de unitate în cadrul UE. În al doilea rând, o reacție unilaterală va fi un răspuns clar, puternic și rapid pentru a evita orice încercare a țărilor terțe de a intimida sau de a reprima țările membre ale UE. În cele din urmă, acestea vor consolida securitatea Uniunii și se vor asigura că niciun stat membru nu se simte abandonat sau ignorat. Reacțiile bilaterale divizează UE și reprezintă o slăbiciune pe care țările terțe o folosesc împotriva noastră. </w:t>
      </w:r>
    </w:p>
    <w:p>
      <w:pPr>
        <w:pStyle w:val="Normal"/>
        <w:rPr/>
      </w:pPr>
      <w:r>
        <w:rPr/>
        <w:t xml:space="preserve"> </w:t>
      </w:r>
    </w:p>
    <w:p>
      <w:pPr>
        <w:pStyle w:val="P68B1DB1Normal15"/>
        <w:rPr>
          <w:b/>
          <w:b/>
        </w:rPr>
      </w:pPr>
      <w:r>
        <w:rPr/>
        <w:t xml:space="preserve">25. „Recomandăm Uniunii să își îmbunătățească strategia de comunicare”. Pe de o parte, UE ar trebui să își sporească vizibilitatea pe rețelele sociale și să promoveze în mod activ conținutul acesteia. Pe de altă parte, Comisia ar trebui să continue organizarea de conferințe, cum ar fi Conferința privind viitorul Europei, în fiecare an. De asemenea, recomandăm să se încurajeze în continuare inovarea prin promovarea unei rețele sociale europene accesibile. </w:t>
      </w:r>
    </w:p>
    <w:p>
      <w:pPr>
        <w:pStyle w:val="Normal"/>
        <w:rPr/>
      </w:pPr>
      <w:r>
        <w:rPr/>
        <w:t xml:space="preserve"> </w:t>
      </w:r>
    </w:p>
    <w:p>
      <w:pPr>
        <w:pStyle w:val="Normal"/>
        <w:rPr/>
      </w:pPr>
      <w:r>
        <w:rPr/>
        <w:t xml:space="preserve">Aceste propuneri nu numai că ar ajunge la tineri, ci ar spori, de asemenea, interesul și participarea cetățenilor europeni printr-un instrument de comunicare mai atractiv și mai eficace. Organizarea de evenimente, cum ar fi Conferința privind viitorul Europei, ar trebui să permită cetățenilor să se implice mai mult în procesul decizional și să se asigure că vocile lor sunt auzite. </w:t>
      </w:r>
    </w:p>
    <w:p>
      <w:pPr>
        <w:pStyle w:val="Normal"/>
        <w:rPr/>
      </w:pPr>
      <w:r>
        <w:rPr/>
        <w:t xml:space="preserve"> </w:t>
      </w:r>
    </w:p>
    <w:p>
      <w:pPr>
        <w:pStyle w:val="P68B1DB1Normal15"/>
        <w:rPr>
          <w:b/>
          <w:b/>
        </w:rPr>
      </w:pPr>
      <w:r>
        <w:rPr/>
        <w:t xml:space="preserve">26. Recomandăm statelor membre să adopte o viziune puternică și o strategie comună de armonizare și consolidare a identității și unității europene înainte de extinderea în continuare a Uniunii. </w:t>
      </w:r>
    </w:p>
    <w:p>
      <w:pPr>
        <w:pStyle w:val="Normal"/>
        <w:rPr/>
      </w:pPr>
      <w:r>
        <w:rPr/>
        <w:t xml:space="preserve"> </w:t>
      </w:r>
    </w:p>
    <w:p>
      <w:pPr>
        <w:pStyle w:val="Normal"/>
        <w:rPr/>
      </w:pPr>
      <w:r>
        <w:rPr/>
        <w:t xml:space="preserve">Considerăm că este esențial să se consolideze UE și să se consolideze relațiile dintre statele membre înainte de a lua în considerare integrarea altor țări. Cu cât sunt mai multe state membre în UE, cu atât procesul decizional este mai complicat; prin urmare, este important să se revizuiască votul în unanimitate în procesele decizionale. </w:t>
      </w:r>
    </w:p>
    <w:p>
      <w:pPr>
        <w:pStyle w:val="Normal"/>
        <w:rPr/>
      </w:pPr>
      <w:r>
        <w:rPr/>
        <w:t xml:space="preserve"> </w:t>
      </w:r>
    </w:p>
    <w:p>
      <w:pPr>
        <w:pStyle w:val="Titre3"/>
        <w:numPr>
          <w:ilvl w:val="2"/>
          <w:numId w:val="2"/>
        </w:numPr>
        <w:rPr/>
      </w:pPr>
      <w:bookmarkStart w:id="193" w:name="__RefHeading___Toc297321_1346298689"/>
      <w:bookmarkEnd w:id="193"/>
      <w:r>
        <w:rPr/>
        <w:t xml:space="preserve">Axa 4: Migrația din punct de vedere uman </w:t>
      </w:r>
    </w:p>
    <w:p>
      <w:pPr>
        <w:pStyle w:val="Titre4"/>
        <w:numPr>
          <w:ilvl w:val="3"/>
          <w:numId w:val="2"/>
        </w:numPr>
        <w:rPr/>
      </w:pPr>
      <w:bookmarkStart w:id="194" w:name="__RefHeading___Toc297323_1346298689"/>
      <w:bookmarkEnd w:id="194"/>
      <w:r>
        <w:rPr/>
        <w:t xml:space="preserve">Subaxa 4.1 – Abordarea cauzelor emigrării </w:t>
      </w:r>
    </w:p>
    <w:p>
      <w:pPr>
        <w:pStyle w:val="P68B1DB1Normal15"/>
        <w:rPr>
          <w:b/>
          <w:b/>
        </w:rPr>
      </w:pPr>
      <w:r>
        <w:rPr/>
        <w:t xml:space="preserve">27. Recomandăm Uniunii Europene să participe activ la dezvoltarea economică a țărilor terțe și a țărilor din care provin cele mai mari fluxuri de migranți. Cu ajutorul organismelor relevante (ONG-uri locale și politicieni locali, lucrători experți pe teren etc.), UE ar trebui să caute modalități de a interveni în mod pașnic și eficace în țările în care provin cele mai mari fluxuri de migranți și care au fost de acord cu modalitățile de cooperare. Aceste intervenții ar trebui să aibă efecte tangibile și măsurabile, care ar trebui evidențiate în mod clar, astfel încât cetățenii europeni să poată înțelege politica Uniunii privind ajutorul pentru dezvoltare. Prin urmare, acțiunile UE în domeniul ajutorului pentru dezvoltare ar trebui să devină mai vizibile. </w:t>
      </w:r>
    </w:p>
    <w:p>
      <w:pPr>
        <w:pStyle w:val="Normal"/>
        <w:rPr/>
      </w:pPr>
      <w:r>
        <w:rPr/>
        <w:t xml:space="preserve"> </w:t>
      </w:r>
    </w:p>
    <w:p>
      <w:pPr>
        <w:pStyle w:val="Normal"/>
        <w:rPr/>
      </w:pPr>
      <w:r>
        <w:rPr/>
        <w:t xml:space="preserve">Chiar dacă UE lucrează la dezvoltarea internațională, aceasta trebuie să își continue acțiunile și să investească în transparența și vizibilitatea politicii sale în acest domeniu. </w:t>
      </w:r>
    </w:p>
    <w:p>
      <w:pPr>
        <w:pStyle w:val="Normal"/>
        <w:rPr/>
      </w:pPr>
      <w:r>
        <w:rPr/>
        <w:t xml:space="preserve"> </w:t>
      </w:r>
    </w:p>
    <w:p>
      <w:pPr>
        <w:pStyle w:val="P68B1DB1Normal15"/>
        <w:rPr>
          <w:b/>
          <w:b/>
        </w:rPr>
      </w:pPr>
      <w:r>
        <w:rPr/>
        <w:t xml:space="preserve">28. Recomandăm instituirea unui cadru european comun pentru armonizarea condițiilor de muncă în întreaga Uniune (salariu minim, timp de lucru etc.). UE ar trebui să depună eforturi pentru a crea standarde comune de bază în domeniul muncii pentru a-i împiedica pe cetățeni să își părăsească țara pentru a căuta condiții de muncă mai bune în altă parte. În cadrul acestor standarde, UE ar trebui să consolideze rolul sindicatelor la nivel transnațional, făcând acest lucru, UE ar recunoaște că migrația economică internă (migrația cetățenilor UE) este o problemă gravă. </w:t>
      </w:r>
    </w:p>
    <w:p>
      <w:pPr>
        <w:pStyle w:val="Normal"/>
        <w:rPr/>
      </w:pPr>
      <w:r>
        <w:rPr/>
        <w:t xml:space="preserve"> </w:t>
      </w:r>
    </w:p>
    <w:p>
      <w:pPr>
        <w:pStyle w:val="Normal"/>
        <w:rPr/>
      </w:pPr>
      <w:r>
        <w:rPr/>
        <w:t xml:space="preserve">Această recomandare provine din constatarea că un număr mare de persoane din UE migrează din motive economice, din cauza diferențelor dintre statele membre în ceea ce privește condițiile de muncă. Este necesar să se prevină acest exod de creiere, astfel încât statele membre să-și păstreze talentele și forța de muncă. Sprijinim libera circulație a cetățenilor, dar credem că migrația cetățenilor UE între diferitele state membre, atunci când acest lucru nu este dorit, se datorează unor motive economice. Acesta este motivul pentru care este important să se stabilească un cadru comun pentru muncă. </w:t>
      </w:r>
    </w:p>
    <w:p>
      <w:pPr>
        <w:pStyle w:val="Normal"/>
        <w:rPr/>
      </w:pPr>
      <w:r>
        <w:rPr/>
        <w:t xml:space="preserve"> </w:t>
      </w:r>
    </w:p>
    <w:p>
      <w:pPr>
        <w:pStyle w:val="Titre4"/>
        <w:numPr>
          <w:ilvl w:val="3"/>
          <w:numId w:val="2"/>
        </w:numPr>
        <w:rPr/>
      </w:pPr>
      <w:bookmarkStart w:id="195" w:name="__RefHeading___Toc297325_1346298689"/>
      <w:bookmarkEnd w:id="195"/>
      <w:r>
        <w:rPr/>
        <w:t xml:space="preserve">Subaxa 4.2 – Considerații umane </w:t>
      </w:r>
    </w:p>
    <w:p>
      <w:pPr>
        <w:pStyle w:val="P68B1DB1Normal15"/>
        <w:rPr>
          <w:b/>
          <w:b/>
        </w:rPr>
      </w:pPr>
      <w:r>
        <w:rPr/>
        <w:t xml:space="preserve">29. Recomandăm punerea în aplicare a unei politici comune în domeniul migrației, bazată pe principiul solidarității. Vrem să ne concentrăm pe problema refugiaților. O procedură comună pentru toate statele membre ale UE ar trebui să se bazeze pe cele mai eficiente practici din toate țările UE. Această procedură ar trebui pusă în aplicare în mod proactiv de către autoritățile naționale și de către administrația UE. </w:t>
      </w:r>
    </w:p>
    <w:p>
      <w:pPr>
        <w:pStyle w:val="Normal"/>
        <w:rPr/>
      </w:pPr>
      <w:r>
        <w:rPr/>
        <w:t xml:space="preserve"> </w:t>
      </w:r>
    </w:p>
    <w:p>
      <w:pPr>
        <w:pStyle w:val="Normal"/>
        <w:rPr/>
      </w:pPr>
      <w:r>
        <w:rPr/>
        <w:t xml:space="preserve">Problema refugiaților afectează toate țările membre. În prezent, aceste state au practici prea diferite, cu efecte negative asupra refugiaților și a cetățenilor UE. Prin urmare, este necesar să se adopte o abordare coerentă și coerentă. </w:t>
      </w:r>
    </w:p>
    <w:p>
      <w:pPr>
        <w:pStyle w:val="Normal"/>
        <w:rPr/>
      </w:pPr>
      <w:r>
        <w:rPr/>
        <w:t xml:space="preserve"> </w:t>
      </w:r>
    </w:p>
    <w:p>
      <w:pPr>
        <w:pStyle w:val="P68B1DB1Normal15"/>
        <w:rPr>
          <w:b/>
          <w:b/>
        </w:rPr>
      </w:pPr>
      <w:r>
        <w:rPr/>
        <w:t xml:space="preserve">30. Recomandăm UE să își intensifice eforturile de informare și educare a cetățenilor statelor membre cu privire la aspectele legate de migrație. Acest lucru ar trebui realizat prin educarea copiilor cât mai devreme posibil de la începutul școlii primare pe teme precum migrația și integrarea. Dacă combinăm această educație timpurie cu activitățile ONG-urilor și ale organizațiilor de tineret, precum și cu campaniile media la scară largă, ne-am putea atinge pe deplin obiectivul. În plus, ar putea fi utilizate multe mijloace de comunicare: pliante, televiziune și rețele sociale, printre altele. </w:t>
      </w:r>
    </w:p>
    <w:p>
      <w:pPr>
        <w:pStyle w:val="Normal"/>
        <w:rPr/>
      </w:pPr>
      <w:r>
        <w:rPr/>
        <w:t xml:space="preserve"> </w:t>
      </w:r>
    </w:p>
    <w:p>
      <w:pPr>
        <w:pStyle w:val="Normal"/>
        <w:rPr/>
      </w:pPr>
      <w:r>
        <w:rPr/>
        <w:t xml:space="preserve">Este important să se demonstreze că migrația are, de asemenea, multe aspecte pozitive, cum ar fi forța de muncă suplimentară. Am dori să subliniem importanța sensibilizării cu privire la ambele procese, astfel încât cetățenii să înțeleagă motivele și consecințele migrației pentru a elimina stigmatul care rezultă din faptul că este perceput ca migrant. </w:t>
      </w:r>
    </w:p>
    <w:p>
      <w:pPr>
        <w:pStyle w:val="Normal"/>
        <w:rPr/>
      </w:pPr>
      <w:r>
        <w:rPr/>
        <w:t xml:space="preserve"> </w:t>
      </w:r>
    </w:p>
    <w:p>
      <w:pPr>
        <w:pStyle w:val="Titre4"/>
        <w:numPr>
          <w:ilvl w:val="3"/>
          <w:numId w:val="2"/>
        </w:numPr>
        <w:rPr/>
      </w:pPr>
      <w:bookmarkStart w:id="196" w:name="__RefHeading___Toc297327_1346298689"/>
      <w:bookmarkEnd w:id="196"/>
      <w:r>
        <w:rPr/>
        <w:t xml:space="preserve">Subaxa 4.3 – Frontiere </w:t>
      </w:r>
    </w:p>
    <w:p>
      <w:pPr>
        <w:pStyle w:val="P68B1DB1Normal15"/>
        <w:rPr>
          <w:b/>
          <w:b/>
        </w:rPr>
      </w:pPr>
      <w:r>
        <w:rPr/>
        <w:t xml:space="preserve">31. Recomandăm ca Directiva 2013/33/UE privind standardele minime pentru primirea solicitanților de azil în statele membre să fie înlocuită cu un regulament obligatoriu al UE, care se va aplica uniform în toate statele membre. Ar trebui să se acorde prioritate îmbunătățirii facilităților de primire și de cazare. Recomandăm crearea unui organism specific de monitorizare al UE pentru punerea în aplicare a regulamentului. </w:t>
      </w:r>
    </w:p>
    <w:p>
      <w:pPr>
        <w:pStyle w:val="Normal"/>
        <w:rPr/>
      </w:pPr>
      <w:r>
        <w:rPr/>
        <w:t xml:space="preserve"> </w:t>
      </w:r>
    </w:p>
    <w:p>
      <w:pPr>
        <w:pStyle w:val="Normal"/>
        <w:rPr/>
      </w:pPr>
      <w:r>
        <w:rPr/>
        <w:t xml:space="preserve">Într-adevăr, directiva nu este pusă în aplicare în mod uniform în toate statele membre. Trebuie să evităm repetarea condițiilor observate în tabăra de refugiați din Moria. Prin urmare, regulamentul recomandat ar trebui pus în aplicare și ar trebui să includă sancțiuni obligatorii. Organismul de monitorizare ar trebui să fie robust și fiabil. </w:t>
      </w:r>
    </w:p>
    <w:p>
      <w:pPr>
        <w:pStyle w:val="Normal"/>
        <w:rPr/>
      </w:pPr>
      <w:r>
        <w:rPr/>
        <w:t xml:space="preserve"> </w:t>
      </w:r>
    </w:p>
    <w:p>
      <w:pPr>
        <w:pStyle w:val="P68B1DB1Normal15"/>
        <w:rPr>
          <w:b/>
          <w:b/>
        </w:rPr>
      </w:pPr>
      <w:r>
        <w:rPr/>
        <w:t xml:space="preserve">32. Recomandăm UE să se asigure că toți solicitanții de azil și refugiații urmează cursuri de limbi străine și de integrare în timp ce cererea lor de ședere este examinată. Cursurile ar trebui să fie obligatorii, gratuite și să includă asistență personală pentru integrarea inițială. Acestea ar trebui să înceapă în termen de două săptămâni de la depunerea cererii de ședere. De asemenea, ar trebui instituite mecanisme de stimulare și de sancționare. </w:t>
      </w:r>
    </w:p>
    <w:p>
      <w:pPr>
        <w:pStyle w:val="Normal"/>
        <w:rPr/>
      </w:pPr>
      <w:r>
        <w:rPr/>
        <w:t xml:space="preserve"> </w:t>
      </w:r>
    </w:p>
    <w:p>
      <w:pPr>
        <w:pStyle w:val="Normal"/>
        <w:rPr/>
      </w:pPr>
      <w:r>
        <w:rPr/>
        <w:t xml:space="preserve">Învățarea limbii și înțelegerea culturii, istoriei și eticii țării de sosire este un pas esențial în integrare. Durata întârzierii înainte de începerea procesului inițial de integrare are un impact negativ asupra asimilării sociale a migranților. Mecanismele de sancționare pot contribui la identificarea voinței migranților de a se integra. </w:t>
      </w:r>
    </w:p>
    <w:p>
      <w:pPr>
        <w:pStyle w:val="Normal"/>
        <w:rPr/>
      </w:pPr>
      <w:r>
        <w:rPr/>
        <w:t xml:space="preserve"> </w:t>
      </w:r>
    </w:p>
    <w:p>
      <w:pPr>
        <w:pStyle w:val="Titre3"/>
        <w:numPr>
          <w:ilvl w:val="2"/>
          <w:numId w:val="2"/>
        </w:numPr>
        <w:rPr/>
      </w:pPr>
      <w:bookmarkStart w:id="197" w:name="__RefHeading___Toc297329_1346298689"/>
      <w:bookmarkEnd w:id="197"/>
      <w:r>
        <w:rPr/>
        <w:t xml:space="preserve">Axa 5: Responsabilitatea și solidaritatea în UE </w:t>
      </w:r>
    </w:p>
    <w:p>
      <w:pPr>
        <w:pStyle w:val="Titre4"/>
        <w:numPr>
          <w:ilvl w:val="3"/>
          <w:numId w:val="2"/>
        </w:numPr>
        <w:rPr/>
      </w:pPr>
      <w:bookmarkStart w:id="198" w:name="__RefHeading___Toc297331_1346298689"/>
      <w:bookmarkEnd w:id="198"/>
      <w:r>
        <w:rPr/>
        <w:t xml:space="preserve">Subaxa 5.1 – Distribuția migranților </w:t>
      </w:r>
    </w:p>
    <w:p>
      <w:pPr>
        <w:pStyle w:val="P68B1DB1Normal15"/>
        <w:rPr>
          <w:b/>
          <w:b/>
        </w:rPr>
      </w:pPr>
      <w:r>
        <w:rPr/>
        <w:t xml:space="preserve">33. Recomandăm înlocuirea sistemului Dublin cu un tratat obligatoriu din punct de vedere juridic pentru a asigura o distribuție echitabilă, echilibrată și proporțională a solicitanților de azil în UE, pe baza solidarității și a justiției. În prezent, refugiații sunt obligați să solicite azil în primul stat membru de sosire. Această schimbare de sistem trebuie să fie cât mai rapidă posibil. Propunerea Comisiei Europene privind un nou Pact al UE privind migrația și azilul începând cu 2020 este un bun început și ar trebui să ia o formă juridică, deoarece prevede cote pentru distribuirea refugiaților între statele membre ale UE. </w:t>
      </w:r>
    </w:p>
    <w:p>
      <w:pPr>
        <w:pStyle w:val="Normal"/>
        <w:rPr/>
      </w:pPr>
      <w:r>
        <w:rPr/>
        <w:t xml:space="preserve"> </w:t>
      </w:r>
    </w:p>
    <w:p>
      <w:pPr>
        <w:pStyle w:val="Normal"/>
        <w:rPr/>
      </w:pPr>
      <w:r>
        <w:rPr/>
        <w:t xml:space="preserve">Recomandăm acest lucru deoarece actualul sistem Dublin nu respectă principiile solidarității și justiției. Aceasta reprezintă o povară grea pentru statele membre aflate în apropierea frontierelor externe ale UE pe care solicitanții de azil le traversează pentru a intra pe teritoriul său. Toate statele membre trebuie să își asume responsabilitatea pentru gestionarea fluxurilor de refugiați către UE. UE este o comunitate de valori comune și trebuie să acționeze în consecință. </w:t>
      </w:r>
    </w:p>
    <w:p>
      <w:pPr>
        <w:pStyle w:val="Normal"/>
        <w:rPr/>
      </w:pPr>
      <w:r>
        <w:rPr/>
        <w:t xml:space="preserve"> </w:t>
      </w:r>
    </w:p>
    <w:p>
      <w:pPr>
        <w:pStyle w:val="P68B1DB1Normal15"/>
        <w:rPr>
          <w:b/>
          <w:b/>
        </w:rPr>
      </w:pPr>
      <w:r>
        <w:rPr/>
        <w:t xml:space="preserve">34. Recomandăm UE să își asiste statele membre în prelucrarea cererilor de azil într-un ritm mai rapid și în conformitate cu standarde comune. În plus, refugiații ar trebui să beneficieze de locuințe umanitare. Pentru a descărca țările de sosire și pentru a putea procesa cererile lor de azil în altă parte, recomandăm ca refugiații să fie transferați rapid și eficient în diferitele state membre după prima lor sosire în UE. În acest scop, sunt necesare sprijin financiar și organizațional din partea UE din partea Agenției UE pentru Azil. Persoanele a căror cerere de azil a fost respinsă trebuie returnate efectiv în țara lor de origine, cu condiția ca țara lor de origine să fie considerată sigură. </w:t>
      </w:r>
    </w:p>
    <w:p>
      <w:pPr>
        <w:pStyle w:val="Normal"/>
        <w:rPr/>
      </w:pPr>
      <w:r>
        <w:rPr/>
        <w:t xml:space="preserve"> </w:t>
      </w:r>
    </w:p>
    <w:p>
      <w:pPr>
        <w:pStyle w:val="Normal"/>
        <w:rPr/>
      </w:pPr>
      <w:r>
        <w:rPr/>
        <w:t xml:space="preserve">Recomandăm acest lucru deoarece procedurile de azil durează în prezent prea mult și pot diferi de la un stat membru la altul. Prin accelerarea procedurilor de azil, refugiații petrec mai puțin timp în așteptarea unei decizii finale în unitățile de cazare temporară. Solicitanții de azil pot fi integrați mai repede. </w:t>
      </w:r>
    </w:p>
    <w:p>
      <w:pPr>
        <w:pStyle w:val="Normal"/>
        <w:rPr/>
      </w:pPr>
      <w:r>
        <w:rPr/>
        <w:t xml:space="preserve"> </w:t>
      </w:r>
    </w:p>
    <w:p>
      <w:pPr>
        <w:pStyle w:val="P68B1DB1Normal15"/>
        <w:rPr>
          <w:b/>
          <w:b/>
        </w:rPr>
      </w:pPr>
      <w:r>
        <w:rPr/>
        <w:t xml:space="preserve">35. Recomandăm un sprijin financiar, logistic și operațional puternic din partea UE pentru gestionarea primei recepții, ceea ce ar putea duce la integrarea sau repatrierea migranților în situație neregulamentară. Beneficiarii acestui sprijin sunt statele de frontieră ale UE care suportă povara afluxului de migrație. </w:t>
      </w:r>
    </w:p>
    <w:p>
      <w:pPr>
        <w:pStyle w:val="Normal"/>
        <w:rPr/>
      </w:pPr>
      <w:r>
        <w:rPr/>
        <w:t xml:space="preserve"> </w:t>
      </w:r>
    </w:p>
    <w:p>
      <w:pPr>
        <w:pStyle w:val="Normal"/>
        <w:rPr/>
      </w:pPr>
      <w:r>
        <w:rPr/>
        <w:t xml:space="preserve">Datorită situării lor geografice, unele </w:t>
      </w:r>
      <w:commentRangeStart w:id="8"/>
      <w:r>
        <w:rPr/>
        <w:t>state</w:t>
      </w:r>
      <w:r>
        <w:rPr/>
      </w:r>
      <w:commentRangeEnd w:id="8"/>
      <w:r>
        <w:commentReference w:id="8"/>
      </w:r>
      <w:r>
        <w:rPr/>
        <w:t xml:space="preserve"> membre sunt cele mai afectate de afluxul de migranți. </w:t>
      </w:r>
    </w:p>
    <w:p>
      <w:pPr>
        <w:pStyle w:val="Normal"/>
        <w:rPr/>
      </w:pPr>
      <w:r>
        <w:rPr/>
        <w:t xml:space="preserve"> </w:t>
      </w:r>
    </w:p>
    <w:p>
      <w:pPr>
        <w:pStyle w:val="P68B1DB1Normal15"/>
        <w:rPr>
          <w:b/>
          <w:b/>
        </w:rPr>
      </w:pPr>
      <w:r>
        <w:rPr/>
        <w:t xml:space="preserve">36. Recomandăm consolidarea mandatului Agenției UE pentru Azil pentru a realiza o distribuție echitabilă a solicitanților de azil între statele membre. Pentru a realiza acest lucru, ar trebui să se țină seama de nevoile acestor solicitanți de azil, precum și de capacitățile logistice și economice ale statelor membre și de nevoile acestora pe piața forței de muncă. </w:t>
      </w:r>
    </w:p>
    <w:p>
      <w:pPr>
        <w:pStyle w:val="Normal"/>
        <w:rPr/>
      </w:pPr>
      <w:r>
        <w:rPr/>
        <w:t xml:space="preserve"> </w:t>
      </w:r>
    </w:p>
    <w:p>
      <w:pPr>
        <w:pStyle w:val="Normal"/>
        <w:rPr/>
      </w:pPr>
      <w:r>
        <w:rPr/>
        <w:t xml:space="preserve">O distribuție coordonată și centralizată a solicitanților de azil, considerată echitabilă de statele membre și de cetățenii acestora, evită situațiile haotice și tensiunile sociale și consolidează solidaritatea dintre statele membre. </w:t>
      </w:r>
    </w:p>
    <w:p>
      <w:pPr>
        <w:pStyle w:val="Normal"/>
        <w:rPr/>
      </w:pPr>
      <w:r>
        <w:rPr/>
        <w:t xml:space="preserve"> </w:t>
      </w:r>
    </w:p>
    <w:p>
      <w:pPr>
        <w:pStyle w:val="Titre4"/>
        <w:numPr>
          <w:ilvl w:val="3"/>
          <w:numId w:val="2"/>
        </w:numPr>
        <w:rPr/>
      </w:pPr>
      <w:bookmarkStart w:id="199" w:name="__RefHeading___Toc297333_1346298689"/>
      <w:bookmarkEnd w:id="199"/>
      <w:r>
        <w:rPr/>
        <w:t xml:space="preserve">Subaxa 5.2 – Abordare comună în materie de azil </w:t>
      </w:r>
    </w:p>
    <w:p>
      <w:pPr>
        <w:pStyle w:val="P68B1DB1Normal15"/>
        <w:rPr>
          <w:b/>
          <w:b/>
        </w:rPr>
      </w:pPr>
      <w:r>
        <w:rPr/>
        <w:t xml:space="preserve">37. Recomandăm fie crearea unei instituții europene cuprinzătoare, fie consolidarea Agenției UE pentru Azil, astfel încât aceasta să poată prelucra cererile de azil pentru întreaga Uniune Europeană și să acționeze pe baza unor standarde uniforme. De asemenea, agenția ar trebui să fie responsabilă de distribuirea refugiaților în mod echitabil. Aceasta ar trebui, de asemenea, să definească țările de origine sigure și nesigure și să fie responsabilă de returnarea solicitanților de azil ale căror cereri au fost respinse. </w:t>
      </w:r>
    </w:p>
    <w:p>
      <w:pPr>
        <w:pStyle w:val="Normal"/>
        <w:rPr/>
      </w:pPr>
      <w:r>
        <w:rPr/>
        <w:t xml:space="preserve"> </w:t>
      </w:r>
    </w:p>
    <w:p>
      <w:pPr>
        <w:pStyle w:val="Normal"/>
        <w:rPr/>
      </w:pPr>
      <w:r>
        <w:rPr/>
        <w:t xml:space="preserve">Actuala politică în materie de azil se caracterizează prin responsabilități neclare și standarde diferite între statele membre ale UE. Prin urmare, tratamentul procedurilor de azil nu este același în diferitele state membre. În plus, în prezent, Agenția pentru Azil a Uniunii Europene are doar o putere de influență. Aceasta nu poate decât să ofere consiliere statelor membre cu privire la chestiuni legate de azil. </w:t>
      </w:r>
    </w:p>
    <w:p>
      <w:pPr>
        <w:pStyle w:val="Normal"/>
        <w:rPr/>
      </w:pPr>
      <w:r>
        <w:rPr/>
        <w:t xml:space="preserve"> </w:t>
      </w:r>
    </w:p>
    <w:p>
      <w:pPr>
        <w:pStyle w:val="P68B1DB1Normal15"/>
        <w:rPr>
          <w:b/>
          <w:b/>
        </w:rPr>
      </w:pPr>
      <w:r>
        <w:rPr/>
        <w:t xml:space="preserve">38. Recomandăm înființarea, fără întârziere, a unor centre specializate de azil pentru minorii neînsoțiți în toate statele membre ale UE. Scopul este de a primi și de a avea grijă de minori în funcție de nevoile lor speciale și cât mai curând posibil. </w:t>
      </w:r>
    </w:p>
    <w:p>
      <w:pPr>
        <w:pStyle w:val="Normal"/>
        <w:rPr/>
      </w:pPr>
      <w:r>
        <w:rPr/>
        <w:t xml:space="preserve"> </w:t>
      </w:r>
    </w:p>
    <w:p>
      <w:pPr>
        <w:pStyle w:val="Normal"/>
        <w:rPr/>
      </w:pPr>
      <w:r>
        <w:rPr/>
        <w:t xml:space="preserve">Facem această recomandare pentru că: </w:t>
      </w:r>
    </w:p>
    <w:p>
      <w:pPr>
        <w:pStyle w:val="Normal"/>
        <w:rPr/>
      </w:pPr>
      <w:r>
        <w:rPr/>
        <w:t xml:space="preserve">1) Mulți minori pot fi traumatizați (pentru că provin din zone de conflict); </w:t>
      </w:r>
    </w:p>
    <w:p>
      <w:pPr>
        <w:pStyle w:val="Normal"/>
        <w:rPr/>
      </w:pPr>
      <w:r>
        <w:rPr/>
        <w:t xml:space="preserve">2) Diferiți copii au nevoi diferite (în funcție de vârstă, sănătate etc.); </w:t>
      </w:r>
    </w:p>
    <w:p>
      <w:pPr>
        <w:pStyle w:val="Normal"/>
        <w:rPr/>
      </w:pPr>
      <w:r>
        <w:rPr/>
        <w:t xml:space="preserve">(3) dacă ar fi pusă în aplicare, s-ar asigura că minorii vulnerabili și traumatizați primesc toate îngrijirile necesare cât mai curând posibil; </w:t>
      </w:r>
    </w:p>
    <w:p>
      <w:pPr>
        <w:pStyle w:val="Normal"/>
        <w:rPr/>
      </w:pPr>
      <w:r>
        <w:rPr/>
        <w:t xml:space="preserve">4) acești minori sunt viitori cetățeni europeni și, prin urmare, dacă sunt tratați în mod corespunzător, ar trebui să contribuie în mod pozitiv la viitorul Europei. </w:t>
      </w:r>
    </w:p>
    <w:p>
      <w:pPr>
        <w:pStyle w:val="Normal"/>
        <w:rPr/>
      </w:pPr>
      <w:r>
        <w:rPr/>
        <w:t xml:space="preserve"> </w:t>
      </w:r>
    </w:p>
    <w:p>
      <w:pPr>
        <w:pStyle w:val="P68B1DB1Normal15"/>
        <w:rPr>
          <w:b/>
          <w:b/>
        </w:rPr>
      </w:pPr>
      <w:r>
        <w:rPr/>
        <w:t xml:space="preserve">39. Recomandăm instituirea unui sistem comun, rapid și transparent de prelucrare a cererilor de azil. Acest proces ar trebui să prevadă standarde minime și să fie aplicat în același mod în toate statele membre. </w:t>
      </w:r>
    </w:p>
    <w:p>
      <w:pPr>
        <w:pStyle w:val="Normal"/>
        <w:rPr/>
      </w:pPr>
      <w:r>
        <w:rPr/>
        <w:t xml:space="preserve"> </w:t>
      </w:r>
    </w:p>
    <w:p>
      <w:pPr>
        <w:pStyle w:val="Normal"/>
        <w:rPr/>
      </w:pPr>
      <w:r>
        <w:rPr/>
        <w:t xml:space="preserve">Facem această recomandare pentru că: </w:t>
      </w:r>
    </w:p>
    <w:p>
      <w:pPr>
        <w:pStyle w:val="Normal"/>
        <w:rPr/>
      </w:pPr>
      <w:r>
        <w:rPr/>
        <w:t xml:space="preserve">(1) dacă această recomandare ar fi pusă în aplicare, prelucrarea cererilor de azil ar fi mai rapidă și mai transparentă; </w:t>
      </w:r>
    </w:p>
    <w:p>
      <w:pPr>
        <w:pStyle w:val="Normal"/>
        <w:rPr/>
      </w:pPr>
      <w:r>
        <w:rPr/>
        <w:t xml:space="preserve">2) încetinirea procedurilor actuale conduce la ilegalitate și la criminalitate; </w:t>
      </w:r>
    </w:p>
    <w:p>
      <w:pPr>
        <w:pStyle w:val="Normal"/>
        <w:rPr/>
      </w:pPr>
      <w:r>
        <w:rPr/>
        <w:t xml:space="preserve">3) Standardele minime prevăzute în recomandarea noastră ar trebui să includă respectarea drepturilor omului, a sănătății și a nevoilor educaționale ale solicitanților de azil; </w:t>
      </w:r>
    </w:p>
    <w:p>
      <w:pPr>
        <w:pStyle w:val="Normal"/>
        <w:rPr/>
      </w:pPr>
      <w:r>
        <w:rPr/>
        <w:t xml:space="preserve">4) punerea în aplicare a acestei recomandări ar duce la un acces mai bun la locuri de muncă și la autonomie, ceea ce ar permite o contribuție pozitivă la societatea europeană; solicitanții de azil al căror statut profesional este reglementat sunt mai puțin susceptibili de a fi abuzați în mediul lor de lucru; acest lucru nu ar putea decât să promoveze integrarea tuturor părților implicate; </w:t>
      </w:r>
    </w:p>
    <w:p>
      <w:pPr>
        <w:pStyle w:val="Normal"/>
        <w:rPr/>
      </w:pPr>
      <w:r>
        <w:rPr/>
        <w:t xml:space="preserve">5) șederile prelungite în centrele de azil au un impact negativ asupra sănătății mintale și a bunăstării ocupanților. </w:t>
      </w:r>
    </w:p>
    <w:p>
      <w:pPr>
        <w:pStyle w:val="Normal"/>
        <w:rPr/>
      </w:pPr>
      <w:r>
        <w:rPr/>
        <w:t xml:space="preserve"> </w:t>
      </w:r>
    </w:p>
    <w:p>
      <w:pPr>
        <w:pStyle w:val="P68B1DB1Normal15"/>
        <w:rPr>
          <w:b/>
          <w:b/>
        </w:rPr>
      </w:pPr>
      <w:r>
        <w:rPr/>
        <w:t xml:space="preserve">40. Recomandăm insistent o revizuire cuprinzătoare a tuturor acordurilor și legislației care reglementează azilul și imigrația în Europa. Recomandăm adoptarea unei abordări pentru întreaga Europă. </w:t>
      </w:r>
    </w:p>
    <w:p>
      <w:pPr>
        <w:pStyle w:val="Normal"/>
        <w:rPr/>
      </w:pPr>
      <w:r>
        <w:rPr/>
        <w:t xml:space="preserve"> </w:t>
      </w:r>
    </w:p>
    <w:p>
      <w:pPr>
        <w:pStyle w:val="Normal"/>
        <w:rPr/>
      </w:pPr>
      <w:r>
        <w:rPr/>
        <w:t xml:space="preserve">Facem această recomandare pentru că: </w:t>
      </w:r>
    </w:p>
    <w:p>
      <w:pPr>
        <w:pStyle w:val="Normal"/>
        <w:rPr/>
      </w:pPr>
      <w:r>
        <w:rPr/>
        <w:t xml:space="preserve">1) începând cu anul 2015, toate acordurile actuale sunt inaplicabile, nepractice și inadecvate; </w:t>
      </w:r>
    </w:p>
    <w:p>
      <w:pPr>
        <w:pStyle w:val="Normal"/>
        <w:rPr/>
      </w:pPr>
      <w:r>
        <w:rPr/>
        <w:t xml:space="preserve">2) UE ar trebui considerată principala „agenție”, care supraveghează toate celelalte agenții și ONG-uri a căror sarcină este de a aborda în mod direct chestiunile legate de azil; </w:t>
      </w:r>
    </w:p>
    <w:p>
      <w:pPr>
        <w:pStyle w:val="Normal"/>
        <w:rPr/>
      </w:pPr>
      <w:r>
        <w:rPr/>
        <w:t xml:space="preserve">(3) Statele membre care suferă cel mai mult de pe urma situației sunt cele care sunt în mare măsură lăsate să se confrunte cu problema pe cont propriu; opțiunile „à la carte” ale unor state membre nu oferă o imagine de unitate; </w:t>
      </w:r>
    </w:p>
    <w:p>
      <w:pPr>
        <w:pStyle w:val="Normal"/>
        <w:rPr/>
      </w:pPr>
      <w:r>
        <w:rPr/>
        <w:t xml:space="preserve">4) o nouă legislație specifică ar îmbunătăți viitorul tuturor solicitanților de azil și ar consolida unitatea Europei; </w:t>
      </w:r>
    </w:p>
    <w:p>
      <w:pPr>
        <w:pStyle w:val="Normal"/>
        <w:rPr/>
      </w:pPr>
      <w:r>
        <w:rPr/>
        <w:t xml:space="preserve">5) deficiențele legislației actuale generează conflicte și o lipsă de armonizare în întreaga Europă și conduc la o intoleranță sporită în rândul cetățenilor europeni față de migranți. </w:t>
      </w:r>
    </w:p>
    <w:p>
      <w:pPr>
        <w:pStyle w:val="Normal"/>
        <w:rPr/>
      </w:pPr>
      <w:r>
        <w:rPr/>
        <w:t>6) o legislație mai strictă și relevantă ar reduce criminalitatea și abuzul față de actualul sistem de azil.</w:t>
      </w:r>
    </w:p>
    <w:p>
      <w:pPr>
        <w:pStyle w:val="Normal"/>
        <w:rPr/>
      </w:pPr>
      <w:r>
        <w:rPr/>
        <w:t xml:space="preserve"> </w:t>
      </w:r>
    </w:p>
    <w:p>
      <w:pPr>
        <w:pStyle w:val="Titre3"/>
        <w:numPr>
          <w:ilvl w:val="2"/>
          <w:numId w:val="2"/>
        </w:numPr>
        <w:rPr/>
      </w:pPr>
      <w:bookmarkStart w:id="200" w:name="__RefHeading___Toc297335_1346298689"/>
      <w:bookmarkEnd w:id="200"/>
      <w:r>
        <w:rPr/>
        <w:t xml:space="preserve">Anexă: ALTE RECOMANDĂRI LUATE ÎN CONSIDERARE DE COMITET, DAR NEADOPTATE </w:t>
      </w:r>
    </w:p>
    <w:p>
      <w:pPr>
        <w:pStyle w:val="Titre4"/>
        <w:numPr>
          <w:ilvl w:val="3"/>
          <w:numId w:val="2"/>
        </w:numPr>
        <w:rPr/>
      </w:pPr>
      <w:bookmarkStart w:id="201" w:name="__RefHeading___Toc297337_1346298689"/>
      <w:bookmarkEnd w:id="201"/>
      <w:r>
        <w:rPr/>
        <w:t xml:space="preserve">Axa 1: Autosuficiența și stabilitatea </w:t>
      </w:r>
    </w:p>
    <w:p>
      <w:pPr>
        <w:pStyle w:val="Normal"/>
        <w:rPr/>
      </w:pPr>
      <w:r>
        <w:rPr/>
        <w:t xml:space="preserve">Subaxa 1.1 – Autonomia UE </w:t>
      </w:r>
    </w:p>
    <w:p>
      <w:pPr>
        <w:pStyle w:val="P68B1DB1Normal15"/>
        <w:rPr>
          <w:b/>
          <w:b/>
        </w:rPr>
      </w:pPr>
      <w:r>
        <w:rPr/>
        <w:t xml:space="preserve">La cererea țărilor în curs de dezvoltare, recomandăm ca programele de intervenție pentru dezvoltarea economică să fie elaborate pe baza unor parteneriate adaptate nevoilor fiecărei țări și/sau pe baza acordurilor comerciale. Acest lucru necesită mai întâi evaluarea potențialului economic al țărilor în cauză și apoi furnizarea sprijinului economic necesar și a formării profesionale. </w:t>
      </w:r>
    </w:p>
    <w:p>
      <w:pPr>
        <w:pStyle w:val="Normal"/>
        <w:rPr/>
      </w:pPr>
      <w:r>
        <w:rPr/>
        <w:t xml:space="preserve">Acest lucru ar conduce la o mai mare independență industrială și la îmbunătățirea situației generale a migrației prin crearea de locuri de muncă; aceasta ar conduce, de asemenea, la acorduri comerciale mai bune în țările în curs de dezvoltare. </w:t>
      </w:r>
    </w:p>
    <w:p>
      <w:pPr>
        <w:pStyle w:val="Normal"/>
        <w:rPr/>
      </w:pPr>
      <w:r>
        <w:rPr/>
        <w:t xml:space="preserve"> </w:t>
      </w:r>
    </w:p>
    <w:p>
      <w:pPr>
        <w:pStyle w:val="Titre4"/>
        <w:numPr>
          <w:ilvl w:val="3"/>
          <w:numId w:val="2"/>
        </w:numPr>
        <w:rPr/>
      </w:pPr>
      <w:bookmarkStart w:id="202" w:name="__RefHeading___Toc297339_1346298689"/>
      <w:bookmarkEnd w:id="202"/>
      <w:r>
        <w:rPr/>
        <w:t xml:space="preserve">Axa 2: UE ca partener internațional </w:t>
      </w:r>
    </w:p>
    <w:p>
      <w:pPr>
        <w:pStyle w:val="Normal"/>
        <w:rPr/>
      </w:pPr>
      <w:r>
        <w:rPr/>
        <w:t xml:space="preserve">Subaxa 2.1 – Perspectiva etică asupra relațiilor comerciale </w:t>
      </w:r>
    </w:p>
    <w:p>
      <w:pPr>
        <w:pStyle w:val="P68B1DB1Normal15"/>
        <w:rPr>
          <w:b/>
          <w:b/>
        </w:rPr>
      </w:pPr>
      <w:r>
        <w:rPr/>
        <w:t xml:space="preserve">Curtea recomandă ca UE să introducă norme care să impună întreprinderilor să își auditeze lanțul de aprovizionare și să prezinte periodic un raport de audit cuprinzător, precum și dispoziții care să recompenseze sau să restricționeze importurile pe baza unor criterii etice. Întreprinderile ar trebui să furnizeze un raport de audit intern și/sau extern pe baza dimensiunii lor. </w:t>
      </w:r>
    </w:p>
    <w:p>
      <w:pPr>
        <w:pStyle w:val="Normal"/>
        <w:rPr/>
      </w:pPr>
      <w:r>
        <w:rPr/>
        <w:t xml:space="preserve"> </w:t>
      </w:r>
    </w:p>
    <w:p>
      <w:pPr>
        <w:pStyle w:val="Normal"/>
        <w:rPr/>
      </w:pPr>
      <w:r>
        <w:rPr/>
        <w:t xml:space="preserve">Trebuie dezvoltat aspectul etic al comerțului cu UE. Acest lucru se poate realiza prin monitorizarea activităților comerciale din lanțurile internaționale de aprovizionare și încurajarea întreprinderilor să se comporte în conformitate cu criterii etice, cum ar fi produsele periculoase, drepturile și condițiile de muncă, munca copiilor și protecția mediului. Această recomandare nu s-ar aplica produselor online achiziționate direct de consumator. </w:t>
      </w:r>
    </w:p>
    <w:p>
      <w:pPr>
        <w:pStyle w:val="Normal"/>
        <w:rPr/>
      </w:pPr>
      <w:r>
        <w:rPr/>
        <w:t xml:space="preserve"> </w:t>
      </w:r>
    </w:p>
    <w:p>
      <w:pPr>
        <w:pStyle w:val="Titre4"/>
        <w:numPr>
          <w:ilvl w:val="3"/>
          <w:numId w:val="2"/>
        </w:numPr>
        <w:rPr/>
      </w:pPr>
      <w:bookmarkStart w:id="203" w:name="__RefHeading___Toc297341_1346298689"/>
      <w:bookmarkEnd w:id="203"/>
      <w:r>
        <w:rPr/>
        <w:t xml:space="preserve">Axa 3: O Uniune Europeană puternică într-o lume pașnică </w:t>
      </w:r>
    </w:p>
    <w:p>
      <w:pPr>
        <w:pStyle w:val="Normal"/>
        <w:rPr/>
      </w:pPr>
      <w:r>
        <w:rPr/>
        <w:t xml:space="preserve">Subaxa 3.1 – Securitate și apărare </w:t>
      </w:r>
    </w:p>
    <w:p>
      <w:pPr>
        <w:pStyle w:val="P68B1DB1Normal15"/>
        <w:rPr>
          <w:b/>
          <w:b/>
        </w:rPr>
      </w:pPr>
      <w:r>
        <w:rPr/>
        <w:t xml:space="preserve">Recomandăm regândirea actualei arhitecturi europene de securitate pentru a o transforma într-o structură supranațională mai eficientă și mai eficientă, cu capacități sporite, în vederea creării unei armate comune a Uniunii Europene. În acest scop, forțele armate naționale ar trebui să fuzioneze și să se transforme treptat. Obiectivul este ca această fuziune a capacităților militare în întreaga Uniune Europeană să promoveze, de asemenea, integrarea europeană pe termen lung. Crearea unei armate comune a UE ar necesita, de asemenea, un nou acord de cooperare cu statele membre ale UE și cu statele membre ale NATO care nu sunt membre ale UE. </w:t>
      </w:r>
    </w:p>
    <w:p>
      <w:pPr>
        <w:pStyle w:val="Normal"/>
        <w:rPr/>
      </w:pPr>
      <w:r>
        <w:rPr/>
        <w:t xml:space="preserve"> </w:t>
      </w:r>
    </w:p>
    <w:p>
      <w:pPr>
        <w:pStyle w:val="Normal"/>
        <w:rPr/>
      </w:pPr>
      <w:r>
        <w:rPr/>
        <w:t xml:space="preserve">Dacă această recomandare este pusă în aplicare, considerăm că structurile militare din cadrul Uniunii Europene vor deveni mai rentabile și mai capabile să răspundă și să acționeze atunci când este necesar. Această abordare integrată ar consolida capacitatea UE de a acționa în mod decisiv și coordonat în situații critice. </w:t>
      </w:r>
    </w:p>
    <w:p>
      <w:pPr>
        <w:pStyle w:val="Normal"/>
        <w:rPr/>
      </w:pPr>
      <w:r>
        <w:rPr/>
        <w:t xml:space="preserve"> </w:t>
      </w:r>
    </w:p>
    <w:p>
      <w:pPr>
        <w:pStyle w:val="Titre4"/>
        <w:numPr>
          <w:ilvl w:val="3"/>
          <w:numId w:val="2"/>
        </w:numPr>
        <w:rPr/>
      </w:pPr>
      <w:bookmarkStart w:id="204" w:name="__RefHeading___Toc297343_1346298689"/>
      <w:bookmarkEnd w:id="204"/>
      <w:r>
        <w:rPr/>
        <w:t xml:space="preserve">Axa 4: Emigrarea din punct de vedere uman </w:t>
      </w:r>
    </w:p>
    <w:p>
      <w:pPr>
        <w:pStyle w:val="Normal"/>
        <w:rPr/>
      </w:pPr>
      <w:r>
        <w:rPr/>
        <w:t xml:space="preserve">Subaxa 4.1 – Abordarea cauzelor emigrării </w:t>
      </w:r>
    </w:p>
    <w:p>
      <w:pPr>
        <w:pStyle w:val="P68B1DB1Normal15"/>
        <w:rPr>
          <w:b/>
          <w:b/>
        </w:rPr>
      </w:pPr>
      <w:r>
        <w:rPr/>
        <w:t xml:space="preserve">Recomandăm UE să instituie un protocol de acțiune pentru pregătirea următoarei crize a migrației, cea a refugiaților climatici. În temeiul acestui protocol, UE trebuie să extindă definiția refugiaților și a solicitanților de azil pentru a-i include pe cei afectați de schimbările climatice. Întrucât țara de origine a multor migranți va deveni nelocuibilă, protocolul trebuie să asigure, de asemenea, găsirea de noi utilizări pentru zonele afectate de schimbările climatice, cu scopul de a-i sprijini pe cei care au părăsit aceste zone. De exemplu, zonele inundate ar putea fi utilizate pentru a crea parcuri eoliene. </w:t>
      </w:r>
    </w:p>
    <w:p>
      <w:pPr>
        <w:pStyle w:val="Normal"/>
        <w:rPr/>
      </w:pPr>
      <w:r>
        <w:rPr/>
        <w:t xml:space="preserve"> </w:t>
      </w:r>
    </w:p>
    <w:p>
      <w:pPr>
        <w:pStyle w:val="Normal"/>
        <w:rPr/>
      </w:pPr>
      <w:r>
        <w:rPr/>
        <w:t xml:space="preserve">Facem această recomandare pentru că suntem cu toții responsabili de criza climatică. Avem o responsabilitate față de cei mai afectați. Chiar dacă nu avem nici previziuni, nici date concrete cu privire la viitorii refugiați, schimbările climatice vor afecta, fără îndoială, milioane de oameni. </w:t>
      </w:r>
    </w:p>
    <w:p>
      <w:pPr>
        <w:pStyle w:val="Normal"/>
        <w:rPr/>
      </w:pPr>
      <w:r>
        <w:rPr/>
        <w:t xml:space="preserve"> </w:t>
      </w:r>
    </w:p>
    <w:p>
      <w:pPr>
        <w:pStyle w:val="Normal"/>
        <w:rPr/>
      </w:pPr>
      <w:r>
        <w:rPr/>
        <w:t xml:space="preserve">Subaxa 4.2 – Considerații umane </w:t>
      </w:r>
    </w:p>
    <w:p>
      <w:pPr>
        <w:pStyle w:val="P68B1DB1Normal15"/>
        <w:rPr>
          <w:b/>
          <w:b/>
        </w:rPr>
      </w:pPr>
      <w:r>
        <w:rPr/>
        <w:t xml:space="preserve">Recomandăm ca drumurile și mijloacele de transport legale și umanitare să fie consolidate și finanțate fără întârziere, astfel încât refugiații să poată ieși din zonele de criză într-un mod organizat. Organismul instituit în mod special în acest scop ar trebui să instituie și să reglementeze un sistem special de siguranță pentru culoarele europene. Această agenție trebuie înființată în conformitate cu procedura legislativă și are competențe speciale prevăzute în regulamentul său de procedură. </w:t>
      </w:r>
    </w:p>
    <w:p>
      <w:pPr>
        <w:pStyle w:val="Normal"/>
        <w:rPr/>
      </w:pPr>
      <w:r>
        <w:rPr/>
        <w:t xml:space="preserve"> </w:t>
      </w:r>
    </w:p>
    <w:p>
      <w:pPr>
        <w:pStyle w:val="Normal"/>
        <w:rPr/>
      </w:pPr>
      <w:r>
        <w:rPr/>
        <w:t xml:space="preserve">Traficul de persoane și introducerea ilegală de migranți sunt probleme grave care trebuie abordate. Recomandarea noastră ar reduce cu siguranță aceste preocupări. </w:t>
      </w:r>
    </w:p>
    <w:p>
      <w:pPr>
        <w:pStyle w:val="Normal"/>
        <w:rPr/>
      </w:pPr>
      <w:r>
        <w:rPr/>
        <w:t xml:space="preserve"> </w:t>
      </w:r>
    </w:p>
    <w:p>
      <w:pPr>
        <w:pStyle w:val="Normal"/>
        <w:rPr/>
      </w:pPr>
      <w:r>
        <w:rPr/>
        <w:t xml:space="preserve">Subaxa 4.3 – Frontiere </w:t>
      </w:r>
    </w:p>
    <w:p>
      <w:pPr>
        <w:pStyle w:val="P68B1DB1Normal15"/>
        <w:rPr>
          <w:b/>
          <w:b/>
        </w:rPr>
      </w:pPr>
      <w:r>
        <w:rPr/>
        <w:t xml:space="preserve">Recomandăm ca o directivă europeană să garanteze că fiecare zonă de locuit din fiecare stat membru nu are mai mult de 30 % locuitori din țări terțe. Se preconizează că acest obiectiv va fi atins până în 2030, iar statele membre ale UE trebuie să primească sprijin pentru punerea în aplicare a acestui obiectiv. </w:t>
      </w:r>
    </w:p>
    <w:p>
      <w:pPr>
        <w:pStyle w:val="Normal"/>
        <w:rPr/>
      </w:pPr>
      <w:r>
        <w:rPr/>
        <w:t xml:space="preserve"> </w:t>
      </w:r>
    </w:p>
    <w:p>
      <w:pPr>
        <w:pStyle w:val="Normal"/>
        <w:rPr/>
      </w:pPr>
      <w:r>
        <w:rPr/>
        <w:t xml:space="preserve">Facem această recomandare deoarece o distribuție geografică mai echitabilă va duce la o mai bună acceptare a migranților de către populația locală și, prin urmare, le va permite o mai bună integrare. Acest procent se bazează pe un acord politic recent în Danemarca. </w:t>
      </w:r>
      <w:r>
        <w:br w:type="page"/>
      </w:r>
    </w:p>
    <w:p>
      <w:pPr>
        <w:pStyle w:val="Titre1"/>
        <w:numPr>
          <w:ilvl w:val="0"/>
          <w:numId w:val="2"/>
        </w:numPr>
        <w:rPr/>
      </w:pPr>
      <w:bookmarkStart w:id="205" w:name="__RefHeading___Toc297345_1346298689"/>
      <w:bookmarkEnd w:id="205"/>
      <w:r>
        <w:rPr/>
        <w:t xml:space="preserve">II A – Grupuri naționale: Belgia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Imagini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ini32" descr=""/>
                    <pic:cNvPicPr>
                      <a:picLocks noChangeAspect="1" noChangeArrowheads="1"/>
                    </pic:cNvPicPr>
                  </pic:nvPicPr>
                  <pic:blipFill>
                    <a:blip r:embed="rId85"/>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Aici putem găsi toate recomandările făcute de cei 50 de cetățeni ai juriului cetățenesc organizat sub auspiciile viceprim-ministrului și ministrului afacerilor externe și europene, Sophie Wilmès, ca o contribuție a guvernului federal belgian la Conferința privind viitorul Europei. Tema acestui panel a fost „Cum să implicăm mai mult cetățenii în democrația europeană”. Deși este pe deplin conștient de faptul că Conferința are un domeniu de aplicare mai larg decât afacerile UE, subiectul acestui grup clarifică motivul pentru care se fac atât de multe trimiteri explicite la UE și la instituțiile sale. Dacă este cazul, se face trimitere la Europa în general.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Pentru a reflecta toate contribuțiile cetățenilor, prezentul raport prezintă toate recomandările, inclusiv cele care nu au obținut o majoritate simplă la sesiunea finală de votare cu privire la toate recomandările. Acestea pot fi recunoscute în mod clar datorită procentajului </w:t>
      </w:r>
      <w:r>
        <w:rPr>
          <w:b/>
          <w:color w:val="FF0000"/>
        </w:rPr>
        <w:t>de roșu și de caractere aldine.</w:t>
      </w:r>
      <w:r>
        <w:rPr>
          <w:color w:val="000000"/>
        </w:rPr>
        <w:t xml:space="preserve"> În plus, unele recomandări se contrazic reciproc și chiar și în cadrul discuțiilor finale, cetățenii au rămas neconcludenti cu privire la acestea. Aceste recomandări sunt recunoscute pentru că sunt </w:t>
      </w:r>
      <w:r>
        <w:rPr>
          <w:i/>
          <w:color w:val="000000"/>
        </w:rPr>
        <w:t>cursive.</w:t>
      </w:r>
      <w:r>
        <w:rPr>
          <w:color w:val="000000"/>
        </w:rPr>
        <w:t xml:space="preserve"> Pentru o singură recomandare, divizia a fost atât de clară încât votul s-a încheiat cu un </w:t>
      </w:r>
      <w:r>
        <w:rPr>
          <w:i/>
          <w:color w:val="000000"/>
        </w:rPr>
        <w:t xml:space="preserve">ex-aequo, </w:t>
      </w:r>
      <w:r>
        <w:rPr>
          <w:color w:val="000000"/>
        </w:rPr>
        <w:t xml:space="preserve">acest lucru fiind indicat cu </w:t>
      </w:r>
      <w:r>
        <w:rPr>
          <w:b/>
          <w:color w:val="FF9900"/>
        </w:rPr>
        <w:t>caractere portocalii și aldine</w:t>
      </w:r>
      <w:r>
        <w:rPr>
          <w:color w:val="000000"/>
        </w:rPr>
        <w:t xml:space="preserve">. Cetățenii împărtășesc faptul că opiniile cu privire la aceste recomandări au fost diferite. Prin urmare, acestea propun ca organismele CoFE și instituțiile UE să fie vigilente în punerea în aplicare a acestor recomandări, deoarece există o formă de împărțire bazată pe vot. </w:t>
      </w:r>
    </w:p>
    <w:p>
      <w:pPr>
        <w:pStyle w:val="Normal"/>
        <w:rPr/>
      </w:pPr>
      <w:r>
        <w:rPr/>
      </w:r>
      <w:r>
        <w:br w:type="page"/>
      </w:r>
    </w:p>
    <w:p>
      <w:pPr>
        <w:pStyle w:val="Normal"/>
        <w:rPr/>
      </w:pPr>
      <w:r>
        <w:rPr/>
        <w:t>1. Comunicare</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Probleme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Recomandări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Susținută de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Comunicarea privind UE este nesatisfăcătoare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Propunem includerea cursurilor pe teritoriul Uniunii Europene începând cu cel de-al treilea nivel al învățământului primar. Scopul este de a ajunge la toți cetățenii și de a îmbunătăți cunoștințele despre Uniunea Europeană.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Uniunea Europeană, în special Comisia, ar trebui să pună la dispoziția ministerelor educației din diferitele state membre un material educațional privind funcționarea Europei. Pe lângă explicarea funcționării, componenței și competențelor instituțiilor, aceste formațiuni ar trebui să ofere, de asemenea, o scurtă prezentare a istoriei integrării europene. Ar trebui acordată o atenție deosebită utilizării unui limbaj clar și ușor de înțeles, accesibil, precum și a unor instrumente educaționale, cum ar fi documentare, clipuri video sau programe de televiziune școlară, în toate cele 24 de limbi.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Proiectul european rămâne străin pentru cetățeni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Propunem ca instituțiile europene să se asigure, în comunicarea lor, să explice mai bine ceea ce ține de domeniul de competență al UE, dar și ceea ce nu ține de competența sa.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Uniunea Europeană ar trebui să includă în comunicarea sa exemple familiare din viața de zi cu zi a europenilor. Aceste explicații ar trebui transmise în statele membre prin acorduri între instituțiile europene și canalele publice naționale de televiziune, pentru a ajunge la un public larg.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În plus, resortisanții statelor membre ar trebui să fie informați în mod regulat – de exemplu, prin intermediul clipurilor video – cu privire la rolul Uniunii Europene în alte state membre. Prin urmare, avantajele și dezavantajele Europei ar fi mai bine puse în perspectivă în cadrul dezbaterilor privind viitorul Europei.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Pentru a consolida identitatea europeană, propunem să reamintim în mod regulat și să punem la dispoziție informații despre cum ar fi viața europenilor fără UE și fără realizările sale concrete.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De asemenea, propunem ca Ziua Europei (9 mai) să devină o sărbătoare publică europeană pentru toți cetățenii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Recomandăm ca instituțiile europene să acorde o atenție și mai mare simplificării, înțelegerii și accesibilității informațiilor cu privire la subiectele prioritare abordate la nivel european</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Recomandăm Uniunii Europene să furnizeze un </w:t>
            </w:r>
            <w:commentRangeStart w:id="10"/>
            <w:r>
              <w:rPr/>
              <w:t>tablou de bord care să</w:t>
            </w:r>
            <w:r>
              <w:rPr/>
            </w:r>
            <w:commentRangeEnd w:id="10"/>
            <w:r>
              <w:commentReference w:id="10"/>
            </w:r>
            <w:r>
              <w:rPr/>
              <w:t xml:space="preserve"> indice pentru fiecare țară resursele alocate de UE fiecărei teme prioritare. Toate aceste informații ar trebui să fie accesibile de pe site-ul web al Uniunii Europene.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Recomandăm ca Uniunea Europeană să ofere o prezentare clară a lucrărilor legislative în curs. Toate aceste informații ar trebui să fie accesibile de pe site-ul web al Uniunii Europene.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Dorim ca instituțiile europene să fie mai accesibile </w:t>
            </w:r>
            <w:commentRangeStart w:id="11"/>
            <w:r>
              <w:rPr/>
              <w:t>europenilor</w:t>
            </w:r>
            <w:r>
              <w:rPr/>
            </w:r>
            <w:commentRangeEnd w:id="11"/>
            <w:r>
              <w:commentReference w:id="11"/>
            </w:r>
            <w:r>
              <w:rPr/>
              <w:t>. Participarea acestora la dezbaterile din cadrul sesiunilor Parlamentului European ar trebui facilitată.</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Recomandăm extinderea participării la programul Erasmus la toți elevii, indiferent de calea lor educațională (tehnologia vocațională, alternanța). Toți ar trebui să poată participa la schimburile europene.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Recomandăm ca populația activă să beneficieze de programele europene de schimb, indiferent de sectorul de activitate, și pentru întreprinderile locale. Toți ar trebui să poată participa la schimburile europene.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Recomandăm crearea de cursuri de cetățenie europeană pentru toți cetățenii europeni.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Legislația UE nu se aplică în același mod în statele membre.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Recomandăm ca Uniunea Europeană să utilizeze într-o mai mare măsură legislația direct aplicabilă în statele membre. Acest lucru ar reduce diferențele naționale în ceea ce privește punerea în aplicare a legislației UE, ceea ce slăbește proiectul european. Acest lucru ar consolida, de asemenea, cele mai importante realizări europene, cum ar fi piața internă, euro și spațiul Schengen.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Democrația europeană este amenințată.</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Recomandăm ca Comunicarea UE privind democrația europeană să reamintească fără echivoc și fără echivoc ce înseamnă în Europa pentru europeni.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Valorile și principiile tratatelor Uniunii Europene la care statele membre au aderat la aderare sunt ireversibile. Protecția acestora trebuie asigurată în continuare.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Protecția valorilor și principiilor tratatelor este asigurată</w:t>
            </w:r>
            <w:r>
              <w:rPr/>
              <w:commentReference w:id="12"/>
            </w:r>
            <w:r>
              <w:rPr/>
              <w:t xml:space="preserve"> de Curtea Europeană și nu poate fi pusă sub semnul întrebării de către statele membre.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Informațiile privind UE nu sunt ușor accesibile și greu de înțeles</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Recomandăm consolidarea verificării informațiilor cu privire la problemele europene. Aceste informații difuzate și verificate de instituții trebuie să fie ușor accesibile publicului european și mass-mediei naționale din fiecare stat membru.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Mass-media națională transmite adesea o imagine negativă a UE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De asemenea, UE trebuie să fie mai prezentă în viața de zi cu zi a europenilor, printr-o comunicare mai proactivă. (De exemplu, sponsorizând, de exemplu, evenimente culturale care îi unesc pe cetățeni și îi fac mândri că sunt cetățeni ai UE. Raportarea și teaser-urile ar permite, de asemenea, europenilor să aibă acces la informații</w:t>
            </w:r>
            <w:r>
              <w:rPr/>
              <w:commentReference w:id="13"/>
            </w:r>
            <w:r>
              <w:rPr/>
              <w:t xml:space="preserve"> contextualizate despre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Cetățenii nu îi cunosc pe cei care îi reprezintă în Parlamentul European.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Recomandăm ca parlamentarii să fie mai bine cunoscuți în țările lor de origine, în special în afara perioadelor electorale. Acestea trebuie să fie mai accesibile. Motivele voturilor lor în Parlamentul European trebuie să fie mai ușor accesibile cetățenilor europeni prin intermediul site-ului web al Uniunii Europene.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Recomandăm ca partidele politice naționale să asigure întinerirea candidaților pe listele prezentate la alegerile pentru Parlamentul European. Un astfel de mandat nu ar trebui să fie considerat o recompensă pentru serviciile bune și loiale prestate în cadrul politicii naționale.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Comunicarea UE este prea uniformă; nu ține cont de diversitatea populației</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Pentru a ajunge la un public suficient de larg și de divers, recomandăm ca UE să țină seama, prin intermediul unei comunicări incluzive încă din etapa de concepție, de gradul educațional al persoanelor în cauză, de eventualele lor dizabilități. În plus, recomandăm, de asemenea, implicarea persoanelor fizice și a organizațiilor (educatori de stradă, agenți de vecinătate, CPAS, societatea civilă) în transmiterea acestei comunicări.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Pentru a ajunge la forța de muncă, recomandăm să se investească mai mult în utilizarea canalelor de comunicare existente pentru a furniza periodic informații adecvate despre UE, de exemplu prin programe explicative. În plus, recomandăm să vă bazați pe ambasadori (atât persoane fizice, cât și organizații) care promovează proiectul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Pentru a ajunge la tineri și studenți, recomandăm ca, pe lângă canalele existente, cum ar fi educația și mișcările de tineret relevante, să fie chemați ambasadorii, în special pentru influențatorii care pot ajunge la tineri prin intermediul platformelor de comunicare socială. O altă recomandare ar fi organizarea unui concurs paneuropean pentru a crea un personaj de desene animate care să atragă tinerii și să le transmită mesaje europene.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Pentru persoanele în vârstă, recomandăm utilizarea acelorași canale ca și cele oferite pentru forța de muncă. În plus, recomandăm căutarea unui echilibru corect între comunicarea digitală și cea nedigitală (presă scrisă, radio, evenimente față în față) pentru a răspunde nevoilor tuturor, inclusiv celor care se simt mai puțin confortabil într-un mediu digital, precum și celor care sunt mai puțin mobili în societate.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Recomandăm ca, prin cursurile de integrare care există deja în multe state membre, UE să se angajeze să includă „noi europeni” (persoane care, prin intermediul uneia sau al altei proceduri de imigrare legală, locuiesc în UE) și să îi poată face conștienți de celelalte canale tradiționale prin care UE comunică. În cele din urmă, vă recomandăm, de asemenea, să oferiți un loc lumii asociative locale.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De asemenea, recomandăm ca UE să iasă în stradă printr-o comunicare incluzivă. De exemplu, panourile publicitare (digitale) ar putea fi utilizate, la fel ca și noile mijloace de comunicare, cum ar fi codurile QR și mijloacele tradiționale.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Alte recomandări ar fi ca UE să devină mai vizuală (prin filme mici sau infografice), să creeze o mișcare sportivă europeană pentru a crea o legătură/un sentiment de apartenență și pentru a face imnul european mai bine cunoscut.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Dezinformare</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Recomandări</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Susținută de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Riscul de dezinformare este din ce în ce mai prezent în mass-media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Recomandăm revizuirea modelului de finanțare a mass-mediei, precum și publicarea obligatorie a surselor de venit, într-un mod clar și accesibil. Modelul de finanțare a mass-mediei îi conduce la senzaționalism și, astfel, la publicarea informațiilor din context, transformându-le în dezinformare.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Recomandăm citarea obligatorie a surselor de către mass-media prin furnizarea de link-uri pentru verificarea acestora. În caz contrar, informațiile ar trebui să fie etichetate ca neverificate.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Recomandăm ca Autoritatea europeană de reglementare pentru combaterea dezinformării (a se vedea punctul 2) să fie, de asemenea, responsabilă de acreditarea organizațiilor de verificare a informațiilor („verificatori de informații”).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Recomandăm înființarea, în fiecare stat membru, a unei autorități independente responsabile cu verificarea neutralității mass-mediei. Această autoritate ar trebui să fie finanțată și monitorizată de Uniunea Europeană.</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Recomandăm să difuzăm informații cu privire la adresele URL ale site-urilor oficiale ale UE pentru a-i asigura pe cetățeni cu privire la originea informațiilor.</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Mulți cetățeni se îndoiesc de neutralitatea mass-mediei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Recomandăm crearea unei autorități europene de reglementare pentru combaterea dezinformării. În special, sarcina acestei autorități de reglementare ar fi de a stabili criteriile pentru o etichetă de neutralitate și de a institui, după caz, un sistem de sancțiuni sau stimulente legate de respectarea standardelor de neutralitate. Alternativ, ar putea fi luată în considerare aderarea la o cartă a eticii. Eticheta ar fi acordată de autoritatea națională independentă și ar ține seama de măsurile luate de mass-media pentru combaterea dezinformării.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Recomandăm instituirea unei linii telefonice de urgență europene care să permită cetățenilor să denunțe dezinformarea cu privire la competențele europene (politice și economice).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Cetățenii nu sunt conștienți de riscurile de dezinformare la care sunt expuși.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Recomandăm ca platformele să fie obligate să publice informații clare și ușor de înțeles cu privire la riscurile dezinformării la care sunt expuși utilizatorii lor. Aceste informații ar trebui comunicate automat de îndată ce este deschis un cont.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Recomandăm formarea obligatorie în utilizarea mijloacelor de informare în masă, de la o vârstă fragedă și adaptată la diferitele niveluri ale sistemului de învățământ.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Recomandăm Uniunii Europene să lanseze campanii repetate privind dezinformarea. Aceste campanii ar putea fi identificate printr-un logo sau mascotă. Uniunea Europeană ar putea forța rețelele sociale să le transmită prin diseminarea spoturilor.</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Mijloacele de combatere a dezinformării sunt insuficiente.</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Recomandăm publicarea într-un limbaj simplu și inteligibil a unor informații despre algoritmii de organizare a mesajelor primite de utilizatorii platformei.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Recomandăm ca utilizatorii să poată dezactiva algoritmii de îmbunătățire a prejudecăților comportamentale într-un mod simplu. De asemenea, ar putea fi examinată obligația de a oferi utilizatorilor acces la alte surse care apără poziții diferite cu privire la același subiect.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Recomandăm Uniunii Europene să sprijine crearea unei platforme de comunicare socială care să respecte propriile standarde în ceea ce privește neutralitatea și combaterea dezinformării. Alternativ, platforma multilingvă creată pentru a sprijini Conferința privind viitorul Europei ar putea fi adăugată cu noi caracteristici.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Grupuri cetățenești</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Probleme</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Recomandări</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Susținută de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Dificultate în asigurarea reprezentativității unui grup de cetățeni. În cele din urmă, doar o mică parte a populației este implicată.</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Recomandăm să se monitorizeze ceea ce sugerează cele mai recente lucrări științifice privind democrația deliberativă în ceea ce privește prelevarea de probe, dezvoltarea și validarea științifică a metodei de selecție, pentru a asigura cea mai bună reprezentativitate posibilă.</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Recomandăm să existe un număr suficient de persoane în jurul mesei pentru a asigura diversitatea opiniilor și profilurilor, inclusiv – dar nu numai – persoanele care sunt direct interesate de acest subiect.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Recomandăm adăugarea, în criteriile de eșantionare, a criteriului calității de părinte (de exemplu, dacă persoana are sau nu copii?), pe lângă criterii mai tradiționale, cum ar fi sexul, vârsta, locul de reședință sau nivelul de educație.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Recomandăm stabilirea cotelor în funcție de aria geografică, și anume stabilirea faptului că un juriu cetățenesc european trebuie să fie compus din X persoane pentru fiecare zonă geografică europeană (care urmează să fie stabilit), astfel încât acest juriu să poată fi cu adevărat calificat drept european și deliberat în mod semnificativ.</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Recomandăm ca registrele populației (sau echivalentul acestora, în funcție de țară) să fie utilizate ca baze de date primare pentru tragere la sorți, pentru a oferi tuturor aceeași șansă de a fi aleși și pentru a genera interes pentru un subiect în cadrul populației.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Recomandăm ca participanții să fie compensați pentru a-și evalua investiția și pentru a atrage persoane care nu ar participa dacă nu ar fi compensate.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Vă recomandăm să informați – destul de puțin: nici prea multe informații, nici informații prea complicate – primii participanți prin prezentări efectuate de experți pentru a se asigura că chiar și persoanele fără cunoștințe anterioare se simt confortabil să participe la discuții.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Recomandăm ca subiectul grupului cetățenilor să fie comunicat în prealabil, astfel încât oamenii să poată ști ce subiect se angajează să discute.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Vă recomandăm să nu solicitați participarea cetățenilor.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Dificultatea de a organiza un juriu la nivel european.</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Recomandăm ca reuniunile Grupului cetățenilor europeni să se desfășoare în format hibrid (prezent/distancial). Persoanele care nu se pot mișca fizic ar putea, de asemenea, să participe.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Recomandăm Uniunii Europene, pentru a facilita accesul și organizarea, să delege organizarea grupurilor cetățenești (pe teme europene) la diferite niveluri de autoritate, la nivel național.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Recomandăm ca un singur subiect să fie ales pentru fiecare juriu organizat la nivel european. Acest lucru va permite tuturor participanților să discute același subiect, indiferent de locul din Europa.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Evitați panoul </w:t>
              <w:br/>
              <w:t>cetățenii nu sunt deturnați în alte scopuri decât cele declarate.</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Recomandăm ca orice cetățean să poată prezenta un subiect de discuție, astfel încât acest drept să nu fie rezervat lumii politice sau lumii grupurilor de interese.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Recomandăm ca dreptul de inițiativă să fie conferit Parlamentului European, astfel încât Parlamentul European să definească subiectul care trebuie discutat și apoi să adopte textele necesare pentru a da curs recomandărilor care decurg din deliberări.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Dificultate în a decide cum să organizeze cel mai bine procesul pentru cea mai bună reprezentare a cetățenilor.</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Recomandăm înființarea unui comitet permanent pentru cetățeni, alături de parlament, care să preia sarcini specifice. Aceasta va fi reînnoită în mod regulat. Acest lucru ar permite reunirea cetățenilor pe termen lung și luarea timpului necesar pentru dezbateri. Timpul permite nuanța dezbaterilor și consensului. Alături de acest juriu permanent, grupurile ad-hoc pentru cetățeni discută subiecte alese de juriul permanent. Propunem să se urmeze modelul comunității vorbitoare de limbă germană.</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Recomandăm să înființăm doar unul sau mai multe juriu al cetățenilor europeni nepermanenți, care să se întâlnească și să discute un anumit subiect doar pentru o anumită perioadă de timp.</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Recomandăm să nu organizăm grupuri cetățenești europene pe teme urgente, deoarece este nevoie de suficient timp pentru a asigura calitatea dezbaterilor.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De prea multe ori, cetățenii care participă la inițiative de democrație participativă, cum ar fi grupurile cetățenești, nu primesc feedback cu privire la acțiunile întreprinse în urma activității lor, fie pe termen scurt, fie pe termen lung.</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Recomandăm ca cetățenii să primească feedback cu privire la acțiunile întreprinse (sau nu) în urma recomandărilor formulate în urma grupurilor de dezbatere ale cetățenilor europeni. În cazul în care recomandările nu sunt respectate, instituțiile europene implicate trebuie să își motiveze decizia (de exemplu, lipsa de competență). În acest scop, recomandăm redactarea unor rezumate periodice pe tot parcursul procesului, în urma unui panel.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Recomandăm organizarea de grupuri pentru cetățeni, inclusiv cu copii de la o vârstă fragedă (de exemplu, 10-16 ani) pentru a sensibiliza publicul cu privire la participare și dezbateri. Acest lucru poate fi organizat în școli.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Referendumuri</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Recomandări</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Susținută de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Recomandăm organizarea de referendumuri la nivel european privind afacerile europene.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Cultura referendumului variază foarte mult de la un stat membru la altul</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Recomandăm efectuarea de cercetări cu privire la modul de creare a unei culturi comune a referendumului în Europa.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Recomandăm cercetarea (de către experți independenți) cu privire la necesitatea și posibilitatea organizării unui referendum pe o anumită temă la nivel european.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Formularea întrebării adresate în cadrul unui referendum poate avea un impact negativ, la fel ca și capacitatea de a răspunde numai cu „da” sau „nu”, care adesea polarizează dezbaterile și societățile.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Recomandăm înființarea unui comitet științific care să analizeze modul în care să pună întrebări care să facă obiectul unui referendum european în cel mai obiectiv mod posibil.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Recomandăm să punem întrebări cu variante multiple de răspuns, depășind simpla alternativă dintre „da” și „nu”, pentru a aduce nuanță sau chiar a adăuga condiții la „da” și „nu” (adică „da dacă”, „nu dacă”).</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Recomandăm ca voturile albe să nu fie luate în considerare la calcularea oricărei majorități (majoritate simplă sau majoritate absolută). Trebuie să existe suficiente voturi (cvorumul trebuie respectat).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Alegerea subiectului este, de asemenea, delicată.</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Recomandăm ca o chestiune ridicată în cadrul unui referendum european să intre în domeniul de aplicare al oricărui subiect european care intră în sfera de competență a Uniunii Europene.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Recomandăm excluderea subiectelor care ar putea fi o sursă de conflict între statele membre.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Recomandăm, de asemenea, ca întrebările tehnice și dificile să poată fi adresate, cu o formulare clară, deoarece oamenii au capacitatea de a fi suficient de informați.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Referendumul nu este un instrument democratic dacă doar lumea politică poate decide să organizeze unul.</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Recomandăm Parlamentului European să aibă dreptul de inițiativă pentru organizarea de referendumuri</w:t>
            </w:r>
            <w:r>
              <w:rPr/>
              <w:commentReference w:id="14"/>
            </w:r>
            <w:r>
              <w:rPr/>
              <w:t xml:space="preserve"> europene și, în acest caz, să poată pune în aplicare rezultatul acestuia (Comisia Europeană și Consiliul ar trebui să urmeze fără posibilitatea de blocare).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Recomandăm ca inițiativa să poată proveni și de la cetățeni (de exemplu, urmând norme similare cu cele aplicabile inițiativei cetățenești europene).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Recomandăm ca organizarea practică a unui referendum european să fie un organism neutru.</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Aspectul consultativ sau obligatoriu al referendumului trebuie să fie </w:t>
              <w:br/>
              <w:t>clar definite.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Recomandăm ca rezultatul referendumului european să fie obligatoriu numai atunci când sunt îndeplinite anumite condiții în ceea ce privește participarea la vot.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Recomandăm ca rezultatele unui referendum să fie obligatorii numai dacă se obțin anumite majorități (51/49, 70/30). Aceste condiții sunt stabilite înainte de fiecare referendum.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Recomandăm ca rezultatul unui referendum european să fie obligatoriu în cazul în care inițiativa organizației sale a fost luată de cetățeni (care ar fi reușit să strângă mai multe semnături în acest scop), dar cu titlu indicativ dacă inițiativa a fost luată de o instituție politică.</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Recomandăm ca rezultatul referendumului european să devină obligatoriu numai pentru anumite subiecte, dar nu și pentru cele pentru care consecințele votului ar putea fi foarte grave.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Populația este adesea prost informată înainte de a fi chemată să voteze la un referendum. În același timp, este esențial să se controleze informațiile comunicate pentru a evita influențele dăunătoare (interne sau străine) asupra votului.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Recomandăm ca, înainte de orice referendum european, publicul să fie informat în mod clar cu privire la impactul votului asupra vieții lor de zi cu zi, prin broșuri, așa cum se întâmplă în Elveția, și/sau sesiuni de informare.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Recomandăm înființarea, pentru fiecare referendum european, a unui comitet științific care să garanteze neutralitatea informațiilor comunicate.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Deși un referendum invită întreaga populație să voteze direct (spre deosebire de grupul cetățenesc), există întotdeauna un anumit absenteism, mai mult sau mai puțin important.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Recomandăm ca participarea la vot la un referendum european să fie obligatorie.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Recomandăm ca votul la un referendum european să fie voluntar.</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Recomandăm, pentru a reduce absenteismul, să permită votarea electronică în plus față de votul pe suport de hârtie (sau în plus față de alte mijloace de vot, cum ar fi votul prin poștă). Votul electronic este deosebit de interesant pentru persoanele care merg în vacanță și, de asemenea, încurajează persoanele mai puțin interesate să voteze, deoarece constrângerea călătoriei nu mai există.</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Prea des, cetățenii care participă la inițiative de democrație participativă, cum ar fi referendumurile,</w:t>
            </w:r>
            <w:r>
              <w:rPr/>
              <w:commentReference w:id="15"/>
            </w:r>
            <w:r>
              <w:rPr/>
              <w:t xml:space="preserve"> nu primesc o întoarcere la măsurile luate ca urmare a votului lor, fie pe termen scurt, fie pe termen lung.</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Vă recomandăm să oferiți cetățenilor feedback cu privire la măsurile luate (sau nu) în urma deciziei luate de cetățeni prin intermediul unui referendum european.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Instrumente existente</w:t>
      </w:r>
    </w:p>
    <w:p>
      <w:pPr>
        <w:pStyle w:val="Normal"/>
        <w:rPr/>
      </w:pPr>
      <w:r>
        <w:rPr/>
        <w:t>5.1. Alegeri europene.</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Probleme</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Recomandări</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Susținută de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Există o diferență între reglementările din diferitele state membre</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Propunem să existe o participare obligatorie la vot pentru Parlamentul European, dar cu suficiente informații pentru ca cetățenii să înțeleagă motivele acestui lucru.</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Recomandarea noastră este ca regulile electorale pentru Parlamentul European să fie cât mai mult posibil în toate țările, inclusiv vârsta minimă.</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Nu există suficientă diversitate în ceea ce privește vârsta, originea și criteriile de gen ale deputaților în Parlamentul European.</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Propunem ca deputații europeni să fie de toate vârstele și mediile.</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Propunem ca deputații europeni să aleagă în mod deliberat pentru o carieră europeană și nu doar pentru că se află la sfârșitul carierei lor.</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Propunem să optăm pentru o distribuție echilibrată a genurilor, de exemplu prin alternarea genurilor pe listele electorale</w:t>
            </w:r>
            <w:r>
              <w:rPr/>
              <w:commentReference w:id="16"/>
            </w:r>
            <w:r>
              <w:rPr/>
              <w:t>. UE trebuie să stabilească aceste criterii și să verifice dacă sunt îndeplinite în componența contingentelor. În cazul în care un candidat își refuză mandatul, următorul candidat, în ordinea preferințelor și având același sex, îi va lua locul.</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Recomandăm candidaților de pe listele europene să își exercite mandatul în cazul în care sunt aleși.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Votăm pentru Parlamentul European și nu avem niciun cuvânt de spus în componența comisiei</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Propunem să existe o modificare a tratatului prin care cel mai mare partid din Parlamentul European să poată numi președintele Comisiei Europene.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Recomandăm ca componența Comisiei Europene să devină mai transparentă, în conformitate cu unele norme de bază, astfel încât componența să reflecte vocea cetățeanului și ca cetățeanul să cunoască modul în care a avut loc selecția.</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Nu există prea multe informații despre candidați, nu știm prea multe despre ei și despre programul lor, precum și despre fracțiunea politică pe care o vor reprezenta în Parlamentul European.</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Propunem ca candidații europeni să se prezinte la nivel local într-un mod mai concret cu obiectivele și programele lor prin diferite canale (comunicare).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Ombudsmanul European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Recomandări</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Susținută de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Site-ul în alte limbi decât limba engleză include numai informații în limba engleză pe primele două pagini. Acest lucru creează o barieră pentru cetățenii care nu stăpânesc limba engleză</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Ne propunem să punem informațiile pe pagina de pornire în limba fiecărui cetățean și să postăm, în cazul în care nu este posibil să le traducem, știrile în limba engleză în altă parte pe site.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Ombudsmanul nu este parte la sancțiune și la orice compensație pentru reclamant</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Propunem ca Ombudsmanul să facă parte din procesul de găsire și punere în aplicare a soluției/sancțiunii/compensării și să aibă o voce în această privință.</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Termenul limită este uneori foarte lung pentru validarea înregistrării pe site (e-mail de validare) uneori durează 24 de ore și demotivează cetățeanul care trece la altceva.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Propunem introducerea unui sistem de validare imediată.</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Atunci când depunem o plângere, se pune întrebarea: ați folosit toate procedurile posibile? Cetățeanul nu cunoaște întotdeauna toate procedurile și nu poate răspunde la întrebare.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Propunem includerea unui link către o simplă prezentare/explicare a altor proceduri</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Site-ul Ombudsmanului este bine făcut, dar nu are o imagine europeană clară, astfel încât acest lucru duce la întrebări pentru cetățean (sunt pe site-ul potrivit, este credibil?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Propunem să revizuim carta grafică a site-ului și să o aliniem mai mult la cea a UE (primul aviz: ridicați steagul european în partea de sus a paginii). Trebuie să fie clar la primul „click” că cetățeanul se află pe site-ul Ombudsmanului instituțiilor.</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Consultarea publică</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Recomandări</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Susținută de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Site-ul web al consultărilor s-a schimbat, iar cetățeanul este trimis în primă instanță către un site învechit. Trebuie să căutați pentru a găsi adresa noului site.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Vă propunem să ștergeți site-ul vechi și să vă referiți mai întâi la noul site.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Foaia de parcurs (engleză) și opiniile (limba editorului cetățenesc) ale unei consultări nu sunt traduse în limba cititorului cetățeanului.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Recomandăm cu insistență traducerea foii de parcurs în limba cetățeanului. Foaia de parcurs în limba engleză blochează orice cetățean care nu stăpânește</w:t>
            </w:r>
            <w:commentRangeStart w:id="19"/>
            <w:r>
              <w:rPr/>
              <w:t>limba engleză</w:t>
            </w:r>
            <w:r>
              <w:rPr/>
            </w:r>
            <w:commentRangeEnd w:id="19"/>
            <w:r>
              <w:commentReference w:id="19"/>
            </w:r>
            <w:r>
              <w:rPr/>
              <w:t xml:space="preserve"> în participarea sa.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Propunem să punem un tab/icon „traducere automată” la fiecare recenzie, care se conectează la un motor de traducere open source, cum ar fi </w:t>
            </w:r>
            <w:commentRangeStart w:id="20"/>
            <w:r>
              <w:rPr/>
              <w:t>Google Translate sau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Trebuie să vă abonați pentru a primi o monitorizare a consultării.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Vă propunem să trimiteți automat urmărirea procesului către oricine a reacționat, cu posibilitatea de a vă dezabona.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Nu știm dacă numărul de opinii într-un sens influențează comisia sau dacă opiniile similare sunt luate ca o singură opinie (pondere sau nu). În cazul în care numărul de opinii într-un sens contează, suntem preocupați de ponderea lobbyiștilor/activiștilor/întreprinderilor mari în cadrul consultărilor și de acțiunile întreprinse de UE față de cetățeni și față de lumea asociativă</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Vă recomandăm să puneți informații clare pe site despre acest lucru.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În cazul în care numărul de opinii într-o direcție are un impact, recomandăm crearea unui sistem capabil să filtreze lobbyiștii/activiștii/întreprinderile mari etc. pentru a nu le acorda o greutate disproporționată.</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Vă recomandăm să creați software de inteligență artificială care să clasifice diferite recenzii și să numere recenzii opuse sau favorabile.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Propunem organizarea de relee între cetățeni și asociații (militanți): să aibă locuri în care cetățenii să poată veni și să-și exprime opiniile, sub forma unor „Case ale Europei”, care ar putea contribui la diseminarea opiniilor cetățenilor la nivel european. Aceste locuri ar trebui să fie înființate în diferite locații, la nivel local, și să fie relocate.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5.Formularul de notificare nu este clar: există o întrebare deschisă și un chestionar. Care este rolul fiecărui document, ce ar trebui să fie completat?</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Clarificați aceste informații pe site.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Există prea multe niveluri de calificare atunci când vine vorba de instrumente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Propunem crearea unui centru de expediere care să permită direcționarea cererilor către nivelul de autoritate competent.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Inițiativa cetățenească europeană</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Probleme</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Recomandări</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Susținută de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Cetățenii care nu au internet sunt mai greu de accesat.</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Sugerăm ca autoritățile locale sau bibliotecile, care sunt independente de guvern, să poată fi implicate în diseminarea acestei inițiative și în colectarea semnăturilor. Atât electronic, cât și pe hârtie. UE ar trebui să facă bilanțul acestei rețele în funcție de țară și să o pună la dispoziția inițiatorilor.</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Numărul țărilor care trebuie să participe este prea mic pentru a beneficia de un sprijin suficient.</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Propunem creșterea numărului de țări din care sunt colectate semnături în 13 țări, pentru a beneficia de un sprijin mai mare pentru propunere. Numărul de semnături trebuie respectat proporțional cu numărul de locuitori.</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Costul și efortul de colectare a semnăturilor sunt mari</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Propunem să existe finanțare din partea UE pentru a sprijini aceste inițiative.</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Propunem înființarea unui organism care să faciliteze coordonarea între diferite țări.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Procedura este complexă pentru cetățeni.</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Propunem crearea unui serviciu de asistență pentru a-i ajuta pe cetățeni să finalizeze procesul.</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Rezultatul inițiativei cetățenești este neclar.</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Propunem să obligăm Comisia Europeană să discute și să lucreze la monitorizarea propunerii, nu doar să răspundă și să confirme primirea. În cazul în care Comisia decide să nu dea curs propunerii, aceasta trebuie să o justifice.</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Propunem organizarea unei consultări a cetățenilor atunci când primesc o inițiativă cetățenească europeană, pentru a le solicita avizul cu privire la aceasta, înainte ca comisia să o monitorizeze. Acest lucru ar evita să aibă doar opinii/voturi extreme pentru inițiativă și să aibă opinia persoanelor care nu au semnat. În plus, în cazul în care toți cetățenii își exprimă opinia, sugestia va avea o mai mare importanță la nivelul UE și monitorizarea acesteia.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Dreptul la petiție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Probleme</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Recomandări</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Susținută de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Comisia Europeană are decizia finală, nu există nicio certitudine cu privire la rezultat</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Propunem ca recomandarea Parlamentului European să fie urmată de comisie.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Există puțină transparență în ceea ce privește procesul și motivația deciziei.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Propunem ca persoana care depune petiția să fie informată cu privire la progresele înregistrate și deciziile la intervale regulate. Concluzia finală trebuie, de asemenea, motivată.</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Este dificil pentru cetățeni să demonstreze necesitatea unei noi legislații.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Recomandarea noastră este ca o petiție să fie utilizată și ca instrument pentru a demonstra necesitatea unei noi legislații.</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Grupurile naționale II B: Franța</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Cadru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Prezentul document este un rezumat al raportului privind „Contribuția cetățenilor la Conferința privind viitorul Europei”, organizată de Franța. Versiunea completă a raportului în limba franceză este disponibilă la următorul link: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Cadru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Prezentul document este un rezumat al raportului privind „Contribuția cetățenilor la Conferința privind viitorul Europei”, organizată de Franța. Versiunea completă a raportului în limba franceză este disponibilă la următorul link: </w:t>
                      </w:r>
                    </w:p>
                    <w:p>
                      <w:pPr>
                        <w:pStyle w:val="Contenudecadre"/>
                        <w:spacing w:before="57" w:after="57"/>
                        <w:rPr/>
                      </w:pPr>
                      <w:hyperlink r:id="rId87">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Imagini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ini33" descr=""/>
                    <pic:cNvPicPr>
                      <a:picLocks noChangeAspect="1" noChangeArrowheads="1"/>
                    </pic:cNvPicPr>
                  </pic:nvPicPr>
                  <pic:blipFill>
                    <a:blip r:embed="rId88"/>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Imagini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ini38" descr=""/>
                    <pic:cNvPicPr>
                      <a:picLocks noChangeAspect="1" noChangeArrowheads="1"/>
                    </pic:cNvPicPr>
                  </pic:nvPicPr>
                  <pic:blipFill>
                    <a:blip r:embed="rId89"/>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Imagini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ini37" descr=""/>
                    <pic:cNvPicPr>
                      <a:picLocks noChangeAspect="1" noChangeArrowheads="1"/>
                    </pic:cNvPicPr>
                  </pic:nvPicPr>
                  <pic:blipFill>
                    <a:blip r:embed="rId90"/>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Imagini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ini36" descr=""/>
                    <pic:cNvPicPr>
                      <a:picLocks noChangeAspect="1" noChangeArrowheads="1"/>
                    </pic:cNvPicPr>
                  </pic:nvPicPr>
                  <pic:blipFill>
                    <a:blip r:embed="rId91"/>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Imagini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ini34" descr=""/>
                    <pic:cNvPicPr>
                      <a:picLocks noChangeAspect="1" noChangeArrowheads="1"/>
                    </pic:cNvPicPr>
                  </pic:nvPicPr>
                  <pic:blipFill>
                    <a:blip r:embed="rId92"/>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Imagini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ini35" descr=""/>
                    <pic:cNvPicPr>
                      <a:picLocks noChangeAspect="1" noChangeArrowheads="1"/>
                    </pic:cNvPicPr>
                  </pic:nvPicPr>
                  <pic:blipFill>
                    <a:blip r:embed="rId93"/>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Rezumat</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Introducere </w:t>
      </w:r>
    </w:p>
    <w:p>
      <w:pPr>
        <w:pStyle w:val="P68B1DB1Normal19"/>
        <w:widowControl w:val="false"/>
        <w:spacing w:lineRule="auto" w:line="240" w:before="156" w:after="0"/>
        <w:ind w:left="0" w:right="0" w:hanging="0"/>
        <w:jc w:val="both"/>
        <w:rPr/>
      </w:pPr>
      <w:r>
        <w:rPr/>
        <w:t xml:space="preserve">Conferința privind viitorul Europei este un exercițiu fără precedent de participare a cetățenilor pentru a consulta cetățenii celor 27 de state membre ale Uniunii Europene pentru a-i plasa în centrul deciziilor care vor fi luate pentru anii și deceniile următoare. Prin urmare, cetățenii UE sunt invitați să își facă auzită vocea, propunând schimbări și modalități concrete de acțiune care vor permite Europei să își stabilească o nouă ambiție și să abordeze provocările globale cu care se confruntă în prezent. </w:t>
      </w:r>
    </w:p>
    <w:p>
      <w:pPr>
        <w:pStyle w:val="P68B1DB1Normal19"/>
        <w:widowControl w:val="false"/>
        <w:spacing w:lineRule="auto" w:line="240" w:before="156" w:after="0"/>
        <w:ind w:left="0" w:right="0" w:hanging="0"/>
        <w:jc w:val="both"/>
        <w:rPr/>
      </w:pPr>
      <w:r>
        <w:rPr/>
        <w:t xml:space="preserve">Guvernul francez sprijină inițiativele triourilor de președinții ale Conferinței privind viitorul Europei, în special prin încurajarea cetățenilor săi să aducă o contribuție semnificativă la platforma online și să organizeze evenimente în întreaga țară. </w:t>
      </w:r>
    </w:p>
    <w:p>
      <w:pPr>
        <w:pStyle w:val="P68B1DB1Normal19"/>
        <w:widowControl w:val="false"/>
        <w:spacing w:lineRule="auto" w:line="240" w:before="156" w:after="0"/>
        <w:ind w:left="0" w:right="0" w:hanging="0"/>
        <w:jc w:val="left"/>
        <w:rPr/>
      </w:pPr>
      <w:r>
        <w:rPr/>
        <w:t xml:space="preserve">În paralel cu aceste inițiative europene, Guvernul a dorit să desfășoare un exercițiu participativ la nivel național. </w:t>
      </w:r>
    </w:p>
    <w:p>
      <w:pPr>
        <w:pStyle w:val="P68B1DB1Normal19"/>
        <w:widowControl w:val="false"/>
        <w:spacing w:lineRule="auto" w:line="240" w:before="156" w:after="0"/>
        <w:ind w:left="0" w:right="0" w:hanging="0"/>
        <w:jc w:val="both"/>
        <w:rPr/>
      </w:pPr>
      <w:r>
        <w:rPr/>
        <w:t xml:space="preserve">Cu sprijinul Ministerului pentru Relațiile cu Parlamentul și Participarea Cetățenilor (MRPCC) și expertiza Centrului Interministerial pentru Participarea Cetățenilor (ICPC), Ministerul Europei și Afacerilor Externe (MEAE) a organizat un exercițiu cetățenesc bazat pe prejudecăți metodologice puternice (a se vedea mai jos „Angajamente metodologice și prejudecăți”). MEAE s-a bazat pe un consorțiu de furnizori compus din Roland Berger, Wavestone, Missions Publiques și Harris Interactive. Prefecturile regionale au jucat în cele din urmă un rol-cheie în organizarea celor 18 conferințe în întreaga țară. </w:t>
      </w:r>
    </w:p>
    <w:p>
      <w:pPr>
        <w:pStyle w:val="P68B1DB1Normal19"/>
        <w:widowControl w:val="false"/>
        <w:spacing w:lineRule="auto" w:line="240" w:before="156" w:after="0"/>
        <w:ind w:left="0" w:right="0" w:hanging="0"/>
        <w:jc w:val="both"/>
        <w:rPr/>
      </w:pPr>
      <w:r>
        <w:rPr/>
        <w:t xml:space="preserve">În cadrul acestei consultări, participanților li s-a adresat o singură întrebare: </w:t>
      </w:r>
      <w:r>
        <w:rPr>
          <w:b/>
          <w:i/>
        </w:rPr>
        <w:t>În calitate de cetățeni francezi, ce schimbări doriți pentru Europa?</w:t>
      </w:r>
      <w:r>
        <w:rPr/>
        <w:t xml:space="preserve"> (A se vedea anexa IV „Mandata participării”). </w:t>
      </w:r>
    </w:p>
    <w:p>
      <w:pPr>
        <w:pStyle w:val="P68B1DB1Normal19"/>
        <w:widowControl w:val="false"/>
        <w:spacing w:lineRule="auto" w:line="240" w:before="156" w:after="0"/>
        <w:ind w:left="0" w:right="0" w:hanging="0"/>
        <w:jc w:val="both"/>
        <w:rPr/>
      </w:pPr>
      <w:r>
        <w:rPr/>
        <w:t xml:space="preserve">Acest exercițiu național a luat forma a 18 conferințe regionale, în cele 13 regiuni metropolitane și în cele 5 regiuni ultramarine franceze, care au avut loc pe parcursul a trei weekend-uri în septembrie și octombrie 2021 și care au reunit între 30 și 50 de cetățeni prin tragere la sorți (746 în total). Sinteza acestor 18 grupuri regionale a fost apoi realizată în cadrul unei conferințe naționale care a avut loc în perioada 15-17 octombrie 2021 la Consiliul Economic, Social și de Mediu (CESE de la Paris) și care a reunit 98 de cetățeni voluntari din rândul participanților la conferințele regionale. </w:t>
      </w:r>
    </w:p>
    <w:p>
      <w:pPr>
        <w:pStyle w:val="P68B1DB1Normal19"/>
        <w:widowControl w:val="false"/>
        <w:spacing w:lineRule="auto" w:line="240" w:before="156" w:after="0"/>
        <w:ind w:left="0" w:right="0" w:hanging="0"/>
        <w:jc w:val="both"/>
        <w:rPr/>
      </w:pPr>
      <w:r>
        <w:rPr/>
        <w:t xml:space="preserve">În plus, și pentru a evidenția cuvintele tinerilor francezi înainte de Anul European al Tineretului în 2022, o consultare online intitulată </w:t>
      </w:r>
      <w:r>
        <w:rPr>
          <w:i/>
        </w:rPr>
        <w:t>„Vorbește tinerilor” a</w:t>
      </w:r>
      <w:r>
        <w:rPr/>
        <w:t xml:space="preserve">fost organizată de Ministerul Europei și Afacerilor Externe în parteneriat cu Make.org. Peste 50.000 de tineri cu vârste cuprinse între 15 și 35 de ani și-au exprimat ideile și prioritățile pentru Europa din 2035.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Prezentul raport prezintă principalele rezultate ale celor două consultări desfășurate de Guvern.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Metodologia consultării </w:t>
      </w:r>
    </w:p>
    <w:p>
      <w:pPr>
        <w:pStyle w:val="P68B1DB1Normal19"/>
        <w:widowControl w:val="false"/>
        <w:spacing w:lineRule="auto" w:line="240" w:before="156" w:after="0"/>
        <w:ind w:left="0" w:right="0" w:hanging="0"/>
        <w:jc w:val="both"/>
        <w:rPr/>
      </w:pPr>
      <w:r>
        <w:rPr/>
        <w:t xml:space="preserve">Recrutarea cetățenilor care participă la conferințe regionale a combinat o selecție aleatorie de participanți prin extragerea aleatorie a numerelor lor de telefon și o selecție specifică de profiluri pentru a ajunge la un juriu reprezentativ pentru diversitatea fiecărui teritoriu posibil. </w:t>
      </w:r>
    </w:p>
    <w:p>
      <w:pPr>
        <w:pStyle w:val="P68B1DB1Normal19"/>
        <w:widowControl w:val="false"/>
        <w:spacing w:lineRule="auto" w:line="240" w:before="156" w:after="0"/>
        <w:ind w:left="0" w:right="0" w:hanging="0"/>
        <w:jc w:val="both"/>
        <w:rPr/>
      </w:pPr>
      <w:r>
        <w:rPr/>
        <w:t xml:space="preserve">În cadrul comisiilor regionale, participanții au luat cuvântul alternând timpul de lucru în grupuri, pentru fiecare tabel de 6-8 cetățeni, însoțit de un facilitator și de orele de prezentare în plen. Experții au fost prezenți în timpul reflecției pentru a răspunde la întrebările cetățenilor și pentru a clarifica, menținând în același timp o poziție de neutralitate. </w:t>
      </w:r>
    </w:p>
    <w:p>
      <w:pPr>
        <w:pStyle w:val="P68B1DB1Normal19"/>
        <w:widowControl w:val="false"/>
        <w:spacing w:lineRule="auto" w:line="240" w:before="156" w:after="0"/>
        <w:ind w:left="0" w:right="0" w:hanging="0"/>
        <w:jc w:val="both"/>
        <w:rPr/>
      </w:pPr>
      <w:r>
        <w:rPr/>
        <w:t xml:space="preserve">Cetățenii au fost invitați mai întâi să discute despre percepția lor actuală asupra Europei. Aceștia și-au exprimat apoi </w:t>
      </w:r>
      <w:r>
        <w:rPr>
          <w:b/>
        </w:rPr>
        <w:t>dorințele pentru Europa din 2035</w:t>
      </w:r>
      <w:r>
        <w:rPr/>
        <w:t xml:space="preserve">, în calitate de grup și apoi în plen. Aceste discuții au permis identificarea între 3 și 8 dorințe pentru fiecare regiune. Pentru fiecare dintre aceste dorințe, cetățenii au formulat </w:t>
      </w:r>
      <w:r>
        <w:rPr>
          <w:b/>
        </w:rPr>
        <w:t>modificările</w:t>
      </w:r>
      <w:r>
        <w:rPr/>
        <w:t xml:space="preserve"> pe care le-au considerat necesare pentru a ajunge la Europa dorită și apoi le-au ilustrat cu propuneri concrete care urmează să fie puse în aplicare. Acest proces a dus la un total de 515 modificări și 1.301 de propuneri concrete la nivel național. </w:t>
      </w:r>
    </w:p>
    <w:p>
      <w:pPr>
        <w:pStyle w:val="P68B1DB1Normal19"/>
        <w:widowControl w:val="false"/>
        <w:spacing w:lineRule="auto" w:line="240" w:before="156" w:after="0"/>
        <w:ind w:left="0" w:right="0" w:hanging="0"/>
        <w:jc w:val="left"/>
        <w:rPr/>
      </w:pPr>
      <w:r>
        <w:rPr/>
        <w:t xml:space="preserve">Fiecare conferință regională a avut drept rezultat redactarea unui raport de sinteză regional, prezentat tuturor participanților înainte de conferința națională. </w:t>
      </w:r>
    </w:p>
    <w:p>
      <w:pPr>
        <w:pStyle w:val="P68B1DB1Normal19"/>
        <w:widowControl w:val="false"/>
        <w:spacing w:lineRule="auto" w:line="240" w:before="156" w:after="0"/>
        <w:ind w:left="0" w:right="0" w:hanging="0"/>
        <w:jc w:val="both"/>
        <w:rPr/>
      </w:pPr>
      <w:r>
        <w:rPr/>
        <w:t xml:space="preserve">Conferința Națională de Sinteză a reunit 98 de cetățeni din rândul participanților la cele 18 conferințe regionale. Pentru a asigura o diversitate a juriului național, 6 cetățeni au fost scoși la sorți printre voluntarii conferințelor regionale din Franța metropolitană și Réunion și 4 cetățeni pentru conferințe ultramarine, respectând paritatea și diversitatea de vârstă în fiecare tragere la sorți regională (a se vedea anexa II). </w:t>
      </w:r>
    </w:p>
    <w:p>
      <w:pPr>
        <w:pStyle w:val="Normal"/>
        <w:widowControl w:val="false"/>
        <w:spacing w:lineRule="auto" w:line="240" w:before="156" w:after="0"/>
        <w:ind w:left="0" w:right="0" w:hanging="0"/>
        <w:jc w:val="both"/>
        <w:rPr/>
      </w:pPr>
      <w:r>
        <w:rPr>
          <w:rFonts w:ascii="Times New Roman" w:hAnsi="Times New Roman"/>
          <w:color w:val="000000"/>
          <w:sz w:val="24"/>
        </w:rPr>
        <w:t>În pregătirea conferinței naționale, cele 515 modificări identificate în cadrul conferințelor regionale au fost analizate și reconciliate atunci când intenția lor de bază părea similară sau apropiată, astfel încât să constituie 14 grupuri</w:t>
      </w:r>
      <w:r>
        <w:rPr>
          <w:rFonts w:ascii="Times New Roman" w:hAnsi="Times New Roman"/>
          <w:b/>
          <w:color w:val="000000"/>
          <w:sz w:val="24"/>
        </w:rPr>
        <w:t xml:space="preserve"> </w:t>
      </w:r>
      <w:r>
        <w:rPr>
          <w:rFonts w:ascii="Times New Roman" w:hAnsi="Times New Roman"/>
          <w:color w:val="000000"/>
          <w:sz w:val="24"/>
        </w:rPr>
        <w:t>de schimbări care reflectă o dorință comună pentru Europa (a se vedea partea 6). Aceste 14 dorințe europene au servit drept bază pentru activitatea celor 98 de participanți la conferința națională, a căror misiune a fost să îmbogățească activitatea desfășurată în regiuni și să răspundă dorințelor Europei, schimbărilor și propunerilor cu ajutorul a douăzeci de experți pentru a ajunge la o listă de schimbări prioritare. Fiecare grup a selectat în cele din urmă 3 modificări-cheie, dintre</w:t>
      </w:r>
      <w:r>
        <w:rPr>
          <w:rFonts w:ascii="Times New Roman" w:hAnsi="Times New Roman"/>
          <w:b/>
          <w:color w:val="000000"/>
          <w:sz w:val="24"/>
        </w:rPr>
        <w:t xml:space="preserve"> </w:t>
      </w:r>
      <w:r>
        <w:rPr>
          <w:rFonts w:ascii="Times New Roman" w:hAnsi="Times New Roman"/>
          <w:color w:val="000000"/>
          <w:sz w:val="24"/>
        </w:rPr>
        <w:t xml:space="preserve">care prima a fost votată de toți cei 98 de cetățeni, stabilind un clasament final al celor 14 modificări prioritare. Un raport de sinteză consolidează întreaga activitate a acestei conferințe. </w:t>
      </w:r>
      <w:r>
        <w:br w:type="page"/>
      </w:r>
    </w:p>
    <w:p>
      <w:pPr>
        <w:pStyle w:val="P68B1DB1Normal19"/>
        <w:spacing w:lineRule="auto" w:line="240" w:before="156" w:after="0"/>
        <w:ind w:left="0" w:right="0" w:hanging="0"/>
        <w:rPr/>
      </w:pPr>
      <w:r>
        <w:rPr/>
        <w:t xml:space="preserve">Consultarea online „Parole aux Jeunes” desfășurată în parteneriat cu Make.org a avut loc în perioada mai-iulie 2021. Peste 50.000 de participanți au participat și au depus aproape 3.000 de propuneri pentru Europa. Pe baza tuturor reacțiilor tinerilor cetățeni, au fost identificate 35 de idei majore, dintre care 22 au fost larg apreciate și 13 au făcut obiectul unor controverse în rândul participanților (a se vedea partea 11). </w:t>
      </w:r>
    </w:p>
    <w:p>
      <w:pPr>
        <w:pStyle w:val="P68B1DB1Normal19"/>
        <w:widowControl w:val="false"/>
        <w:spacing w:lineRule="auto" w:line="240" w:before="156" w:after="0"/>
        <w:ind w:left="0" w:right="0" w:hanging="0"/>
        <w:jc w:val="left"/>
        <w:rPr/>
      </w:pPr>
      <w:r>
        <w:rPr>
          <w:u w:val="single"/>
        </w:rPr>
        <w:t>Punctul de ieșire și serviciul imediat</w:t>
      </w:r>
      <w:r>
        <w:rPr/>
        <w:t xml:space="preserve"> </w:t>
      </w:r>
    </w:p>
    <w:p>
      <w:pPr>
        <w:pStyle w:val="P68B1DB1Normal19"/>
        <w:widowControl w:val="false"/>
        <w:spacing w:lineRule="auto" w:line="240" w:before="156" w:after="0"/>
        <w:ind w:left="0" w:right="0" w:hanging="0"/>
        <w:jc w:val="both"/>
        <w:rPr/>
      </w:pPr>
      <w:r>
        <w:rPr/>
        <w:t xml:space="preserve">Acest raport va fi transmis guvernului de către cetățeni la 29 noiembrie 2021, în prezența membrilor aleși de Franța ai Adunării Plenare a Conferinței privind viitorul Europei. Acesta va fi prezentat trioului de președinții ale Conferinței în timpul președinției franceze a Consiliului Uniunii Europene (PFUE). </w:t>
      </w:r>
    </w:p>
    <w:p>
      <w:pPr>
        <w:pStyle w:val="P68B1DB1Normal19"/>
        <w:widowControl w:val="false"/>
        <w:spacing w:lineRule="auto" w:line="240" w:before="156" w:after="0"/>
        <w:ind w:left="0" w:right="0" w:hanging="0"/>
        <w:jc w:val="both"/>
        <w:rPr/>
      </w:pPr>
      <w:r>
        <w:rPr/>
        <w:t xml:space="preserve">La sfârșitul Conferinței naționale de sinteză din cadrul CESE și pentru a răspunde așteptărilor ridicate ale cetățenilor, a fost instituit un comitet de monitorizare a cetățenilor, care să cuprindă dreptul de monitorizare a participanților. Această comisie, compusă din 15 membri – 14 reprezentanți ai conferințelor regionale și un reprezentant al consultării „Parole aux Jeunes” – va avea sarcina de a informa cetățenii cu privire la viitorul propunerilor lor. La fiecare reuniune a Adunării Plenare a Conferinței, unul sau unul dintre membrii Comitetului de monitorizare va participa în calitate de reprezentant al exercițiului francez pentru a evidenția propunerile prezentate în prezentul raport, stabilind în același timp o poziție comună cu toți cetățenii europeni reprezentați. </w:t>
      </w:r>
    </w:p>
    <w:p>
      <w:pPr>
        <w:pStyle w:val="P68B1DB1Normal19"/>
        <w:widowControl w:val="false"/>
        <w:spacing w:lineRule="auto" w:line="240" w:before="156" w:after="0"/>
        <w:ind w:left="0" w:right="0" w:hanging="0"/>
        <w:jc w:val="both"/>
        <w:rPr/>
      </w:pPr>
      <w:r>
        <w:rPr/>
        <w:t xml:space="preserve">Toate documentele consultării franceze vor fi publice și accesibile tuturor pe platforma de participare cetățenească a statului francez: mandatul de participare, rezumatele regionale, sinteza națională, raportul garantului și raportul final.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Cadru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Prezentare generală a contribuției Franței la Conferința privind viitorul Europei</w:t>
                            </w:r>
                          </w:p>
                          <w:p>
                            <w:pPr>
                              <w:pStyle w:val="Contenudecadre"/>
                              <w:rPr>
                                <w:color w:val="auto"/>
                              </w:rPr>
                            </w:pPr>
                            <w:r>
                              <w:rPr>
                                <w:color w:val="auto"/>
                              </w:rPr>
                            </w:r>
                          </w:p>
                          <w:p>
                            <w:pPr>
                              <w:pStyle w:val="Contenudecadre"/>
                              <w:rPr>
                                <w:color w:val="auto"/>
                              </w:rPr>
                            </w:pPr>
                            <w:r>
                              <w:rPr>
                                <w:color w:val="auto"/>
                              </w:rPr>
                              <w:t>Cetățenii atrași prin tragere la sorți au trebuit să răspundă la întrebarea: „În calitate de cetățeni francezi, ce schimbări doriți pentru Europa?”</w:t>
                            </w:r>
                          </w:p>
                          <w:p>
                            <w:pPr>
                              <w:pStyle w:val="Contenudecadre"/>
                              <w:rPr>
                                <w:color w:val="auto"/>
                              </w:rPr>
                            </w:pPr>
                            <w:r>
                              <w:rPr>
                                <w:color w:val="auto"/>
                              </w:rPr>
                            </w:r>
                          </w:p>
                          <w:p>
                            <w:pPr>
                              <w:pStyle w:val="Contenudecadre"/>
                              <w:rPr>
                                <w:color w:val="auto"/>
                              </w:rPr>
                            </w:pPr>
                            <w:r>
                              <w:rPr>
                                <w:color w:val="auto"/>
                              </w:rPr>
                              <w:t xml:space="preserve">Top 10 schimbări prioritare pentru Europa din 2035 </w:t>
                            </w:r>
                          </w:p>
                          <w:p>
                            <w:pPr>
                              <w:pStyle w:val="Contenudecadre"/>
                              <w:rPr>
                                <w:color w:val="auto"/>
                              </w:rPr>
                            </w:pPr>
                            <w:r>
                              <w:rPr>
                                <w:color w:val="auto"/>
                              </w:rPr>
                            </w:r>
                          </w:p>
                          <w:p>
                            <w:pPr>
                              <w:pStyle w:val="Contenudecadre"/>
                              <w:rPr>
                                <w:color w:val="auto"/>
                              </w:rPr>
                            </w:pPr>
                            <w:r>
                              <w:rPr>
                                <w:color w:val="auto"/>
                              </w:rPr>
                              <w:t xml:space="preserve">1. Dezvoltați </w:t>
                            </w:r>
                            <w:r>
                              <w:rPr>
                                <w:b/>
                                <w:color w:val="auto"/>
                              </w:rPr>
                              <w:t>sobrietatea energetică</w:t>
                            </w:r>
                            <w:r>
                              <w:rPr>
                                <w:color w:val="auto"/>
                              </w:rPr>
                              <w:t xml:space="preserve"> pentru a consuma mai puțin prin oprirea superfluei</w:t>
                            </w:r>
                          </w:p>
                          <w:p>
                            <w:pPr>
                              <w:pStyle w:val="Contenudecadre"/>
                              <w:rPr>
                                <w:b w:val="false"/>
                                <w:b w:val="false"/>
                                <w:color w:val="auto"/>
                              </w:rPr>
                            </w:pPr>
                            <w:r>
                              <w:rPr>
                                <w:b w:val="false"/>
                                <w:color w:val="auto"/>
                              </w:rPr>
                            </w:r>
                          </w:p>
                          <w:p>
                            <w:pPr>
                              <w:pStyle w:val="Contenudecadre"/>
                              <w:rPr>
                                <w:color w:val="auto"/>
                              </w:rPr>
                            </w:pPr>
                            <w:r>
                              <w:rPr>
                                <w:color w:val="auto"/>
                              </w:rPr>
                              <w:t>2. Consolidarea</w:t>
                            </w:r>
                            <w:r>
                              <w:rPr>
                                <w:b/>
                                <w:color w:val="auto"/>
                              </w:rPr>
                              <w:t>apărării și securității comune a</w:t>
                            </w:r>
                            <w:r>
                              <w:rPr>
                                <w:color w:val="auto"/>
                              </w:rPr>
                              <w:t>Uniunii Europene</w:t>
                            </w:r>
                          </w:p>
                          <w:p>
                            <w:pPr>
                              <w:pStyle w:val="Contenudecadre"/>
                              <w:rPr>
                                <w:b w:val="false"/>
                                <w:b w:val="false"/>
                                <w:color w:val="auto"/>
                              </w:rPr>
                            </w:pPr>
                            <w:r>
                              <w:rPr>
                                <w:b w:val="false"/>
                                <w:color w:val="auto"/>
                              </w:rPr>
                            </w:r>
                          </w:p>
                          <w:p>
                            <w:pPr>
                              <w:pStyle w:val="Contenudecadre"/>
                              <w:rPr>
                                <w:color w:val="auto"/>
                              </w:rPr>
                            </w:pPr>
                            <w:r>
                              <w:rPr>
                                <w:color w:val="auto"/>
                              </w:rPr>
                              <w:t xml:space="preserve">3. Promovarea </w:t>
                            </w:r>
                            <w:r>
                              <w:rPr>
                                <w:b/>
                                <w:color w:val="auto"/>
                              </w:rPr>
                              <w:t>performanței economice colective</w:t>
                            </w:r>
                            <w:r>
                              <w:rPr>
                                <w:color w:val="auto"/>
                              </w:rPr>
                              <w:t xml:space="preserve"> printr-o industrie autonomă, competitivă și apreciată de UE</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Capacitarea cetățenilor</w:t>
                            </w:r>
                            <w:r>
                              <w:rPr>
                                <w:color w:val="auto"/>
                              </w:rPr>
                              <w:t xml:space="preserve"> la mai multe niveluri: participare, decizie, control</w:t>
                            </w:r>
                          </w:p>
                          <w:p>
                            <w:pPr>
                              <w:pStyle w:val="Contenudecadre"/>
                              <w:rPr>
                                <w:b w:val="false"/>
                                <w:b w:val="false"/>
                                <w:color w:val="auto"/>
                              </w:rPr>
                            </w:pPr>
                            <w:r>
                              <w:rPr>
                                <w:b w:val="false"/>
                                <w:color w:val="auto"/>
                              </w:rPr>
                            </w:r>
                          </w:p>
                          <w:p>
                            <w:pPr>
                              <w:pStyle w:val="Contenudecadre"/>
                              <w:rPr>
                                <w:color w:val="auto"/>
                              </w:rPr>
                            </w:pPr>
                            <w:r>
                              <w:rPr>
                                <w:color w:val="auto"/>
                              </w:rPr>
                              <w:t xml:space="preserve">5. Trecerea la o </w:t>
                            </w:r>
                            <w:r>
                              <w:rPr>
                                <w:b/>
                                <w:color w:val="auto"/>
                              </w:rPr>
                              <w:t>federație de state europene</w:t>
                            </w:r>
                            <w:r>
                              <w:rPr>
                                <w:color w:val="auto"/>
                              </w:rPr>
                              <w:t xml:space="preserve"> cu competențe puternice în domenii de interes comun</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Oferirea de </w:t>
                            </w:r>
                            <w:r>
                              <w:rPr>
                                <w:b/>
                                <w:color w:val="auto"/>
                              </w:rPr>
                              <w:t>programe de schimb</w:t>
                            </w:r>
                            <w:r>
                              <w:rPr>
                                <w:color w:val="auto"/>
                              </w:rPr>
                              <w:t>pe tot parcursul vieții</w:t>
                            </w:r>
                          </w:p>
                        </w:txbxContent>
                      </wps:txbx>
                      <wps:bodyPr lIns="54000" rIns="54000" tIns="54000" bIns="54000">
                        <a:noAutofit/>
                      </wps:bodyPr>
                    </wps:wsp>
                  </a:graphicData>
                </a:graphic>
              </wp:anchor>
            </w:drawing>
          </mc:Choice>
          <mc:Fallback>
            <w:pict>
              <v:rect id="shape_0" ID="Cadru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Prezentare generală a contribuției Franței la Conferința privind viitorul Europei</w:t>
                      </w:r>
                    </w:p>
                    <w:p>
                      <w:pPr>
                        <w:pStyle w:val="Contenudecadre"/>
                        <w:rPr>
                          <w:color w:val="auto"/>
                        </w:rPr>
                      </w:pPr>
                      <w:r>
                        <w:rPr>
                          <w:color w:val="auto"/>
                        </w:rPr>
                      </w:r>
                    </w:p>
                    <w:p>
                      <w:pPr>
                        <w:pStyle w:val="Contenudecadre"/>
                        <w:rPr>
                          <w:color w:val="auto"/>
                        </w:rPr>
                      </w:pPr>
                      <w:r>
                        <w:rPr>
                          <w:color w:val="auto"/>
                        </w:rPr>
                        <w:t>Cetățenii atrași prin tragere la sorți au trebuit să răspundă la întrebarea: „În calitate de cetățeni francezi, ce schimbări doriți pentru Europa?”</w:t>
                      </w:r>
                    </w:p>
                    <w:p>
                      <w:pPr>
                        <w:pStyle w:val="Contenudecadre"/>
                        <w:rPr>
                          <w:color w:val="auto"/>
                        </w:rPr>
                      </w:pPr>
                      <w:r>
                        <w:rPr>
                          <w:color w:val="auto"/>
                        </w:rPr>
                      </w:r>
                    </w:p>
                    <w:p>
                      <w:pPr>
                        <w:pStyle w:val="Contenudecadre"/>
                        <w:rPr>
                          <w:color w:val="auto"/>
                        </w:rPr>
                      </w:pPr>
                      <w:r>
                        <w:rPr>
                          <w:color w:val="auto"/>
                        </w:rPr>
                        <w:t xml:space="preserve">Top 10 schimbări prioritare pentru Europa din 2035 </w:t>
                      </w:r>
                    </w:p>
                    <w:p>
                      <w:pPr>
                        <w:pStyle w:val="Contenudecadre"/>
                        <w:rPr>
                          <w:color w:val="auto"/>
                        </w:rPr>
                      </w:pPr>
                      <w:r>
                        <w:rPr>
                          <w:color w:val="auto"/>
                        </w:rPr>
                      </w:r>
                    </w:p>
                    <w:p>
                      <w:pPr>
                        <w:pStyle w:val="Contenudecadre"/>
                        <w:rPr>
                          <w:color w:val="auto"/>
                        </w:rPr>
                      </w:pPr>
                      <w:r>
                        <w:rPr>
                          <w:color w:val="auto"/>
                        </w:rPr>
                        <w:t xml:space="preserve">1. Dezvoltați </w:t>
                      </w:r>
                      <w:r>
                        <w:rPr>
                          <w:b/>
                          <w:color w:val="auto"/>
                        </w:rPr>
                        <w:t>sobrietatea energetică</w:t>
                      </w:r>
                      <w:r>
                        <w:rPr>
                          <w:color w:val="auto"/>
                        </w:rPr>
                        <w:t xml:space="preserve"> pentru a consuma mai puțin prin oprirea superfluei</w:t>
                      </w:r>
                    </w:p>
                    <w:p>
                      <w:pPr>
                        <w:pStyle w:val="Contenudecadre"/>
                        <w:rPr>
                          <w:b w:val="false"/>
                          <w:b w:val="false"/>
                          <w:color w:val="auto"/>
                        </w:rPr>
                      </w:pPr>
                      <w:r>
                        <w:rPr>
                          <w:b w:val="false"/>
                          <w:color w:val="auto"/>
                        </w:rPr>
                      </w:r>
                    </w:p>
                    <w:p>
                      <w:pPr>
                        <w:pStyle w:val="Contenudecadre"/>
                        <w:rPr>
                          <w:color w:val="auto"/>
                        </w:rPr>
                      </w:pPr>
                      <w:r>
                        <w:rPr>
                          <w:color w:val="auto"/>
                        </w:rPr>
                        <w:t>2. Consolidarea</w:t>
                      </w:r>
                      <w:r>
                        <w:rPr>
                          <w:b/>
                          <w:color w:val="auto"/>
                        </w:rPr>
                        <w:t>apărării și securității comune a</w:t>
                      </w:r>
                      <w:r>
                        <w:rPr>
                          <w:color w:val="auto"/>
                        </w:rPr>
                        <w:t>Uniunii Europene</w:t>
                      </w:r>
                    </w:p>
                    <w:p>
                      <w:pPr>
                        <w:pStyle w:val="Contenudecadre"/>
                        <w:rPr>
                          <w:b w:val="false"/>
                          <w:b w:val="false"/>
                          <w:color w:val="auto"/>
                        </w:rPr>
                      </w:pPr>
                      <w:r>
                        <w:rPr>
                          <w:b w:val="false"/>
                          <w:color w:val="auto"/>
                        </w:rPr>
                      </w:r>
                    </w:p>
                    <w:p>
                      <w:pPr>
                        <w:pStyle w:val="Contenudecadre"/>
                        <w:rPr>
                          <w:color w:val="auto"/>
                        </w:rPr>
                      </w:pPr>
                      <w:r>
                        <w:rPr>
                          <w:color w:val="auto"/>
                        </w:rPr>
                        <w:t xml:space="preserve">3. Promovarea </w:t>
                      </w:r>
                      <w:r>
                        <w:rPr>
                          <w:b/>
                          <w:color w:val="auto"/>
                        </w:rPr>
                        <w:t>performanței economice colective</w:t>
                      </w:r>
                      <w:r>
                        <w:rPr>
                          <w:color w:val="auto"/>
                        </w:rPr>
                        <w:t xml:space="preserve"> printr-o industrie autonomă, competitivă și apreciată de UE</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Capacitarea cetățenilor</w:t>
                      </w:r>
                      <w:r>
                        <w:rPr>
                          <w:color w:val="auto"/>
                        </w:rPr>
                        <w:t xml:space="preserve"> la mai multe niveluri: participare, decizie, control</w:t>
                      </w:r>
                    </w:p>
                    <w:p>
                      <w:pPr>
                        <w:pStyle w:val="Contenudecadre"/>
                        <w:rPr>
                          <w:b w:val="false"/>
                          <w:b w:val="false"/>
                          <w:color w:val="auto"/>
                        </w:rPr>
                      </w:pPr>
                      <w:r>
                        <w:rPr>
                          <w:b w:val="false"/>
                          <w:color w:val="auto"/>
                        </w:rPr>
                      </w:r>
                    </w:p>
                    <w:p>
                      <w:pPr>
                        <w:pStyle w:val="Contenudecadre"/>
                        <w:rPr>
                          <w:color w:val="auto"/>
                        </w:rPr>
                      </w:pPr>
                      <w:r>
                        <w:rPr>
                          <w:color w:val="auto"/>
                        </w:rPr>
                        <w:t xml:space="preserve">5. Trecerea la o </w:t>
                      </w:r>
                      <w:r>
                        <w:rPr>
                          <w:b/>
                          <w:color w:val="auto"/>
                        </w:rPr>
                        <w:t>federație de state europene</w:t>
                      </w:r>
                      <w:r>
                        <w:rPr>
                          <w:color w:val="auto"/>
                        </w:rPr>
                        <w:t xml:space="preserve"> cu competențe puternice în domenii de interes comun</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Oferirea de </w:t>
                      </w:r>
                      <w:r>
                        <w:rPr>
                          <w:b/>
                          <w:color w:val="auto"/>
                        </w:rPr>
                        <w:t>programe de schimb</w:t>
                      </w:r>
                      <w:r>
                        <w:rPr>
                          <w:color w:val="auto"/>
                        </w:rPr>
                        <w:t>pe tot parcursul vieții</w:t>
                      </w:r>
                    </w:p>
                  </w:txbxContent>
                </v:textbox>
              </v:rect>
            </w:pict>
          </mc:Fallback>
        </mc:AlternateContent>
      </w:r>
      <w:r>
        <w:rPr/>
        <w:t>Prezentarea principalelor rezultate</w:t>
      </w:r>
    </w:p>
    <w:p>
      <w:pPr>
        <w:pStyle w:val="P68B1DB1Normal24"/>
        <w:rPr>
          <w:b w:val="false"/>
          <w:b w:val="false"/>
          <w:sz w:val="22"/>
        </w:rPr>
      </w:pPr>
      <w:r>
        <w:rPr/>
        <w:t xml:space="preserve"> </w:t>
      </w:r>
      <w:r>
        <w:rPr/>
        <w:t>(originalul a fost sub forma unei ilustrații)</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Jocuri cu Jocul 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Jocuri cu Jocul Image39" descr=""/>
                    <pic:cNvPicPr>
                      <a:picLocks noChangeAspect="1" noChangeArrowheads="1"/>
                    </pic:cNvPicPr>
                  </pic:nvPicPr>
                  <pic:blipFill>
                    <a:blip r:embed="rId94"/>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Sursă: Modificări care au obținut cele mai multe voturi la Conferința națională privind viitorul Europei (15-17 octombrie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Jocuri cu Jocul 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Jocuri cu Jocul Image40" descr=""/>
                    <pic:cNvPicPr>
                      <a:picLocks noChangeAspect="1" noChangeArrowheads="1"/>
                    </pic:cNvPicPr>
                  </pic:nvPicPr>
                  <pic:blipFill>
                    <a:blip r:embed="rId95"/>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Cadru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Consultare online „Cuvinte pentru tineri”</w:t>
                            </w:r>
                          </w:p>
                          <w:p>
                            <w:pPr>
                              <w:pStyle w:val="Contenudecadre"/>
                              <w:rPr>
                                <w:color w:val="auto"/>
                              </w:rPr>
                            </w:pPr>
                            <w:r>
                              <w:rPr>
                                <w:color w:val="auto"/>
                              </w:rPr>
                              <w:t>La 9 mai 2021, secretarul de stat pentru afaceri europene a lansat o consultare „cuvânt către tineri” desfășurată de Make.org în perioada mai-iulie 2021.</w:t>
                            </w:r>
                          </w:p>
                          <w:p>
                            <w:pPr>
                              <w:pStyle w:val="Contenudecadre"/>
                              <w:rPr>
                                <w:color w:val="auto"/>
                              </w:rPr>
                            </w:pPr>
                            <w:r>
                              <w:rPr>
                                <w:color w:val="auto"/>
                              </w:rPr>
                              <w:t>50 000 de tineri cu vârste cuprinse între 15 și 30 de ani au răspuns la întrebarea: „Care sunt prioritățile dumneavoastră pentru Europa de mâine?”, cu 2918 propuneri depuse.</w:t>
                            </w:r>
                          </w:p>
                          <w:p>
                            <w:pPr>
                              <w:pStyle w:val="Contenudecadre"/>
                              <w:spacing w:before="57" w:after="57"/>
                              <w:rPr>
                                <w:color w:val="auto"/>
                              </w:rPr>
                            </w:pPr>
                            <w:r>
                              <w:rPr>
                                <w:color w:val="auto"/>
                              </w:rPr>
                              <w:t>Ideile favorizate de tinerii francezi în contextul acestei consultări online fac parte din contribuția cetățenilor la Conferința privind viitorul Europei (a se vedea detaliile din partea a doua a prezentului raport).</w:t>
                            </w:r>
                          </w:p>
                        </w:txbxContent>
                      </wps:txbx>
                      <wps:bodyPr lIns="54000" rIns="54000" tIns="54000" bIns="54000">
                        <a:noAutofit/>
                      </wps:bodyPr>
                    </wps:wsp>
                  </a:graphicData>
                </a:graphic>
              </wp:anchor>
            </w:drawing>
          </mc:Choice>
          <mc:Fallback>
            <w:pict>
              <v:rect id="shape_0" ID="Cadru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Consultare online „Cuvinte pentru tineri”</w:t>
                      </w:r>
                    </w:p>
                    <w:p>
                      <w:pPr>
                        <w:pStyle w:val="Contenudecadre"/>
                        <w:rPr>
                          <w:color w:val="auto"/>
                        </w:rPr>
                      </w:pPr>
                      <w:r>
                        <w:rPr>
                          <w:color w:val="auto"/>
                        </w:rPr>
                        <w:t>La 9 mai 2021, secretarul de stat pentru afaceri europene a lansat o consultare „cuvânt către tineri” desfășurată de Make.org în perioada mai-iulie 2021.</w:t>
                      </w:r>
                    </w:p>
                    <w:p>
                      <w:pPr>
                        <w:pStyle w:val="Contenudecadre"/>
                        <w:rPr>
                          <w:color w:val="auto"/>
                        </w:rPr>
                      </w:pPr>
                      <w:r>
                        <w:rPr>
                          <w:color w:val="auto"/>
                        </w:rPr>
                        <w:t>50 000 de tineri cu vârste cuprinse între 15 și 30 de ani au răspuns la întrebarea: „Care sunt prioritățile dumneavoastră pentru Europa de mâine?”, cu 2918 propuneri depuse.</w:t>
                      </w:r>
                    </w:p>
                    <w:p>
                      <w:pPr>
                        <w:pStyle w:val="Contenudecadre"/>
                        <w:spacing w:before="57" w:after="57"/>
                        <w:rPr>
                          <w:color w:val="auto"/>
                        </w:rPr>
                      </w:pPr>
                      <w:r>
                        <w:rPr>
                          <w:color w:val="auto"/>
                        </w:rPr>
                        <w:t>Ideile favorizate de tinerii francezi în contextul acestei consultări online fac parte din contribuția cetățenilor la Conferința privind viitorul Europei (a se vedea detaliile din partea a doua a prezentului raport).</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Cadru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Împărtășirea culturilor europene prin </w:t>
                            </w:r>
                            <w:r>
                              <w:rPr>
                                <w:b/>
                                <w:color w:val="auto"/>
                              </w:rPr>
                              <w:t>evenimente și evenimente unificatoare</w:t>
                            </w:r>
                          </w:p>
                          <w:p>
                            <w:pPr>
                              <w:pStyle w:val="Contenudecadre"/>
                              <w:rPr>
                                <w:b w:val="false"/>
                                <w:b w:val="false"/>
                                <w:color w:val="auto"/>
                              </w:rPr>
                            </w:pPr>
                            <w:r>
                              <w:rPr>
                                <w:b w:val="false"/>
                                <w:color w:val="auto"/>
                              </w:rPr>
                            </w:r>
                          </w:p>
                          <w:p>
                            <w:pPr>
                              <w:pStyle w:val="Contenudecadre"/>
                              <w:rPr>
                                <w:color w:val="auto"/>
                              </w:rPr>
                            </w:pPr>
                            <w:r>
                              <w:rPr>
                                <w:color w:val="auto"/>
                              </w:rPr>
                              <w:t xml:space="preserve">8.Armonizarea </w:t>
                            </w:r>
                            <w:r>
                              <w:rPr>
                                <w:b/>
                                <w:color w:val="auto"/>
                              </w:rPr>
                              <w:t>sănătății</w:t>
                            </w:r>
                            <w:r>
                              <w:rPr>
                                <w:color w:val="auto"/>
                              </w:rPr>
                              <w:t xml:space="preserve"> și punerea acesteia la dispoziția tuturor europenilor printr-o politică comună în domeniul sănătății</w:t>
                            </w:r>
                          </w:p>
                          <w:p>
                            <w:pPr>
                              <w:pStyle w:val="Contenudecadre"/>
                              <w:rPr>
                                <w:b w:val="false"/>
                                <w:b w:val="false"/>
                                <w:color w:val="auto"/>
                              </w:rPr>
                            </w:pPr>
                            <w:r>
                              <w:rPr>
                                <w:b w:val="false"/>
                                <w:color w:val="auto"/>
                              </w:rPr>
                            </w:r>
                          </w:p>
                          <w:p>
                            <w:pPr>
                              <w:pStyle w:val="Contenudecadre"/>
                              <w:rPr>
                                <w:color w:val="auto"/>
                              </w:rPr>
                            </w:pPr>
                            <w:r>
                              <w:rPr>
                                <w:color w:val="auto"/>
                              </w:rPr>
                              <w:t xml:space="preserve">9. Dezvoltarea și conducerea </w:t>
                            </w:r>
                            <w:r>
                              <w:rPr>
                                <w:b/>
                                <w:color w:val="auto"/>
                              </w:rPr>
                              <w:t>canalelor strategice</w:t>
                            </w:r>
                            <w:r>
                              <w:rPr>
                                <w:color w:val="auto"/>
                              </w:rPr>
                              <w:t xml:space="preserve"> la nivel european pentru a ne asigura suveranitatea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Îmbunătățirea </w:t>
                            </w:r>
                            <w:r>
                              <w:rPr>
                                <w:b/>
                                <w:color w:val="auto"/>
                              </w:rPr>
                              <w:t>protecției mediilor și a ecosistemelor</w:t>
                            </w:r>
                            <w:r>
                              <w:rPr>
                                <w:color w:val="auto"/>
                              </w:rPr>
                              <w:t xml:space="preserve"> și crearea de </w:t>
                            </w:r>
                            <w:r>
                              <w:rPr>
                                <w:b/>
                                <w:color w:val="auto"/>
                              </w:rPr>
                              <w:t>zone protejate în centrul zonelor</w:t>
                            </w:r>
                            <w:r>
                              <w:rPr>
                                <w:color w:val="auto"/>
                              </w:rPr>
                              <w:t xml:space="preserve"> urbane, periurbane și rurale</w:t>
                            </w:r>
                          </w:p>
                        </w:txbxContent>
                      </wps:txbx>
                      <wps:bodyPr lIns="54000" rIns="54000" tIns="54000" bIns="54000">
                        <a:noAutofit/>
                      </wps:bodyPr>
                    </wps:wsp>
                  </a:graphicData>
                </a:graphic>
              </wp:anchor>
            </w:drawing>
          </mc:Choice>
          <mc:Fallback>
            <w:pict>
              <v:rect id="shape_0" ID="Cadru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Împărtășirea culturilor europene prin </w:t>
                      </w:r>
                      <w:r>
                        <w:rPr>
                          <w:b/>
                          <w:color w:val="auto"/>
                        </w:rPr>
                        <w:t>evenimente și evenimente unificatoare</w:t>
                      </w:r>
                    </w:p>
                    <w:p>
                      <w:pPr>
                        <w:pStyle w:val="Contenudecadre"/>
                        <w:rPr>
                          <w:b w:val="false"/>
                          <w:b w:val="false"/>
                          <w:color w:val="auto"/>
                        </w:rPr>
                      </w:pPr>
                      <w:r>
                        <w:rPr>
                          <w:b w:val="false"/>
                          <w:color w:val="auto"/>
                        </w:rPr>
                      </w:r>
                    </w:p>
                    <w:p>
                      <w:pPr>
                        <w:pStyle w:val="Contenudecadre"/>
                        <w:rPr>
                          <w:color w:val="auto"/>
                        </w:rPr>
                      </w:pPr>
                      <w:r>
                        <w:rPr>
                          <w:color w:val="auto"/>
                        </w:rPr>
                        <w:t xml:space="preserve">8.Armonizarea </w:t>
                      </w:r>
                      <w:r>
                        <w:rPr>
                          <w:b/>
                          <w:color w:val="auto"/>
                        </w:rPr>
                        <w:t>sănătății</w:t>
                      </w:r>
                      <w:r>
                        <w:rPr>
                          <w:color w:val="auto"/>
                        </w:rPr>
                        <w:t xml:space="preserve"> și punerea acesteia la dispoziția tuturor europenilor printr-o politică comună în domeniul sănătății</w:t>
                      </w:r>
                    </w:p>
                    <w:p>
                      <w:pPr>
                        <w:pStyle w:val="Contenudecadre"/>
                        <w:rPr>
                          <w:b w:val="false"/>
                          <w:b w:val="false"/>
                          <w:color w:val="auto"/>
                        </w:rPr>
                      </w:pPr>
                      <w:r>
                        <w:rPr>
                          <w:b w:val="false"/>
                          <w:color w:val="auto"/>
                        </w:rPr>
                      </w:r>
                    </w:p>
                    <w:p>
                      <w:pPr>
                        <w:pStyle w:val="Contenudecadre"/>
                        <w:rPr>
                          <w:color w:val="auto"/>
                        </w:rPr>
                      </w:pPr>
                      <w:r>
                        <w:rPr>
                          <w:color w:val="auto"/>
                        </w:rPr>
                        <w:t xml:space="preserve">9. Dezvoltarea și conducerea </w:t>
                      </w:r>
                      <w:r>
                        <w:rPr>
                          <w:b/>
                          <w:color w:val="auto"/>
                        </w:rPr>
                        <w:t>canalelor strategice</w:t>
                      </w:r>
                      <w:r>
                        <w:rPr>
                          <w:color w:val="auto"/>
                        </w:rPr>
                        <w:t xml:space="preserve"> la nivel european pentru a ne asigura suveranitatea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Îmbunătățirea </w:t>
                      </w:r>
                      <w:r>
                        <w:rPr>
                          <w:b/>
                          <w:color w:val="auto"/>
                        </w:rPr>
                        <w:t>protecției mediilor și a ecosistemelor</w:t>
                      </w:r>
                      <w:r>
                        <w:rPr>
                          <w:color w:val="auto"/>
                        </w:rPr>
                        <w:t xml:space="preserve"> și crearea de </w:t>
                      </w:r>
                      <w:r>
                        <w:rPr>
                          <w:b/>
                          <w:color w:val="auto"/>
                        </w:rPr>
                        <w:t>zone protejate în centrul zonelor</w:t>
                      </w:r>
                      <w:r>
                        <w:rPr>
                          <w:color w:val="auto"/>
                        </w:rPr>
                        <w:t xml:space="preserve"> urbane, periurbane și rurale</w:t>
                      </w:r>
                    </w:p>
                  </w:txbxContent>
                </v:textbox>
              </v:rect>
            </w:pict>
          </mc:Fallback>
        </mc:AlternateContent>
      </w:r>
    </w:p>
    <w:p>
      <w:pPr>
        <w:pStyle w:val="Titre2"/>
        <w:numPr>
          <w:ilvl w:val="1"/>
          <w:numId w:val="2"/>
        </w:numPr>
        <w:rPr/>
      </w:pPr>
      <w:bookmarkStart w:id="209" w:name="__RefHeading___Toc300452_1346298689"/>
      <w:bookmarkEnd w:id="209"/>
      <w:r>
        <w:rPr/>
        <w:t>Prezentarea grupurilor de conferințe regionale</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Formularul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6"/>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 grup divers format din 746 de cetățeni</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Prezentare generală a participanților la cele 18 conferințe regionale</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Agricultori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Artizani – Comercianți – lideri de afaceri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Directori executivi – Profesii liberale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Ocupații intermediare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Angajați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Lucrători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Pensionari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Alte inactive</w:t>
                              </w:r>
                            </w:p>
                          </w:txbxContent>
                        </wps:txbx>
                        <wps:bodyPr lIns="90000" rIns="90000" tIns="45000" bIns="45000">
                          <a:noAutofit/>
                        </wps:bodyPr>
                      </wps:wsp>
                    </wpg:wgp>
                  </a:graphicData>
                </a:graphic>
              </wp:anchor>
            </w:drawing>
          </mc:Choice>
          <mc:Fallback>
            <w:pict>
              <v:group id="shape_0" alt="Formularul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6"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 grup divers format din 746 de cetățeni</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Prezentare generală a participanților la cele 18 conferințe regionale</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Agricultori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Artizani – Comercianți – lideri de afaceri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Directori executivi – Profesii liberale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Ocupații intermediare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Angajați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Lucrători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Pensionari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Alte inactive</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ularul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7"/>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Conferințe privind viitorul Europei în toată Franța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conferințe regionale, 13 în metropolă și 5 în străinătate</w:t>
                              </w:r>
                            </w:p>
                          </w:txbxContent>
                        </wps:txbx>
                        <wps:bodyPr lIns="90000" rIns="90000" tIns="45000" bIns="45000">
                          <a:noAutofit/>
                        </wps:bodyPr>
                      </wps:wsp>
                    </wpg:wgp>
                  </a:graphicData>
                </a:graphic>
              </wp:anchor>
            </w:drawing>
          </mc:Choice>
          <mc:Fallback>
            <w:pict>
              <v:group id="shape_0" alt="Formularul 2" style="position:absolute;margin-left:0pt;margin-top:2.85pt;width:462.45pt;height:650.75pt" coordorigin="0,57" coordsize="9249,13015">
                <v:shape id="shape_0" stroked="f" style="position:absolute;left:1;top:1652;width:9247;height:11419" type="shapetype_75">
                  <v:imagedata r:id="rId97"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Conferințe privind viitorul Europei în toată Franța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conferințe regionale, 13 în metropolă și 5 în străinătate</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rmularul 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8"/>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Angajamentele statului</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Transparență</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Datorie imediată</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Neutralitate</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Prejudecăți metodologice</w:t>
                              </w:r>
                            </w:p>
                          </w:txbxContent>
                        </wps:txbx>
                        <wps:bodyPr lIns="90000" rIns="90000" tIns="45000" bIns="45000">
                          <a:noAutofit/>
                        </wps:bodyPr>
                      </wps:wsp>
                      <pic:pic xmlns:pic="http://schemas.openxmlformats.org/drawingml/2006/picture">
                        <pic:nvPicPr>
                          <pic:cNvPr id="3" name="" descr=""/>
                          <pic:cNvPicPr/>
                        </pic:nvPicPr>
                        <pic:blipFill>
                          <a:blip r:embed="rId99"/>
                          <a:stretch/>
                        </pic:blipFill>
                        <pic:spPr>
                          <a:xfrm>
                            <a:off x="1105560" y="2401560"/>
                            <a:ext cx="4354200" cy="5891040"/>
                          </a:xfrm>
                          <a:prstGeom prst="rect">
                            <a:avLst/>
                          </a:prstGeom>
                          <a:ln>
                            <a:noFill/>
                          </a:ln>
                        </pic:spPr>
                      </pic:pic>
                    </wpg:wgp>
                  </a:graphicData>
                </a:graphic>
              </wp:anchor>
            </w:drawing>
          </mc:Choice>
          <mc:Fallback>
            <w:pict>
              <v:group id="shape_0" alt="Formularul 3" style="position:absolute;margin-left:13.85pt;margin-top:35.45pt;width:455.3pt;height:668.3pt" coordorigin="277,709" coordsize="9106,13366">
                <v:shape id="shape_0" stroked="f" style="position:absolute;left:277;top:709;width:9105;height:13365" type="shapetype_75">
                  <v:imagedata r:id="rId98"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Angajamentele statului</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Transparență</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Datorie imediată</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Neutralitate</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Prejudecăți metodologice</w:t>
                        </w:r>
                      </w:p>
                    </w:txbxContent>
                  </v:textbox>
                  <w10:wrap type="square"/>
                  <v:fill o:detectmouseclick="t" on="false"/>
                  <v:stroke color="#3465a4" joinstyle="round" endcap="flat"/>
                </v:rect>
                <v:shape id="shape_0" stroked="f" style="position:absolute;left:2018;top:4491;width:6856;height:9276" type="shapetype_75">
                  <v:imagedata r:id="rId99" o:detectmouseclick="t"/>
                  <w10:wrap type="none"/>
                  <v:stroke color="#3465a4" joinstyle="round" endcap="flat"/>
                </v:shape>
              </v:group>
            </w:pict>
          </mc:Fallback>
        </mc:AlternateContent>
      </w:r>
      <w:r>
        <w:rPr/>
        <w:t xml:space="preserve">Angajamente metodologice și prejudecăți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Angajamentele statului privind democrația participativă </w:t>
      </w:r>
    </w:p>
    <w:p>
      <w:pPr>
        <w:pStyle w:val="P68B1DB1Normal19"/>
        <w:widowControl w:val="false"/>
        <w:spacing w:lineRule="auto" w:line="240" w:before="0" w:after="0"/>
        <w:ind w:left="0" w:right="0" w:hanging="0"/>
        <w:jc w:val="left"/>
        <w:rPr/>
      </w:pPr>
      <w:r>
        <w:rPr/>
        <w:t>Partea franceză a Conferinței privind viitorul Europei face parte din angajamentele statului față de democrația participativă, care se bazează pe trei principii:</w:t>
      </w:r>
      <w:r>
        <w:rPr>
          <w:b/>
        </w:rPr>
        <w:t xml:space="preserve"> transparență, neutralitate și datorie imediat</w:t>
      </w:r>
      <w:r>
        <w:rPr/>
        <w:t xml:space="preserve">. </w:t>
      </w:r>
    </w:p>
    <w:p>
      <w:pPr>
        <w:pStyle w:val="P68B1DB1Normal19"/>
        <w:widowControl w:val="false"/>
        <w:spacing w:lineRule="auto" w:line="240" w:before="0" w:after="0"/>
        <w:ind w:left="0" w:right="0" w:hanging="0"/>
        <w:jc w:val="both"/>
        <w:rPr/>
      </w:pPr>
      <w:r>
        <w:rPr/>
        <w:t xml:space="preserve">O abordare participativă obligă organizatorul să respecte o metodologie riguroasă. Metoda de participare a cetățenilor trebuie să permită cetățenilor să participe în cele mai bune condiții posibile și să își exprime opiniile în mod liber și motivat.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Transparență </w:t>
      </w:r>
    </w:p>
    <w:p>
      <w:pPr>
        <w:pStyle w:val="P68B1DB1Normal19"/>
        <w:widowControl w:val="false"/>
        <w:spacing w:lineRule="auto" w:line="240" w:before="0" w:after="0"/>
        <w:ind w:left="0" w:right="0" w:hanging="0"/>
        <w:jc w:val="left"/>
        <w:rPr/>
      </w:pPr>
      <w:r>
        <w:rPr/>
        <w:t xml:space="preserve">Echipa de organizare a conferinței se angajează să pună la dispoziția cetățenilor toate informațiile privind consultarea: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Cadrul în care are loc consultarea; •</w:t>
      </w:r>
      <w:r>
        <w:rPr/>
        <w:t xml:space="preserve"> </w:t>
      </w:r>
      <w:r>
        <w:rPr>
          <w:rFonts w:ascii="Times New Roman" w:hAnsi="Times New Roman"/>
        </w:rPr>
        <w:t xml:space="preserve">Angajamentele asumate față de cetățeni;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Scopurile consultării;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Rezultatele consultării. </w:t>
      </w:r>
    </w:p>
    <w:p>
      <w:pPr>
        <w:pStyle w:val="Normal"/>
        <w:widowControl w:val="false"/>
        <w:spacing w:lineRule="auto" w:line="240" w:before="0" w:after="0"/>
        <w:ind w:left="0" w:right="0" w:hanging="0"/>
        <w:jc w:val="both"/>
        <w:rPr/>
      </w:pPr>
      <w:r>
        <w:rPr>
          <w:rFonts w:ascii="Times New Roman" w:hAnsi="Times New Roman"/>
          <w:color w:val="000000"/>
          <w:sz w:val="24"/>
        </w:rPr>
        <w:t>Metodologia Conferinței privind viitorul Europei a fost astfel stabilită cu obiectivul constant de a asigura transparența pentru cetățeni. Metodologia de recrutare a cetățenilor recrutați în mod aleatoriu, prejudecățile metodologice și tratamentul discursului cetățenilor au fost stabilite în mod clar. Participanții au primit, de asemenea, un rezumat al conferinței lor regionale prin e-mail la sfârșitul conferinței. În plus, toate documentele de lucru și de ieșire vor fi făcute publice la sfârșitul schemei de pe platforma de participare a cetățenilor a statului</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Neutralitate </w:t>
      </w:r>
    </w:p>
    <w:p>
      <w:pPr>
        <w:pStyle w:val="P68B1DB1Normal19"/>
        <w:widowControl w:val="false"/>
        <w:spacing w:lineRule="auto" w:line="240" w:before="0" w:after="0"/>
        <w:ind w:left="0" w:right="0" w:hanging="0"/>
        <w:jc w:val="both"/>
        <w:rPr/>
      </w:pPr>
      <w:r>
        <w:rPr/>
        <w:t xml:space="preserve">În timpul unei consultări, echipa organizatoare trebuie să se asigure că rămâne neutră în ceea ce privește facilitarea schimburilor, precum și în redactarea rezumatelor care prezintă rezultatele. Părțile interesate din cadrul sistemului – facilitatori, facilitatori, experți – nu ar trebui să își exprime propriile opinii sau să încerce să direcționeze dezbaterea în mod subiectiv. </w:t>
      </w:r>
    </w:p>
    <w:p>
      <w:pPr>
        <w:pStyle w:val="P68B1DB1Normal19"/>
        <w:widowControl w:val="false"/>
        <w:spacing w:lineRule="auto" w:line="240" w:before="0" w:after="0"/>
        <w:ind w:left="0" w:right="0" w:hanging="0"/>
        <w:jc w:val="both"/>
        <w:rPr/>
      </w:pPr>
      <w:r>
        <w:rPr/>
        <w:t xml:space="preserve">Obiectivul neutralității a fost urmărit în toate etapele consultării, asigurând în special o selecție imparțială a participanților, o libertate deplină în dezbateri și o lipsă de influență asupra discursului cetățenesc din partea sponsorului sau a părților interesate. Acest imperativ de neutralitate s-a concretizat printr-un proces obiectiv și transparent de recrutare a participanților, printr-o prejudecată metodologică coerentă (experența inversă, lipsa de încadrare tematică a dezbaterilor) și printr-un accent deosebit pe postura diferiților vorbitori (facilitatori, facilitatori, experți). În cele din urmă, echipa de organizare s-a asigurat că valorizează toate cuvintele și nu filtrează propunerile cetățenilor. </w:t>
      </w:r>
    </w:p>
    <w:p>
      <w:pPr>
        <w:pStyle w:val="P68B1DB1Normal19"/>
        <w:widowControl w:val="false"/>
        <w:spacing w:lineRule="auto" w:line="240" w:before="0" w:after="0"/>
        <w:ind w:left="0" w:right="0" w:hanging="0"/>
        <w:jc w:val="both"/>
        <w:rPr/>
      </w:pPr>
      <w:r>
        <w:rPr/>
        <w:t xml:space="preserve">Un </w:t>
      </w:r>
      <w:r>
        <w:rPr>
          <w:b/>
        </w:rPr>
        <w:t>colegiu format din trei garanți</w:t>
      </w:r>
      <w:r>
        <w:rPr/>
        <w:t xml:space="preserve">, numiți de președinții Adunării Naționale și ai Parlamentului European și de guvern, s-a asigurat, de asemenea, că toate opiniile sunt exprimate și luate în considerare.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Datorie imediată </w:t>
      </w:r>
    </w:p>
    <w:p>
      <w:pPr>
        <w:pStyle w:val="P68B1DB1Normal19"/>
        <w:widowControl w:val="false"/>
        <w:spacing w:lineRule="auto" w:line="240" w:before="0" w:after="0"/>
        <w:ind w:left="0" w:right="0" w:hanging="0"/>
        <w:jc w:val="both"/>
        <w:rPr/>
      </w:pPr>
      <w:r>
        <w:rPr/>
        <w:t xml:space="preserve">Cetățenii, indiferent dacă au participat sau nu la consultare, au dreptul de a fi informați cu privire la ceea ce a fost ales cu privire la propunerile lor și la opiniile pe care le-au formulat în urma consultării și din ce motive. Aceasta se numește </w:t>
      </w:r>
      <w:r>
        <w:rPr>
          <w:b/>
        </w:rPr>
        <w:t>datorie imediat</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Acesta este definit de Centrul interdepartamental pentru participarea cetățenilor (ICPC) și de Direcția Interdepartamentală pentru Transformarea Publică (DITP) ca fiind angajamentul luat de factorul de decizie publică de a oferi cetățenilor un răspuns clar și lizibil la rezultatul consultării. Concret, datoria de monitorizare este de a reveni cetățenilor pentru a le explica modul în care contribuțiile lor sunt luate în considerare și au un impact asupra procesului decizional și asupra practicilor administrației.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Guvernul și-a asumat această obligație ca urmare a Conferinței privind viitorul Europei și a anunțat un mecanism ambițios de monitorizare în urma conferinței naționale descrise în următoarea parte a prezentului raport (a se vedea „ </w:t>
      </w:r>
      <w:r>
        <w:rPr>
          <w:i/>
        </w:rPr>
        <w:t>părțile metodologice”</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Partide metodologice </w:t>
      </w:r>
    </w:p>
    <w:p>
      <w:pPr>
        <w:pStyle w:val="P68B1DB1Normal19"/>
        <w:widowControl w:val="false"/>
        <w:spacing w:lineRule="auto" w:line="240" w:before="0" w:after="0"/>
        <w:ind w:left="0" w:right="0" w:hanging="0"/>
        <w:jc w:val="both"/>
        <w:rPr/>
      </w:pPr>
      <w:r>
        <w:rPr/>
        <w:t xml:space="preserve">Aceste trei angajamente ale statului s-au reflectat în metodologia de consultare sub forma a </w:t>
      </w:r>
      <w:r>
        <w:rPr>
          <w:b/>
        </w:rPr>
        <w:t>șapte prejudecăți metodologice puternice</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Teritorializare și proximitate</w:t>
      </w:r>
    </w:p>
    <w:p>
      <w:pPr>
        <w:pStyle w:val="P68B1DB1Normal24"/>
        <w:widowControl w:val="false"/>
        <w:spacing w:lineRule="auto" w:line="240" w:before="0" w:after="0"/>
        <w:ind w:left="0" w:right="0" w:hanging="0"/>
        <w:jc w:val="both"/>
        <w:rPr/>
      </w:pPr>
      <w:r>
        <w:rPr/>
        <w:t xml:space="preserve">Componenta națională a Conferinței privind viitorul Europei a luat forma a 18 conferințe regionale, în cele 13 regiuni metropolitane și în cele 5 regiuni ultramarine franceze, urmată de o conferință națională la Paris. Prin această alegere de organizare a grupurilor la nivel local, dorința a fost de a </w:t>
      </w:r>
      <w:r>
        <w:rPr>
          <w:b/>
        </w:rPr>
        <w:t>aduna o voce cât mai apropiată posibil de cetățeni</w:t>
      </w:r>
      <w:r>
        <w:rPr/>
        <w:t xml:space="preserve">. Această prejudecată a îmbogățit, de asemenea, consultarea prin evidențierea liniilor consensuale și divergente dintre teritorii cu privire la diferite subiecte.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Diversitatea profilurilor cetățenilor și utilizarea tragerii la sorți</w:t>
      </w:r>
    </w:p>
    <w:p>
      <w:pPr>
        <w:pStyle w:val="P68B1DB1Normal24"/>
        <w:widowControl w:val="false"/>
        <w:spacing w:lineRule="auto" w:line="240" w:before="0" w:after="0"/>
        <w:ind w:left="0" w:right="0" w:hanging="0"/>
        <w:jc w:val="both"/>
        <w:rPr/>
      </w:pPr>
      <w:r>
        <w:rPr/>
        <w:t xml:space="preserve">Un obiectiv pentru recrutarea a 50 de cetățeni per conferință regională a fost stabilit înaintea procesului, cu excepția conferințelor ultramarine din Martinica, Mayotte, Guadelupa și Guyana, cu 30-40 de cetățeni fiecare, și a conferinței Grand Est în care au fost prezenți, de asemenea, 5 cetățeni germani din cele trei landuri de frontieră. O </w:t>
      </w:r>
      <w:r>
        <w:rPr>
          <w:b/>
        </w:rPr>
        <w:t>generație aleatorie</w:t>
      </w:r>
      <w:r>
        <w:rPr/>
        <w:t xml:space="preserve"> de numere de telefon a făcut posibilă atragerea unui număr mare de cetățeni invitați să participe la conferințe regionale. </w:t>
      </w:r>
    </w:p>
    <w:p>
      <w:pPr>
        <w:pStyle w:val="P68B1DB1Normal24"/>
        <w:widowControl w:val="false"/>
        <w:spacing w:lineRule="auto" w:line="240" w:before="0" w:after="0"/>
        <w:ind w:left="0" w:right="0" w:hanging="0"/>
        <w:jc w:val="both"/>
        <w:rPr/>
      </w:pPr>
      <w:r>
        <w:rPr/>
        <w:t xml:space="preserve">Pentru a fi eligibili, cetățenii trase la sorți trebuiau să aibă peste 18 ani și să fie rezidenți francezi sau permanenți într-o situație obișnuită. Fiecare grup regional de cetățeni a trebuit să fie </w:t>
      </w:r>
      <w:r>
        <w:rPr>
          <w:b/>
        </w:rPr>
        <w:t>reprezentativ pentru diversitatea populației regionale</w:t>
      </w:r>
      <w:r>
        <w:rPr/>
        <w:t xml:space="preserve">și să reunească o </w:t>
      </w:r>
      <w:r>
        <w:rPr>
          <w:b/>
        </w:rPr>
        <w:t>diversitate de opinii cu privire la Europa</w:t>
      </w:r>
      <w:r>
        <w:rPr/>
        <w:t xml:space="preserve">. Metodologia exactă de recrutare prin tragere la sorți este stabilită în anexa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Transparența abordării</w:t>
      </w:r>
    </w:p>
    <w:p>
      <w:pPr>
        <w:pStyle w:val="P68B1DB1Normal24"/>
        <w:widowControl w:val="false"/>
        <w:spacing w:lineRule="auto" w:line="240" w:before="0" w:after="0"/>
        <w:ind w:left="0" w:right="0" w:hanging="0"/>
        <w:jc w:val="both"/>
        <w:rPr/>
      </w:pPr>
      <w:r>
        <w:rPr/>
        <w:t xml:space="preserve">Un </w:t>
      </w:r>
      <w:r>
        <w:rPr>
          <w:b/>
        </w:rPr>
        <w:t>colegiu format din trei garanți</w:t>
      </w:r>
      <w:r>
        <w:rPr/>
        <w:t xml:space="preserve"> numiți de secretarul de stat pentru afaceri europene, președintele Adunării Naționale și Președintele Parlamentului European au urmărit întregul proces pentru a asigura neutralitatea și regularitatea acestuia. În special, garanții au: a monitorizat sinceritatea recrutării cetățenilor prin tragere la sorți, a făcut recomandări pentru selectarea experților și s-a asigurat că dezbaterile sunt bine organizate. La sfârșitul procedurii, garanții își vor face publică opinia cu privire la consultare. Acest document va fi publicat pe platforma de participare a cetățenilor de stat. </w:t>
      </w:r>
    </w:p>
    <w:p>
      <w:pPr>
        <w:pStyle w:val="P68B1DB1Normal24"/>
        <w:widowControl w:val="false"/>
        <w:spacing w:lineRule="auto" w:line="240" w:before="0" w:after="0"/>
        <w:ind w:left="0" w:right="0" w:hanging="0"/>
        <w:jc w:val="both"/>
        <w:rPr/>
      </w:pPr>
      <w:r>
        <w:rPr/>
        <w:t xml:space="preserve">De asemenea, vor fi publicate pe platforma pentru participarea cetățenilor a statului: rezumatele celor optsprezece conferințe regionale, rezumatul tuturor modificărilor exprimate la conferințele regionale, sinteza conferinței naționale și, în final, raportul final prezentat Guvernului.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O dezbatere deschisă fără o temă impusă</w:t>
      </w:r>
    </w:p>
    <w:p>
      <w:pPr>
        <w:pStyle w:val="P68B1DB1Normal24"/>
        <w:widowControl w:val="false"/>
        <w:spacing w:lineRule="auto" w:line="240" w:before="215" w:after="0"/>
        <w:ind w:left="1" w:right="0" w:hanging="0"/>
        <w:jc w:val="left"/>
        <w:rPr/>
      </w:pPr>
      <w:r>
        <w:rPr/>
        <w:t xml:space="preserve">În contextul acestei consultări naționale, a fost formulată o singură întrebare în atenția cetățenilor participanți: </w:t>
      </w:r>
      <w:r>
        <w:rPr>
          <w:i/>
        </w:rPr>
        <w:t>În calitate de cetățeni francezi, ce schimbări doriți pentru Europa?</w:t>
      </w:r>
      <w:r>
        <w:rPr/>
        <w:t xml:space="preserve"> </w:t>
      </w:r>
    </w:p>
    <w:p>
      <w:pPr>
        <w:pStyle w:val="P68B1DB1Normal24"/>
        <w:widowControl w:val="false"/>
        <w:spacing w:lineRule="auto" w:line="240" w:before="235" w:after="0"/>
        <w:ind w:left="1" w:right="0" w:hanging="0"/>
        <w:jc w:val="both"/>
        <w:rPr/>
      </w:pPr>
      <w:r>
        <w:rPr/>
        <w:t xml:space="preserve">Prin desfășurarea și metodologia pusă în aplicare, cetățenii au putut să-și determine singuri agenda schimbărilor dorite, fără a fi constrânși de o temă specifică sau de o încadrare normativă anterioară. </w:t>
      </w:r>
    </w:p>
    <w:p>
      <w:pPr>
        <w:pStyle w:val="Normal"/>
        <w:widowControl w:val="false"/>
        <w:spacing w:lineRule="auto" w:line="240" w:before="233" w:after="0"/>
        <w:ind w:left="1" w:right="1" w:hanging="0"/>
        <w:jc w:val="both"/>
        <w:rPr/>
      </w:pPr>
      <w:r>
        <w:rPr>
          <w:rFonts w:ascii="Times New Roman" w:hAnsi="Times New Roman"/>
          <w:color w:val="000000"/>
        </w:rPr>
        <w:t>Scopul a fost acela de a permite cetățenilor conferințelor regionale să se bucure de libertate deplină în ceea ce privește subiectele pe care doresc să le abordeze. Ministerul Europei și Afacerilor Externe pentru partea națională a Conferinței privind viitorul Europei a ales astfel să dezvolte o abordare complementară a exercițiului european, structurat în jurul a nouă teme: schimbările climatice și mediul; sănătate; o economie mai puternică, justiție socială și ocuparea forței de muncă; UE în lume; valori și drepturi, statul de drept, securitate; transformarea digitală; Democrația europeană; migrația; educație, cultură, tineret și sport; alte idei</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Astfel, temele schimburilor de conferințe regionale au fost definite de către cetățeni înșiși, iar nu de către sponsorul exercițiului.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Expertiză inversă</w:t>
      </w:r>
    </w:p>
    <w:p>
      <w:pPr>
        <w:pStyle w:val="P68B1DB1Normal24"/>
        <w:widowControl w:val="false"/>
        <w:spacing w:lineRule="auto" w:line="240" w:before="218" w:after="0"/>
        <w:ind w:left="1" w:right="0" w:hanging="0"/>
        <w:jc w:val="left"/>
        <w:rPr/>
      </w:pPr>
      <w:r>
        <w:rPr/>
        <w:t xml:space="preserve">Pentru a influența cât mai puțin posibil participanții la procesul de identificare a dorințelor lor pentru Europa, </w:t>
      </w:r>
      <w:r>
        <w:rPr>
          <w:b/>
        </w:rPr>
        <w:t>s-a optat să nu furnizeze informații sau expertiză prealabilă</w:t>
      </w:r>
      <w:r>
        <w:rPr/>
        <w:t xml:space="preserve"> (de exemplu, cu privire la proiectul actual al Uniunii Europene, competențele sale sau funcționarea instituțiilor), ci să pornească de la întrebările cetățenilor înșiși. Această prejudecată metodologică se bazează pe principiul „expertinței </w:t>
      </w:r>
      <w:r>
        <w:rPr>
          <w:i/>
        </w:rPr>
        <w:t>inversate” conform</w:t>
      </w:r>
      <w:r>
        <w:rPr/>
        <w:t xml:space="preserve">căruia </w:t>
      </w:r>
      <w:r>
        <w:rPr>
          <w:b/>
        </w:rPr>
        <w:t>reflecția colectivă</w:t>
      </w:r>
      <w:r>
        <w:rPr/>
        <w:t xml:space="preserve"> se bazează pe experiențele și opiniile cetățenilor, care apoi pun întrebări experților pentru a-și susține discuțiile și pentru a-și consolida ipotezele de lucru. </w:t>
      </w:r>
    </w:p>
    <w:p>
      <w:pPr>
        <w:pStyle w:val="P68B1DB1Normal24"/>
        <w:widowControl w:val="false"/>
        <w:spacing w:lineRule="auto" w:line="240" w:before="232" w:after="0"/>
        <w:ind w:left="0" w:right="0" w:hanging="0"/>
        <w:jc w:val="both"/>
        <w:rPr/>
      </w:pPr>
      <w:r>
        <w:rPr/>
        <w:t xml:space="preserve">Pentru a atinge acest obiectiv, au fost mobilizați </w:t>
      </w:r>
      <w:r>
        <w:rPr>
          <w:b/>
        </w:rPr>
        <w:t>experți</w:t>
      </w:r>
      <w:r>
        <w:rPr/>
        <w:t xml:space="preserve"> în diferitele regiuni (în medie trei), în special din mediul academic și din centrele de informare Europe Direct din teritoriile în cauză. Aceștia au fost prezenți sâmbătă și duminică pentru a răspunde întrebărilor cetățenilor, vorbind doar la cererea lor. Verificatorii </w:t>
      </w:r>
      <w:r>
        <w:rPr>
          <w:b/>
        </w:rPr>
        <w:t>faptelor</w:t>
      </w:r>
      <w:r>
        <w:rPr/>
        <w:t xml:space="preserve"> au fost,</w:t>
      </w:r>
      <w:r>
        <w:rPr>
          <w:i/>
        </w:rPr>
        <w:t>de</w:t>
      </w:r>
      <w:r>
        <w:rPr/>
        <w:t xml:space="preserve">asemenea, accesibili pentru a verifica rapid întrebările factuale adresate de cetățeni. </w:t>
      </w:r>
    </w:p>
    <w:p>
      <w:pPr>
        <w:pStyle w:val="P68B1DB1Normal24"/>
        <w:widowControl w:val="false"/>
        <w:spacing w:lineRule="auto" w:line="240" w:before="235" w:after="0"/>
        <w:ind w:left="0" w:right="1" w:hanging="0"/>
        <w:jc w:val="both"/>
        <w:rPr/>
      </w:pPr>
      <w:r>
        <w:rPr/>
        <w:t xml:space="preserve">La Conferința națională de sinteză din cadrul CESE, 19 experți la nivel înalt din mediul academic, grupuri de reflecție și corp diplomatic au participat la grupurile de lucru. Acești experți au însoțit un grup pe tot parcursul weekendului, permițându-le să aprofundeze schimbările exprimate în regiuni.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Colegialitate și guvernare agilă</w:t>
      </w:r>
    </w:p>
    <w:p>
      <w:pPr>
        <w:pStyle w:val="P68B1DB1Normal24"/>
        <w:widowControl w:val="false"/>
        <w:spacing w:lineRule="auto" w:line="240" w:before="212" w:after="0"/>
        <w:ind w:left="0" w:right="0" w:hanging="0"/>
        <w:jc w:val="left"/>
        <w:rPr/>
      </w:pPr>
      <w:r>
        <w:rPr/>
        <w:t xml:space="preserve">Întregul proces a fost </w:t>
      </w:r>
      <w:r>
        <w:rPr>
          <w:b/>
        </w:rPr>
        <w:t>co-construit</w:t>
      </w:r>
      <w:r>
        <w:rPr/>
        <w:t xml:space="preserve"> de Ministerul Europei și Afacerilor Externe (MEAE). </w:t>
      </w:r>
    </w:p>
    <w:p>
      <w:pPr>
        <w:pStyle w:val="P68B1DB1Normal24"/>
        <w:widowControl w:val="false"/>
        <w:spacing w:lineRule="auto" w:line="240"/>
        <w:ind w:left="0" w:right="4" w:hanging="0"/>
        <w:jc w:val="both"/>
        <w:rPr/>
      </w:pPr>
      <w:r>
        <w:rPr/>
        <w:t xml:space="preserve">cu sprijinul strategiei participative a Centrului Interministerial pentru Participarea Cetățenilor (ICPC) al Direcției Interministeriale de Transformare Publică (DITP) și a Ministerului Relațiilor Parlamentare și Participării Cetățene (MRPC). Schema a fost pusă în aplicare de un consorțiu de furnizori format din Roland Berger, Wavestone, Missions Publiques și Harris Interactive pentru coordonarea procesului, animarea conferințelor, elaborarea de rapoarte și rezumate, în colaborare cu prefecturile regionale pentru organizarea locală a conferințelor regionale. </w:t>
      </w:r>
    </w:p>
    <w:p>
      <w:pPr>
        <w:pStyle w:val="P68B1DB1Normal24"/>
        <w:widowControl w:val="false"/>
        <w:spacing w:lineRule="auto" w:line="240" w:before="232" w:after="0"/>
        <w:ind w:left="0" w:right="4" w:hanging="0"/>
        <w:jc w:val="left"/>
        <w:rPr/>
      </w:pPr>
      <w:r>
        <w:rPr>
          <w:b/>
        </w:rPr>
        <w:t>Guvernanța specifică</w:t>
      </w:r>
      <w:r>
        <w:rPr/>
        <w:t xml:space="preserve"> a fost creată în jurul unei echipe de proiect prezidate de MEAE, care reunește CPIC, MRPC și consorțiul furnizorilor.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Obligația de a urmări și de a articula cu exercițiul european</w:t>
      </w:r>
    </w:p>
    <w:p>
      <w:pPr>
        <w:pStyle w:val="P68B1DB1Normal19"/>
        <w:widowControl w:val="false"/>
        <w:spacing w:lineRule="auto" w:line="240" w:before="211" w:after="0"/>
        <w:ind w:left="0" w:right="0" w:hanging="0"/>
        <w:jc w:val="left"/>
        <w:rPr/>
      </w:pPr>
      <w:r>
        <w:rPr/>
        <w:t xml:space="preserve">Cu ocazia conferinței naționale, au fost anunțate mai multe elemente ale </w:t>
      </w:r>
      <w:r>
        <w:rPr>
          <w:b/>
        </w:rPr>
        <w:t>obligației de monitorizare</w:t>
      </w:r>
      <w:r>
        <w:rPr/>
        <w:t xml:space="preserve"> a instituțiilor franceze în urma exercițiului desfășurat pentru Conferința privind viitorul Europei: </w:t>
      </w:r>
    </w:p>
    <w:p>
      <w:pPr>
        <w:pStyle w:val="P68B1DB1Normal34"/>
        <w:widowControl w:val="false"/>
        <w:spacing w:lineRule="auto" w:line="240" w:before="333" w:after="0"/>
        <w:ind w:left="720" w:right="0" w:hanging="359"/>
        <w:jc w:val="both"/>
        <w:rPr/>
      </w:pPr>
      <w:r>
        <w:rPr>
          <w:rFonts w:ascii="Calibri" w:hAnsi="Calibri"/>
        </w:rPr>
        <w:t>-</w:t>
      </w:r>
      <w:r>
        <w:rPr/>
        <w:t xml:space="preserve"> </w:t>
      </w:r>
      <w:r>
        <w:rPr>
          <w:rFonts w:ascii="Times New Roman" w:hAnsi="Times New Roman"/>
          <w:b/>
        </w:rPr>
        <w:t>Punerea la dispoziție a tuturor informațiilor</w:t>
      </w:r>
      <w:r>
        <w:rPr>
          <w:rFonts w:ascii="Times New Roman" w:hAnsi="Times New Roman"/>
        </w:rPr>
        <w:t xml:space="preserve"> privind abordarea, acest document, precum și rapoartele de sinteză ale conferințelor regionale și naționale, într-un mod transparent și accesibil tuturor, pe noua platformă de participare a cetățenilor, lansată cu ocazia revenirii la Guvern; </w:t>
      </w:r>
    </w:p>
    <w:p>
      <w:pPr>
        <w:pStyle w:val="P68B1DB1Normal34"/>
        <w:widowControl w:val="false"/>
        <w:spacing w:lineRule="auto" w:line="240" w:before="90" w:after="0"/>
        <w:ind w:left="360" w:right="0" w:hanging="0"/>
        <w:jc w:val="left"/>
        <w:rPr/>
      </w:pPr>
      <w:r>
        <w:rPr>
          <w:rFonts w:ascii="Calibri" w:hAnsi="Calibri"/>
        </w:rPr>
        <w:t>-</w:t>
      </w:r>
      <w:r>
        <w:rPr/>
        <w:t xml:space="preserve"> </w:t>
      </w:r>
      <w:r>
        <w:rPr>
          <w:rFonts w:ascii="Times New Roman" w:hAnsi="Times New Roman"/>
        </w:rPr>
        <w:t xml:space="preserve">Organizarea unui </w:t>
      </w:r>
      <w:r>
        <w:rPr>
          <w:rFonts w:ascii="Times New Roman" w:hAnsi="Times New Roman"/>
          <w:b/>
        </w:rPr>
        <w:t>eveniment pentru a reveni guvernului</w:t>
      </w:r>
      <w:r>
        <w:rPr>
          <w:rFonts w:ascii="Times New Roman" w:hAnsi="Times New Roman"/>
        </w:rPr>
        <w:t xml:space="preserve"> raportul final al componentei naționale a Conferinței privind viitorul Europei din noiembrie 2021;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Înființarea unui </w:t>
      </w:r>
      <w:r>
        <w:rPr>
          <w:rFonts w:ascii="Times New Roman" w:hAnsi="Times New Roman"/>
          <w:b/>
        </w:rPr>
        <w:t>comitet de monitorizare a</w:t>
      </w:r>
      <w:r>
        <w:rPr>
          <w:rFonts w:ascii="Times New Roman" w:hAnsi="Times New Roman"/>
        </w:rPr>
        <w:t xml:space="preserve"> cetățenilor pentru a se asigura că rezultatul procesului este în concordanță cu propunerile făcute. Această comisie va fi compusă din 15 cetățeni, dintre care 14 participanți la conferințele regionale și un participant la consultarea „Cuvinte </w:t>
      </w:r>
      <w:r>
        <w:rPr>
          <w:rFonts w:ascii="Times New Roman" w:hAnsi="Times New Roman"/>
          <w:i/>
        </w:rPr>
        <w:t>pentru tineret”</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Furnizarea contribuției Franței la Conferința privind viitorul Europei către instituțiile europene din</w:t>
      </w:r>
      <w:r>
        <w:rPr>
          <w:rFonts w:ascii="Times New Roman" w:hAnsi="Times New Roman"/>
        </w:rPr>
        <w:t xml:space="preserve"> ianuarie 2022; </w:t>
      </w:r>
    </w:p>
    <w:p>
      <w:pPr>
        <w:pStyle w:val="P68B1DB1Normal19"/>
        <w:widowControl w:val="false"/>
        <w:spacing w:lineRule="auto" w:line="240" w:before="87" w:after="0"/>
        <w:ind w:left="0" w:right="0" w:hanging="0"/>
        <w:jc w:val="left"/>
        <w:rPr/>
      </w:pPr>
      <w:r>
        <w:rPr/>
        <w:t xml:space="preserve">Propunerile cetățenilor francezi vor fi aduse la reflectarea colectivă a statelor membre și a instituțiilor europene. În calitate de țară care deține președinția Consiliului Uniunii Europene în prima jumătate a anului 2022, va fi la latitudinea Franței să vorbească vocea cetățenilor săi, în timp ce va depune eforturi pentru a defini o poziție comună la nivelul întregului continent.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Prima parte: prezentarea rezultatelor conferințelor regionale privind viitorul Europei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În fiecare dintre cele 18 conferințe regionale, cetățenii și-au exprimat dorințele pentru Europa din 2035 în mod individual și apoi ca grup. Între 3 și 8 grupuri de dorințe au apărut în fiecare regiune, ceea ce a dus la un total de </w:t>
      </w:r>
      <w:r>
        <w:rPr>
          <w:b/>
        </w:rPr>
        <w:t>101 de grupuri dorite în toată Franța</w:t>
      </w:r>
      <w:r>
        <w:rPr/>
        <w:t xml:space="preserve">. Cetățenii au formulat apoi schimbări pe care le-au considerat necesare pentru a ajunge în Europa dorită și apoi le-au ilustrat cu acțiuni concrete. Acest proces a generat un total de </w:t>
      </w:r>
      <w:r>
        <w:rPr>
          <w:b/>
        </w:rPr>
        <w:t>515 modificări</w:t>
      </w:r>
      <w:r>
        <w:rPr/>
        <w:t xml:space="preserve"> și 1.301 </w:t>
      </w:r>
      <w:r>
        <w:rPr>
          <w:b/>
        </w:rPr>
        <w:t xml:space="preserve">de acțiuni concrete în toată </w:t>
      </w:r>
      <w:r>
        <w:rPr/>
        <w:t xml:space="preserve">Franța.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În săptămânile care au separat conferințele regionale și conferința națională, echipa proiectului a realizat o grupare de 515 schimbări în grupuri coerente. Toate schimbările exprimate în regiuni au fost supuse unei analize lexicologice și s-au încheiat atunci când intenția lor subiacentă părea similară sau apropiată, astfel încât să se înființeze pentru grupurile de lucru naționale ale conferinței cu o dorință comună pentru Europa. În cele </w:t>
      </w:r>
      <w:r>
        <w:rPr>
          <w:b/>
        </w:rPr>
        <w:t>din urmă, modificările identificate în regiuni au fost grupate în 14 dorințe europene distincte</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rmularul 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0"/>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Dorințe</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pentru Europa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Schimbări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pentru a ajunge la această Europă dorită</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Propuneri concrete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de punere în aplicare a acestor modificări</w:t>
                              </w:r>
                            </w:p>
                          </w:txbxContent>
                        </wps:txbx>
                        <wps:bodyPr lIns="90000" rIns="90000" tIns="45000" bIns="45000">
                          <a:noAutofit/>
                        </wps:bodyPr>
                      </wps:wsp>
                    </wpg:wgp>
                  </a:graphicData>
                </a:graphic>
              </wp:anchor>
            </w:drawing>
          </mc:Choice>
          <mc:Fallback>
            <w:pict>
              <v:group id="shape_0" alt="Formularul 11" style="position:absolute;margin-left:34.4pt;margin-top:7.25pt;width:453.95pt;height:103.85pt" coordorigin="688,145" coordsize="9079,2077">
                <v:shape id="shape_0" stroked="f" style="position:absolute;left:688;top:145;width:9078;height:1696" type="shapetype_75">
                  <v:imagedata r:id="rId100"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Dorințe</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pentru Europa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Schimbări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pentru a ajunge la această Europă dorită</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Propuneri concrete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de punere în aplicare a acestor modificări</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Întrebare pentru cetățeni</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Care este dorința dumneavoastră pentru Europa din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Ce schimbări sunt necesare pentru a ajunge la această Europă dorită?</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Ce propuneri concrete ați face pentru a pune în aplicare aceste modificări?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Rezultatele conferințelor regionale</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dorințe</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modificări</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Propuneri concrete</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Comandarea a 515 schimbări regionale în 14 dorințe consecvente din partea echipei organizației</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Gruparea, prioritizarea și detalierea modificărilor de către participanți în timpul conferinței naționale</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Rezultatul conferinței naționale</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dorințe</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de modificări</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Etapele cheie de punere în aplicare și criteriile de succes pentru fiecare schimbare</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R. Clasificarea celor 14 dorințe ale Europei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La sfârșitul fiecărei conferințe regionale, cetățenii participanți au votat pentru a-și exprima sprijinul pentru schimbările identificate de diferitele grupuri de lucru.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Cadru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Clasamentul dorințelor Europei în funcție de rata de popularitate </w:t>
                            </w:r>
                          </w:p>
                        </w:txbxContent>
                      </wps:txbx>
                      <wps:bodyPr lIns="0" rIns="0" tIns="0" bIns="0">
                        <a:noAutofit/>
                      </wps:bodyPr>
                    </wps:wsp>
                  </a:graphicData>
                </a:graphic>
              </wp:anchor>
            </w:drawing>
          </mc:Choice>
          <mc:Fallback>
            <w:pict>
              <v:rect id="shape_0" ID="Cadru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Clasamentul dorințelor Europei în funcție de rata de popularitate </w:t>
                      </w:r>
                    </w:p>
                  </w:txbxContent>
                </v:textbox>
              </v:rect>
            </w:pict>
          </mc:Fallback>
        </mc:AlternateContent>
      </w:r>
      <w:r>
        <w:rPr>
          <w:rFonts w:ascii="Times New Roman" w:hAnsi="Times New Roman"/>
          <w:color w:val="000000"/>
          <w:sz w:val="24"/>
        </w:rPr>
        <w:t xml:space="preserve">Pe baza grupărilor desfășurate înainte de conferința națională de sinteză, este posibil să se determine – datorită voturilor privind schimbările din fiecare regiune – dorințele Europei fiind cele mai populare în rândul cetățenilor. Astfel, dorințele „ </w:t>
      </w:r>
      <w:r>
        <w:rPr>
          <w:rFonts w:ascii="Times New Roman" w:hAnsi="Times New Roman"/>
          <w:i/>
          <w:color w:val="000000"/>
          <w:sz w:val="24"/>
        </w:rPr>
        <w:t>o Europă care pune educația în prim plan” și „</w:t>
      </w:r>
      <w:r>
        <w:rPr>
          <w:rFonts w:ascii="Times New Roman" w:hAnsi="Times New Roman"/>
          <w:color w:val="000000"/>
          <w:sz w:val="24"/>
        </w:rPr>
        <w:t xml:space="preserve"> </w:t>
      </w:r>
      <w:r>
        <w:rPr>
          <w:rFonts w:ascii="Times New Roman" w:hAnsi="Times New Roman"/>
          <w:i/>
          <w:color w:val="000000"/>
          <w:sz w:val="24"/>
        </w:rPr>
        <w:t>o Europă mai apropiată și accesibilă</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au fost salutate pe scară largă, schimbările fiind susținute, în medie, de 56 % dintre cetățeni în cadrul conferințelor regionale.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rmular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1"/>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 schimbări ați dori să vedeți implementate?</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O Europă care pune educația în prim-plan</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O Europă mai apropiată și accesibilă</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 Europă cu culturi și identități comune</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O Europă angajată în fața provocărilor climatice și de mediu</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O Europă mai unită</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O Europă solidară care protejează</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O Europă care garantează respectarea drepturilor fundamentale</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O Europă competitivă și inovatoare</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O Europă care promovează dezvoltarea durabilă</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O Europă mai democratică</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O Europă cu o guvernanță mai eficientă</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O Europă care își apără interesele</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O Europă puternică în lume</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O Europă în care interesele fiecărui stat prevalează</w:t>
                              </w:r>
                            </w:p>
                          </w:txbxContent>
                        </wps:txbx>
                        <wps:bodyPr lIns="90000" rIns="90000" tIns="45000" bIns="45000">
                          <a:noAutofit/>
                        </wps:bodyPr>
                      </wps:wsp>
                    </wpg:wgp>
                  </a:graphicData>
                </a:graphic>
              </wp:anchor>
            </w:drawing>
          </mc:Choice>
          <mc:Fallback>
            <w:pict>
              <v:group id="shape_0" alt="Formular4" style="position:absolute;margin-left:21.5pt;margin-top:39.85pt;width:354.75pt;height:494.75pt" coordorigin="430,797" coordsize="7095,9895">
                <v:shape id="shape_0" stroked="f" style="position:absolute;left:4005;top:1727;width:3121;height:8964" type="shapetype_75">
                  <v:imagedata r:id="rId101"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 schimbări ați dori să vedeți implementate?</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O Europă care pune educația în prim-plan</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O Europă mai apropiată și accesibilă</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 Europă cu culturi și identități comune</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O Europă angajată în fața provocărilor climatice și de mediu</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O Europă mai unită</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O Europă solidară care protejează</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O Europă care garantează respectarea drepturilor fundamentale</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O Europă competitivă și inovatoare</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O Europă care promovează dezvoltarea durabilă</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O Europă mai democratică</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O Europă cu o guvernanță mai eficientă</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O Europă care își apără interesele</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O Europă puternică în lume</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O Europă în care interesele fiecărui stat prevalează</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Prezentarea celor 14 modificări prioritare rezultate în urma conferinței naționale </w:t>
      </w:r>
    </w:p>
    <w:p>
      <w:pPr>
        <w:pStyle w:val="P68B1DB1Normal19"/>
        <w:widowControl w:val="false"/>
        <w:spacing w:lineRule="exact" w:line="388" w:before="322" w:after="0"/>
        <w:ind w:left="0" w:right="0" w:hanging="0"/>
        <w:jc w:val="left"/>
        <w:rPr/>
      </w:pPr>
      <w:r>
        <w:rPr/>
        <w:t xml:space="preserve">La Conferința Națională de Sinteză, cei 100 de cetățeni participanți au lucrat la unul dintre cele 14 grupuri de dorințe stabilite. La sfârșitul lucrărilor, fiecare grup a selectat pentru a-și reprezenta dorința ca Europa să fie </w:t>
      </w:r>
      <w:r>
        <w:rPr>
          <w:b/>
        </w:rPr>
        <w:t>o schimbare prioritară care urmează să fie pusă în aplicare până în 2035</w:t>
      </w:r>
      <w:r>
        <w:rPr/>
        <w:t xml:space="preserve">. Aceste 14 modificări prioritare au fost apoi propuse la votul a 100 de cetățeni în ultima zi a conferinței naționale. Rezultatul acestui vot este prezentat mai jos, în ordine descrescătoare, în funcție de numărul de voturi obținute pentru fiecare modificare. </w:t>
      </w:r>
    </w:p>
    <w:p>
      <w:pPr>
        <w:pStyle w:val="P68B1DB1Normal19"/>
        <w:widowControl w:val="false"/>
        <w:spacing w:lineRule="exact" w:line="413" w:before="332" w:after="0"/>
        <w:ind w:left="0" w:right="708" w:hanging="0"/>
        <w:jc w:val="left"/>
        <w:rPr/>
      </w:pPr>
      <w:r>
        <w:rPr/>
        <w:t xml:space="preserve">Schimbarea care a obținut cele mai multe voturi de la cei 100 de cetățeni ai conferinței naționale este „ </w:t>
      </w:r>
      <w:r>
        <w:rPr>
          <w:i/>
        </w:rPr>
        <w:t>Dezvoltarea sobrietății energetice pentru a consuma mai puțin prin oprirea celor inutili”</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schimbări majore pentru Europa în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Dezvoltarea sobrietății energetice pentru a consuma mai puțin din prisos</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Consolidarea apărării și securității comune a Uniunii Europene</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Promovarea performanței economice colective printr-o industrie autonomă, competitivă și apreciată de Uniunea Europeană</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Înființarea unei puteri cetățenești la mai multe niveluri: participare, decizie, control</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Mersul la o federație de state europene cu competențe puternice în domenii de interes comun</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Propunerea de programe de schimb pe tot parcursul vieții</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Împărtășirea culturilor europene prin evenimente și evenimente unificatoare</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Armonizarea sănătății și punerea acesteia la dispoziția tuturor europenilor printr-o politică comună în domeniul sănătății</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Dezvoltarea și pilotarea canalelor strategice la nivel european pentru a ne asigura suveranitatea</w:t>
      </w:r>
    </w:p>
    <w:p>
      <w:pPr>
        <w:pStyle w:val="P68B1DB1Normal41"/>
        <w:widowControl w:val="false"/>
        <w:spacing w:lineRule="auto" w:line="240" w:before="193" w:after="0"/>
        <w:ind w:left="324" w:right="0" w:hanging="0"/>
        <w:jc w:val="left"/>
        <w:rPr/>
      </w:pPr>
      <w:r>
        <w:rPr>
          <w:color w:val="FFFFFF"/>
        </w:rPr>
        <w:t>10</w:t>
      </w:r>
      <w:r>
        <w:rPr>
          <w:color w:val="000000"/>
        </w:rPr>
        <w:t>(10)Îmbunătățirea protecției mediului și a ecosistemelor și crearea de zone protejate în centrul zonelor urbane, periurbane și rurale</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Înființarea de relee europene în teritorii pentru a asculta și a consilia cetățenii</w:t>
      </w:r>
    </w:p>
    <w:p>
      <w:pPr>
        <w:pStyle w:val="P68B1DB1Normal41"/>
        <w:widowControl w:val="false"/>
        <w:spacing w:lineRule="auto" w:line="240" w:before="193" w:after="0"/>
        <w:ind w:left="283" w:right="643" w:hanging="0"/>
        <w:jc w:val="left"/>
        <w:rPr/>
      </w:pPr>
      <w:r>
        <w:rPr>
          <w:color w:val="FFFFFF"/>
        </w:rPr>
        <w:t>12</w:t>
      </w:r>
      <w:r>
        <w:rPr>
          <w:color w:val="000000"/>
        </w:rPr>
        <w:t>(12)</w:t>
      </w:r>
      <w:r>
        <w:rPr>
          <w:color w:val="FFFFFF"/>
        </w:rPr>
        <w:t xml:space="preserve"> </w:t>
      </w:r>
      <w:r>
        <w:rPr>
          <w:color w:val="000000"/>
        </w:rPr>
        <w:t>Unificarea modului de alegere a Parlamentului European pentru cele douăzeci și șapte de state și îmbunătățirea apropierii cetățenilor prin înlocuirea votului actual cu un vot unic la nivel regional</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Definirea unei politici comune de îmbunătățire a primirii și a integrării sociale și profesionale a migranților (inclusiv a migranților în situație neregulamentară)</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Conservarea particularităților (etichete alimentare, producție artizanală, tradiții) ale diferitelor regiuni europene, pentru a evita un stil de viață uniform și pentru a asigura trasabilitatea și calitatea produselor</w:t>
      </w:r>
    </w:p>
    <w:p>
      <w:pPr>
        <w:pStyle w:val="Normal"/>
        <w:spacing w:lineRule="auto" w:line="240"/>
        <w:rPr/>
      </w:pPr>
      <w:r>
        <w:rPr/>
      </w:r>
    </w:p>
    <w:p>
      <w:pPr>
        <w:pStyle w:val="Normal"/>
        <w:rPr/>
      </w:pPr>
      <w:r>
        <w:rPr/>
        <w:t xml:space="preserve">Pentru fiecare schimbare prioritară, cetățenii grupului în cauză au dat o definiție a schimbării, au propus acțiuni concrete pentru punerea în aplicare a acesteia și au indicat criteriile de succes până în 2035. </w:t>
      </w:r>
    </w:p>
    <w:p>
      <w:pPr>
        <w:pStyle w:val="Normal"/>
        <w:rPr/>
      </w:pPr>
      <w:r>
        <w:rPr/>
      </w:r>
      <w:r>
        <w:br w:type="page"/>
      </w:r>
    </w:p>
    <w:p>
      <w:pPr>
        <w:pStyle w:val="P68B1DB1Normal42"/>
        <w:widowControl w:val="false"/>
        <w:spacing w:lineRule="auto" w:line="240" w:before="237" w:after="0"/>
        <w:ind w:left="0" w:right="0" w:hanging="0"/>
        <w:jc w:val="left"/>
        <w:rPr/>
      </w:pPr>
      <w:r>
        <w:rPr/>
        <w:t xml:space="preserve">Schimbarea 1 – Dezvoltarea sobrietății energetice pentru a consuma mai puțin prin oprirea superfluei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angajată în fața provocărilor climatice și de mediu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76" w:after="0"/>
        <w:ind w:left="0" w:right="0" w:hanging="0"/>
        <w:jc w:val="left"/>
        <w:rPr/>
      </w:pPr>
      <w:r>
        <w:rPr>
          <w:i/>
          <w:color w:val="000000"/>
        </w:rPr>
        <w:t>Cuvinte cheie: Dezvoltarea energiilor regenerabile, scăderea consumului de energie</w:t>
      </w:r>
      <w:r>
        <w:rPr>
          <w:b/>
          <w:color w:val="273375"/>
        </w:rPr>
        <w:t xml:space="preserve"> </w:t>
      </w:r>
    </w:p>
    <w:p>
      <w:pPr>
        <w:pStyle w:val="P68B1DB1Normal19"/>
        <w:widowControl w:val="false"/>
        <w:spacing w:lineRule="auto" w:line="240" w:before="248" w:after="0"/>
        <w:ind w:left="0" w:right="9" w:hanging="0"/>
        <w:jc w:val="both"/>
        <w:rPr/>
      </w:pPr>
      <w:r>
        <w:rPr/>
        <w:t xml:space="preserve">Această schimbare urmărește să încurajeze reducerea consumului de energie în Europa și dezvoltarea energiei regenerabile. Prioritizarea sa de către cetățeni transcrie dorința lor de a include Europa și locuitorii săi într-o </w:t>
      </w:r>
      <w:r>
        <w:rPr>
          <w:b/>
        </w:rPr>
        <w:t>abordare hotărâtă</w:t>
      </w:r>
      <w:r>
        <w:rPr/>
        <w:t xml:space="preserve"> a provocărilor climatice și de mediu.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237" w:after="0"/>
        <w:ind w:left="0" w:right="9" w:hanging="0"/>
        <w:jc w:val="both"/>
        <w:rPr/>
      </w:pPr>
      <w:r>
        <w:rPr/>
        <w:t xml:space="preserve">Această schimbare se reflectă în dezvoltarea </w:t>
      </w:r>
      <w:r>
        <w:rPr>
          <w:b/>
        </w:rPr>
        <w:t>unor programe ambițioase de cercetare</w:t>
      </w:r>
      <w:r>
        <w:rPr/>
        <w:t xml:space="preserve"> privind sursele regenerabile de energie și în </w:t>
      </w:r>
      <w:r>
        <w:rPr>
          <w:b/>
        </w:rPr>
        <w:t>utilizarea fondurilor europene de investiții</w:t>
      </w:r>
      <w:r>
        <w:rPr/>
        <w:t xml:space="preserve"> cu participare directă în întreprinderi din acest sector. </w:t>
      </w:r>
    </w:p>
    <w:p>
      <w:pPr>
        <w:pStyle w:val="P68B1DB1Normal19"/>
        <w:widowControl w:val="false"/>
        <w:spacing w:lineRule="auto" w:line="240" w:before="326" w:after="0"/>
        <w:ind w:left="0" w:right="9" w:hanging="0"/>
        <w:jc w:val="both"/>
        <w:rPr/>
      </w:pPr>
      <w:r>
        <w:rPr/>
        <w:t xml:space="preserve">Pentru cetățeni, această schimbare ar avea succes dacă s-ar pune în aplicare </w:t>
      </w:r>
      <w:r>
        <w:rPr>
          <w:b/>
        </w:rPr>
        <w:t>obiective obligatoriiprivind consumul de energie și indicatori-cheie</w:t>
      </w:r>
      <w:r>
        <w:rPr/>
        <w:t xml:space="preserve"> de sobrietate, cum ar fi scăderea parcului auto european sau consumul de carne. Ambiția este, de asemenea, de a reuși să stabilească </w:t>
      </w:r>
      <w:r>
        <w:rPr>
          <w:b/>
        </w:rPr>
        <w:t>cote de consum</w:t>
      </w:r>
      <w:r>
        <w:rPr/>
        <w:t xml:space="preserve"> pe sectoare, ținând seama de fluctuațiile consumului întreprinderilor și respectând confidențialitatea datelor acestora. </w:t>
      </w:r>
    </w:p>
    <w:p>
      <w:pPr>
        <w:pStyle w:val="Normal"/>
        <w:spacing w:lineRule="auto" w:line="240"/>
        <w:rPr/>
      </w:pPr>
      <w:r>
        <w:rPr/>
      </w:r>
    </w:p>
    <w:p>
      <w:pPr>
        <w:pStyle w:val="P68B1DB1Normal42"/>
        <w:spacing w:lineRule="auto" w:line="240"/>
        <w:rPr/>
      </w:pPr>
      <w:r>
        <w:rPr/>
        <w:t xml:space="preserve">Modificarea 2 – Consolidarea apărării și securității comune a Uniunii Europene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puternică în lume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78" w:after="0"/>
        <w:ind w:left="0" w:right="0" w:hanging="0"/>
        <w:jc w:val="left"/>
        <w:rPr/>
      </w:pPr>
      <w:r>
        <w:rPr>
          <w:i/>
          <w:color w:val="000000"/>
        </w:rPr>
        <w:t>Cuvinte cheie: Armata europeană, autonomie strategică</w:t>
      </w:r>
      <w:r>
        <w:rPr>
          <w:b/>
          <w:color w:val="273375"/>
        </w:rPr>
        <w:t xml:space="preserve"> </w:t>
      </w:r>
    </w:p>
    <w:p>
      <w:pPr>
        <w:pStyle w:val="P68B1DB1Normal19"/>
        <w:widowControl w:val="false"/>
        <w:spacing w:lineRule="auto" w:line="240" w:before="201" w:after="0"/>
        <w:ind w:left="0" w:right="10" w:hanging="0"/>
        <w:jc w:val="left"/>
        <w:rPr/>
      </w:pPr>
      <w:r>
        <w:rPr/>
        <w:t>Această schimbare răspunde voinței unanime a cetățenilor de a obține</w:t>
      </w:r>
      <w:r>
        <w:rPr>
          <w:b/>
        </w:rPr>
        <w:t>autonomie</w:t>
      </w:r>
      <w:r>
        <w:rPr/>
        <w:t xml:space="preserve"> în domeniul apărării și securității în Europa, astfel încât să nu depindă de puterile străine.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198" w:after="0"/>
        <w:ind w:left="0" w:right="10" w:hanging="0"/>
        <w:jc w:val="left"/>
        <w:rPr/>
      </w:pPr>
      <w:r>
        <w:rPr/>
        <w:t>Succesul acestei schimbări ar conduce în primul rând la numirea unui</w:t>
      </w:r>
      <w:r>
        <w:rPr>
          <w:b/>
        </w:rPr>
        <w:t xml:space="preserve"> comisar european</w:t>
      </w:r>
      <w:r>
        <w:rPr/>
        <w:t xml:space="preserve"> pentru apărare și securitate. </w:t>
      </w:r>
    </w:p>
    <w:p>
      <w:pPr>
        <w:pStyle w:val="P68B1DB1Normal19"/>
        <w:widowControl w:val="false"/>
        <w:spacing w:lineRule="auto" w:line="240" w:before="203" w:after="0"/>
        <w:ind w:left="0" w:right="10" w:hanging="0"/>
        <w:jc w:val="both"/>
        <w:rPr/>
      </w:pPr>
      <w:r>
        <w:rPr/>
        <w:t>În domeniul apărării, crearea unei armate</w:t>
      </w:r>
      <w:r>
        <w:rPr>
          <w:b/>
        </w:rPr>
        <w:t xml:space="preserve"> permanente, reactive și proiectabile în</w:t>
      </w:r>
      <w:r>
        <w:rPr/>
        <w:t xml:space="preserve"> întreaga lume ar permite Europei să își protejeze frontierele și să intervină, dacă este necesar, la cererea țărilor terțe. </w:t>
      </w:r>
    </w:p>
    <w:p>
      <w:pPr>
        <w:pStyle w:val="P68B1DB1Normal19"/>
        <w:widowControl w:val="false"/>
        <w:spacing w:lineRule="auto" w:line="240" w:before="206" w:after="0"/>
        <w:ind w:left="0" w:right="10" w:hanging="0"/>
        <w:jc w:val="both"/>
        <w:rPr/>
      </w:pPr>
      <w:r>
        <w:rPr/>
        <w:t xml:space="preserve">În ceea ce privește securitatea, Europa ar trebui, în ochii cetățenilor săi, să garanteze </w:t>
      </w:r>
      <w:r>
        <w:rPr>
          <w:b/>
        </w:rPr>
        <w:t>securitatea aprovizionării sale</w:t>
      </w:r>
      <w:r>
        <w:rPr/>
        <w:t xml:space="preserve"> și să își protejeze </w:t>
      </w:r>
      <w:r>
        <w:rPr>
          <w:b/>
        </w:rPr>
        <w:t>cercetarea strategică</w:t>
      </w:r>
      <w:r>
        <w:rPr/>
        <w:t xml:space="preserve"> în sectoare prioritare, cum ar fi spațiul, securitatea cibernetică, sectorul medical și mediul. O mai bună </w:t>
      </w:r>
      <w:r>
        <w:rPr>
          <w:b/>
        </w:rPr>
        <w:t>protecție a frontierelor externe</w:t>
      </w:r>
      <w:r>
        <w:rPr/>
        <w:t xml:space="preserve"> ar trebui, de asemenea, să contribuie la stoparea imigrației ilegale și a traficului de persoane. </w:t>
      </w:r>
    </w:p>
    <w:p>
      <w:pPr>
        <w:pStyle w:val="Normal"/>
        <w:spacing w:lineRule="auto" w:line="240"/>
        <w:rPr/>
      </w:pPr>
      <w:r>
        <w:rPr/>
      </w:r>
    </w:p>
    <w:p>
      <w:pPr>
        <w:pStyle w:val="P68B1DB1Normal42"/>
        <w:spacing w:lineRule="auto" w:line="240"/>
        <w:rPr/>
      </w:pPr>
      <w:r>
        <w:rPr/>
        <w:t xml:space="preserve">Modificarea 3 – Promovarea performanței economice colective printr-o industrie autonomă, competitivă și apreciată de Uniunea Europeană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care își apără interesele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Ce înseamnă această schimbare?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Cuvinte cheie: </w:t>
      </w:r>
    </w:p>
    <w:p>
      <w:pPr>
        <w:pStyle w:val="P68B1DB1Normal7"/>
        <w:widowControl w:val="false"/>
        <w:spacing w:lineRule="auto" w:line="240"/>
        <w:ind w:left="0" w:right="10" w:hanging="0"/>
        <w:jc w:val="left"/>
        <w:rPr/>
      </w:pPr>
      <w:r>
        <w:rPr>
          <w:i/>
          <w:color w:val="000000"/>
        </w:rPr>
        <w:t>Preferința europeană, protecția know-how-ului, dezvoltarea campionilor europeni</w:t>
      </w:r>
      <w:r>
        <w:rPr>
          <w:b/>
          <w:color w:val="273375"/>
        </w:rPr>
        <w:t xml:space="preserve"> </w:t>
      </w:r>
    </w:p>
    <w:p>
      <w:pPr>
        <w:pStyle w:val="P68B1DB1Normal19"/>
        <w:widowControl w:val="false"/>
        <w:spacing w:lineRule="auto" w:line="240" w:before="321" w:after="0"/>
        <w:ind w:left="0" w:right="10" w:hanging="0"/>
        <w:jc w:val="both"/>
        <w:rPr/>
      </w:pPr>
      <w:r>
        <w:rPr/>
        <w:t xml:space="preserve">Această modificare vizează atingerea a trei obiective: consolidarea unei politici de </w:t>
      </w:r>
      <w:r>
        <w:rPr>
          <w:b/>
        </w:rPr>
        <w:t>„</w:t>
      </w:r>
      <w:r>
        <w:rPr/>
        <w:t xml:space="preserve"> </w:t>
      </w:r>
      <w:r>
        <w:rPr>
          <w:b/>
        </w:rPr>
        <w:t>preferință europeană”</w:t>
      </w:r>
      <w:r>
        <w:rPr/>
        <w:t xml:space="preserve"> în cadrul Uniunii, garantarea </w:t>
      </w:r>
      <w:r>
        <w:rPr>
          <w:b/>
        </w:rPr>
        <w:t>protecției bunurilor esențiale și a know-how-ului</w:t>
      </w:r>
      <w:r>
        <w:rPr/>
        <w:t xml:space="preserve"> și crearea de </w:t>
      </w:r>
      <w:r>
        <w:rPr>
          <w:b/>
        </w:rPr>
        <w:t>„campioni europeni”.</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316" w:after="0"/>
        <w:ind w:left="0" w:right="10" w:hanging="0"/>
        <w:jc w:val="both"/>
        <w:rPr/>
      </w:pPr>
      <w:r>
        <w:rPr/>
        <w:t xml:space="preserve">Realizarea acestor obiective necesită, în primul rând, punerea în aplicare a unei </w:t>
      </w:r>
      <w:r>
        <w:rPr>
          <w:b/>
        </w:rPr>
        <w:t>politici „preferințele europene”</w:t>
      </w:r>
      <w:r>
        <w:rPr/>
        <w:t xml:space="preserve"> în contextul licitațiilor și introducerea unei </w:t>
      </w:r>
      <w:r>
        <w:rPr>
          <w:b/>
        </w:rPr>
        <w:t>taxe pe carbon</w:t>
      </w:r>
      <w:r>
        <w:rPr/>
        <w:t xml:space="preserve"> la importuri. </w:t>
      </w:r>
    </w:p>
    <w:p>
      <w:pPr>
        <w:pStyle w:val="P68B1DB1Normal19"/>
        <w:widowControl w:val="false"/>
        <w:spacing w:lineRule="auto" w:line="240" w:before="332" w:after="0"/>
        <w:ind w:left="0" w:right="10" w:hanging="0"/>
        <w:jc w:val="left"/>
        <w:rPr/>
      </w:pPr>
      <w:r>
        <w:rPr/>
        <w:t xml:space="preserve">Protecția know-how-ului ar duce la creșterea controlului asupra răscumpărărilor și investițiilor străine, precum și la dezvoltarea ajutorului pentru </w:t>
      </w:r>
      <w:r>
        <w:rPr>
          <w:b/>
        </w:rPr>
        <w:t>relocare</w:t>
      </w:r>
      <w:r>
        <w:rPr/>
        <w:t xml:space="preserve">. </w:t>
      </w:r>
    </w:p>
    <w:p>
      <w:pPr>
        <w:pStyle w:val="P68B1DB1Normal19"/>
        <w:widowControl w:val="false"/>
        <w:spacing w:lineRule="auto" w:line="240" w:before="323" w:after="0"/>
        <w:ind w:left="0" w:right="10" w:hanging="0"/>
        <w:jc w:val="both"/>
        <w:rPr/>
      </w:pPr>
      <w:r>
        <w:rPr/>
        <w:t xml:space="preserve">În cele din urmă, crearea de „campioni europeni” implică încurajarea </w:t>
      </w:r>
      <w:r>
        <w:rPr>
          <w:b/>
        </w:rPr>
        <w:t>alianțelor industriale</w:t>
      </w:r>
      <w:r>
        <w:rPr/>
        <w:t xml:space="preserve"> europene în sectoarele strategice și stimularea investițiilor publice cu capital de risc. </w:t>
      </w:r>
    </w:p>
    <w:p>
      <w:pPr>
        <w:pStyle w:val="P68B1DB1Normal45"/>
        <w:widowControl w:val="false"/>
        <w:spacing w:lineRule="auto" w:line="240" w:before="333" w:after="0"/>
        <w:ind w:left="0" w:right="13" w:hanging="0"/>
        <w:jc w:val="both"/>
        <w:rPr>
          <w:sz w:val="20"/>
        </w:rPr>
      </w:pPr>
      <w:r>
        <w:rPr/>
        <w:t xml:space="preserve">Succesul acestei schimbări se materializează pentru cetățeni prin dezvoltarea de alianțe industriale europene în sectoare-cheie, prin creșterea numărului de relocări ale întreprinderilor și prin îmbunătățirea balanței comerciale.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Schimbarea 4 – Abilitarea puterii cetățenilor la mai multe niveluri: participare, decizie, control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mai democratică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84" w:after="0"/>
        <w:ind w:left="0" w:right="10" w:hanging="0"/>
        <w:jc w:val="left"/>
        <w:rPr/>
      </w:pPr>
      <w:r>
        <w:rPr>
          <w:i/>
          <w:color w:val="000000"/>
        </w:rPr>
        <w:t>Cuvinte cheie: creșterea prezenței la vot, barometrul european al satisfacției, generalizarea consultărilor cu cetățenii</w:t>
      </w:r>
      <w:r>
        <w:rPr>
          <w:b/>
          <w:color w:val="273375"/>
        </w:rPr>
        <w:t xml:space="preserve"> </w:t>
      </w:r>
    </w:p>
    <w:p>
      <w:pPr>
        <w:pStyle w:val="P68B1DB1Normal19"/>
        <w:widowControl w:val="false"/>
        <w:spacing w:lineRule="auto" w:line="240" w:before="324" w:after="0"/>
        <w:ind w:left="0" w:right="10" w:hanging="0"/>
        <w:jc w:val="both"/>
        <w:rPr/>
      </w:pPr>
      <w:r>
        <w:rPr/>
        <w:t xml:space="preserve">Odată cu această schimbare, cetățenii propun dezvoltarea unei „ </w:t>
      </w:r>
      <w:r>
        <w:rPr>
          <w:i/>
        </w:rPr>
        <w:t xml:space="preserve">experiențe cetățenești complete”  </w:t>
      </w:r>
      <w:r>
        <w:rPr/>
        <w:t xml:space="preserve">pentru europeni, sporind </w:t>
      </w:r>
      <w:r>
        <w:rPr>
          <w:b/>
        </w:rPr>
        <w:t>implicarea</w:t>
      </w:r>
      <w:r>
        <w:rPr/>
        <w:t xml:space="preserve"> acestora în toate etapele proceselor decizionale. Aceasta reflectă disponibilitatea cetățenilor de a-și </w:t>
      </w:r>
      <w:r>
        <w:rPr>
          <w:b/>
        </w:rPr>
        <w:t>face auzite vocile</w:t>
      </w:r>
      <w:r>
        <w:rPr/>
        <w:t xml:space="preserve"> și de a influența politicile publice care le afectează viața de zi cu zi.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Care sunt pașii cheie și criteriile de succes? </w:t>
      </w:r>
    </w:p>
    <w:p>
      <w:pPr>
        <w:pStyle w:val="P68B1DB1Normal24"/>
        <w:widowControl w:val="false"/>
        <w:spacing w:lineRule="auto" w:line="240" w:before="323" w:after="0"/>
        <w:ind w:left="0" w:right="13" w:hanging="0"/>
        <w:jc w:val="both"/>
        <w:rPr/>
      </w:pPr>
      <w:r>
        <w:rPr/>
        <w:t>Acest lucru le revine în principal cetățenilor să dezvolte și să susțină inițiativele de participare a cetățenilor</w:t>
      </w:r>
      <w:r>
        <w:rPr>
          <w:b/>
        </w:rPr>
        <w:t xml:space="preserve">. </w:t>
      </w:r>
      <w:r>
        <w:rPr/>
        <w:t xml:space="preserve">În acest scop, ar putea fi puse în aplicare mai multe pârghii: înființarea unei </w:t>
      </w:r>
      <w:r>
        <w:rPr>
          <w:b/>
        </w:rPr>
        <w:t>camere consultative permanente</w:t>
      </w:r>
      <w:r>
        <w:rPr/>
        <w:t xml:space="preserve">, înregistrarea </w:t>
      </w:r>
      <w:r>
        <w:rPr>
          <w:b/>
        </w:rPr>
        <w:t>competențelor cetățenești</w:t>
      </w:r>
      <w:r>
        <w:rPr/>
        <w:t xml:space="preserve"> în tratatele europene sau crearea unei </w:t>
      </w:r>
      <w:r>
        <w:rPr>
          <w:b/>
        </w:rPr>
        <w:t>etichete</w:t>
      </w:r>
      <w:r>
        <w:rPr/>
        <w:t xml:space="preserve"> care să certifice legile care au făcut obiectul unei consultări a cetățenilor. </w:t>
      </w:r>
    </w:p>
    <w:p>
      <w:pPr>
        <w:pStyle w:val="P68B1DB1Normal19"/>
        <w:widowControl w:val="false"/>
        <w:spacing w:lineRule="auto" w:line="240" w:before="230" w:after="0"/>
        <w:ind w:left="0" w:right="10" w:hanging="0"/>
        <w:jc w:val="both"/>
        <w:rPr/>
      </w:pPr>
      <w:r>
        <w:rPr/>
        <w:t xml:space="preserve">Succesul acestei schimbări s-ar manifesta prin creșterea indicatorilor, cum ar fi </w:t>
      </w:r>
      <w:r>
        <w:rPr>
          <w:b/>
        </w:rPr>
        <w:t>participarea electorală, interesul</w:t>
      </w:r>
      <w:r>
        <w:rPr/>
        <w:t xml:space="preserve"> și </w:t>
      </w:r>
      <w:r>
        <w:rPr>
          <w:b/>
        </w:rPr>
        <w:t>încrederea</w:t>
      </w:r>
      <w:r>
        <w:rPr/>
        <w:t xml:space="preserve"> exprimate în Uniunea Europeană și </w:t>
      </w:r>
      <w:r>
        <w:rPr>
          <w:b/>
        </w:rPr>
        <w:t>participarea la site-urile europene</w:t>
      </w:r>
      <w:r>
        <w:rPr/>
        <w:t xml:space="preserve">. Creșterea numărului de decizii luate în urma unei consultări cu cetățenii și utilizarea sporită a </w:t>
      </w:r>
      <w:r>
        <w:rPr>
          <w:b/>
        </w:rPr>
        <w:t>inițiativelor cetățenești europene (ICE</w:t>
      </w:r>
      <w:r>
        <w:rPr/>
        <w:t xml:space="preserve">) sunt, de asemenea, considerate repere ale succesului.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Schimbarea 5 – Către o federație de state europene cu competențe puternice în domenii de interes comun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mai unită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76" w:after="0"/>
        <w:ind w:left="0" w:right="0" w:hanging="0"/>
        <w:jc w:val="left"/>
        <w:rPr/>
      </w:pPr>
      <w:r>
        <w:rPr>
          <w:i/>
          <w:color w:val="000000"/>
        </w:rPr>
        <w:t>Cuvinte cheie: unificarea instituțională, președintele ales, consolidarea competențelor UE</w:t>
      </w:r>
      <w:r>
        <w:rPr>
          <w:b/>
          <w:color w:val="273375"/>
        </w:rPr>
        <w:t xml:space="preserve"> </w:t>
      </w:r>
    </w:p>
    <w:p>
      <w:pPr>
        <w:pStyle w:val="P68B1DB1Normal19"/>
        <w:widowControl w:val="false"/>
        <w:spacing w:lineRule="auto" w:line="240" w:before="244" w:after="0"/>
        <w:ind w:left="0" w:right="10" w:hanging="0"/>
        <w:jc w:val="both"/>
        <w:rPr/>
      </w:pPr>
      <w:r>
        <w:rPr/>
        <w:t>Această schimbare reflectă ambiția cetățenilor de a</w:t>
      </w:r>
      <w:r>
        <w:rPr>
          <w:b/>
        </w:rPr>
        <w:t>unifica</w:t>
      </w:r>
      <w:r>
        <w:rPr/>
        <w:t xml:space="preserve"> instituțiile politice europene. Modelul prezentat este acela al unei federații de state cu scopul de a </w:t>
      </w:r>
      <w:r>
        <w:rPr>
          <w:b/>
        </w:rPr>
        <w:t>consolida competențele partajate sau exclusive</w:t>
      </w:r>
      <w:r>
        <w:rPr/>
        <w:t xml:space="preserve"> ale Uniunii Europene, fără a se îndrepta totuși către un stat federal.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Care sunt principalele etape și criteriile de succes? </w:t>
      </w:r>
    </w:p>
    <w:p>
      <w:pPr>
        <w:pStyle w:val="P68B1DB1Normal19"/>
        <w:widowControl w:val="false"/>
        <w:spacing w:lineRule="auto" w:line="240" w:before="239" w:after="0"/>
        <w:ind w:left="0" w:right="10" w:hanging="0"/>
        <w:jc w:val="both"/>
        <w:rPr/>
      </w:pPr>
      <w:r>
        <w:rPr/>
        <w:t xml:space="preserve">Pe plan intern, această schimbare ar putea implica dezvoltarea </w:t>
      </w:r>
      <w:r>
        <w:rPr>
          <w:b/>
        </w:rPr>
        <w:t>participării cetățenilor</w:t>
      </w:r>
      <w:r>
        <w:rPr/>
        <w:t xml:space="preserve">, crearea </w:t>
      </w:r>
      <w:r>
        <w:rPr>
          <w:b/>
        </w:rPr>
        <w:t>de ministere</w:t>
      </w:r>
      <w:r>
        <w:rPr/>
        <w:t xml:space="preserve"> europene în statele membre și, pe termen lung,</w:t>
      </w:r>
      <w:r>
        <w:rPr>
          <w:b/>
        </w:rPr>
        <w:t xml:space="preserve">alegerea </w:t>
      </w:r>
      <w:r>
        <w:rPr/>
        <w:t xml:space="preserve">președintelui Comisiei Europene </w:t>
      </w:r>
      <w:r>
        <w:rPr>
          <w:b/>
        </w:rPr>
        <w:t>prin vot universal</w:t>
      </w:r>
      <w:r>
        <w:rPr/>
        <w:t xml:space="preserve">. </w:t>
      </w:r>
    </w:p>
    <w:p>
      <w:pPr>
        <w:pStyle w:val="P68B1DB1Normal19"/>
        <w:widowControl w:val="false"/>
        <w:spacing w:lineRule="auto" w:line="240" w:before="327" w:after="0"/>
        <w:ind w:left="0" w:right="10" w:hanging="0"/>
        <w:jc w:val="left"/>
        <w:rPr/>
      </w:pPr>
      <w:r>
        <w:rPr/>
        <w:t xml:space="preserve">Pe plan extern, consolidarea vocii europene în străinătate va fi transpusă într-o </w:t>
      </w:r>
      <w:r>
        <w:rPr>
          <w:b/>
        </w:rPr>
        <w:t xml:space="preserve">încarnare </w:t>
      </w:r>
      <w:r>
        <w:rPr/>
        <w:t>printr-un</w:t>
      </w:r>
      <w:r>
        <w:rPr>
          <w:b/>
        </w:rPr>
        <w:t xml:space="preserve"> reprezentant unic</w:t>
      </w:r>
      <w:r>
        <w:rPr/>
        <w:t xml:space="preserve"> </w:t>
      </w:r>
      <w:r>
        <w:rPr>
          <w:b/>
        </w:rPr>
        <w:t>al Europei</w:t>
      </w:r>
      <w:r>
        <w:rPr/>
        <w:t xml:space="preserve"> pe scena internațională. </w:t>
      </w:r>
    </w:p>
    <w:p>
      <w:pPr>
        <w:pStyle w:val="P68B1DB1Normal24"/>
        <w:widowControl w:val="false"/>
        <w:spacing w:lineRule="auto" w:line="240" w:before="324" w:after="0"/>
        <w:ind w:left="0" w:right="15" w:hanging="0"/>
        <w:jc w:val="left"/>
        <w:rPr/>
      </w:pPr>
      <w:r>
        <w:rPr/>
        <w:t xml:space="preserve">Această federație de state ar beneficia, de asemenea, de un </w:t>
      </w:r>
      <w:r>
        <w:rPr>
          <w:b/>
        </w:rPr>
        <w:t>buget european</w:t>
      </w:r>
      <w:r>
        <w:rPr/>
        <w:t xml:space="preserve"> majorat, cu ambiția de a atinge 10 % din PIB (față de 2 % în prezent).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Schimbarea 6 – Propunerea de programe de schimb pe tot parcursul vieții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Dorința Europei asociate: O Europă care pune educația în prim-plan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Ce înseamnă această schimbare?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Cuvinte cheie: schimburi școlare, Erasmus </w:t>
      </w:r>
    </w:p>
    <w:p>
      <w:pPr>
        <w:pStyle w:val="P68B1DB1Normal19"/>
        <w:widowControl w:val="false"/>
        <w:spacing w:lineRule="auto" w:line="240" w:before="330" w:after="0"/>
        <w:ind w:left="0" w:right="0" w:hanging="0"/>
        <w:jc w:val="both"/>
        <w:rPr/>
      </w:pPr>
      <w:r>
        <w:rPr/>
        <w:t xml:space="preserve">Apreciată pe scară largă, această schimbare reflectă importanța pentru cetățeni a întâlnirilor și experiențelor din străinătate, ca un puternic ferment al sentimentului european. Ambiția este de a trece </w:t>
      </w:r>
      <w:r>
        <w:rPr>
          <w:i/>
        </w:rPr>
        <w:t xml:space="preserve">„de la cunoștințele academice la o </w:t>
      </w:r>
      <w:r>
        <w:rPr>
          <w:b/>
          <w:i/>
        </w:rPr>
        <w:t>abordare trăită, experimentată și sensibilă</w:t>
      </w:r>
      <w:r>
        <w:rPr>
          <w:i/>
        </w:rPr>
        <w:t>a Europei</w:t>
      </w:r>
      <w:r>
        <w:rPr/>
        <w:t xml:space="preserve">” și de a înțelege educația în sens larg ca </w:t>
      </w:r>
      <w:r>
        <w:rPr>
          <w:b/>
        </w:rPr>
        <w:t xml:space="preserve">învățare pe tot parcursul vieții.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Care sunt pașii cheie și criteriile de succes? </w:t>
      </w:r>
    </w:p>
    <w:p>
      <w:pPr>
        <w:pStyle w:val="P68B1DB1Normal24"/>
        <w:widowControl w:val="false"/>
        <w:spacing w:lineRule="auto" w:line="240" w:before="317" w:after="0"/>
        <w:ind w:left="0" w:right="4" w:hanging="0"/>
        <w:jc w:val="both"/>
        <w:rPr/>
      </w:pPr>
      <w:r>
        <w:rPr/>
        <w:t xml:space="preserve">Succesul unei astfel de schimbări se datorează în principal introducerii </w:t>
      </w:r>
      <w:r>
        <w:rPr>
          <w:b/>
        </w:rPr>
        <w:t>unei oferte extinse de mobilitate</w:t>
      </w:r>
      <w:r>
        <w:rPr/>
        <w:t xml:space="preserve">, care include, printre altele, schimburile școlare, înfrățirea, călătoriile și mobilitatea profesională. Pentru cetățeni, această ofertă trebuie să fie accesibilă tuturor, în special celor cu resurse reduse sau cu handicap. De exemplu, programul Erasmus ar putea acoperi toți europenii fără limite de vârstă sau resurse. Aceste programe trebuie concepute ca fiind </w:t>
      </w:r>
      <w:r>
        <w:rPr>
          <w:b/>
        </w:rPr>
        <w:t>diverse, incluzive</w:t>
      </w:r>
      <w:r>
        <w:rPr>
          <w:b/>
          <w:sz w:val="20"/>
        </w:rPr>
        <w:t xml:space="preserve"> </w:t>
      </w:r>
      <w:r>
        <w:rPr>
          <w:b/>
        </w:rPr>
        <w:t>și accesibile</w:t>
      </w:r>
      <w:r>
        <w:rPr/>
        <w:t xml:space="preserve"> prin proceduri administrative simplificate. </w:t>
      </w:r>
    </w:p>
    <w:p>
      <w:pPr>
        <w:pStyle w:val="P68B1DB1Normal24"/>
        <w:widowControl w:val="false"/>
        <w:spacing w:lineRule="auto" w:line="240" w:before="232" w:after="0"/>
        <w:ind w:left="0" w:right="3" w:hanging="0"/>
        <w:jc w:val="both"/>
        <w:rPr/>
      </w:pPr>
      <w:r>
        <w:rPr/>
        <w:t xml:space="preserve">Pe lângă mobilități, s-a menționat, </w:t>
      </w:r>
      <w:r>
        <w:rPr>
          <w:b/>
        </w:rPr>
        <w:t>de asemenea, importanța dezvoltării unor punți între sistemele de învățământ</w:t>
      </w:r>
      <w:r>
        <w:rPr/>
        <w:t xml:space="preserve"> (echivalențe ale diplomelor etc.) și creșterea atractivității Europei pentru a evita scurgerile de talente în străinătate.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Schimbarea 7 – Împărtășirea culturilor europene prin evenimente și evenimente unificatoare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cu culturi și identități comune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Ce înseamnă această schimbare?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Cuvinte cheie: Festivalul European, Sărbătoarea Publică Europeană, Expoziția Mondială a Europei </w:t>
      </w:r>
    </w:p>
    <w:p>
      <w:pPr>
        <w:pStyle w:val="P68B1DB1Normal19"/>
        <w:widowControl w:val="false"/>
        <w:spacing w:lineRule="auto" w:line="240" w:before="246" w:after="0"/>
        <w:ind w:left="0" w:right="10" w:hanging="0"/>
        <w:jc w:val="left"/>
        <w:rPr/>
      </w:pPr>
      <w:r>
        <w:rPr/>
        <w:t xml:space="preserve">Această schimbare își propune </w:t>
      </w:r>
      <w:r>
        <w:rPr>
          <w:b/>
        </w:rPr>
        <w:t>să creeze și să trăiască un spirit european</w:t>
      </w:r>
      <w:r>
        <w:rPr/>
        <w:t xml:space="preserve"> prin experiențe, evenimente și evenimente festive împărtășite.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239" w:after="0"/>
        <w:ind w:left="0" w:right="10" w:hanging="0"/>
        <w:jc w:val="both"/>
        <w:rPr/>
      </w:pPr>
      <w:r>
        <w:rPr/>
        <w:t xml:space="preserve">Evenimentele imaginate de cetățeni sunt menite să fie </w:t>
      </w:r>
      <w:r>
        <w:rPr>
          <w:b/>
        </w:rPr>
        <w:t>distractive, unificatoare și populare</w:t>
      </w:r>
      <w:r>
        <w:rPr/>
        <w:t xml:space="preserve"> pentru a fi împărtășite de cel mai mare număr. În acest scop, acestea ar trebui să implice </w:t>
      </w:r>
      <w:r>
        <w:rPr>
          <w:b/>
        </w:rPr>
        <w:t>toate categoriile de public</w:t>
      </w:r>
      <w:r>
        <w:rPr/>
        <w:t xml:space="preserve"> (inclusiv copiii, publicul școlar, tinerii și studenții Erasmus) și să aibă loc </w:t>
      </w:r>
      <w:r>
        <w:rPr>
          <w:b/>
        </w:rPr>
        <w:t>în diferite locuri</w:t>
      </w:r>
      <w:r>
        <w:rPr/>
        <w:t xml:space="preserve"> (case de pensii, școli, administrații publice, închisori etc.). </w:t>
      </w:r>
    </w:p>
    <w:p>
      <w:pPr>
        <w:pStyle w:val="P68B1DB1Normal24"/>
        <w:widowControl w:val="false"/>
        <w:spacing w:lineRule="auto" w:line="240" w:before="327" w:after="0"/>
        <w:ind w:left="0" w:right="13" w:hanging="0"/>
        <w:jc w:val="both"/>
        <w:rPr/>
      </w:pPr>
      <w:r>
        <w:rPr/>
        <w:t xml:space="preserve">În special, au fost avute în vedere două evenimente pentru a reuni europenii: o </w:t>
      </w:r>
      <w:r>
        <w:rPr>
          <w:b/>
        </w:rPr>
        <w:t>expoziție universală a Europei</w:t>
      </w:r>
      <w:r>
        <w:rPr/>
        <w:t xml:space="preserve">, care ar permite reprezentarea tuturor statelor membre și </w:t>
      </w:r>
      <w:r>
        <w:rPr>
          <w:b/>
        </w:rPr>
        <w:t>reformarea Zilei Europei</w:t>
      </w:r>
      <w:r>
        <w:rPr/>
        <w:t xml:space="preserve">la 9 mai, care ar include în special un eveniment educațional, astfel </w:t>
      </w:r>
      <w:r>
        <w:rPr>
          <w:i/>
        </w:rPr>
        <w:t>încât „să nu uităm pacea legată de Europa și valorile sale</w:t>
      </w:r>
      <w:r>
        <w:rPr/>
        <w:t xml:space="preserve">”. În același timp, reprezentanții europeni s-ar putea întâlni cu elevii de pe continent în școlile lor pentru a consolida proximitatea și înțelegerea Europei cetățenilor de la o vârstă fragedă.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Modificarea 8 – Armonizarea sănătății și punerea acesteia la dispoziția tuturor europenilor printr-o politică comună în domeniul sănătății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solidară care protejează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86" w:after="0"/>
        <w:ind w:left="0" w:right="10" w:hanging="0"/>
        <w:jc w:val="left"/>
        <w:rPr/>
      </w:pPr>
      <w:r>
        <w:rPr>
          <w:i/>
          <w:color w:val="000000"/>
        </w:rPr>
        <w:t>Cuvinte cheie: asigurarea universală de sănătate, armonizarea asistenței medicale, sănătatea ca drept fundamental</w:t>
      </w:r>
      <w:r>
        <w:rPr>
          <w:b/>
          <w:color w:val="273375"/>
        </w:rPr>
        <w:t xml:space="preserve"> </w:t>
      </w:r>
    </w:p>
    <w:p>
      <w:pPr>
        <w:pStyle w:val="P68B1DB1Normal19"/>
        <w:widowControl w:val="false"/>
        <w:spacing w:lineRule="auto" w:line="240" w:before="248" w:after="0"/>
        <w:ind w:left="0" w:right="10" w:hanging="0"/>
        <w:jc w:val="both"/>
        <w:rPr/>
      </w:pPr>
      <w:r>
        <w:rPr/>
        <w:t xml:space="preserve">Pentru a garanta accesul la sănătate pentru toți europenii și </w:t>
      </w:r>
      <w:r>
        <w:rPr>
          <w:i/>
        </w:rPr>
        <w:t>pentru a răspunde „nevoii de protecție și solidaritate</w:t>
      </w:r>
      <w:r>
        <w:rPr/>
        <w:t xml:space="preserve">”, s-a propus în unanimitate un </w:t>
      </w:r>
      <w:r>
        <w:rPr>
          <w:b/>
        </w:rPr>
        <w:t>sistem de sănătate supranațional</w:t>
      </w:r>
      <w:r>
        <w:rPr/>
        <w:t xml:space="preserve">. Aceasta s-ar baza pe o finanțare echitabilă între statele membre și s-ar baza pe cele mai bune sisteme ale UE. O astfel de schimbare reflectă dorința cetățenilor de a vedea că Europa își asumă un rol mai activ în protejarea locuitorilor săi, în special în domeniul sănătății, unde acțiunile până în prezent sunt considerate prea timide.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239" w:after="0"/>
        <w:ind w:left="0" w:right="10" w:hanging="0"/>
        <w:jc w:val="both"/>
        <w:rPr/>
      </w:pPr>
      <w:r>
        <w:rPr/>
        <w:t xml:space="preserve">Pentru a pune în aplicare această schimbare, principiul </w:t>
      </w:r>
      <w:r>
        <w:rPr>
          <w:b/>
        </w:rPr>
        <w:t>securității sociale universale europene</w:t>
      </w:r>
      <w:r>
        <w:rPr/>
        <w:t xml:space="preserve"> a fost aprobat de majoritate. Cu toate acestea, modalitățile de punere în aplicare a acestui sistem nu au putut fi decise. În timp ce unii susțin </w:t>
      </w:r>
      <w:r>
        <w:rPr>
          <w:i/>
        </w:rPr>
        <w:t xml:space="preserve">„o centralizare a datelor care să permită lucrătorilor din domeniul sănătății să acceseze întregul istoric medical al pacientului”, </w:t>
      </w:r>
      <w:r>
        <w:rPr/>
        <w:t xml:space="preserve">alții percep această măsură ca fiind </w:t>
      </w:r>
      <w:r>
        <w:rPr>
          <w:i/>
        </w:rPr>
        <w:t>„o privare suplimentară de libertate și un sistem de control”.</w:t>
      </w:r>
      <w:r>
        <w:rPr/>
        <w:t xml:space="preserve"> </w:t>
      </w:r>
    </w:p>
    <w:p>
      <w:pPr>
        <w:pStyle w:val="P68B1DB1Normal24"/>
        <w:widowControl w:val="false"/>
        <w:spacing w:lineRule="auto" w:line="240" w:before="329" w:after="0"/>
        <w:ind w:left="0" w:right="14" w:hanging="0"/>
        <w:jc w:val="both"/>
        <w:rPr/>
      </w:pPr>
      <w:r>
        <w:rPr>
          <w:b/>
        </w:rPr>
        <w:t xml:space="preserve">Transparența </w:t>
      </w:r>
      <w:r>
        <w:rPr/>
        <w:t>și</w:t>
      </w:r>
      <w:r>
        <w:rPr>
          <w:b/>
        </w:rPr>
        <w:t>armonizarea cerințelor de reglementare pe întregul</w:t>
      </w:r>
      <w:r>
        <w:rPr/>
        <w:t xml:space="preserve"> continent, precum și un plan </w:t>
      </w:r>
      <w:r>
        <w:rPr>
          <w:b/>
        </w:rPr>
        <w:t>european de sănătate au</w:t>
      </w:r>
      <w:r>
        <w:rPr/>
        <w:t xml:space="preserve"> fost totuși identificate ca fiind condiții prealabile pentru orice transformare semnificativă.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Schimbarea 9 – Dezvoltarea și conducerea canalelor strategice la nivel european pentru a ne asigura suveranitatea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competitivă și inovatoare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86" w:after="0"/>
        <w:ind w:left="0" w:right="9" w:hanging="0"/>
        <w:jc w:val="left"/>
        <w:rPr/>
      </w:pPr>
      <w:r>
        <w:rPr>
          <w:i/>
          <w:color w:val="000000"/>
        </w:rPr>
        <w:t>Cuvinte cheie: dezvoltarea campionilor europeni, controlul investițiilor străine, autonomia digitală și energia</w:t>
      </w:r>
      <w:r>
        <w:rPr>
          <w:b/>
          <w:color w:val="273375"/>
        </w:rPr>
        <w:t xml:space="preserve"> </w:t>
      </w:r>
    </w:p>
    <w:p>
      <w:pPr>
        <w:pStyle w:val="P68B1DB1Normal19"/>
        <w:widowControl w:val="false"/>
        <w:spacing w:lineRule="auto" w:line="240" w:before="248" w:after="0"/>
        <w:ind w:left="0" w:right="9" w:hanging="0"/>
        <w:jc w:val="both"/>
        <w:rPr/>
      </w:pPr>
      <w:r>
        <w:rPr/>
        <w:t xml:space="preserve">Pilotarea unor sectoare strategice precum sănătatea, alimentele, energia, tehnologia digitală, apărarea, transporturile și noile materiale la nivel european răspunde </w:t>
      </w:r>
      <w:r>
        <w:rPr>
          <w:b/>
        </w:rPr>
        <w:t xml:space="preserve">nevoii de suveranitate </w:t>
      </w:r>
      <w:r>
        <w:rPr/>
        <w:t>identificate de cetățeni. Acest lucru ar limita concurența între întreprinderile europene, ar promova</w:t>
      </w:r>
      <w:r>
        <w:rPr>
          <w:b/>
        </w:rPr>
        <w:t>apariția campionilor continentali</w:t>
      </w:r>
      <w:r>
        <w:rPr/>
        <w:t xml:space="preserve"> și ar </w:t>
      </w:r>
      <w:r>
        <w:rPr>
          <w:b/>
        </w:rPr>
        <w:t>reindustrializa Europa printr</w:t>
      </w:r>
      <w:r>
        <w:rPr/>
        <w:t xml:space="preserve"> -o preferință europeană.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237" w:after="0"/>
        <w:ind w:left="0" w:right="9" w:hanging="0"/>
        <w:jc w:val="both"/>
        <w:rPr/>
      </w:pPr>
      <w:r>
        <w:rPr/>
        <w:t xml:space="preserve">Pentru a atinge această suveranitate, o </w:t>
      </w:r>
      <w:r>
        <w:rPr>
          <w:b/>
        </w:rPr>
        <w:t>autoritate europeană</w:t>
      </w:r>
      <w:r>
        <w:rPr/>
        <w:t xml:space="preserve"> ar putea fi însărcinată să conducă aceste sectoare prin emiterea de autorizații pentru achiziționarea de întreprinderi europene de către concurenți străini și prin asigurarea faptului că produsele importate respectă aceleași standarde ca și producția UE. Pe termen mediu,</w:t>
      </w:r>
      <w:r>
        <w:rPr>
          <w:b/>
        </w:rPr>
        <w:t xml:space="preserve"> 30 % până la 50 %</w:t>
      </w:r>
      <w:r>
        <w:rPr/>
        <w:t xml:space="preserve"> din consumul european în aceste sectoare strategice ar trebui </w:t>
      </w:r>
      <w:r>
        <w:rPr>
          <w:b/>
        </w:rPr>
        <w:t>să fie produs pe continent</w:t>
      </w:r>
      <w:r>
        <w:rPr/>
        <w:t xml:space="preserve"> și până la </w:t>
      </w:r>
      <w:r>
        <w:rPr>
          <w:b/>
        </w:rPr>
        <w:t>70 %</w:t>
      </w:r>
      <w:r>
        <w:rPr/>
        <w:t xml:space="preserve"> pe termen lung. Îndeplinirea acestor criterii ar asigura</w:t>
      </w:r>
      <w:r>
        <w:rPr>
          <w:b/>
        </w:rPr>
        <w:t>autosuficiența</w:t>
      </w:r>
      <w:r>
        <w:rPr/>
        <w:t xml:space="preserve"> și</w:t>
      </w:r>
      <w:r>
        <w:rPr>
          <w:b/>
        </w:rPr>
        <w:t xml:space="preserve"> influența</w:t>
      </w:r>
      <w:r>
        <w:rPr/>
        <w:t>și chiar</w:t>
      </w:r>
      <w:r>
        <w:rPr>
          <w:b/>
        </w:rPr>
        <w:t xml:space="preserve">exportul </w:t>
      </w:r>
      <w:r>
        <w:rPr/>
        <w:t xml:space="preserve">modelului industrial european. </w:t>
      </w:r>
    </w:p>
    <w:p>
      <w:pPr>
        <w:pStyle w:val="Normal"/>
        <w:spacing w:lineRule="auto" w:line="240"/>
        <w:rPr/>
      </w:pPr>
      <w:r>
        <w:rPr/>
      </w:r>
    </w:p>
    <w:p>
      <w:pPr>
        <w:pStyle w:val="P68B1DB1Normal42"/>
        <w:spacing w:lineRule="auto" w:line="240"/>
        <w:rPr/>
      </w:pPr>
      <w:r>
        <w:rPr/>
        <w:t xml:space="preserve">Schimbarea 10 – Îmbunătățirea protecției mediului și a ecosistemelor și crearea de zone protejate în centrul zonelor urbane, periurbane și rurale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care promovează dezvoltarea durabilă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78" w:after="0"/>
        <w:ind w:left="0" w:right="0" w:hanging="0"/>
        <w:jc w:val="left"/>
        <w:rPr/>
      </w:pPr>
      <w:r>
        <w:rPr>
          <w:i/>
          <w:color w:val="000000"/>
        </w:rPr>
        <w:t>Cuvinte cheie: urbanizare mai ecologică, respect și protecție a solurilor</w:t>
      </w:r>
      <w:r>
        <w:rPr>
          <w:b/>
          <w:color w:val="273375"/>
        </w:rPr>
        <w:t xml:space="preserve"> </w:t>
      </w:r>
    </w:p>
    <w:p>
      <w:pPr>
        <w:pStyle w:val="P68B1DB1Normal19"/>
        <w:widowControl w:val="false"/>
        <w:spacing w:lineRule="auto" w:line="240" w:before="321" w:after="0"/>
        <w:ind w:left="0" w:right="9" w:hanging="0"/>
        <w:jc w:val="both"/>
        <w:rPr/>
      </w:pPr>
      <w:r>
        <w:rPr/>
        <w:t xml:space="preserve">Scopul este de </w:t>
      </w:r>
      <w:r>
        <w:rPr>
          <w:b/>
        </w:rPr>
        <w:t>a limita impactul negativ al urbanizării asupra solurilor</w:t>
      </w:r>
      <w:r>
        <w:rPr/>
        <w:t xml:space="preserve">. Acțiunile ferme ar </w:t>
      </w:r>
      <w:r>
        <w:rPr>
          <w:b/>
        </w:rPr>
        <w:t xml:space="preserve">limita dezastrele legate de </w:t>
      </w:r>
      <w:r>
        <w:rPr/>
        <w:t>distrugerea solului, cum ar fi alunecările</w:t>
      </w:r>
      <w:r>
        <w:rPr>
          <w:b/>
        </w:rPr>
        <w:t>de teren și ar îmbunătăți calitatea vieții în zonele urbane</w:t>
      </w:r>
      <w:r>
        <w:rPr/>
        <w:t xml:space="preserve">, în special prin plantarea copacilor.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318" w:after="0"/>
        <w:ind w:left="0" w:right="9" w:hanging="0"/>
        <w:jc w:val="both"/>
        <w:rPr/>
      </w:pPr>
      <w:r>
        <w:rPr/>
        <w:t xml:space="preserve">S-a propus să se acționeze pe două niveluri: în primul rând, </w:t>
      </w:r>
      <w:r>
        <w:rPr>
          <w:b/>
        </w:rPr>
        <w:t>inversarea tendinței privind construcțiile noi</w:t>
      </w:r>
      <w:r>
        <w:rPr/>
        <w:t xml:space="preserve"> de a reduce rata de impermeabilizare a solului și, în al doilea rând, </w:t>
      </w:r>
      <w:r>
        <w:rPr>
          <w:b/>
        </w:rPr>
        <w:t>încurajarea restaurării solului</w:t>
      </w:r>
      <w:r>
        <w:rPr/>
        <w:t xml:space="preserve"> la „revenirea </w:t>
      </w:r>
      <w:r>
        <w:rPr>
          <w:i/>
        </w:rPr>
        <w:t>la natură a ceea ce îi aparține</w:t>
      </w:r>
      <w:r>
        <w:rPr/>
        <w:t xml:space="preserve">”. </w:t>
      </w:r>
    </w:p>
    <w:p>
      <w:pPr>
        <w:pStyle w:val="Normal"/>
        <w:spacing w:lineRule="auto" w:line="240"/>
        <w:rPr/>
      </w:pPr>
      <w:r>
        <w:rPr/>
      </w:r>
    </w:p>
    <w:p>
      <w:pPr>
        <w:pStyle w:val="P68B1DB1Normal42"/>
        <w:spacing w:lineRule="auto" w:line="240"/>
        <w:rPr/>
      </w:pPr>
      <w:r>
        <w:rPr/>
        <w:t xml:space="preserve">Schimbarea 11 – Stabilirea unor relee europene în teritorii pentru a-i asculta și a-i consilia pe cetățeni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mai apropiată și accesibilă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Ce înseamnă această schimbare?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Cuvinte cheie: Case ale Europei, referent Europa la nivel local, un acces mai bun la informații </w:t>
      </w:r>
    </w:p>
    <w:p>
      <w:pPr>
        <w:pStyle w:val="P68B1DB1Normal19"/>
        <w:widowControl w:val="false"/>
        <w:spacing w:lineRule="auto" w:line="240" w:before="326" w:after="0"/>
        <w:ind w:left="0" w:right="11" w:hanging="0"/>
        <w:jc w:val="both"/>
        <w:rPr/>
      </w:pPr>
      <w:r>
        <w:rPr/>
        <w:t xml:space="preserve">Scopul acestei schimbări este de a oferi răspunsuri concrete la </w:t>
      </w:r>
      <w:r>
        <w:rPr>
          <w:b/>
        </w:rPr>
        <w:t>lipsa de întruchipare a Uniunii Europene în</w:t>
      </w:r>
      <w:r>
        <w:rPr/>
        <w:t xml:space="preserve"> viața de zi cu zi, remarcată de mulți participanți, și de a depune eforturi pentru a apropia Europa și cetățenii săi.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Care sunt pașii cheie și criteriile de succes? </w:t>
      </w:r>
    </w:p>
    <w:p>
      <w:pPr>
        <w:pStyle w:val="P68B1DB1Normal24"/>
        <w:widowControl w:val="false"/>
        <w:spacing w:lineRule="auto" w:line="240" w:before="317" w:after="0"/>
        <w:ind w:left="0" w:right="14" w:hanging="0"/>
        <w:jc w:val="both"/>
        <w:rPr/>
      </w:pPr>
      <w:r>
        <w:rPr/>
        <w:t xml:space="preserve">Pentru a aborda această distanță dintre UE și cetățeni, ar putea fi numit un </w:t>
      </w:r>
      <w:r>
        <w:rPr>
          <w:b/>
        </w:rPr>
        <w:t>referent specializat</w:t>
      </w:r>
      <w:r>
        <w:rPr/>
        <w:t xml:space="preserve"> în fiecare primărie, cu misiunea de a asculta și de a consilia cetățenii. Informațiile furnizate în acest raport ar putea fi socio-economice, în special în ceea ce privește accesul la ajutoare europene sau informative, de exemplu cu privire la rolul lobbyiștilor. Informațiile furnizate ar fi destinate atât publicului larg, cât și profesioniștilor, în special pentru a consilia IMM-urile și a ajuta liderii de proiect să acceseze fondurile UE. Pe termen lung, această schimbare ar putea duce la crearea de </w:t>
      </w:r>
      <w:r>
        <w:rPr>
          <w:b/>
        </w:rPr>
        <w:t>locuri dedicate Europei</w:t>
      </w:r>
      <w:r>
        <w:rPr/>
        <w:t xml:space="preserve">, similare cu casele existente ale Europei, dar la nivel comunitar, permițând o rețea teritorială fină. </w:t>
      </w:r>
    </w:p>
    <w:p>
      <w:pPr>
        <w:pStyle w:val="P68B1DB1Normal24"/>
        <w:widowControl w:val="false"/>
        <w:spacing w:lineRule="auto" w:line="240" w:before="235" w:after="0"/>
        <w:ind w:left="0" w:right="15" w:hanging="0"/>
        <w:jc w:val="both"/>
        <w:rPr/>
      </w:pPr>
      <w:r>
        <w:rPr/>
        <w:t xml:space="preserve">Succesul acestei schimbări ar fi complet dacă fiecare cetățean ar cunoaște „în </w:t>
      </w:r>
      <w:r>
        <w:rPr>
          <w:i/>
        </w:rPr>
        <w:t>mod evident</w:t>
      </w:r>
      <w:r>
        <w:rPr/>
        <w:t xml:space="preserve">” existența acestei referințe și a acestui loc de resurse dedicate Europei, care ar oferi resurse, ascultare, informare și consiliere.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Modificarea 12 – Unificarea modului de alegere a Parlamentului European pentru cele 27 de state și îmbunătățirea apropierii cetățenilor prin înlocuirea votului actual cu un vot unic la nivel regional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cu o guvernanță mai eficientă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76" w:after="0"/>
        <w:ind w:left="0" w:right="0" w:hanging="0"/>
        <w:jc w:val="left"/>
        <w:rPr/>
      </w:pPr>
      <w:r>
        <w:rPr>
          <w:i/>
          <w:color w:val="000000"/>
        </w:rPr>
        <w:t>Cuvinte cheie: schimbare instituțională, urmată de cetățeni ai acțiunilor pe tot parcursul mandatului</w:t>
      </w:r>
      <w:r>
        <w:rPr>
          <w:b/>
          <w:color w:val="273375"/>
        </w:rPr>
        <w:t xml:space="preserve"> </w:t>
      </w:r>
    </w:p>
    <w:p>
      <w:pPr>
        <w:pStyle w:val="P68B1DB1Normal19"/>
        <w:widowControl w:val="false"/>
        <w:spacing w:lineRule="auto" w:line="240" w:before="275" w:after="0"/>
        <w:ind w:left="0" w:right="10" w:hanging="0"/>
        <w:jc w:val="both"/>
        <w:rPr/>
      </w:pPr>
      <w:r>
        <w:rPr/>
        <w:t xml:space="preserve">Această schimbare reflectă dorința cetățenilor de a-și consolida </w:t>
      </w:r>
      <w:r>
        <w:rPr>
          <w:b/>
        </w:rPr>
        <w:t>proximitatea față de funcționarii aleși</w:t>
      </w:r>
      <w:r>
        <w:rPr/>
        <w:t xml:space="preserve"> și de a-și urmări acțiunile pe tot parcursul mandatului lor. Acesta răspunde observației larg împărtășite cu privire la lipsa transpunerii preocupărilor cetățenilor în acțiuni concrete ale reprezentanților aleși ai Parlamentului European.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316" w:after="0"/>
        <w:ind w:left="0" w:right="10" w:hanging="0"/>
        <w:jc w:val="both"/>
        <w:rPr/>
      </w:pPr>
      <w:r>
        <w:rPr/>
        <w:t xml:space="preserve">Schimbarea modului de alegere ar consta într- </w:t>
      </w:r>
      <w:r>
        <w:rPr>
          <w:b/>
        </w:rPr>
        <w:t>o unificare a sistemului de vot la</w:t>
      </w:r>
      <w:r>
        <w:rPr/>
        <w:t xml:space="preserve"> nivel european și în tranziția de la circumscripțiile naționale la cele regionale, estimate a fi posibile până în 2035. </w:t>
      </w:r>
    </w:p>
    <w:p>
      <w:pPr>
        <w:pStyle w:val="Normal"/>
        <w:spacing w:lineRule="auto" w:line="240"/>
        <w:rPr/>
      </w:pPr>
      <w:r>
        <w:rPr/>
      </w:r>
    </w:p>
    <w:p>
      <w:pPr>
        <w:pStyle w:val="P68B1DB1Normal42"/>
        <w:spacing w:lineRule="auto" w:line="240"/>
        <w:rPr/>
      </w:pPr>
      <w:r>
        <w:rPr/>
        <w:t xml:space="preserve">Modificarea 13 – Definirea unei politici comune de îmbunătățire a primirii și a integrării sociale și profesionale a migranților (inclusiv a migranților în situație neregulamentară)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Dorința Europei asociate: O Europă care garantează respectarea drepturilor fundamentale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76" w:after="0"/>
        <w:ind w:left="0" w:right="0" w:hanging="0"/>
        <w:jc w:val="left"/>
        <w:rPr/>
      </w:pPr>
      <w:r>
        <w:rPr>
          <w:i/>
          <w:color w:val="000000"/>
        </w:rPr>
        <w:t>Cuvinte cheie: Oficiul European pentru Migrație, asigurând o primire decentă în întreaga Europă</w:t>
      </w:r>
      <w:r>
        <w:rPr>
          <w:b/>
          <w:color w:val="273375"/>
        </w:rPr>
        <w:t xml:space="preserve"> </w:t>
      </w:r>
    </w:p>
    <w:p>
      <w:pPr>
        <w:pStyle w:val="P68B1DB1Normal19"/>
        <w:widowControl w:val="false"/>
        <w:spacing w:lineRule="auto" w:line="240" w:before="248" w:after="0"/>
        <w:ind w:left="0" w:right="10" w:hanging="0"/>
        <w:jc w:val="both"/>
        <w:rPr/>
      </w:pPr>
      <w:r>
        <w:rPr/>
        <w:t xml:space="preserve">Această schimbare vizează îmbunătățirea primirii migranților în Uniunea Europeană, o problemă identificată în unanimitate ca fiind o </w:t>
      </w:r>
      <w:r>
        <w:rPr>
          <w:b/>
        </w:rPr>
        <w:t>urgență</w:t>
      </w:r>
      <w:r>
        <w:rPr/>
        <w:t xml:space="preserve"> de către cetățeni. Într-o ruptură cu situația actuală, instituirea unei </w:t>
      </w:r>
      <w:r>
        <w:rPr>
          <w:b/>
        </w:rPr>
        <w:t>politici comune, concertate și solidare în domeniul imigrației</w:t>
      </w:r>
      <w:r>
        <w:rPr/>
        <w:t xml:space="preserve"> pare a fi un vector major al păcii.</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243" w:after="0"/>
        <w:ind w:left="0" w:right="10" w:hanging="0"/>
        <w:jc w:val="left"/>
        <w:rPr/>
      </w:pPr>
      <w:r>
        <w:rPr/>
        <w:t xml:space="preserve">Succesul unei astfel de schimbări ar duce la punerea în aplicare treptată a unei politici comune privind primirea migranților. </w:t>
      </w:r>
    </w:p>
    <w:p>
      <w:pPr>
        <w:pStyle w:val="P68B1DB1Normal19"/>
        <w:widowControl w:val="false"/>
        <w:spacing w:lineRule="auto" w:line="240" w:before="326" w:after="0"/>
        <w:ind w:left="0" w:right="10" w:hanging="0"/>
        <w:jc w:val="both"/>
        <w:rPr/>
      </w:pPr>
      <w:r>
        <w:rPr/>
        <w:t xml:space="preserve">O </w:t>
      </w:r>
      <w:r>
        <w:rPr>
          <w:b/>
        </w:rPr>
        <w:t>inițiativă cetățenească</w:t>
      </w:r>
      <w:r>
        <w:rPr/>
        <w:t xml:space="preserve"> ar trebui să sesizeze Comisia și să permită pe termen mediu adoptarea unui </w:t>
      </w:r>
      <w:r>
        <w:rPr>
          <w:b/>
        </w:rPr>
        <w:t>standard comun</w:t>
      </w:r>
      <w:r>
        <w:rPr/>
        <w:t xml:space="preserve"> care să stabilească un cadru pentru primirea și integrarea socială a migranților. Pe termen lung, acest standard ar fi susținut de crearea unui </w:t>
      </w:r>
      <w:r>
        <w:rPr>
          <w:b/>
        </w:rPr>
        <w:t>birou european specializat în domeniul imigrației</w:t>
      </w:r>
      <w:r>
        <w:rPr/>
        <w:t xml:space="preserve"> și de recunoașterea politicii în domeniul migrației ca o competență a Uniunii Europene. </w:t>
      </w:r>
    </w:p>
    <w:p>
      <w:pPr>
        <w:pStyle w:val="Normal"/>
        <w:spacing w:lineRule="auto" w:line="240"/>
        <w:rPr/>
      </w:pPr>
      <w:r>
        <w:rPr/>
      </w:r>
    </w:p>
    <w:p>
      <w:pPr>
        <w:pStyle w:val="P68B1DB1Normal42"/>
        <w:spacing w:lineRule="auto" w:line="240"/>
        <w:rPr/>
      </w:pPr>
      <w:r>
        <w:rPr/>
        <w:t xml:space="preserve">Modificarea 14 – Conservarea particularităților (etichete alimentare, producție artizanală, tradiții) ale diferitelor regiuni europene, pentru a evita un stil de viață uniform și pentru a asigura trasabilitatea și calitatea produselor </w:t>
      </w:r>
    </w:p>
    <w:p>
      <w:pPr>
        <w:pStyle w:val="P68B1DB1Normal43"/>
        <w:widowControl w:val="false"/>
        <w:spacing w:lineRule="auto" w:line="240" w:before="347" w:after="0"/>
        <w:ind w:left="0" w:right="912" w:hanging="0"/>
        <w:jc w:val="left"/>
        <w:rPr/>
      </w:pPr>
      <w:r>
        <w:rPr/>
        <w:t xml:space="preserve">Dorința Europei asociate: O Europă în care interesele fiecărui stat prevalează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Ce înseamnă această schimbare? </w:t>
      </w:r>
    </w:p>
    <w:p>
      <w:pPr>
        <w:pStyle w:val="P68B1DB1Normal7"/>
        <w:widowControl w:val="false"/>
        <w:spacing w:lineRule="auto" w:line="240" w:before="76" w:after="0"/>
        <w:ind w:left="0" w:right="0" w:hanging="0"/>
        <w:jc w:val="left"/>
        <w:rPr/>
      </w:pPr>
      <w:r>
        <w:rPr>
          <w:i/>
          <w:color w:val="000000"/>
        </w:rPr>
        <w:t>Cuvinte cheie: Etichetele europene, valorificând diversitatea culturilor și tradițiilor</w:t>
      </w:r>
      <w:r>
        <w:rPr>
          <w:b/>
          <w:color w:val="273375"/>
        </w:rPr>
        <w:t xml:space="preserve"> </w:t>
      </w:r>
    </w:p>
    <w:p>
      <w:pPr>
        <w:pStyle w:val="P68B1DB1Normal19"/>
        <w:widowControl w:val="false"/>
        <w:spacing w:lineRule="auto" w:line="240" w:before="323" w:after="0"/>
        <w:ind w:left="0" w:right="10" w:hanging="0"/>
        <w:jc w:val="both"/>
        <w:rPr/>
      </w:pPr>
      <w:r>
        <w:rPr/>
        <w:t xml:space="preserve">Ambiția acestei schimbări este de a păstra </w:t>
      </w:r>
      <w:r>
        <w:rPr>
          <w:b/>
        </w:rPr>
        <w:t>diversitatea tradițiilor și producțiilor europene și</w:t>
      </w:r>
      <w:r>
        <w:rPr/>
        <w:t xml:space="preserve"> de</w:t>
      </w:r>
      <w:r>
        <w:rPr>
          <w:b/>
        </w:rPr>
        <w:t xml:space="preserve">a evita standardizarea stilurilor </w:t>
      </w:r>
      <w:r>
        <w:rPr/>
        <w:t>de viață, denumite adesea critici la adresa Uniunii Europene.</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Care sunt pașii cheie și criteriile de succes? </w:t>
      </w:r>
    </w:p>
    <w:p>
      <w:pPr>
        <w:pStyle w:val="P68B1DB1Normal19"/>
        <w:widowControl w:val="false"/>
        <w:spacing w:lineRule="auto" w:line="240" w:before="322" w:after="0"/>
        <w:ind w:left="0" w:right="10" w:hanging="0"/>
        <w:jc w:val="both"/>
        <w:rPr/>
      </w:pPr>
      <w:r>
        <w:rPr/>
        <w:t xml:space="preserve">Pentru cetățeni, obiectivul principal este de a face mai accesibilă baza de date existentă care enumeră diferitele </w:t>
      </w:r>
      <w:r>
        <w:rPr>
          <w:b/>
        </w:rPr>
        <w:t>etichete europene și naționale</w:t>
      </w:r>
      <w:r>
        <w:rPr/>
        <w:t xml:space="preserve">. Pentru a face acest lucru, se propune crearea unui </w:t>
      </w:r>
      <w:r>
        <w:rPr>
          <w:i/>
        </w:rPr>
        <w:t>site web cu trei</w:t>
      </w:r>
      <w:r>
        <w:rPr/>
        <w:t xml:space="preserve"> clicuri: un clic pentru a accesa site-ul, un al doilea pentru a afișa o hartă a regiunilor Uniunii Europene și unul pentru a afișa descrierea etichetelor fiecărei regiuni. </w:t>
      </w:r>
    </w:p>
    <w:p>
      <w:pPr>
        <w:pStyle w:val="Normal"/>
        <w:widowControl w:val="false"/>
        <w:spacing w:lineRule="auto" w:line="240" w:before="327" w:after="0"/>
        <w:ind w:left="0" w:right="14" w:hanging="0"/>
        <w:jc w:val="left"/>
        <w:rPr/>
      </w:pPr>
      <w:r>
        <w:rPr>
          <w:rFonts w:ascii="Times New Roman" w:hAnsi="Times New Roman"/>
          <w:color w:val="000000"/>
        </w:rPr>
        <w:t xml:space="preserve">Succesul acestei schimbări ar consta într-o mai bună </w:t>
      </w:r>
      <w:r>
        <w:rPr>
          <w:rFonts w:ascii="Times New Roman" w:hAnsi="Times New Roman"/>
          <w:b/>
          <w:color w:val="000000"/>
        </w:rPr>
        <w:t>comunicare</w:t>
      </w:r>
      <w:r>
        <w:rPr>
          <w:rFonts w:ascii="Times New Roman" w:hAnsi="Times New Roman"/>
          <w:color w:val="000000"/>
        </w:rPr>
        <w:t xml:space="preserve"> cu privire la realizările existente, ceea ce ar duce la o mai bună </w:t>
      </w:r>
      <w:r>
        <w:rPr>
          <w:rFonts w:ascii="Times New Roman" w:hAnsi="Times New Roman"/>
          <w:b/>
          <w:color w:val="000000"/>
        </w:rPr>
        <w:t>înțelegere</w:t>
      </w:r>
      <w:r>
        <w:rPr>
          <w:rFonts w:ascii="Times New Roman" w:hAnsi="Times New Roman"/>
          <w:color w:val="000000"/>
        </w:rPr>
        <w:t xml:space="preserve"> a diversității culturilor europene de către cetățeni.</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A doua parte: prezentarea rezultatelor consultării „Cuvinte pentru tineret”</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Datele consultării </w:t>
      </w:r>
    </w:p>
    <w:p>
      <w:pPr>
        <w:pStyle w:val="P68B1DB1Normal19"/>
        <w:widowControl w:val="false"/>
        <w:spacing w:lineRule="auto" w:line="240" w:before="34" w:after="0"/>
        <w:ind w:left="0" w:right="0" w:hanging="0"/>
        <w:jc w:val="center"/>
        <w:rPr/>
      </w:pPr>
      <w:r>
        <w:rPr/>
        <w:t>de la 09.05.2021 la 18.07.2021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Cifre de participare</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participanți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 propuneri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de voturi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Consultarea „Walk to Youth” a fost lansată la inițiativa Secretariatului de Stat pentru Afaceri Europene. Această consultare are loc în contextul Conferinței privind viitorul Europei, un exercițiu de democrație participativă fără precedent, condus de instituțiile europene, al cărui obiectiv este de a permite tuturor cetățenilor europeni să își exprime opiniile cu privire la ceea ce așteaptă de la Uniunea Europeană. Concluziile consultării vor contribui la lucrările Conferinței privind viitorul Europei și ale Președinției franceze a Consiliului Uniunii Europene.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lecții principale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O mobilizare masivă a tinerilor: peste</w:t>
      </w:r>
      <w:r>
        <w:rPr>
          <w:rFonts w:ascii="Times New Roman" w:hAnsi="Times New Roman"/>
          <w:b/>
        </w:rPr>
        <w:t xml:space="preserve"> 50.000 de tineri cetățeni francezi au participat </w:t>
      </w:r>
      <w:r>
        <w:rPr>
          <w:rFonts w:ascii="Times New Roman" w:hAnsi="Times New Roman"/>
        </w:rPr>
        <w:t xml:space="preserve">la consultare, în toate teritoriile.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Cel mai important consens </w:t>
      </w:r>
      <w:r>
        <w:rPr>
          <w:rFonts w:ascii="Times New Roman" w:hAnsi="Times New Roman"/>
          <w:b/>
        </w:rPr>
        <w:t>se referă la politicile europene de combatere a schimbărilor climatice, relocarea  producției în Europa, revitalizarea democrației europene, ponderea UE în lume (economie, cercetare, drepturile omului, diplomație).</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Ideea unei Europe mai puternice și mai unite trece prin întreaga consultare, ajungând la</w:t>
      </w:r>
      <w:r>
        <w:rPr>
          <w:rFonts w:ascii="Times New Roman" w:hAnsi="Times New Roman"/>
        </w:rPr>
        <w:t xml:space="preserve"> un consens cu privire la mai multe aspecte: </w:t>
      </w:r>
    </w:p>
    <w:p>
      <w:pPr>
        <w:pStyle w:val="P68B1DB1Normal34"/>
        <w:widowControl w:val="false"/>
        <w:spacing w:lineRule="auto" w:line="240" w:before="92" w:after="0"/>
        <w:ind w:left="360" w:right="0" w:hanging="0"/>
        <w:jc w:val="left"/>
        <w:rPr/>
      </w:pPr>
      <w:r>
        <w:rPr>
          <w:rFonts w:ascii="Times New Roman" w:hAnsi="Times New Roman"/>
        </w:rPr>
        <w:t>-</w:t>
      </w:r>
      <w:r>
        <w:rPr/>
        <w:t xml:space="preserve"> </w:t>
      </w:r>
      <w:r>
        <w:rPr>
          <w:rFonts w:ascii="Times New Roman" w:hAnsi="Times New Roman"/>
        </w:rPr>
        <w:t xml:space="preserve">O Europă mai puternică din punct de vedere economic (în special prin relocare) pentru a face față Chinei sau Statelor Unite ale Americii </w:t>
      </w:r>
    </w:p>
    <w:p>
      <w:pPr>
        <w:pStyle w:val="P68B1DB1Normal34"/>
        <w:widowControl w:val="false"/>
        <w:spacing w:lineRule="auto" w:line="240" w:before="92" w:after="0"/>
        <w:ind w:left="360" w:right="0" w:hanging="0"/>
        <w:jc w:val="left"/>
        <w:rPr/>
      </w:pPr>
      <w:r>
        <w:rPr>
          <w:rFonts w:ascii="Times New Roman" w:hAnsi="Times New Roman"/>
        </w:rPr>
        <w:t>O</w:t>
      </w:r>
      <w:r>
        <w:rPr/>
        <w:t xml:space="preserve"> </w:t>
      </w:r>
      <w:r>
        <w:rPr>
          <w:rFonts w:ascii="Times New Roman" w:hAnsi="Times New Roman"/>
        </w:rPr>
        <w:t xml:space="preserve">Europă diplomatică care cântărește mai mult pe scena internațională </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Un lider european în lupta împotriva schimbărilor climatice în lume</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 xml:space="preserve">O Europă reunită de tinerii săi </w:t>
      </w:r>
    </w:p>
    <w:p>
      <w:pPr>
        <w:pStyle w:val="P68B1DB1Normal34"/>
        <w:widowControl w:val="false"/>
        <w:spacing w:lineRule="auto" w:line="240" w:before="85" w:after="0"/>
        <w:ind w:left="360" w:right="0" w:hanging="0"/>
        <w:jc w:val="left"/>
        <w:rPr/>
      </w:pPr>
      <w:r>
        <w:rPr>
          <w:rFonts w:ascii="Times New Roman" w:hAnsi="Times New Roman"/>
        </w:rPr>
        <w:t>O</w:t>
      </w:r>
      <w:r>
        <w:rPr/>
        <w:t xml:space="preserve"> </w:t>
      </w:r>
      <w:r>
        <w:rPr>
          <w:rFonts w:ascii="Times New Roman" w:hAnsi="Times New Roman"/>
        </w:rPr>
        <w:t xml:space="preserve">Europă unită în cercetare și inovare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Patru idei complementare</w:t>
      </w:r>
      <w:r>
        <w:rPr>
          <w:rFonts w:ascii="Times New Roman" w:hAnsi="Times New Roman"/>
        </w:rPr>
        <w:t xml:space="preserve"> celor ale grupurilor de cetățeni au fost, de asemenea, salutate de tineri: </w:t>
      </w:r>
    </w:p>
    <w:p>
      <w:pPr>
        <w:pStyle w:val="P68B1DB1Normal34"/>
        <w:widowControl w:val="false"/>
        <w:spacing w:lineRule="auto" w:line="240" w:before="90" w:after="0"/>
        <w:ind w:left="360" w:right="0" w:hanging="0"/>
        <w:jc w:val="left"/>
        <w:rPr/>
      </w:pPr>
      <w:r>
        <w:rPr>
          <w:rFonts w:ascii="Times New Roman" w:hAnsi="Times New Roman"/>
        </w:rPr>
        <w:t>-</w:t>
      </w:r>
      <w:r>
        <w:rPr/>
        <w:t xml:space="preserve"> </w:t>
      </w:r>
      <w:r>
        <w:rPr>
          <w:rFonts w:ascii="Times New Roman" w:hAnsi="Times New Roman"/>
        </w:rPr>
        <w:t xml:space="preserve">O economie europeană responsabilă din punct de vedere ecologic </w:t>
      </w:r>
      <w:r>
        <w:rPr/>
        <w:t>și social</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O Europă mai conectată din punct de vedere geografic pe calea ferată </w:t>
      </w:r>
    </w:p>
    <w:p>
      <w:pPr>
        <w:pStyle w:val="P68B1DB1Normal34"/>
        <w:widowControl w:val="false"/>
        <w:spacing w:lineRule="auto" w:line="240" w:before="85" w:after="0"/>
        <w:ind w:left="360" w:right="0" w:hanging="0"/>
        <w:jc w:val="left"/>
        <w:rPr/>
      </w:pPr>
      <w:r>
        <w:rPr>
          <w:rFonts w:ascii="Times New Roman" w:hAnsi="Times New Roman"/>
        </w:rPr>
        <w:t xml:space="preserve">OEuropă mai echitabilă din punct de vedere fiscal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Acțiuni ferme ale Uniunii Europene în sprijinul drepturilor femeilor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de idei populare și 13 idei controversate răspândite în cele 9 teme ale Conferinței privind viitorul Europei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Ideile apreciate se</w:t>
      </w:r>
      <w:r>
        <w:rPr>
          <w:color w:val="000000"/>
        </w:rPr>
        <w:t xml:space="preserve"> bazează pe propunerile susținute în cea mai mare parte de participanții la consultare. Propunerile apreciate sunt propunerile care atrag cel mai mult sprijin, ele valorificând în medie </w:t>
      </w:r>
      <w:r>
        <w:rPr>
          <w:b/>
          <w:color w:val="000000"/>
        </w:rPr>
        <w:t>79 % din „voturile pentru”</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Ideile controversate se</w:t>
      </w:r>
      <w:r>
        <w:rPr>
          <w:color w:val="000000"/>
        </w:rPr>
        <w:t xml:space="preserve"> bazează pe propunerile cele mai dezbătute de participanții la consultare, cu un echilibru între voturile pro și contra. Propunerile controversate sunt cele mai dezbătute propuneri ale consultării, valorificând în medie </w:t>
      </w:r>
      <w:r>
        <w:rPr>
          <w:b/>
          <w:color w:val="000000"/>
        </w:rPr>
        <w:t>40 % din „voturi pentru”</w:t>
      </w:r>
      <w:r>
        <w:rPr>
          <w:color w:val="000000"/>
        </w:rPr>
        <w:t xml:space="preserve">, </w:t>
      </w:r>
      <w:r>
        <w:rPr>
          <w:b/>
          <w:color w:val="000000"/>
        </w:rPr>
        <w:t>38 % din „voturi împotrivă”</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Analiza acestor propuneri a identificat 22 de idei apreciate și 13 idei controversate. Aceste 22 de idei apreciate și cele 13 idei controversate au fost împărțite în 9 axe corespunzătoare principalelor teme ale Conferinței privind viitorul Europei. </w:t>
      </w:r>
      <w:r>
        <w:br w:type="page"/>
      </w:r>
    </w:p>
    <w:p>
      <w:pPr>
        <w:pStyle w:val="Normal"/>
        <w:widowControl w:val="false"/>
        <w:spacing w:lineRule="auto" w:line="240" w:before="85" w:after="0"/>
        <w:ind w:left="0" w:right="0" w:hanging="0"/>
        <w:jc w:val="left"/>
        <w:rPr/>
      </w:pPr>
      <w:r>
        <w:rPr/>
        <w:t>Sinteza ideilor apreciate și controversate</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Schimbările climatice și mediul</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Punerea în aplicare a unei politici ecologice europene mai puternice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Trecerea la o agricultură mai durabilă</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Acțiuni mai puternice pentru protejarea biodiversității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Dezvoltarea transportului feroviar în 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Accelerarea tranziției energetice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Limitarea ambalajelor și îmbunătățirea gestionării deșeurilor</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Sensibilizarea cu privire la mediu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Promovarea proceselor de construcție responsabile din punct de vedere ecologic</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Investiții mai mari în energia nucleară</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Democrația europeană</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O mai bună comunicare cu privire la rolul și activitatea 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Modificarea funcționării democratice a Uniunii Europene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Combaterea dezinformării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Transformarea Europei într-o federație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Să lase mai multă autonomie statelor membre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Consolidarea puterii executive europene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Oferirea unui loc tinerilor în instituțiile europene</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Economie, justiție socială și ocuparea forței de muncă</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Relocarea producției în Europa pentru o mai mare autonomie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Creșterea responsabilității practicilor comerciale și a comerțului</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Combaterea evaziunii fiscale și a optimizării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Armonizarea salariilor europene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Stabilirea unui venit universal</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Reorientarea Europei către un model anticapitalist</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Educație, cultură, tineret și sport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Transformarea digitală</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Posibilitatea tinerilor de a face mai multe schimburi cu alte țări ale UE</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Încurajarea învățării limbilor non-engleze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Investiții în cercetarea științifică, digitală și de mediu</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Sensibilizarea cu privire la tehnologia digitală și la pericolele acesteia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Obligativitatea șederii europene pentru tineri</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Dezvoltarea criptomonedelor în Europa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Valori și drepturi, statul de drept, securitate</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Sănătate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Consolidarea acțiunii UE de respectare a drepturilor omului</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Consolidarea drepturilor femeilor</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Investiții în sănătate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Îmbunătățirea calității produselor noastre alimentare</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UE în lume</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Imigrația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Capacitatea UE de a cântări la nivel internațional</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Crearea unei forțe armate europene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Reducerea sau însoțirea imigrației în Europa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Idee predominantă (&gt; 10 propuneri aclamate)</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Idee singulară ( &amp; 10 propuneri aclamate)</w:t>
      </w:r>
    </w:p>
    <w:p>
      <w:pPr>
        <w:pStyle w:val="Contenudetableau"/>
        <w:spacing w:lineRule="auto" w:line="240"/>
        <w:jc w:val="center"/>
        <w:rPr/>
      </w:pPr>
      <w:r>
        <w:rPr>
          <w:rFonts w:eastAsia="SimSun" w:cs="Mangal" w:ascii="Times New Roman" w:hAnsi="Times New Roman"/>
          <w:color w:val="F58220"/>
          <w:sz w:val="18"/>
        </w:rPr>
        <w:t>Idee controversată (&gt; 3 propuneri controversate)</w:t>
      </w:r>
      <w:r>
        <w:br w:type="page"/>
      </w:r>
    </w:p>
    <w:p>
      <w:pPr>
        <w:pStyle w:val="Titre2"/>
        <w:numPr>
          <w:ilvl w:val="1"/>
          <w:numId w:val="2"/>
        </w:numPr>
        <w:rPr/>
      </w:pPr>
      <w:bookmarkStart w:id="213" w:name="__RefHeading___Toc300458_1346298689"/>
      <w:bookmarkEnd w:id="213"/>
      <w:r>
        <w:rPr/>
        <w:t xml:space="preserve">Concluzie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Într-un cuvânt, pentru voi, Europa în 2035 va trebui să fie...”: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Imagini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ini41" descr=""/>
                    <pic:cNvPicPr>
                      <a:picLocks noChangeAspect="1" noChangeArrowheads="1"/>
                    </pic:cNvPicPr>
                  </pic:nvPicPr>
                  <pic:blipFill>
                    <a:blip r:embed="rId102"/>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R</w:t>
      </w:r>
      <w:r>
        <w:rPr>
          <w:rFonts w:ascii="Times New Roman" w:hAnsi="Times New Roman"/>
          <w:i/>
          <w:color w:val="632423"/>
          <w:sz w:val="24"/>
        </w:rPr>
        <w:t xml:space="preserve">ăspunsul cetățenilor conferinței naționale la întrebarea finală: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Pe scurt, pentru tine, Europa în 2035 va trebui să fie...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Grupurile naționale II C: Germania</w:t>
      </w:r>
    </w:p>
    <w:p>
      <w:pPr>
        <w:pStyle w:val="P68B1DB1Normal67"/>
        <w:spacing w:lineRule="auto" w:line="240"/>
        <w:rPr>
          <w:rFonts w:ascii="Calibri" w:hAnsi="Calibri"/>
          <w:b/>
          <w:b/>
          <w:color w:val="000000"/>
          <w:sz w:val="36"/>
        </w:rPr>
      </w:pPr>
      <w:r>
        <w:rPr/>
        <w:t xml:space="preserve">Grupul național al cetățenilor privind viitorul Europei la Berlin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Recomandările cetățenilor — </w:t>
      </w:r>
    </w:p>
    <w:p>
      <w:pPr>
        <w:pStyle w:val="P68B1DB1Normal52"/>
        <w:widowControl w:val="false"/>
        <w:spacing w:lineRule="exact" w:line="317" w:before="288" w:after="0"/>
        <w:ind w:left="276" w:right="113" w:hanging="0"/>
        <w:jc w:val="both"/>
        <w:rPr/>
      </w:pPr>
      <w:r>
        <w:rPr>
          <w:color w:val="000000"/>
        </w:rPr>
        <w:t xml:space="preserve">Germania a organizat Grupul național cetățenesc privind viitorul Europei la 5, 8, 15 și 16 ianuarie. Procesul de selecție a cetățenilor a urmat selecția aleatorie stratificată a participanților la grupurile de dezbatere ale cetățenilor europeni. 12.000 de cetățeni germani au fost invitați să participe; dintre respondenți, aproximativ 100 au fost selectați, ținând seama de datele recensământului actuale ale Republicii Federale Germania, pentru a reflecta diversitatea societății germane și a populației în ansamblu. În cadrul Grupului național cetățenesc, participanții au discutat cinci teme: UE în lume; o economie mai puternică; schimbările climatice și mediul; justiția socială; Valorile europene și statul de drept. Apoi au elaborat recomandări concrete pentru fiecare dintre aceste teme, care au fost adoptate în cadrul sesiunii plenare finale din 16 ianuarie: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Masa rotundă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Corelarea intereselor comerciale externe cu măsurile de politică în domeniul climei </w:t>
      </w:r>
    </w:p>
    <w:p>
      <w:pPr>
        <w:pStyle w:val="P68B1DB1Normal20"/>
        <w:widowControl w:val="false"/>
        <w:spacing w:lineRule="exact" w:line="337" w:before="192" w:after="0"/>
        <w:ind w:left="276" w:right="123" w:hanging="0"/>
        <w:jc w:val="both"/>
        <w:rPr/>
      </w:pPr>
      <w:r>
        <w:rPr/>
        <w:t xml:space="preserve">Recomandăm ca UE (în special Comisia Europeană) să lanseze un pachet de investiții pentru tehnologii și inovații ecologice, inclusiv programe de finanțare. Acest pachet de măsuri ar trebui să fie finanțat prin taxe la import legate de climă, care ar fi afectate în mod specific și transferate drept compensație financiară pentru daunele climatice. În acest context, pentru anumite produse ar fi instituit un sistem de puncte de evaluare a durabilității. O poziție clară a UE și o Europă puternică și inovatoare ar contribui la atingerea obiectivelor climatice globale. Acest lucru ar contribui la consolidarea rolului Uniunii Europene ca model global de pionierat și responsabil, care garantează bogăția și poate conduce la schimbări durabile la scară mondială. Aceste obiective sunt importante pentru noi, deoarece UE contribuie în mod durabil la lupta împotriva schimbărilor climatice, care ar putea, pe termen lung, să joace un rol-cheie în consolidarea păcii la nivel mondial.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Masa rotundă 2: </w:t>
      </w:r>
    </w:p>
    <w:p>
      <w:pPr>
        <w:pStyle w:val="P68B1DB1Normal68"/>
        <w:widowControl w:val="false"/>
        <w:spacing w:lineRule="exact" w:line="338" w:before="321" w:after="0"/>
        <w:ind w:left="0" w:right="131" w:hanging="0"/>
        <w:jc w:val="left"/>
        <w:rPr/>
      </w:pPr>
      <w:r>
        <w:rPr/>
        <w:t xml:space="preserve">Crearea de stimulente pentru punerea în aplicare a producției în UE, în special în ceea ce privește produsele de bază </w:t>
      </w:r>
    </w:p>
    <w:p>
      <w:pPr>
        <w:pStyle w:val="P68B1DB1Normal20"/>
        <w:widowControl w:val="false"/>
        <w:spacing w:lineRule="exact" w:line="337" w:before="208" w:after="0"/>
        <w:ind w:left="276" w:right="121" w:hanging="0"/>
        <w:jc w:val="both"/>
        <w:rPr/>
      </w:pPr>
      <w:r>
        <w:rPr/>
        <w:t xml:space="preserve">Pentru a facilita producția de mărfuri în UE, recomandăm accelerarea și standardizarea procedurilor de aprobare, reducerea birocrației și acordarea de subvenții întreprinderilor care se deplasează în UE și/sau înființează unități de producție în UE. UE ar trebui să promoveze masiv energia din surse regenerabile pentru a reduce costurile cu energia. </w:t>
      </w:r>
    </w:p>
    <w:p>
      <w:pPr>
        <w:pStyle w:val="P68B1DB1Normal20"/>
        <w:widowControl w:val="false"/>
        <w:spacing w:lineRule="exact" w:line="336" w:before="216" w:after="0"/>
        <w:ind w:left="276" w:right="121" w:hanging="0"/>
        <w:jc w:val="both"/>
        <w:rPr/>
      </w:pPr>
      <w:r>
        <w:rPr/>
        <w:t xml:space="preserve">Prin aceste măsuri, dorim să scurtăm lanțurile de aprovizionare și să le facem mai favorabile climei, să contribuim la consolidarea UE și să creăm locuri de muncă în care drepturile omului sunt respectate. </w:t>
      </w:r>
    </w:p>
    <w:p>
      <w:pPr>
        <w:pStyle w:val="Normal"/>
        <w:widowControl w:val="false"/>
        <w:spacing w:lineRule="exact" w:line="336" w:before="219" w:after="0"/>
        <w:ind w:left="276" w:right="121" w:hanging="0"/>
        <w:jc w:val="both"/>
        <w:rPr/>
      </w:pPr>
      <w:r>
        <w:rPr>
          <w:rFonts w:ascii="Calibri" w:hAnsi="Calibri"/>
          <w:color w:val="000000"/>
          <w:sz w:val="24"/>
        </w:rPr>
        <w:t xml:space="preserve">Aceste obiective sunt importante pentru noi, deoarece relocarea producției în UE ar face UE mai autonomă pe plan internațional și mai puțin vulnerabilă din punct de vedere politic.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Masa rotundă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un sistem de puncte pentru o economie digitală puternică la nivelul UE </w:t>
      </w:r>
    </w:p>
    <w:p>
      <w:pPr>
        <w:pStyle w:val="P68B1DB1Normal20"/>
        <w:widowControl w:val="false"/>
        <w:spacing w:lineRule="exact" w:line="337" w:before="192" w:after="0"/>
        <w:ind w:left="276" w:right="119" w:hanging="0"/>
        <w:jc w:val="both"/>
        <w:rPr/>
      </w:pPr>
      <w:r>
        <w:rPr/>
        <w:t xml:space="preserve">Propunem crearea unui tablou de bord digital accesibil publicului, denumit Digi-Score, gestionat de Comisia Europeană (DG CNECT). Acesta ar fi un sistem precis de clasificare pentru a indica și a compara nivelul actual de maturitate digitală a întreprinderilor din UE. Prin această propunere, dorim să încurajăm o mai mare digitalizare în întreaga Europă. Întreprinderile cu un scor digital scăzut ar avea dreptul la sprijin specific pentru a le ajuta să recupereze decalajul. </w:t>
      </w:r>
    </w:p>
    <w:p>
      <w:pPr>
        <w:pStyle w:val="P68B1DB1Normal20"/>
        <w:widowControl w:val="false"/>
        <w:spacing w:lineRule="exact" w:line="338" w:before="219" w:after="0"/>
        <w:ind w:left="276" w:right="121" w:hanging="0"/>
        <w:jc w:val="both"/>
        <w:rPr/>
      </w:pPr>
      <w:r>
        <w:rPr/>
        <w:t xml:space="preserve">Acest obiectiv este important pentru noi, deoarece ar contribui la pregătirea terenului pentru creșterea productivității, a eficienței și a vânzărilor, consolidând astfel rolul Europei ca bază pentru producție.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Masa rotundă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Platformă de informare pentru schimbul de cunoștințe și de experiență la nivelul UE </w:t>
      </w:r>
    </w:p>
    <w:p>
      <w:pPr>
        <w:pStyle w:val="P68B1DB1Normal20"/>
        <w:widowControl w:val="false"/>
        <w:spacing w:lineRule="exact" w:line="337"/>
        <w:ind w:left="276" w:right="119" w:hanging="0"/>
        <w:jc w:val="both"/>
        <w:rPr/>
      </w:pPr>
      <w:r>
        <w:rPr/>
        <w:t xml:space="preserve">Recomandăm UE să creeze o platformă de informare pentru schimbul de cunoștințe și de experiență la nivelul UE. Scopul nostru este de a face schimb de informații cu privire la activitățile transnaționale de educație și formare existente în UE, de a prezenta exemple de bune practici și de a oferi cetățenilor posibilitatea de a prezenta noi idei pentru schimburile transfrontaliere. În plus, ar putea fi furnizate informații suplimentare în cadrul forumurilor tehnice disponibile ale experților (de exemplu, cu privire la energie, mediu sau tranziția digitală). </w:t>
      </w:r>
    </w:p>
    <w:p>
      <w:pPr>
        <w:pStyle w:val="P68B1DB1Normal20"/>
        <w:widowControl w:val="false"/>
        <w:spacing w:lineRule="exact" w:line="337" w:before="216" w:after="0"/>
        <w:ind w:left="276" w:right="121" w:hanging="0"/>
        <w:jc w:val="both"/>
        <w:rPr/>
      </w:pPr>
      <w:r>
        <w:rPr/>
        <w:t xml:space="preserve">Considerăm că acest lucru este important deoarece cetățenii au nevoie de transparență în ceea ce privește activitățile transfrontaliere de educație și formare care sunt disponibile. Acestea ar trebui să primească orientări mai bune la nivelul UE cu privire la forumurile și platformele existente.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Masa rotundă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Regulamentul privind garanția de viață a produselor </w:t>
      </w:r>
    </w:p>
    <w:p>
      <w:pPr>
        <w:pStyle w:val="P68B1DB1Normal20"/>
        <w:widowControl w:val="false"/>
        <w:spacing w:lineRule="exact" w:line="337" w:before="192" w:after="0"/>
        <w:ind w:left="276" w:right="119" w:hanging="0"/>
        <w:jc w:val="both"/>
        <w:rPr/>
      </w:pPr>
      <w:r>
        <w:rPr/>
        <w:t xml:space="preserve">Recomandăm UE să adopte o legislație care să stabilească o durată de viață extinsă, garantată și specifică pentru fiecare produs fabricat și vândut în UE și să fie transparentă cu consumatorii în această privință. </w:t>
      </w:r>
    </w:p>
    <w:p>
      <w:pPr>
        <w:pStyle w:val="P68B1DB1Normal20"/>
        <w:widowControl w:val="false"/>
        <w:spacing w:lineRule="exact" w:line="336" w:before="219" w:after="0"/>
        <w:ind w:left="276" w:right="126" w:hanging="0"/>
        <w:jc w:val="both"/>
        <w:rPr/>
      </w:pPr>
      <w:r>
        <w:rPr/>
        <w:t xml:space="preserve">Resursele sunt limitate, iar acest lucru ar economisi bani și ar reduce deșeurile, ceea ce ar aduce beneficii mediului, climei și consumatorilor. </w:t>
      </w:r>
    </w:p>
    <w:p>
      <w:pPr>
        <w:pStyle w:val="P68B1DB1Normal20"/>
        <w:widowControl w:val="false"/>
        <w:spacing w:lineRule="exact" w:line="338" w:before="216" w:after="0"/>
        <w:ind w:left="276" w:right="131" w:hanging="0"/>
        <w:jc w:val="left"/>
        <w:rPr/>
      </w:pPr>
      <w:r>
        <w:rPr/>
        <w:t xml:space="preserve">Dorim să încurajăm producătorii să aducă pe piață produse mai durabile și mai reparabile.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Masa rotundă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Campania pe termen lung a UE pentru un consum durabil și un stil de viață durabil </w:t>
      </w:r>
    </w:p>
    <w:p>
      <w:pPr>
        <w:pStyle w:val="P68B1DB1Normal20"/>
        <w:widowControl w:val="false"/>
        <w:spacing w:lineRule="exact" w:line="336"/>
        <w:ind w:left="276" w:right="126" w:hanging="0"/>
        <w:jc w:val="left"/>
        <w:rPr/>
      </w:pPr>
      <w:r>
        <w:rPr/>
        <w:t xml:space="preserve">Recomandăm ca un organism european, inclusiv sucursalele din țările UE, să dispună de resurse proprii și să conducă această campanie. </w:t>
      </w:r>
    </w:p>
    <w:p>
      <w:pPr>
        <w:pStyle w:val="P68B1DB1Normal20"/>
        <w:widowControl w:val="false"/>
        <w:spacing w:lineRule="exact" w:line="336" w:before="219" w:after="0"/>
        <w:ind w:left="276" w:right="128" w:hanging="0"/>
        <w:jc w:val="both"/>
        <w:rPr/>
      </w:pPr>
      <w:r>
        <w:rPr/>
        <w:t xml:space="preserve">Scopul nostru este de a ne asigura că toți cetățenii UE se recunosc într-o identitate comună, devin mai conștienți de necesitatea unui consum și a unui stil de viață durabile și adoptă acest mod de viață. </w:t>
      </w:r>
    </w:p>
    <w:p>
      <w:pPr>
        <w:pStyle w:val="P68B1DB1Normal20"/>
        <w:widowControl w:val="false"/>
        <w:spacing w:lineRule="exact" w:line="336" w:before="216" w:after="0"/>
        <w:ind w:left="276" w:right="128" w:hanging="0"/>
        <w:jc w:val="left"/>
        <w:rPr/>
      </w:pPr>
      <w:r>
        <w:rPr/>
        <w:t xml:space="preserve">Aceste obiective sunt importante pentru noi, deoarece dorim să trezim o motivație intrinsecă pentru un stil de viață durabil.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Masa rotundă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Crearea mai multor oportunități de schimb pentru studenții din Europa </w:t>
      </w:r>
    </w:p>
    <w:p>
      <w:pPr>
        <w:pStyle w:val="P68B1DB1Normal20"/>
        <w:widowControl w:val="false"/>
        <w:spacing w:lineRule="exact" w:line="293" w:before="162" w:after="0"/>
        <w:ind w:left="276" w:right="123" w:hanging="0"/>
        <w:jc w:val="both"/>
        <w:rPr/>
      </w:pPr>
      <w:r>
        <w:rPr/>
        <w:t xml:space="preserve">Recomandăm Uniunii Europene să adopte, pe lângă programul Erasmus, un regulament privind un program de schimb pentru elevii și studenții cu vârste cuprinse între 14 și 25 de ani, indiferent de originea, sexul și nivelul lor de educație. Acest program de schimb ar trebui să fie instituit și promovat în mod sistematic de către școli la nivel local. Fiecare elev ar trebui să aibă posibilitatea de a participa la programul de schimb în orice moment al școlarizării lor. În acest scop, Comisia Europeană ar trebui să prezinte o propunere Parlamentului European și Consiliului European. </w:t>
      </w:r>
    </w:p>
    <w:p>
      <w:pPr>
        <w:pStyle w:val="P68B1DB1Normal20"/>
        <w:widowControl w:val="false"/>
        <w:spacing w:lineRule="exact" w:line="293" w:before="168" w:after="0"/>
        <w:ind w:left="276" w:right="123" w:hanging="0"/>
        <w:jc w:val="both"/>
        <w:rPr/>
      </w:pPr>
      <w:r>
        <w:rPr/>
        <w:t xml:space="preserve">Scopul nostru este de a oferi studenților, indiferent de performanța lor academică și sprijinul financiar al părinților lor, posibilitatea de a participa la programe de schimb în întreaga Europă. Ar trebui promovată o cultură a schimburilor europene încă de la vârsta școlară. Mai presus de toate, este important ca programele de schimb să fie ușor accesibile și lipsite de birocrație. Prin intermediul acestui program de schimb, dorim să stabilim solidaritatea europeană și să reducem barierele lingvistice. În acest context, trebuie avută în vedere echitatea în educație și participarea la educație pentru a consolida competențele interculturale și de comunicare. </w:t>
      </w:r>
    </w:p>
    <w:p>
      <w:pPr>
        <w:pStyle w:val="P68B1DB1Normal20"/>
        <w:widowControl w:val="false"/>
        <w:spacing w:lineRule="exact" w:line="293" w:before="168" w:after="0"/>
        <w:ind w:left="276" w:right="123" w:hanging="0"/>
        <w:jc w:val="both"/>
        <w:rPr/>
      </w:pPr>
      <w:r>
        <w:rPr/>
        <w:t xml:space="preserve">Aceste obiective sunt importante pentru noi, deoarece pot contribui la promovarea coeziunii europene, la consolidarea respectului și cooperării și la transmiterea valorilor europene încă de la o vârstă fragedă, astfel încât diversitatea Europei să poată fi văzută ca o oportunitate.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Masa rotundă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Stabilirea unui salariu de bază specific ocupării forței de muncă </w:t>
      </w:r>
    </w:p>
    <w:p>
      <w:pPr>
        <w:pStyle w:val="P68B1DB1Normal20"/>
        <w:widowControl w:val="false"/>
        <w:spacing w:lineRule="exact" w:line="293"/>
        <w:ind w:left="276" w:right="121" w:hanging="0"/>
        <w:jc w:val="both"/>
        <w:rPr/>
      </w:pPr>
      <w:r>
        <w:rPr/>
        <w:t xml:space="preserve">Recomandăm comisarului european pentru ocuparea forței de muncă și drepturi sociale să prezinte Parlamentului European o propunere de stabilire a unui salariu de bază specific ocupării forței de muncă în toate statele membre. Acest salariu de bază ar trebui să constea într-un venit minim suficient pentru a asigura subzistența și o completare specifică a ocupării forței de muncă. </w:t>
      </w:r>
    </w:p>
    <w:p>
      <w:pPr>
        <w:pStyle w:val="P68B1DB1Normal20"/>
        <w:widowControl w:val="false"/>
        <w:spacing w:lineRule="exact" w:line="293" w:before="173" w:after="0"/>
        <w:ind w:left="276" w:right="121" w:hanging="0"/>
        <w:jc w:val="both"/>
        <w:rPr/>
      </w:pPr>
      <w:r>
        <w:rPr/>
        <w:t xml:space="preserve">Scopul nostru este de a ne asigura că performanța profesională și salariile sunt comparabile în întreaga UE, pentru a consolida justiția socială. Acest obiectiv este important pentru noi, deoarece ar garanta că piața forței de muncă respectă un principiu fundamental al UE: condiții de viață și de muncă comparabile, indiferent de locul de reședință și de ocupația unei persoane.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Masa rotundă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Întruchiparea valorilor europene și comunicarea acestora apelând la emoții </w:t>
      </w:r>
    </w:p>
    <w:p>
      <w:pPr>
        <w:pStyle w:val="P68B1DB1Normal20"/>
        <w:widowControl w:val="false"/>
        <w:spacing w:lineRule="exact" w:line="338" w:before="192" w:after="0"/>
        <w:ind w:left="276" w:right="126" w:hanging="0"/>
        <w:jc w:val="both"/>
        <w:rPr/>
      </w:pPr>
      <w:r>
        <w:rPr/>
        <w:t xml:space="preserve">Recomandăm ca valorile europene să devină mai concrete și să comunice cu mai multe emoții. Am putea realiza acest lucru, de exemplu, prin intermediul unui pachet de „integrare” care să acopere mass-media, elementele interactive și o mai mare participare a cetățenilor. </w:t>
      </w:r>
    </w:p>
    <w:p>
      <w:pPr>
        <w:pStyle w:val="P68B1DB1Normal20"/>
        <w:widowControl w:val="false"/>
        <w:spacing w:lineRule="exact" w:line="336" w:before="216" w:after="0"/>
        <w:ind w:left="276" w:right="126" w:hanging="0"/>
        <w:jc w:val="left"/>
        <w:rPr/>
      </w:pPr>
      <w:r>
        <w:rPr/>
        <w:t xml:space="preserve">Obiectivul nostru este ca toți cei care trăiesc în UE să cunoască și să îmbrățișeze valorile comune. </w:t>
      </w:r>
    </w:p>
    <w:p>
      <w:pPr>
        <w:pStyle w:val="P68B1DB1Normal20"/>
        <w:widowControl w:val="false"/>
        <w:spacing w:lineRule="exact" w:line="337" w:before="216" w:after="0"/>
        <w:ind w:left="276" w:right="119" w:hanging="0"/>
        <w:jc w:val="both"/>
        <w:rPr/>
      </w:pPr>
      <w:r>
        <w:rPr/>
        <w:t xml:space="preserve">Acest obiectiv este important pentru noi, deoarece constituie baza pentru coexistența noastră în cadrul comunității noastre de valori. Aceste valori sunt prea puțin cunoscute, deoarece legătura personală lipsește. Trebuie să facem această conexiune.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Masa rotundă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Viața în UE </w:t>
      </w:r>
    </w:p>
    <w:p>
      <w:pPr>
        <w:pStyle w:val="P68B1DB1Normal20"/>
        <w:widowControl w:val="false"/>
        <w:spacing w:lineRule="exact" w:line="337" w:before="191" w:after="0"/>
        <w:ind w:left="276" w:right="116" w:hanging="0"/>
        <w:jc w:val="both"/>
        <w:rPr/>
      </w:pPr>
      <w:r>
        <w:rPr/>
        <w:t xml:space="preserve">Recomandăm UE să își înființeze propriul program de televiziune educațională și de informare pentru a sensibiliza toți cetățenii UE cu privire la valorile noastre comune și pentru a asigura un acces facil și neîngrădit la aceste informații pentru toți. Aceste obiective sunt importante pentru noi, deoarece dorim să înțelegem mai bine opinia publică din fiecare dintre țările UE. În acest fel, dorim să consolidăm terenul comun și să contribuim la reunirea cetățenilor pentru a promova o mai mare solidaritate și a-i instrui în domeniul statului de drept, în vederea menținerii democrației.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Grupurile naționale II D: Italia</w:t>
      </w:r>
    </w:p>
    <w:p>
      <w:pPr>
        <w:pStyle w:val="P68B1DB1Normal70"/>
        <w:spacing w:lineRule="auto" w:line="240"/>
        <w:jc w:val="center"/>
        <w:rPr/>
      </w:pPr>
      <w:r>
        <w:rPr/>
        <w:t xml:space="preserve">Grupul cetățenilor pentru a formula recomandări pentru Conferința privind viitorul Europei, 11-12 martie 2022 </w:t>
      </w:r>
    </w:p>
    <w:p>
      <w:pPr>
        <w:pStyle w:val="P68B1DB1Normal71"/>
        <w:widowControl w:val="false"/>
        <w:spacing w:lineRule="exact" w:line="916" w:before="147" w:after="0"/>
        <w:ind w:left="2234" w:right="0" w:hanging="0"/>
        <w:jc w:val="left"/>
        <w:rPr>
          <w:rFonts w:ascii="Arial" w:hAnsi="Arial"/>
          <w:color w:val="BD1271"/>
          <w:sz w:val="56"/>
        </w:rPr>
      </w:pPr>
      <w:r>
        <w:rPr/>
        <w:t xml:space="preserve">Raport de sinteză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Roma, 16 martie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Imagini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ini42" descr=""/>
                    <pic:cNvPicPr>
                      <a:picLocks noChangeAspect="1" noChangeArrowheads="1"/>
                    </pic:cNvPicPr>
                  </pic:nvPicPr>
                  <pic:blipFill>
                    <a:blip r:embed="rId103"/>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Tabelul de conținut</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Principii directoare pentru procesul de organizare a juriului </w:t>
      </w:r>
    </w:p>
    <w:p>
      <w:pPr>
        <w:pStyle w:val="P68B1DB1Normal34"/>
        <w:widowControl w:val="false"/>
        <w:spacing w:lineRule="auto" w:line="240"/>
        <w:ind w:left="0" w:right="0" w:hanging="0"/>
        <w:jc w:val="left"/>
        <w:rPr/>
      </w:pPr>
      <w:r>
        <w:rPr/>
        <w:t xml:space="preserve"> </w:t>
      </w:r>
      <w:r>
        <w:rPr/>
        <w:t xml:space="preserve">Întregul proces de punere în aplicare a juriului a fost conceput pentru a fi în conformitate cu orientările cuprinse în orientările pentru grupurile naționale ale cetățenilor în contextul Conferinței privind viitorul Europei. Mai precis: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Scop:</w:t>
      </w:r>
      <w:r>
        <w:rPr>
          <w:b/>
          <w:color w:val="000000"/>
        </w:rPr>
        <w:t xml:space="preserve"> </w:t>
      </w:r>
    </w:p>
    <w:p>
      <w:pPr>
        <w:pStyle w:val="P68B1DB1Normal34"/>
        <w:widowControl w:val="false"/>
        <w:spacing w:lineRule="auto" w:line="240"/>
        <w:ind w:left="720" w:right="0" w:hanging="0"/>
        <w:jc w:val="left"/>
        <w:rPr/>
      </w:pPr>
      <w:r>
        <w:rPr/>
        <w:t xml:space="preserve">Toți cei invitați să participe la juriu au completat un chestionar de participare care conținea obiectivele și scopurile proiectului, cu trimiteri specifice la Conferința privind viitorul Europei, subiectele abordate și modalitățile de participare.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Transparență: </w:t>
      </w:r>
    </w:p>
    <w:p>
      <w:pPr>
        <w:pStyle w:val="P68B1DB1Normal34"/>
        <w:widowControl w:val="false"/>
        <w:spacing w:lineRule="auto" w:line="240"/>
        <w:ind w:left="720" w:right="0" w:hanging="0"/>
        <w:jc w:val="left"/>
        <w:rPr/>
      </w:pPr>
      <w:r>
        <w:rPr/>
        <w:t xml:space="preserve">Toate documentele care prezintă inițiativa au fost puse la dispoziția participanților prin diverse mijloace, referindu-se întotdeauna la site-ul oficial al conferinței. Documentele au fost trimise prin e-mail tuturor participanților.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Incluziune: </w:t>
      </w:r>
    </w:p>
    <w:p>
      <w:pPr>
        <w:pStyle w:val="P68B1DB1Normal75"/>
        <w:widowControl w:val="false"/>
        <w:spacing w:lineRule="auto" w:line="240"/>
        <w:ind w:left="708" w:right="0" w:hanging="0"/>
        <w:jc w:val="left"/>
        <w:rPr/>
      </w:pPr>
      <w:r>
        <w:rPr>
          <w:color w:val="000000"/>
        </w:rPr>
        <w:t xml:space="preserve">Invitația de participare a fost transmisă prin diferite canale: de exemplu, trimiteți un e-mail membrilor comunității </w:t>
      </w:r>
      <w:r>
        <w:rPr>
          <w:color w:val="ED7D31"/>
        </w:rPr>
        <w:t>SWG</w:t>
      </w:r>
      <w:r>
        <w:rPr>
          <w:color w:val="000000"/>
        </w:rPr>
        <w:t xml:space="preserve"> și partajați link-ul către formularul de cerere prin Twitter și LinkedIn. Acest lucru a dus la un total de peste 400 de accesări la formularul de cerere și 245 de cereri. Selecția (aleatorie) a participanților a fost efectuată astfel încât să se garanteze prezența diferitelor persoane de gen, vârstă, origine socială, loc de reședință și statut profesional.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Reprezentativitate: </w:t>
      </w:r>
    </w:p>
    <w:p>
      <w:pPr>
        <w:pStyle w:val="P68B1DB1Normal34"/>
        <w:widowControl w:val="false"/>
        <w:spacing w:lineRule="auto" w:line="240"/>
        <w:ind w:left="708" w:right="0" w:hanging="0"/>
        <w:jc w:val="left"/>
        <w:rPr/>
      </w:pPr>
      <w:r>
        <w:rPr/>
        <w:t xml:space="preserve">Deși dimensiunea eșantionului nu este reprezentativă în sens statistic, eșantionul a fost conceput pentru a obține o eterogenitate maximă în rândul participanților pentru a reproduce un microcosmos al publicului țintă.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Informații: </w:t>
      </w:r>
    </w:p>
    <w:p>
      <w:pPr>
        <w:pStyle w:val="Normal"/>
        <w:widowControl w:val="false"/>
        <w:spacing w:lineRule="auto" w:line="240"/>
        <w:ind w:left="720" w:right="0" w:hanging="0"/>
        <w:jc w:val="left"/>
        <w:rPr/>
      </w:pPr>
      <w:r>
        <w:rPr>
          <w:color w:val="000000"/>
        </w:rPr>
        <w:t xml:space="preserve">Toți participanții au primit o gamă largă de informații despre conferință și despre subiectele discutate în cadrul juriului. Obiectivele și modalitățile proiectului au fost rechemate participanților la partea introductivă, în conformitate cu principiile neutralității și completitudinii. Tuturor participanților li s-a oferit posibilitatea de a solicita mai multe informații și detalii despre eveniment prin intermediul numerelor de telefon directe ale managerilor de proiect din cadrul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Grupuri de deliberare: </w:t>
      </w:r>
    </w:p>
    <w:p>
      <w:pPr>
        <w:pStyle w:val="P68B1DB1Normal76"/>
        <w:widowControl w:val="false"/>
        <w:spacing w:lineRule="auto" w:line="240"/>
        <w:ind w:left="720" w:right="0" w:hanging="0"/>
        <w:jc w:val="left"/>
        <w:rPr/>
      </w:pPr>
      <w:r>
        <w:rPr/>
        <w:t xml:space="preserve">Obiectivul principal al întregului proces a fost formularea de recomandări concrete, împărtășite pe scară largă de participanți, care să fie adresate Uniunii Europene. Modul în care au fost organizate lucrările și grupurile au condus la un proces axat pe colectarea indicațiilor participanților, pe tratamentul și sinteza acestora, precum și pe verificarea și validarea acestora de către grupurile însele în timpul unei sesiuni de lucru ulterioare.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Calendar: </w:t>
      </w:r>
    </w:p>
    <w:p>
      <w:pPr>
        <w:pStyle w:val="P68B1DB1Normal76"/>
        <w:widowControl w:val="false"/>
        <w:spacing w:lineRule="auto" w:line="240"/>
        <w:ind w:left="720" w:right="0" w:hanging="0"/>
        <w:jc w:val="left"/>
        <w:rPr/>
      </w:pPr>
      <w:r>
        <w:rPr/>
        <w:t xml:space="preserve">În timpul sesiunilor de lucru a fost creată o atmosferă relaxată, oferind participanților tot timpul necesar pentru aprofundarea temelor asupra cărora au fost invitați să delibereze, să-și exprime opiniile și să le asculte pe cele ale celorlalți. Din același motiv, s-a decis împărțirea celor două grupuri principale în două subgrupuri. În plus, lucrarea s-a desfășurat pe parcursul a două zile pentru a permite ca ideile formulate să se bazeze.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Follow-up:</w:t>
      </w:r>
      <w:r>
        <w:rPr>
          <w:color w:val="000000"/>
        </w:rPr>
        <w:t xml:space="preserve"> </w:t>
      </w:r>
    </w:p>
    <w:p>
      <w:pPr>
        <w:pStyle w:val="P68B1DB1Normal76"/>
        <w:widowControl w:val="false"/>
        <w:spacing w:lineRule="auto" w:line="240"/>
        <w:ind w:left="720" w:right="0" w:hanging="0"/>
        <w:jc w:val="left"/>
        <w:rPr/>
      </w:pPr>
      <w:r>
        <w:rPr/>
        <w:t xml:space="preserve">În ultima zi, toate grupurile au efectuat verificarea și validarea primelor proiecte de recomandări formulate în prima etapă a lucrărilor. Odată ce raportul privind rezultatele a fost transmis Departamentului tematic european al Președinției Consiliului de Miniștri și autorizarea acestuia, versiunea finală a recomandărilor a fost transmisă tuturor participanților la panel. În orice caz, participanții au fost invitați să monitorizeze în continuare activitățile conferinței pe site-ul web și prin actualizările care urmează să fie publicate.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Integritate: </w:t>
      </w:r>
    </w:p>
    <w:p>
      <w:pPr>
        <w:pStyle w:val="Normal"/>
        <w:widowControl w:val="false"/>
        <w:spacing w:lineRule="auto" w:line="240"/>
        <w:ind w:left="720" w:right="0" w:hanging="0"/>
        <w:jc w:val="left"/>
        <w:rPr/>
      </w:pPr>
      <w:r>
        <w:rPr>
          <w:color w:val="000000"/>
        </w:rPr>
        <w:t xml:space="preserve">Întregul proces de lucru a fost realizat independent de </w:t>
      </w:r>
      <w:r>
        <w:rPr>
          <w:color w:val="ED7D31"/>
        </w:rPr>
        <w:t>SWG</w:t>
      </w:r>
      <w:r>
        <w:rPr>
          <w:color w:val="000000"/>
        </w:rPr>
        <w:t xml:space="preserve">, în funcție de misiunea primită. Departamentul tematic european al Președinției Consiliului de Miniștri a fost informat în permanență cu privire la diferitele etape ale inițiativei și la rezultate.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Protecția vieții private: </w:t>
      </w:r>
    </w:p>
    <w:p>
      <w:pPr>
        <w:pStyle w:val="P68B1DB1Normal76"/>
        <w:widowControl w:val="false"/>
        <w:spacing w:lineRule="auto" w:line="240"/>
        <w:ind w:left="721" w:right="0" w:hanging="0"/>
        <w:jc w:val="left"/>
        <w:rPr/>
      </w:pPr>
      <w:r>
        <w:rPr/>
        <w:t xml:space="preserve">Confidențialitatea participanților a fost pe deplin garantată. Pentru a fi eligibili pentru a participa la juriu, toți candidații au trebuit să semneze formularul de consimțământ în cunoștință de cauză prevăzut de lege.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Rating: </w:t>
      </w:r>
    </w:p>
    <w:p>
      <w:pPr>
        <w:pStyle w:val="P68B1DB1Normal76"/>
        <w:widowControl w:val="false"/>
        <w:spacing w:lineRule="auto" w:line="240"/>
        <w:ind w:left="721" w:right="0" w:hanging="0"/>
        <w:jc w:val="left"/>
        <w:rPr>
          <w:rFonts w:ascii="Arial" w:hAnsi="Arial"/>
          <w:color w:val="000000"/>
          <w:sz w:val="22"/>
        </w:rPr>
      </w:pPr>
      <w:r>
        <w:rPr/>
        <w:t xml:space="preserve">La sfârșitul procesului, a fost trimis un chestionar tuturor participanților pentru a-și evalua experiența. Rezultatele sunt rezumate în prezentul raport. </w:t>
      </w:r>
    </w:p>
    <w:p>
      <w:pPr>
        <w:pStyle w:val="P68B1DB1Titre277"/>
        <w:numPr>
          <w:ilvl w:val="0"/>
          <w:numId w:val="2"/>
        </w:numPr>
        <w:rPr>
          <w:color w:val="BD1271"/>
        </w:rPr>
      </w:pPr>
      <w:bookmarkStart w:id="217" w:name="__RefHeading___Toc300310_1346298689"/>
      <w:bookmarkEnd w:id="217"/>
      <w:r>
        <w:rPr/>
        <w:t xml:space="preserve">2. Selectarea participanților și modalitatea de participare </w:t>
      </w:r>
    </w:p>
    <w:p>
      <w:pPr>
        <w:pStyle w:val="P68B1DB1Normal74"/>
        <w:widowControl w:val="false"/>
        <w:spacing w:lineRule="auto" w:line="240" w:before="208" w:after="0"/>
        <w:ind w:left="0" w:right="0" w:hanging="0"/>
        <w:jc w:val="left"/>
        <w:rPr>
          <w:rFonts w:ascii="Arial" w:hAnsi="Arial"/>
          <w:color w:val="2E74B5"/>
          <w:sz w:val="22"/>
        </w:rPr>
      </w:pPr>
      <w:r>
        <w:rPr/>
        <w:t xml:space="preserve">Selecție </w:t>
      </w:r>
    </w:p>
    <w:p>
      <w:pPr>
        <w:pStyle w:val="P68B1DB1Normal76"/>
        <w:widowControl w:val="false"/>
        <w:spacing w:lineRule="auto" w:line="240" w:before="90" w:after="0"/>
        <w:ind w:left="0" w:right="6" w:hanging="0"/>
        <w:jc w:val="left"/>
        <w:rPr/>
      </w:pPr>
      <w:r>
        <w:rPr/>
        <w:t xml:space="preserve">Obiectivul etapei de comunicare pre-eveniment a fost acela de a selecta cel puțin 50 de cetățeni italieni interesați să participe la inițiativă. </w:t>
      </w:r>
    </w:p>
    <w:p>
      <w:pPr>
        <w:pStyle w:val="Normal"/>
        <w:widowControl w:val="false"/>
        <w:spacing w:lineRule="auto" w:line="240" w:before="90" w:after="0"/>
        <w:ind w:left="0" w:right="4" w:hanging="0"/>
        <w:jc w:val="both"/>
        <w:rPr/>
      </w:pPr>
      <w:r>
        <w:rPr>
          <w:color w:val="000000"/>
        </w:rPr>
        <w:t xml:space="preserve">În acest scop, a fost creat un scurt formular de auto-aplicare sub forma unui chestionar care urmează să fie completat online pe platforma </w:t>
      </w:r>
      <w:r>
        <w:rPr>
          <w:color w:val="ED7D31"/>
        </w:rPr>
        <w:t>SWG</w:t>
      </w:r>
      <w:r>
        <w:rPr>
          <w:color w:val="000000"/>
        </w:rPr>
        <w:t xml:space="preserve">, prin care toți cei interesați să participe la inițiativă au putut aplica, indicând datele necesare pentru a fi introduse în grupurile din care au fost selectați în mod aleatoriu participanții. Condițiile necesare pentru participare au fost: aveți o conexiune la internet, un dispozitiv echipat cu un microfon și o cameră video, precum și semnați Carta conferinței.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Imagini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ini44" descr=""/>
                    <pic:cNvPicPr>
                      <a:picLocks noChangeAspect="1" noChangeArrowheads="1"/>
                    </pic:cNvPicPr>
                  </pic:nvPicPr>
                  <pic:blipFill>
                    <a:blip r:embed="rId104"/>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Imagini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ini43" descr=""/>
                    <pic:cNvPicPr>
                      <a:picLocks noChangeAspect="1" noChangeArrowheads="1"/>
                    </pic:cNvPicPr>
                  </pic:nvPicPr>
                  <pic:blipFill>
                    <a:blip r:embed="rId105"/>
                    <a:stretch>
                      <a:fillRect/>
                    </a:stretch>
                  </pic:blipFill>
                  <pic:spPr bwMode="auto">
                    <a:xfrm>
                      <a:off x="0" y="0"/>
                      <a:ext cx="287020" cy="287020"/>
                    </a:xfrm>
                    <a:prstGeom prst="rect">
                      <a:avLst/>
                    </a:prstGeom>
                  </pic:spPr>
                </pic:pic>
              </a:graphicData>
            </a:graphic>
          </wp:anchor>
        </w:drawing>
      </w:r>
      <w:r>
        <w:rPr>
          <w:color w:val="000000"/>
        </w:rPr>
        <w:t>F</w:t>
      </w:r>
      <w:r>
        <w:rPr>
          <w:color w:val="000000"/>
        </w:rPr>
        <w:t>ormularul de cerere a fost distribuit pe rețelele sociale din conturile</w:t>
      </w:r>
      <w:r>
        <w:rPr>
          <w:color w:val="ED7D31"/>
        </w:rPr>
        <w:t>SWG</w:t>
      </w:r>
      <w:r>
        <w:rPr>
          <w:color w:val="000000"/>
        </w:rPr>
        <w:t xml:space="preserve">. În acest scop, șase postări au fost postate pe Twitter și unul pe LinkedIn, cu următoarele rezultate: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Rețea socială</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Date</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Numărul de vizualizări</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Accesul la formularul de cerere</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Știri</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posturi între 8 și 10 martie</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Română</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post din 8 martie</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În același timp, membrii comunității </w:t>
      </w:r>
      <w:r>
        <w:rPr>
          <w:color w:val="ED7D31"/>
        </w:rPr>
        <w:t>SWG</w:t>
      </w:r>
      <w:r>
        <w:rPr>
          <w:color w:val="000000"/>
        </w:rPr>
        <w:t xml:space="preserve"> au fost invitați să aplice, în conformitate cu o strategie de invitație menită să asigure reprezentativitatea maximă a populației italiene, nu numai în ceea ce privește caracteristicile sociale, ci și în ceea ce privește ideile, orientările culturale și valorile. </w:t>
      </w:r>
    </w:p>
    <w:p>
      <w:pPr>
        <w:pStyle w:val="P68B1DB1Normal76"/>
        <w:widowControl w:val="false"/>
        <w:spacing w:lineRule="exact" w:line="253" w:before="71" w:after="0"/>
        <w:ind w:left="1" w:right="0" w:hanging="0"/>
        <w:jc w:val="both"/>
        <w:rPr/>
      </w:pPr>
      <w:r>
        <w:rPr/>
        <w:t xml:space="preserve">Cererile ar putea fi depuse între 8 martie, între orele 8:00 și 10 martie 2022, la ora 16:00. În total, procesul a generat 420 de acces la formularul de cerere și au fost primite 225 de cereri complete. </w:t>
      </w:r>
    </w:p>
    <w:p>
      <w:pPr>
        <w:pStyle w:val="P68B1DB1Normal76"/>
        <w:widowControl w:val="false"/>
        <w:spacing w:lineRule="exact" w:line="253" w:before="67" w:after="0"/>
        <w:ind w:left="1" w:right="2" w:hanging="0"/>
        <w:jc w:val="both"/>
        <w:rPr/>
      </w:pPr>
      <w:r>
        <w:rPr/>
        <w:t xml:space="preserve">Un total de </w:t>
      </w:r>
      <w:r>
        <w:rPr>
          <w:b/>
        </w:rPr>
        <w:t>140</w:t>
      </w:r>
      <w:r>
        <w:rPr/>
        <w:t xml:space="preserve"> de persoane au fost efectiv eligibile, dintre care 70 au fost selectate pe baza unui criteriu de asigurare a unei prezențe echilibrate în ceea ce privește sexul, distribuția geografică, vârsta și nivelul de educație. </w:t>
      </w:r>
    </w:p>
    <w:p>
      <w:pPr>
        <w:pStyle w:val="P68B1DB1Normal76"/>
        <w:widowControl w:val="false"/>
        <w:spacing w:lineRule="exact" w:line="253" w:before="73" w:after="0"/>
        <w:ind w:left="1" w:right="1" w:hanging="0"/>
        <w:jc w:val="both"/>
        <w:rPr/>
      </w:pPr>
      <w:r>
        <w:rPr/>
        <w:t xml:space="preserve">În contextul procedurii de selecție, s-a acordat o atenție deosebită principiului probabilității echitabile în selectarea participanților, însoțit de proceduri bazate pe un criteriu aleatoriu. </w:t>
      </w:r>
    </w:p>
    <w:p>
      <w:pPr>
        <w:pStyle w:val="P68B1DB1Normal76"/>
        <w:widowControl w:val="false"/>
        <w:spacing w:lineRule="exact" w:line="253" w:before="71" w:after="0"/>
        <w:ind w:left="1" w:right="0" w:hanging="0"/>
        <w:jc w:val="both"/>
        <w:rPr/>
      </w:pPr>
      <w:r>
        <w:rPr/>
        <w:t xml:space="preserve">Natura aleatorie a selecției a fost un element central al proiectului pentru a asigura corectitudinea procesului de acces. Cu toate acestea, în spiritul inițiativei, a părut important să se pună în aplicare o strategie care să vizeze nu numai implicarea unui număr cât mai mare de persoane, ci și asigurarea unei eterogenități maxime a persoanelor selectate pentru a promova o incluziune maximă.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Pe scurt, repartizarea persoanelor eligibile a fost următoarea:</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rmular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6"/>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Distribuția candidaților eligibili</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grupa de vârstă</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de ani</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de ani</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ani</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Nivelul de educație</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Scăzut</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În nord-est</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Facultatea de Educație Profesională</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Medie</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Liceu</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Ridicată</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Diplomă de licență, masterat sau mai mult</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Nord-Vest</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Zona de reședință</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Sudul și Insulele</w:t>
                              </w:r>
                            </w:p>
                          </w:txbxContent>
                        </wps:txbx>
                        <wps:bodyPr lIns="90000" rIns="90000" tIns="45000" bIns="45000">
                          <a:noAutofit/>
                        </wps:bodyPr>
                      </wps:wsp>
                    </wpg:wgp>
                  </a:graphicData>
                </a:graphic>
              </wp:anchor>
            </w:drawing>
          </mc:Choice>
          <mc:Fallback>
            <w:pict>
              <v:group id="shape_0" alt="Formular4" style="position:absolute;margin-left:0pt;margin-top:10.45pt;width:477.1pt;height:297.25pt" coordorigin="0,209" coordsize="9542,5945">
                <v:shape id="shape_0" stroked="f" style="position:absolute;left:0;top:976;width:9526;height:5177" type="shapetype_75">
                  <v:imagedata r:id="rId106"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Distribuția candidaților eligibili</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grupa de vârstă</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de ani</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de ani</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ani</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Nivelul de educație</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Scăzut</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În nord-est</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Facultatea de Educație Profesională</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Medie</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Liceu</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Ridicată</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Diplomă de licență, masterat sau mai mult</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Nord-Vest</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Zona de reședință</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Sudul și Insulele</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După ce au fost selectați cei 70 de candidați, chiar în dimineața evenimentului, au primit un apel telefonic pentru a confirma participarea lor. Aceste apeluri au fost efectuate de centrul de contact </w:t>
      </w:r>
      <w:r>
        <w:rPr>
          <w:color w:val="ED7D31"/>
        </w:rPr>
        <w:t>SWG</w:t>
      </w:r>
      <w:r>
        <w:rPr>
          <w:color w:val="000000"/>
        </w:rPr>
        <w:t xml:space="preserve"> utilizând metoda CATI (Computer Assisted Telephone Survey). La sfârșitul acestei etape, 59 de persoane și-au confirmat participarea și au fost înregistrate. </w:t>
      </w:r>
      <w:r>
        <w:rPr>
          <w:b/>
          <w:color w:val="BD1271"/>
        </w:rPr>
        <w:t>Dintre aceștia, 55 au participat activ la panel.</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Distribuția socială și pe grupe de vârstă a membrilor juriului a fost următoarea: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rmularul 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7"/>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Distribuția participanților activi</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grupa de vârstă</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de ani</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de ani</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ani</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Nivelul de educație</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Scăzut</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În nord-est</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Facultatea de Educație Profesională</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Medie</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Liceu</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Ridicată</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Diplomă de licență, masterat sau mai mult</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Nord-Vest</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Zona de reședință</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Sudul și Insulele</w:t>
                              </w:r>
                            </w:p>
                          </w:txbxContent>
                        </wps:txbx>
                        <wps:bodyPr lIns="90000" rIns="90000" tIns="45000" bIns="45000">
                          <a:noAutofit/>
                        </wps:bodyPr>
                      </wps:wsp>
                    </wpg:wgp>
                  </a:graphicData>
                </a:graphic>
              </wp:anchor>
            </w:drawing>
          </mc:Choice>
          <mc:Fallback>
            <w:pict>
              <v:group id="shape_0" alt="Formularul 5" style="position:absolute;margin-left:0.05pt;margin-top:3.25pt;width:484.8pt;height:285.3pt" coordorigin="1,65" coordsize="9696,5706">
                <v:shape id="shape_0" stroked="f" style="position:absolute;left:1;top:787;width:9545;height:4982" type="shapetype_75">
                  <v:imagedata r:id="rId107"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Distribuția participanților activi</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grupa de vârstă</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de ani</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de ani</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ani</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Nivelul de educație</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Scăzut</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În nord-est</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Facultatea de Educație Profesională</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Medie</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Liceu</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Ridicată</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Diplomă de licență, masterat sau mai mult</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Nord-Vest</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Zona de reședință</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Sudul și Insulele</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Iată rezultatele etapelor procesului de selecție: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ularul 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8"/>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Procesul de aplicare</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Accesul la formularul de cerere</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Aplicații complete</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Candidați eligibili</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Admisă în panel</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Participanți activi</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martie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martie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martie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martie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martie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martie 2022</w:t>
                              </w:r>
                            </w:p>
                          </w:txbxContent>
                        </wps:txbx>
                        <wps:bodyPr lIns="90000" rIns="90000" tIns="45000" bIns="45000">
                          <a:noAutofit/>
                        </wps:bodyPr>
                      </wps:wsp>
                    </wpg:wgp>
                  </a:graphicData>
                </a:graphic>
              </wp:anchor>
            </w:drawing>
          </mc:Choice>
          <mc:Fallback>
            <w:pict>
              <v:group id="shape_0" alt="Formularul 6" style="position:absolute;margin-left:0.8pt;margin-top:11.4pt;width:476.1pt;height:286.6pt" coordorigin="16,228" coordsize="9522,5732">
                <v:shape id="shape_0" stroked="f" style="position:absolute;left:2410;top:949;width:4571;height:5010" type="shapetype_75">
                  <v:imagedata r:id="rId108"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Procesul de aplicare</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Accesul la formularul de cerere</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Aplicații complete</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Candidați eligibili</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Admisă în panel</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Participanți activi</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martie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martie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martie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martie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martie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martie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Echipament de comunicare </w:t>
      </w:r>
    </w:p>
    <w:p>
      <w:pPr>
        <w:pStyle w:val="P68B1DB1Normal76"/>
        <w:widowControl w:val="false"/>
        <w:spacing w:lineRule="exact" w:line="379" w:before="200" w:after="0"/>
        <w:ind w:left="0" w:right="2" w:hanging="0"/>
        <w:jc w:val="left"/>
        <w:rPr/>
      </w:pPr>
      <w:r>
        <w:rPr/>
        <w:t xml:space="preserve">Pentru a asigura un nivel ridicat de motivare și participare încă de la început, au fost puse la dispoziția tuturor participanților următoarele documente: </w:t>
      </w:r>
    </w:p>
    <w:p>
      <w:pPr>
        <w:pStyle w:val="P68B1DB1Normal76"/>
        <w:widowControl w:val="false"/>
        <w:spacing w:lineRule="exact" w:line="252" w:before="192" w:after="0"/>
        <w:ind w:left="720" w:right="0" w:hanging="0"/>
        <w:jc w:val="left"/>
        <w:rPr/>
      </w:pPr>
      <w:r>
        <w:rPr/>
        <w:t xml:space="preserve">• </w:t>
      </w:r>
      <w:r>
        <w:rPr/>
        <w:t xml:space="preserve">fișele </w:t>
      </w:r>
      <w:r>
        <w:rPr>
          <w:b/>
        </w:rPr>
        <w:t xml:space="preserve">de prezentare ale Conferinței privind viitorul Europei și ale grupurilor naționale; </w:t>
      </w:r>
    </w:p>
    <w:p>
      <w:pPr>
        <w:pStyle w:val="P68B1DB1Normal76"/>
        <w:widowControl w:val="false"/>
        <w:spacing w:lineRule="exact" w:line="379"/>
        <w:ind w:left="720" w:right="0" w:hanging="0"/>
        <w:jc w:val="left"/>
        <w:rPr/>
      </w:pPr>
      <w:r>
        <w:rPr/>
        <w:t xml:space="preserve">• </w:t>
      </w:r>
      <w:r>
        <w:rPr>
          <w:b/>
        </w:rPr>
        <w:t xml:space="preserve">Carta Conferinței privind viitorul Europei; </w:t>
      </w:r>
    </w:p>
    <w:p>
      <w:pPr>
        <w:pStyle w:val="P68B1DB1Normal76"/>
        <w:widowControl w:val="false"/>
        <w:spacing w:lineRule="exact" w:line="379"/>
        <w:ind w:left="720" w:right="0" w:hanging="0"/>
        <w:jc w:val="left"/>
        <w:rPr/>
      </w:pPr>
      <w:r>
        <w:rPr/>
        <w:t xml:space="preserve">• </w:t>
      </w:r>
      <w:r>
        <w:rPr/>
        <w:t xml:space="preserve">subiectele </w:t>
      </w:r>
      <w:r>
        <w:rPr>
          <w:b/>
        </w:rPr>
        <w:t xml:space="preserve">care urmează să fie discutate în cadrul grupurilor de dezbatere; </w:t>
      </w:r>
    </w:p>
    <w:p>
      <w:pPr>
        <w:pStyle w:val="P68B1DB1Normal76"/>
        <w:widowControl w:val="false"/>
        <w:spacing w:lineRule="exact" w:line="379"/>
        <w:ind w:left="721" w:right="0" w:hanging="0"/>
        <w:jc w:val="left"/>
        <w:rPr/>
      </w:pPr>
      <w:r>
        <w:rPr/>
        <w:t xml:space="preserve">• </w:t>
      </w:r>
      <w:r>
        <w:rPr>
          <w:b/>
        </w:rPr>
        <w:t xml:space="preserve">informații tehnice și organizatorice necesare participării. </w:t>
      </w:r>
    </w:p>
    <w:p>
      <w:pPr>
        <w:pStyle w:val="P68B1DB1Titre277"/>
        <w:numPr>
          <w:ilvl w:val="0"/>
          <w:numId w:val="2"/>
        </w:numPr>
        <w:rPr>
          <w:color w:val="BD1271"/>
        </w:rPr>
      </w:pPr>
      <w:bookmarkStart w:id="218" w:name="__RefHeading___Toc300312_1346298689"/>
      <w:bookmarkEnd w:id="218"/>
      <w:r>
        <w:rPr/>
        <w:t xml:space="preserve">3. Organizarea panelului </w:t>
      </w:r>
    </w:p>
    <w:p>
      <w:pPr>
        <w:pStyle w:val="P68B1DB1Normal76"/>
        <w:widowControl w:val="false"/>
        <w:spacing w:lineRule="exact" w:line="272" w:before="231" w:after="0"/>
        <w:ind w:left="0" w:right="0" w:hanging="0"/>
        <w:jc w:val="both"/>
        <w:rPr/>
      </w:pPr>
      <w:r>
        <w:rPr/>
        <w:t xml:space="preserve">Pentru a permite participarea maximă, inclusiv a persoanelor cu angajamente profesionale, juriul a fost organizat pe parcursul a două jumătăți de zi consecutive, inclusiv una la sfârșit de săptămână, conform următorului calendar: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Vineri, 11 martie, între orele 16:00 și 20:00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Sâmbătă, 12 martie, între orele 10 și 12:00 </w:t>
      </w:r>
    </w:p>
    <w:p>
      <w:pPr>
        <w:pStyle w:val="Normal"/>
        <w:widowControl w:val="false"/>
        <w:spacing w:lineRule="exact" w:line="286" w:before="83" w:after="0"/>
        <w:ind w:left="0" w:right="1" w:hanging="0"/>
        <w:jc w:val="both"/>
        <w:rPr/>
      </w:pPr>
      <w:r>
        <w:rPr>
          <w:color w:val="000000"/>
        </w:rPr>
        <w:t xml:space="preserve">Această alegere a fost menită, pe de o parte, să faciliteze participarea lucrătorilor la inițiativă și, pe de altă parte, să împartă timpul de prezență pentru a încuraja o mai mare atenție și participare, precum și o reflecție suplimentară asupra temelor și propunerilor prezentate. Participanții la panel s-au conectat la cele două sesiuni de lucru utilizând platforma GoToMeeting și au fost împărțiți în patru grupuri (două pentru fiecare domeniu tematic), conduși de un moderator </w:t>
      </w:r>
      <w:r>
        <w:rPr>
          <w:color w:val="ED7D31"/>
        </w:rPr>
        <w:t>SWG</w:t>
      </w:r>
      <w:r>
        <w:rPr>
          <w:color w:val="000000"/>
        </w:rPr>
        <w:t xml:space="preserve"> și de asistenții unei persoane responsabile cu redactarea lucrărilor. Moderatorii au facilitat grupurile prin intermediul a două căi de discuție diferite (câte una pentru fiecare domeniu tematic), cu scopul de a implica cât mai mult posibil toate persoanele selectate și de a asigura o abordare bazată pe maximum de incluziune și neutralitate. </w:t>
      </w:r>
    </w:p>
    <w:p>
      <w:pPr>
        <w:pStyle w:val="Titre2"/>
        <w:numPr>
          <w:ilvl w:val="1"/>
          <w:numId w:val="2"/>
        </w:numPr>
        <w:rPr/>
      </w:pPr>
      <w:bookmarkStart w:id="219" w:name="__RefHeading___Toc300314_1346298689"/>
      <w:bookmarkEnd w:id="219"/>
      <w:r>
        <w:rPr>
          <w:color w:val="BD1271"/>
        </w:rPr>
        <w:t>4. Programul de lucru</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Prima sesiune (vineri, 11 martie 2022) </w:t>
      </w:r>
    </w:p>
    <w:p>
      <w:pPr>
        <w:pStyle w:val="P68B1DB1Normal76"/>
        <w:widowControl w:val="false"/>
        <w:spacing w:lineRule="exact" w:line="362" w:before="208" w:after="0"/>
        <w:ind w:left="360" w:right="0" w:hanging="0"/>
        <w:jc w:val="left"/>
        <w:rPr/>
      </w:pPr>
      <w:r>
        <w:rPr/>
        <w:t xml:space="preserve">• </w:t>
      </w:r>
      <w:r>
        <w:rPr/>
        <w:t xml:space="preserve">00 – Deschiderea sălii virtuale și posibilitatea ca participanții să se conecteze la platformă pentru a verifica buna funcționare a sistemelor lor audio și video. </w:t>
      </w:r>
    </w:p>
    <w:p>
      <w:pPr>
        <w:pStyle w:val="P68B1DB1Normal76"/>
        <w:widowControl w:val="false"/>
        <w:spacing w:lineRule="exact" w:line="362"/>
        <w:ind w:left="360" w:right="0" w:hanging="0"/>
        <w:jc w:val="left"/>
        <w:rPr/>
      </w:pPr>
      <w:r>
        <w:rPr/>
        <w:t xml:space="preserve">• </w:t>
      </w:r>
      <w:r>
        <w:rPr/>
        <w:t xml:space="preserve">16:00 – Introducere de către moderator: explicarea motivelor care stau la baza inițiativei și descrierea structurii activității.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 p.m. – Distribuția participanților în grupuri pe baza preferințelor indicate în timpul fazei de depunere a candidaturii.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Începutul discuției în grup.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 Sfârșitul sesiunii. </w:t>
      </w:r>
    </w:p>
    <w:p>
      <w:pPr>
        <w:pStyle w:val="P68B1DB1Normal80"/>
        <w:widowControl w:val="false"/>
        <w:spacing w:lineRule="exact" w:line="393" w:before="248" w:after="0"/>
        <w:ind w:left="0" w:right="0" w:hanging="0"/>
        <w:jc w:val="left"/>
        <w:rPr>
          <w:rFonts w:ascii="Arial" w:hAnsi="Arial"/>
          <w:color w:val="116E9A"/>
          <w:sz w:val="24"/>
        </w:rPr>
      </w:pPr>
      <w:r>
        <w:rPr/>
        <w:t xml:space="preserve">A doua sesiune (sâmbătă, 12 martie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 Reluarea muncii prin citirea rezultatelor muncii din prima zi. </w:t>
      </w:r>
    </w:p>
    <w:p>
      <w:pPr>
        <w:pStyle w:val="P68B1DB1Normal76"/>
        <w:widowControl w:val="false"/>
        <w:spacing w:lineRule="exact" w:line="254"/>
        <w:ind w:left="360" w:right="140" w:hanging="0"/>
        <w:jc w:val="left"/>
        <w:rPr/>
      </w:pPr>
      <w:r>
        <w:rPr/>
        <w:t xml:space="preserve">• </w:t>
      </w:r>
      <w:r>
        <w:rPr/>
        <w:t xml:space="preserve">10:15 – Continuarea discuției, discuții aprofundate și comentarii din partea participanților. </w:t>
      </w:r>
    </w:p>
    <w:p>
      <w:pPr>
        <w:pStyle w:val="Normal"/>
        <w:widowControl w:val="false"/>
        <w:spacing w:lineRule="exact" w:line="362"/>
        <w:ind w:left="360" w:right="0" w:hanging="0"/>
        <w:jc w:val="left"/>
        <w:rPr/>
      </w:pPr>
      <w:r>
        <w:rPr>
          <w:color w:val="000000"/>
        </w:rPr>
        <w:t xml:space="preserve">• </w:t>
      </w:r>
      <w:r>
        <w:rPr>
          <w:color w:val="000000"/>
        </w:rPr>
        <w:t>12.00 – Încheierea activității</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Jocuri cu Jocul 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Jocuri cu Jocul Image45" descr=""/>
                    <pic:cNvPicPr>
                      <a:picLocks noChangeAspect="1" noChangeArrowheads="1"/>
                    </pic:cNvPicPr>
                  </pic:nvPicPr>
                  <pic:blipFill>
                    <a:blip r:embed="rId109"/>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Recomandări formulate </w:t>
      </w:r>
    </w:p>
    <w:p>
      <w:pPr>
        <w:pStyle w:val="Titre3"/>
        <w:numPr>
          <w:ilvl w:val="2"/>
          <w:numId w:val="2"/>
        </w:numPr>
        <w:rPr/>
      </w:pPr>
      <w:bookmarkStart w:id="221" w:name="__RefHeading___Toc300318_1346298689"/>
      <w:bookmarkEnd w:id="221"/>
      <w:r>
        <w:rPr>
          <w:color w:val="FFFFFF"/>
          <w:shd w:fill="0066B3" w:val="clear"/>
        </w:rPr>
        <w:t>O economie mai puternică, justiție socială și ocuparea forței de muncă</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Depășirea modelului de producție al secolului trecut </w:t>
      </w:r>
    </w:p>
    <w:p>
      <w:pPr>
        <w:pStyle w:val="P68B1DB1Normal76"/>
        <w:widowControl w:val="false"/>
        <w:spacing w:lineRule="auto" w:line="240" w:before="80" w:after="0"/>
        <w:ind w:left="0" w:right="1" w:hanging="0"/>
        <w:jc w:val="both"/>
        <w:rPr/>
      </w:pPr>
      <w:r>
        <w:rPr/>
        <w:t xml:space="preserve">Participanții la panel au considerat că cele mai recente evenimente globale (pandemia de COVID-19 și conflictul dintre Rusia și Ucraina) au demonstrat în mod evident limitările actualului model european de producție și au subliniat necesitatea de a revizui o abordare pe care mulți o descriu ca fiind „aparținând secolului trecut”.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Dovada dependenței Europei de importurile de energie și de alimente din țări din afara Uniunii Europene, precum și descoperirea (în timpul pandemiei) că nu putem produce singuri cantitatea de dispozitive medicale și vaccinuri necesare pentru combaterea răspândirii virusului au dat naștere la impresia că sistemul nostru economic suferă de slăbiciune structurală din cauza lipsei de autosuficiență.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În același timp, participanții cred în mod clar că o economie mai puternică, capabilă să creeze locuri de muncă într-un context de justiție socială, trebuie să poată dobândi active tehnologice importante. Pentru a face acest lucru, este esențial să se sprijine un sistem educațional cu o atenție tot mai mare față de subiectele legate de STIM.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Inovarea tehnologică, energia durabilă, dar și turismul și cultura</w:t>
      </w:r>
      <w:r>
        <w:rPr/>
        <w:t xml:space="preserve"> par a fi trei axe fundamentale pentru dezvoltarea economiei europene de mâine, punând un accent deosebit pe menținerea producției de bază pentru a evita riscul dependenței excesive de țările terțe de aprovizionarea cu produse esențiale și materii prime.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RECOMANDĂRI PE SCURT </w:t>
      </w:r>
    </w:p>
    <w:p>
      <w:pPr>
        <w:pStyle w:val="P68B1DB1Normal84"/>
        <w:widowControl w:val="false"/>
        <w:spacing w:lineRule="auto" w:line="240" w:before="69" w:after="0"/>
        <w:ind w:left="283" w:right="0" w:hanging="0"/>
        <w:jc w:val="left"/>
        <w:rPr/>
      </w:pPr>
      <w:r>
        <w:rPr>
          <w:color w:val="BD1271"/>
        </w:rPr>
        <w:t xml:space="preserve">1. </w:t>
      </w:r>
      <w:r>
        <w:rPr>
          <w:color w:val="000000"/>
        </w:rPr>
        <w:t>Luarea de măsuri eficiente în domeniul schimbărilor climatice și al energiei alternative.</w:t>
      </w:r>
    </w:p>
    <w:p>
      <w:pPr>
        <w:pStyle w:val="P68B1DB1Normal84"/>
        <w:widowControl w:val="false"/>
        <w:spacing w:lineRule="auto" w:line="240"/>
        <w:ind w:left="283" w:right="0" w:hanging="0"/>
        <w:jc w:val="left"/>
        <w:rPr/>
      </w:pPr>
      <w:r>
        <w:rPr>
          <w:color w:val="BD1271"/>
        </w:rPr>
        <w:t xml:space="preserve">2. </w:t>
      </w:r>
      <w:r>
        <w:rPr>
          <w:color w:val="000000"/>
        </w:rPr>
        <w:t>Investiți în turism și în economia culturală, valorificând, de asemenea, numeroasele destinații mici din Europa.</w:t>
      </w:r>
    </w:p>
    <w:p>
      <w:pPr>
        <w:pStyle w:val="P68B1DB1Normal84"/>
        <w:widowControl w:val="false"/>
        <w:spacing w:lineRule="auto" w:line="240"/>
        <w:ind w:left="283" w:right="0" w:hanging="0"/>
        <w:jc w:val="left"/>
        <w:rPr/>
      </w:pPr>
      <w:r>
        <w:rPr>
          <w:color w:val="BD1271"/>
        </w:rPr>
        <w:t xml:space="preserve">3. </w:t>
      </w:r>
      <w:r>
        <w:rPr>
          <w:color w:val="000000"/>
        </w:rPr>
        <w:t>Concentrați-vă pe tehnologie și inovare ca vectori ai creșterii.</w:t>
      </w:r>
    </w:p>
    <w:p>
      <w:pPr>
        <w:pStyle w:val="P68B1DB1Normal84"/>
        <w:widowControl w:val="false"/>
        <w:spacing w:lineRule="auto" w:line="240"/>
        <w:ind w:left="283" w:right="0" w:hanging="0"/>
        <w:jc w:val="left"/>
        <w:rPr/>
      </w:pPr>
      <w:r>
        <w:rPr>
          <w:color w:val="BD1271"/>
        </w:rPr>
        <w:t xml:space="preserve">4. </w:t>
      </w:r>
      <w:r>
        <w:rPr>
          <w:color w:val="000000"/>
        </w:rPr>
        <w:t>Reducerea dependenței de alte țări de materii prime, surse de energie și agricultură.</w:t>
      </w:r>
    </w:p>
    <w:p>
      <w:pPr>
        <w:pStyle w:val="P68B1DB1Normal84"/>
        <w:widowControl w:val="false"/>
        <w:spacing w:lineRule="auto" w:line="240"/>
        <w:ind w:left="283" w:right="0" w:hanging="0"/>
        <w:jc w:val="left"/>
        <w:rPr/>
      </w:pPr>
      <w:r>
        <w:rPr>
          <w:color w:val="BD1271"/>
        </w:rPr>
        <w:t xml:space="preserve">5. </w:t>
      </w:r>
      <w:r>
        <w:rPr>
          <w:color w:val="000000"/>
        </w:rPr>
        <w:t>Încurajează tinerii să studieze subiecte științifice.</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Reglementări de producție generatoare și incluzive </w:t>
      </w:r>
    </w:p>
    <w:p>
      <w:pPr>
        <w:pStyle w:val="P68B1DB1Normal76"/>
        <w:widowControl w:val="false"/>
        <w:spacing w:lineRule="auto" w:line="240" w:before="91" w:after="0"/>
        <w:ind w:left="0" w:right="2" w:hanging="0"/>
        <w:jc w:val="both"/>
        <w:rPr/>
      </w:pPr>
      <w:r>
        <w:rPr/>
        <w:t xml:space="preserve">Pentru a depăși logica economică a secolului trecut, este, de asemenea, necesar să se revizuiască regulile și procedurile care guvernează activitățile de afaceri. Există patru recomandări în acest sens, toate acestea răspunzând unei logici comune: pe de o parte, simplificarea normelor și, pe de altă parte, menținerea unui nivel ridicat de vigilență împotriva infracțiunilor (în special în ceea ce privește contrafacerea și concurența neloială). </w:t>
      </w:r>
    </w:p>
    <w:p>
      <w:pPr>
        <w:pStyle w:val="P68B1DB1Normal76"/>
        <w:widowControl w:val="false"/>
        <w:spacing w:lineRule="auto" w:line="240" w:before="15" w:after="0"/>
        <w:ind w:left="0" w:right="2" w:hanging="0"/>
        <w:jc w:val="both"/>
        <w:rPr/>
      </w:pPr>
      <w:r>
        <w:rPr/>
        <w:t xml:space="preserve">Se acordă o atenție deosebită necesității unor norme economice care să fie în primul rând generatoare, reducând cât mai mult posibil opțiunile care necesită standardizarea proceselor de producție (amenințarea producțiilor locale specifice cu rădăcini culturale profunde), dar și distrugerea bunurilor agricole din cauza necesității de a menține cantități predefinite de producție.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RECOMANDĂRI PE SCURT </w:t>
      </w:r>
    </w:p>
    <w:p>
      <w:pPr>
        <w:pStyle w:val="P68B1DB1Normal84"/>
        <w:widowControl w:val="false"/>
        <w:spacing w:lineRule="auto" w:line="240" w:before="72" w:after="0"/>
        <w:ind w:left="142" w:right="0" w:hanging="0"/>
        <w:jc w:val="left"/>
        <w:rPr/>
      </w:pPr>
      <w:r>
        <w:rPr>
          <w:color w:val="BD1271"/>
        </w:rPr>
        <w:t xml:space="preserve">1. </w:t>
      </w:r>
      <w:r>
        <w:rPr>
          <w:color w:val="000000"/>
        </w:rPr>
        <w:t>Reducerea birocrației (autorizații, certificări).</w:t>
      </w:r>
    </w:p>
    <w:p>
      <w:pPr>
        <w:pStyle w:val="P68B1DB1Normal84"/>
        <w:widowControl w:val="false"/>
        <w:spacing w:lineRule="auto" w:line="240"/>
        <w:ind w:left="142" w:right="0" w:hanging="0"/>
        <w:jc w:val="left"/>
        <w:rPr/>
      </w:pPr>
      <w:r>
        <w:rPr>
          <w:color w:val="BD1271"/>
        </w:rPr>
        <w:t xml:space="preserve">2. </w:t>
      </w:r>
      <w:r>
        <w:rPr>
          <w:color w:val="000000"/>
        </w:rPr>
        <w:t>Reducerea standardizării produselor și recunoașterea particularităților locale și regionale în ceea ce privește cultura și producția (respectarea tradițiilor de producție).</w:t>
      </w:r>
    </w:p>
    <w:p>
      <w:pPr>
        <w:pStyle w:val="P68B1DB1Normal84"/>
        <w:widowControl w:val="false"/>
        <w:spacing w:lineRule="auto" w:line="240"/>
        <w:ind w:left="142" w:right="417" w:hanging="0"/>
        <w:jc w:val="left"/>
        <w:rPr/>
      </w:pPr>
      <w:r>
        <w:rPr>
          <w:color w:val="BD1271"/>
        </w:rPr>
        <w:t xml:space="preserve">3. </w:t>
      </w:r>
      <w:r>
        <w:rPr>
          <w:color w:val="000000"/>
        </w:rPr>
        <w:t>Să depășească logica cotelor pentru producția agricolă și distrugerea rezultată a excedentului de producție.</w:t>
      </w:r>
    </w:p>
    <w:p>
      <w:pPr>
        <w:pStyle w:val="P68B1DB1Normal84"/>
        <w:widowControl w:val="false"/>
        <w:spacing w:lineRule="auto" w:line="240"/>
        <w:ind w:left="142" w:right="0" w:hanging="0"/>
        <w:jc w:val="left"/>
        <w:rPr/>
      </w:pPr>
      <w:r>
        <w:rPr>
          <w:color w:val="BD1271"/>
        </w:rPr>
        <w:t xml:space="preserve">4. </w:t>
      </w:r>
      <w:r>
        <w:rPr>
          <w:color w:val="000000"/>
        </w:rPr>
        <w:t>Combaterea contrafacerii și a concurenței neloiale.</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Măsurarea creșterii în raport cu fericirea populației, mai degrabă decât cu cantitatea de produse </w:t>
      </w:r>
    </w:p>
    <w:p>
      <w:pPr>
        <w:pStyle w:val="P68B1DB1Normal76"/>
        <w:widowControl w:val="false"/>
        <w:spacing w:lineRule="auto" w:line="240" w:before="88" w:after="0"/>
        <w:ind w:left="0" w:right="0" w:hanging="0"/>
        <w:jc w:val="both"/>
        <w:rPr/>
      </w:pPr>
      <w:r>
        <w:rPr/>
        <w:t xml:space="preserve">Trecerea dincolo de modelul de producție al secolului trecut nu înseamnă doar schimbarea metodelor de producție, ci și dezvoltarea unei noi culturi în care indicatorii de creștere nu se concentrează numai pe cantitatea de bunuri produse, ci și pe capacitatea de a garanta cetățenilor un obiectiv de fericire. În această nouă economie, bunurile nu pot fi punctul central al considerentelor în ceea ce privește impactul și investițiile, dar acest loc trebuie să revină la oameni. Aceasta presupune trecerea de la un sistem de indicatori bazat pe cantitatea de bunuri produse (PIB) la un sistem capabil să măsoare bunăstarea produsă pentru oameni (BIB – fericirea internă brută).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RECOMANDARE PE SCURT </w:t>
      </w:r>
    </w:p>
    <w:p>
      <w:pPr>
        <w:pStyle w:val="P68B1DB1Normal84"/>
        <w:widowControl w:val="false"/>
        <w:spacing w:lineRule="auto" w:line="240" w:before="69" w:after="0"/>
        <w:ind w:left="142" w:right="0" w:hanging="0"/>
        <w:jc w:val="left"/>
        <w:rPr/>
      </w:pPr>
      <w:r>
        <w:rPr>
          <w:color w:val="BD1271"/>
        </w:rPr>
        <w:t xml:space="preserve">1. </w:t>
      </w:r>
      <w:r>
        <w:rPr>
          <w:color w:val="000000"/>
        </w:rPr>
        <w:t>Dezvoltarea unei economii axate mai mult pe producția de fericire (fericirea internă brută) decât pe bunuri (produs intern brut).</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O mai bună integrare între state </w:t>
      </w:r>
    </w:p>
    <w:p>
      <w:pPr>
        <w:pStyle w:val="P68B1DB1Normal76"/>
        <w:widowControl w:val="false"/>
        <w:spacing w:lineRule="auto" w:line="240" w:before="49" w:after="0"/>
        <w:ind w:left="0" w:right="0" w:hanging="0"/>
        <w:jc w:val="both"/>
        <w:rPr/>
      </w:pPr>
      <w:r>
        <w:rPr/>
        <w:t xml:space="preserve">Ceea ce este clar pentru toată lumea, chiar și în rândul celor care sunt mai puțin mulțumiți de organizarea actuală și de rezultatele obținute până în prezent de Uniunea Europeană, este că o uniune monetară nu este suficientă și că Europa trebuie să poată evolua cu o forță tot mai mare ca o entitate politică coerentă, capabilă să negocieze cu o singură voce și să acționeze cu o mai mare solidaritate pe plan intern. O uniune mai puternică este un aspect esențial al consolidării puterii politice, comerciale și productive a Uniunii Europene: omogenitatea legilor fundamentale, precum și un sistem integrat și coerent de impozitare a întreprinderilor și a cetățenilor, în care salariile și serviciile oferite cetățenilor sunt aliniate. Numai în acest fel vom avea o Europă care poate reduce diferențele sociale și poate promova calitatea vieții. </w:t>
      </w:r>
    </w:p>
    <w:p>
      <w:pPr>
        <w:pStyle w:val="P68B1DB1Normal76"/>
        <w:widowControl w:val="false"/>
        <w:spacing w:lineRule="auto" w:line="240" w:before="1" w:after="0"/>
        <w:ind w:left="0" w:right="2" w:hanging="0"/>
        <w:jc w:val="both"/>
        <w:rPr/>
      </w:pPr>
      <w:r>
        <w:rPr/>
        <w:t xml:space="preserve">Acest lucru înseamnă să nu revenim la realizările din ultimii ani și să păstrăm conceptul de stat social, pe care participanții la panel l-au identificat ca fiind cel mai avansat din lume și cei mai preocupați de asigurarea egalității de șanse și a justiției sociale pentru cetățenii săi. </w:t>
      </w:r>
    </w:p>
    <w:p>
      <w:pPr>
        <w:pStyle w:val="P68B1DB1Normal83"/>
        <w:widowControl w:val="false"/>
        <w:spacing w:lineRule="auto" w:line="240" w:before="72" w:after="0"/>
        <w:ind w:left="3000" w:right="0" w:hanging="0"/>
        <w:jc w:val="left"/>
        <w:rPr>
          <w:rFonts w:ascii="Arial" w:hAnsi="Arial"/>
          <w:b/>
          <w:b/>
          <w:color w:val="2E74B5"/>
          <w:sz w:val="24"/>
        </w:rPr>
      </w:pPr>
      <w:r>
        <w:rPr/>
        <w:t xml:space="preserve">RECOMANDĂRI PE SCURT </w:t>
      </w:r>
    </w:p>
    <w:p>
      <w:pPr>
        <w:pStyle w:val="P68B1DB1Normal84"/>
        <w:widowControl w:val="false"/>
        <w:spacing w:lineRule="auto" w:line="240" w:before="69" w:after="0"/>
        <w:ind w:left="283" w:right="0" w:hanging="0"/>
        <w:jc w:val="left"/>
        <w:rPr/>
      </w:pPr>
      <w:r>
        <w:rPr>
          <w:color w:val="BD1271"/>
        </w:rPr>
        <w:t xml:space="preserve">1. </w:t>
      </w:r>
      <w:r>
        <w:rPr>
          <w:color w:val="000000"/>
        </w:rPr>
        <w:t>Nu faceți compromisuri cu privire la drepturile sociale (sănătate publică, educație publică, politici în domeniul muncii).</w:t>
      </w:r>
    </w:p>
    <w:p>
      <w:pPr>
        <w:pStyle w:val="P68B1DB1Normal84"/>
        <w:widowControl w:val="false"/>
        <w:spacing w:lineRule="auto" w:line="240"/>
        <w:ind w:left="283" w:right="0" w:hanging="0"/>
        <w:jc w:val="left"/>
        <w:rPr/>
      </w:pPr>
      <w:r>
        <w:rPr>
          <w:color w:val="BD1271"/>
        </w:rPr>
        <w:t xml:space="preserve">2. </w:t>
      </w:r>
      <w:r>
        <w:rPr>
          <w:color w:val="000000"/>
        </w:rPr>
        <w:t>Consolidarea acțiunilor întreprinse în ceea ce privește moneda unică și interconectarea sistemelor de plată și a telecomunicațiilor.</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Cu toate acestea, astăzi, tot ceea ce s-a făcut în trecut nu mai pare suficient, iar Europa viitorului trebuie să facă un salt decisiv în ceea ce privește integrarea între statele membre, potrivit unei viziuni interne care nu mai este bazată pe concurență, ci pe cooperare, asigurându-se că fiecare cetățean european poate avea aceleași sisteme de garanții și oportunități în toate statele membre ale Uniunii.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RECOMANDĂRI PE SCURT </w:t>
      </w:r>
    </w:p>
    <w:p>
      <w:pPr>
        <w:pStyle w:val="P68B1DB1Normal84"/>
        <w:widowControl w:val="false"/>
        <w:spacing w:lineRule="auto" w:line="240" w:before="72" w:after="0"/>
        <w:ind w:left="283" w:right="0" w:hanging="0"/>
        <w:jc w:val="left"/>
        <w:rPr/>
      </w:pPr>
      <w:r>
        <w:rPr>
          <w:color w:val="BD1271"/>
        </w:rPr>
        <w:t xml:space="preserve">1. </w:t>
      </w:r>
      <w:r>
        <w:rPr>
          <w:color w:val="000000"/>
        </w:rPr>
        <w:t>Du-te dincolo de egoismul statelor și de tendința de a căuta beneficii individuale în detrimentul altora.</w:t>
      </w:r>
    </w:p>
    <w:p>
      <w:pPr>
        <w:pStyle w:val="P68B1DB1Normal84"/>
        <w:widowControl w:val="false"/>
        <w:spacing w:lineRule="auto" w:line="240"/>
        <w:ind w:left="283" w:right="0" w:hanging="0"/>
        <w:jc w:val="left"/>
        <w:rPr/>
      </w:pPr>
      <w:r>
        <w:rPr>
          <w:color w:val="BD1271"/>
        </w:rPr>
        <w:t xml:space="preserve">2. </w:t>
      </w:r>
      <w:r>
        <w:rPr>
          <w:color w:val="000000"/>
        </w:rPr>
        <w:t>Instituirea unui sistem cu aceleași legi, sisteme fiscale, drepturi și obligații în toate țările.</w:t>
      </w:r>
    </w:p>
    <w:p>
      <w:pPr>
        <w:pStyle w:val="P68B1DB1Normal84"/>
        <w:widowControl w:val="false"/>
        <w:spacing w:lineRule="auto" w:line="240"/>
        <w:ind w:left="283" w:right="0" w:hanging="0"/>
        <w:jc w:val="left"/>
        <w:rPr/>
      </w:pPr>
      <w:r>
        <w:rPr>
          <w:color w:val="BD1271"/>
        </w:rPr>
        <w:t xml:space="preserve">3. </w:t>
      </w:r>
      <w:r>
        <w:rPr>
          <w:color w:val="000000"/>
        </w:rPr>
        <w:t>Regimuri fiscale coordonate între diferite state, în special în ceea ce privește întreprinderile (fără zone libere sau impozite reduse).</w:t>
      </w:r>
    </w:p>
    <w:p>
      <w:pPr>
        <w:pStyle w:val="P68B1DB1Normal84"/>
        <w:widowControl w:val="false"/>
        <w:spacing w:lineRule="auto" w:line="240"/>
        <w:ind w:left="283" w:right="416" w:hanging="0"/>
        <w:jc w:val="left"/>
        <w:rPr/>
      </w:pPr>
      <w:r>
        <w:rPr>
          <w:color w:val="BD1271"/>
        </w:rPr>
        <w:t xml:space="preserve">4. </w:t>
      </w:r>
      <w:r>
        <w:rPr>
          <w:color w:val="000000"/>
        </w:rPr>
        <w:t>Prețuri consecvente pentru produse și garantarea unei puteri de cumpărare egale între diferite state.</w:t>
      </w:r>
    </w:p>
    <w:p>
      <w:pPr>
        <w:pStyle w:val="P68B1DB1Normal84"/>
        <w:widowControl w:val="false"/>
        <w:spacing w:lineRule="auto" w:line="240"/>
        <w:ind w:left="283" w:right="416" w:hanging="0"/>
        <w:jc w:val="left"/>
        <w:rPr/>
      </w:pPr>
      <w:r>
        <w:rPr>
          <w:color w:val="BD1271"/>
        </w:rPr>
        <w:t xml:space="preserve">5. </w:t>
      </w:r>
      <w:r>
        <w:rPr>
          <w:color w:val="000000"/>
        </w:rPr>
        <w:t>Reducerea disparităților salariale între diferite state și regiuni geografice din aceeași țară.</w:t>
      </w:r>
    </w:p>
    <w:p>
      <w:pPr>
        <w:pStyle w:val="P68B1DB1Normal84"/>
        <w:widowControl w:val="false"/>
        <w:spacing w:lineRule="auto" w:line="240"/>
        <w:ind w:left="283" w:right="416" w:hanging="0"/>
        <w:jc w:val="left"/>
        <w:rPr/>
      </w:pPr>
      <w:r>
        <w:rPr>
          <w:color w:val="BD1271"/>
        </w:rPr>
        <w:t xml:space="preserve">6. </w:t>
      </w:r>
      <w:r>
        <w:rPr>
          <w:color w:val="000000"/>
        </w:rPr>
        <w:t>Să facă din datoria publică a mai multor state membre o responsabilitate comună.</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Politici de incluziune </w:t>
      </w:r>
    </w:p>
    <w:p>
      <w:pPr>
        <w:pStyle w:val="P68B1DB1Normal76"/>
        <w:widowControl w:val="false"/>
        <w:spacing w:lineRule="auto" w:line="240" w:before="88" w:after="0"/>
        <w:ind w:left="0" w:right="0" w:hanging="0"/>
        <w:jc w:val="both"/>
        <w:rPr/>
      </w:pPr>
      <w:r>
        <w:rPr/>
        <w:t xml:space="preserve">O Europă justă, capabilă să ofere fericire cetățenilor săi, este o Europă incluzivă, care acordă întotdeauna o atenție deosebită luptei împotriva inegalității. Recomandările stabilesc calea de urmat pentru atingerea obiectivelor de lungă durată (cum ar fi egalitatea de gen) și stabilesc noi cerințe legate de transformările culturale ale societăților contemporane (inechitatea digitală și dreptul de a trăi într-un mediu sănătos).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RECOMANDĂRI PE SCURT </w:t>
      </w:r>
    </w:p>
    <w:p>
      <w:pPr>
        <w:pStyle w:val="P68B1DB1Normal84"/>
        <w:widowControl w:val="false"/>
        <w:spacing w:lineRule="auto" w:line="240" w:before="69" w:after="0"/>
        <w:ind w:left="283" w:right="0" w:hanging="0"/>
        <w:jc w:val="left"/>
        <w:rPr/>
      </w:pPr>
      <w:r>
        <w:rPr>
          <w:color w:val="BD1271"/>
        </w:rPr>
        <w:t xml:space="preserve">1. </w:t>
      </w:r>
      <w:r>
        <w:rPr>
          <w:color w:val="000000"/>
        </w:rPr>
        <w:t>Realizarea egalității de gen depline, inclusiv prin consolidarea concediului parental și a facilităților de îngrijire a copiilor.</w:t>
      </w:r>
    </w:p>
    <w:p>
      <w:pPr>
        <w:pStyle w:val="P68B1DB1Normal84"/>
        <w:widowControl w:val="false"/>
        <w:spacing w:lineRule="auto" w:line="240"/>
        <w:ind w:left="283" w:right="0" w:hanging="0"/>
        <w:jc w:val="left"/>
        <w:rPr/>
      </w:pPr>
      <w:r>
        <w:rPr>
          <w:color w:val="BD1271"/>
        </w:rPr>
        <w:t xml:space="preserve">2. </w:t>
      </w:r>
      <w:r>
        <w:rPr>
          <w:color w:val="000000"/>
        </w:rPr>
        <w:t>Combaterea inegalităților digitale.</w:t>
      </w:r>
    </w:p>
    <w:p>
      <w:pPr>
        <w:pStyle w:val="P68B1DB1Normal84"/>
        <w:widowControl w:val="false"/>
        <w:spacing w:lineRule="auto" w:line="240"/>
        <w:ind w:left="283" w:right="0" w:hanging="0"/>
        <w:jc w:val="left"/>
        <w:rPr/>
      </w:pPr>
      <w:r>
        <w:rPr>
          <w:color w:val="BD1271"/>
        </w:rPr>
        <w:t xml:space="preserve">3. </w:t>
      </w:r>
      <w:r>
        <w:rPr>
          <w:color w:val="000000"/>
        </w:rPr>
        <w:t>Asigurarea faptului că toți cetățenii europeni pot trăi într-un mediu sănătos și durabil.</w:t>
      </w:r>
    </w:p>
    <w:p>
      <w:pPr>
        <w:pStyle w:val="P68B1DB1Normal84"/>
        <w:widowControl w:val="false"/>
        <w:spacing w:lineRule="auto" w:line="240"/>
        <w:ind w:left="283" w:right="0" w:hanging="0"/>
        <w:jc w:val="left"/>
        <w:rPr/>
      </w:pPr>
      <w:r>
        <w:rPr>
          <w:color w:val="BD1271"/>
        </w:rPr>
        <w:t xml:space="preserve">4. </w:t>
      </w:r>
      <w:r>
        <w:rPr>
          <w:color w:val="000000"/>
        </w:rPr>
        <w:t>Asigurarea oportunităților de mobilitate socială și, prin urmare, a tuturor oportunităților de dezvoltare personală și autodeterminare</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Promovarea reînnoirii generațiilor la toate nivelurile</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Să gestioneze primirea refugiaților și a migranților într-un mod echilibrat între diferite state.</w:t>
      </w:r>
    </w:p>
    <w:p>
      <w:pPr>
        <w:pStyle w:val="P68B1DB1Normal76"/>
        <w:widowControl w:val="false"/>
        <w:spacing w:lineRule="auto" w:line="240" w:before="106" w:after="0"/>
        <w:ind w:left="0" w:right="0" w:hanging="0"/>
        <w:jc w:val="both"/>
        <w:rPr/>
      </w:pPr>
      <w:r>
        <w:rPr/>
        <w:t xml:space="preserve">Încă o dată, rolul școlilor și al politicilor educaționale pare să fie esențial, nu numai pentru a oferi tinerilor competențele de care au nevoie pentru a intra pe piața forței de muncă, ci și pentru a construi o cultură europeană. După construirea unei Europe a instituțiilor, este esențial să se construiască o Europă a popoarelor. În acest sens, se pune accentul pe centralitatea unei limbi comune pentru a permite dialogul între cetățenii din diferite țări și accesul egal la servicii. Pe măsură ce visul Esperanto s-a prăbușit, ieșirea Marii Britanii din Uniunea Europeană a ridicat îndoieli cu privire la posibilitatea adoptării limbii engleze ca limbă comună, o limbă-cheie a relațiilor internaționale și în cadrul sistemului științific și economic.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RECOMANDĂRI PE SCURT </w:t>
      </w:r>
    </w:p>
    <w:p>
      <w:pPr>
        <w:pStyle w:val="P68B1DB1Normal84"/>
        <w:widowControl w:val="false"/>
        <w:spacing w:lineRule="auto" w:line="240" w:before="72" w:after="0"/>
        <w:ind w:left="283" w:right="0" w:hanging="0"/>
        <w:jc w:val="left"/>
        <w:rPr/>
      </w:pPr>
      <w:r>
        <w:rPr>
          <w:color w:val="BD1271"/>
        </w:rPr>
        <w:t xml:space="preserve">1. </w:t>
      </w:r>
      <w:r>
        <w:rPr>
          <w:color w:val="000000"/>
        </w:rPr>
        <w:t>Promovarea adoptării unei limbi comune.</w:t>
      </w:r>
    </w:p>
    <w:p>
      <w:pPr>
        <w:pStyle w:val="P68B1DB1Normal84"/>
        <w:widowControl w:val="false"/>
        <w:spacing w:lineRule="auto" w:line="240"/>
        <w:ind w:left="283" w:right="0" w:hanging="0"/>
        <w:jc w:val="left"/>
        <w:rPr/>
      </w:pPr>
      <w:r>
        <w:rPr>
          <w:color w:val="BD1271"/>
        </w:rPr>
        <w:t xml:space="preserve">2. </w:t>
      </w:r>
      <w:r>
        <w:rPr>
          <w:color w:val="000000"/>
        </w:rPr>
        <w:t>Investiți în școli și în predarea istoriei europene, mai degrabă decât în fiecare țară, precum și în predarea economiei politice și a educației civice.</w:t>
      </w:r>
    </w:p>
    <w:p>
      <w:pPr>
        <w:pStyle w:val="P68B1DB1Normal84"/>
        <w:widowControl w:val="false"/>
        <w:spacing w:lineRule="auto" w:line="240"/>
        <w:ind w:left="283" w:right="417" w:hanging="0"/>
        <w:jc w:val="left"/>
        <w:rPr/>
      </w:pPr>
      <w:r>
        <w:rPr>
          <w:color w:val="BD1271"/>
        </w:rPr>
        <w:t xml:space="preserve">3. </w:t>
      </w:r>
      <w:r>
        <w:rPr>
          <w:color w:val="000000"/>
        </w:rPr>
        <w:t>Accesul la cultură, educație și schimburi între studenți și cetățeni din diferite state membre.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Politicile de incluziune joacă un rol esențial în asigurarea accesului cetățenilor la oportunități. În acest sens, participanții la panel au subliniat faptul că Italia nu a fost adesea în măsură să utilizeze fondurile UE puse la dispoziție în acest scop. Incluziunea și accesibilitatea înseamnă că instituțiile europene trebuie să fie mai aproape de cetățenii lor, iar aceste concepte merg mână în mână cu mai multe informații și conștientizare cu privire la drepturile de care se bucură cetățenii europeni ca atare. Din acest punct de vedere, a apărut importanța unei relații directe între instituțiile Uniunii și cetățeni, fără a fi necesar ca statele membre să fie mediate.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RECOMANDĂRI PE SCURT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Promovarea utilizării fondurilor UE pentru reducerea inegalităților</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Accesibilitatea și apropierea instituțiilor europene de cetățeni.</w:t>
      </w:r>
    </w:p>
    <w:p>
      <w:pPr>
        <w:pStyle w:val="P68B1DB1Normal84"/>
        <w:widowControl w:val="false"/>
        <w:spacing w:lineRule="auto" w:line="240"/>
        <w:ind w:left="283" w:right="416" w:hanging="0"/>
        <w:jc w:val="left"/>
        <w:rPr/>
      </w:pPr>
      <w:r>
        <w:rPr>
          <w:color w:val="BD1271"/>
        </w:rPr>
        <w:t xml:space="preserve">3. </w:t>
      </w:r>
      <w:r>
        <w:rPr>
          <w:color w:val="000000"/>
        </w:rPr>
        <w:t>Să comunice în mod clar cetățenilor drepturile și oportunitățile lor și să promoveze accesul direct al cetățenilor la acestea.</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Ocuparea forței de muncă </w:t>
      </w:r>
    </w:p>
    <w:p>
      <w:pPr>
        <w:pStyle w:val="Normal"/>
        <w:widowControl w:val="false"/>
        <w:spacing w:lineRule="auto" w:line="240" w:before="97" w:after="0"/>
        <w:ind w:left="0" w:right="1" w:hanging="0"/>
        <w:jc w:val="both"/>
        <w:rPr/>
      </w:pPr>
      <w:r>
        <w:rPr>
          <w:color w:val="000000"/>
        </w:rPr>
        <w:t xml:space="preserve">Problema ocupării forței de muncă a apărut în permanență ca element transversal și ca efect direct al capacității Uniunii Europene de a răspunde recomandărilor sale. În timpul dezbaterii </w:t>
      </w:r>
      <w:r>
        <w:rPr>
          <w:color w:val="FF0000"/>
        </w:rPr>
        <w:t>dintre</w:t>
      </w:r>
      <w:r>
        <w:rPr>
          <w:color w:val="000000"/>
        </w:rPr>
        <w:t xml:space="preserve"> participanți, a fost clar că problema ocupării forței de muncă se află în centrul vieții cetățenilor, dar că aceasta merge mână în mână cu consolidarea problemelor de justiție economică și socială. O Uniune Europeană în care politicile active în domeniul muncii rămân centrale și tot mai coordonate este extrem de anticipată.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RECOMANDĂRI PE SCURT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Promovarea comerțului între lucrătorii din Europa prin intermediul unui Centru european pentru ocuparea forței de muncă.</w:t>
      </w:r>
    </w:p>
    <w:p>
      <w:pPr>
        <w:pStyle w:val="P68B1DB1Normal84"/>
        <w:widowControl w:val="false"/>
        <w:spacing w:lineRule="auto" w:line="240"/>
        <w:ind w:left="283" w:right="0" w:hanging="0"/>
        <w:jc w:val="left"/>
        <w:rPr/>
      </w:pPr>
      <w:r>
        <w:rPr>
          <w:color w:val="BD1271"/>
        </w:rPr>
        <w:t xml:space="preserve">2. </w:t>
      </w:r>
      <w:r>
        <w:rPr>
          <w:color w:val="000000"/>
        </w:rPr>
        <w:t>Să integreze politicile de ocupare a forței de muncă la nivelul UE.</w:t>
      </w:r>
    </w:p>
    <w:p>
      <w:pPr>
        <w:pStyle w:val="P68B1DB1Normal84"/>
        <w:widowControl w:val="false"/>
        <w:spacing w:lineRule="auto" w:line="240"/>
        <w:ind w:left="283" w:right="0" w:hanging="0"/>
        <w:jc w:val="left"/>
        <w:rPr/>
      </w:pPr>
      <w:r>
        <w:rPr>
          <w:color w:val="BD1271"/>
        </w:rPr>
        <w:t xml:space="preserve">3. </w:t>
      </w:r>
      <w:r>
        <w:rPr>
          <w:color w:val="000000"/>
        </w:rPr>
        <w:t>Să ofere stimulente pentru întreprinderile care oferă locuri de muncă.</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Europa în lume </w:t>
      </w:r>
    </w:p>
    <w:p>
      <w:pPr>
        <w:pStyle w:val="P68B1DB1Normal76"/>
        <w:widowControl w:val="false"/>
        <w:spacing w:lineRule="exact" w:line="380" w:before="143" w:after="0"/>
        <w:ind w:left="74" w:right="0" w:hanging="0"/>
        <w:jc w:val="both"/>
        <w:rPr/>
      </w:pPr>
      <w:r>
        <w:rPr/>
        <w:t xml:space="preserve">Evenimentele internaționale recente și, în special, războiul dintre Rusia și Ucraina au avut o influență majoră asupra percepției rolului pe care Europa va trebui să îl joace la nivel internațional. Recomandările colectate s-au axat în principal pe consolidarea UE (atât în ceea ce privește identitatea, cât și în ceea ce privește puterea economică) și pe poziționarea acesteia ca model de referință și de redresare în relațiile sale cu alte țări.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ularul 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0"/>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Consolidarea identității europene</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Consolidarea economiei și a instituțiilor</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Cooperare și parteneriate</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Punct de referință politic și cultural</w:t>
                              </w:r>
                            </w:p>
                          </w:txbxContent>
                        </wps:txbx>
                        <wps:bodyPr lIns="90000" rIns="90000" tIns="45000" bIns="45000">
                          <a:noAutofit/>
                        </wps:bodyPr>
                      </wps:wsp>
                    </wpg:wgp>
                  </a:graphicData>
                </a:graphic>
              </wp:anchor>
            </w:drawing>
          </mc:Choice>
          <mc:Fallback>
            <w:pict>
              <v:group id="shape_0" alt="Formularul 7" style="position:absolute;margin-left:-13.1pt;margin-top:5.35pt;width:508.1pt;height:71.15pt" coordorigin="-262,107" coordsize="10162,1423">
                <v:shape id="shape_0" stroked="f" style="position:absolute;left:438;top:982;width:8699;height:548;rotation:180" type="shapetype_75">
                  <v:imagedata r:id="rId111"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Consolidarea identității europene</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Consolidarea economiei și a instituțiilor</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Cooperare și parteneriate</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Punct de referință politic și cultural</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Consolidarea identității europene</w:t>
      </w:r>
    </w:p>
    <w:p>
      <w:pPr>
        <w:pStyle w:val="P68B1DB1Normal76"/>
        <w:widowControl w:val="false"/>
        <w:spacing w:lineRule="auto" w:line="240" w:before="106" w:after="0"/>
        <w:ind w:left="74" w:right="0" w:hanging="0"/>
        <w:jc w:val="both"/>
        <w:rPr/>
      </w:pPr>
      <w:r>
        <w:rPr/>
        <w:t xml:space="preserve">Pentru a fi recunoscută dincolo de frontierele sale, Uniunea Europeană trebuie mai întâi să dea dovadă de coeziune pe plan intern, nu numai din punct de vedere economic și financiar, ci și în ceea ce privește identitatea și valorile. O identitate care nu este creată prin aprobare, ci prin valorificarea particularităților locale într-un cadru de valori esențiale comune. </w:t>
      </w:r>
    </w:p>
    <w:p>
      <w:pPr>
        <w:pStyle w:val="P68B1DB1Normal76"/>
        <w:widowControl w:val="false"/>
        <w:spacing w:lineRule="auto" w:line="240" w:before="78" w:after="0"/>
        <w:ind w:left="74" w:right="1" w:hanging="0"/>
        <w:jc w:val="both"/>
        <w:rPr/>
      </w:pPr>
      <w:r>
        <w:rPr/>
        <w:t xml:space="preserve">Reflecția asupra unei posibile extinderi a domeniului de aplicare al Uniunii a fost, de asemenea, realizată în acest sens: potrivit unor participanți la panel, aceasta nu ar trebui să aibă loc într-un mod nediferențiat, ci mai degrabă să se concentreze pe recunoașterea reciprocă a culturii și valorilor, mai degrabă decât pe standardele economice.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RECOMANDĂRI PE SCURT</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Consolidarea valorilor și caracteristicilor culturale europene, precum și a particularităților regionale.</w:t>
      </w:r>
    </w:p>
    <w:p>
      <w:pPr>
        <w:pStyle w:val="P68B1DB1Normal84"/>
        <w:widowControl w:val="false"/>
        <w:spacing w:lineRule="auto" w:line="240"/>
        <w:ind w:left="358" w:right="0" w:hanging="0"/>
        <w:jc w:val="left"/>
        <w:rPr/>
      </w:pPr>
      <w:r>
        <w:rPr>
          <w:color w:val="BD1271"/>
        </w:rPr>
        <w:t xml:space="preserve">2. </w:t>
      </w:r>
      <w:r>
        <w:rPr>
          <w:color w:val="000000"/>
        </w:rPr>
        <w:t>Crearea unui institut pentru cultura europeană care să promoveze o cultură a respectului și a îmbogățirii reciproce între cetățenii diferitelor state.</w:t>
      </w:r>
    </w:p>
    <w:p>
      <w:pPr>
        <w:pStyle w:val="P68B1DB1Normal84"/>
        <w:widowControl w:val="false"/>
        <w:spacing w:lineRule="auto" w:line="240"/>
        <w:ind w:left="418" w:right="418" w:hanging="0"/>
        <w:jc w:val="both"/>
        <w:rPr/>
      </w:pPr>
      <w:r>
        <w:rPr>
          <w:color w:val="BD1271"/>
        </w:rPr>
        <w:t xml:space="preserve">3. </w:t>
      </w:r>
      <w:r>
        <w:rPr>
          <w:color w:val="000000"/>
        </w:rPr>
        <w:t>Redefinirea principiilor apartenenței la noile țări candidate, cu consolidarea unor factori precum identitatea culturală și valorile.</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Consolidarea economiei și a instituțiilor </w:t>
      </w:r>
    </w:p>
    <w:p>
      <w:pPr>
        <w:pStyle w:val="P68B1DB1Normal76"/>
        <w:widowControl w:val="false"/>
        <w:spacing w:lineRule="auto" w:line="240" w:before="109" w:after="0"/>
        <w:ind w:left="0" w:right="0" w:hanging="0"/>
        <w:jc w:val="both"/>
        <w:rPr/>
      </w:pPr>
      <w:r>
        <w:rPr/>
        <w:t xml:space="preserve">Se preconizează că Europa de mâine va juca un rol de lider la nivel internațional, care nu poate fi asumat decât printr-o Uniune puternică și independentă față de alte țări. Este recunoscut pe scară largă faptul că țările UE sunt sărace în materii prime, dar pare esențial ca UE să fie în măsură să asigure o mai mare independență în ceea ce privește aprovizionarea cu energie, agricultura și produsele tehnologice. </w:t>
      </w:r>
    </w:p>
    <w:p>
      <w:pPr>
        <w:pStyle w:val="P68B1DB1Normal76"/>
        <w:widowControl w:val="false"/>
        <w:spacing w:lineRule="auto" w:line="240" w:before="78" w:after="0"/>
        <w:ind w:left="0" w:right="1" w:hanging="0"/>
        <w:jc w:val="both"/>
        <w:rPr/>
      </w:pPr>
      <w:r>
        <w:rPr/>
        <w:t xml:space="preserve">Acest lucru necesită investiții specifice pentru a recupera decalajul în domenii precum tehnologia (în care Uniunea Europeană nu pare să joace un rol de lider în prezent), ci și în sectoarele alimentar și energetic. </w:t>
      </w:r>
    </w:p>
    <w:p>
      <w:pPr>
        <w:pStyle w:val="P68B1DB1Normal76"/>
        <w:widowControl w:val="false"/>
        <w:spacing w:lineRule="auto" w:line="240" w:before="78" w:after="0"/>
        <w:ind w:left="0" w:right="2" w:hanging="0"/>
        <w:jc w:val="both"/>
        <w:rPr/>
      </w:pPr>
      <w:r>
        <w:rPr/>
        <w:t xml:space="preserve">Războiul dintre Rusia și Ucraina a pus, de asemenea, în centrul dezbaterii importanța unei politici europene integrate de apărare, cu o identitate specifică și o mai mare autonomie față de NATO, fără a pune sub semnul întrebării apartenența sa. </w:t>
      </w:r>
    </w:p>
    <w:p>
      <w:pPr>
        <w:pStyle w:val="P68B1DB1Normal76"/>
        <w:widowControl w:val="false"/>
        <w:spacing w:lineRule="auto" w:line="240" w:before="78" w:after="0"/>
        <w:ind w:left="0" w:right="1" w:hanging="0"/>
        <w:jc w:val="left"/>
        <w:rPr/>
      </w:pPr>
      <w:r>
        <w:rPr/>
        <w:t xml:space="preserve">În cele din urmă, acest lucru implică alegeri clare pentru viitor, însoțite de o investiție semnificativă în știință și cercetare, pentru a spori competențele tinerilor europeni.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RECOMANDĂRI PE SCURT</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Consolidarea capacității interne de producție: lanțul alimentar (în special grâul) și tehnologia (microprocesoare). </w:t>
      </w:r>
    </w:p>
    <w:p>
      <w:pPr>
        <w:pStyle w:val="P68B1DB1Normal84"/>
        <w:widowControl w:val="false"/>
        <w:spacing w:lineRule="auto" w:line="240"/>
        <w:ind w:left="283" w:right="0" w:hanging="0"/>
        <w:jc w:val="left"/>
        <w:rPr/>
      </w:pPr>
      <w:r>
        <w:rPr>
          <w:color w:val="BD1271"/>
        </w:rPr>
        <w:t xml:space="preserve">2. </w:t>
      </w:r>
      <w:r>
        <w:rPr>
          <w:color w:val="000000"/>
        </w:rPr>
        <w:t>Promovarea producțiilor tipice regionale și europene.</w:t>
      </w:r>
    </w:p>
    <w:p>
      <w:pPr>
        <w:pStyle w:val="P68B1DB1Normal84"/>
        <w:widowControl w:val="false"/>
        <w:spacing w:lineRule="auto" w:line="240"/>
        <w:ind w:left="283" w:right="0" w:hanging="0"/>
        <w:jc w:val="left"/>
        <w:rPr/>
      </w:pPr>
      <w:r>
        <w:rPr>
          <w:color w:val="BD1271"/>
        </w:rPr>
        <w:t xml:space="preserve">3. </w:t>
      </w:r>
      <w:r>
        <w:rPr>
          <w:color w:val="000000"/>
        </w:rPr>
        <w:t>Consolidarea clusterelor industriale europene (de exemplu, oțelul).</w:t>
      </w:r>
    </w:p>
    <w:p>
      <w:pPr>
        <w:pStyle w:val="P68B1DB1Normal84"/>
        <w:widowControl w:val="false"/>
        <w:spacing w:lineRule="auto" w:line="240"/>
        <w:ind w:left="283" w:right="0" w:hanging="0"/>
        <w:jc w:val="left"/>
        <w:rPr/>
      </w:pPr>
      <w:r>
        <w:rPr>
          <w:color w:val="BD1271"/>
        </w:rPr>
        <w:t xml:space="preserve">4. </w:t>
      </w:r>
      <w:r>
        <w:rPr>
          <w:color w:val="000000"/>
        </w:rPr>
        <w:t>Consolidarea producției locale de energie din punct de vedere ecologic (gaz, energie solară, eoliană).</w:t>
      </w:r>
    </w:p>
    <w:p>
      <w:pPr>
        <w:pStyle w:val="P68B1DB1Normal84"/>
        <w:widowControl w:val="false"/>
        <w:spacing w:lineRule="auto" w:line="240"/>
        <w:ind w:left="283" w:right="0" w:hanging="0"/>
        <w:jc w:val="left"/>
        <w:rPr/>
      </w:pPr>
      <w:r>
        <w:rPr>
          <w:color w:val="BD1271"/>
        </w:rPr>
        <w:t xml:space="preserve">5. </w:t>
      </w:r>
      <w:r>
        <w:rPr>
          <w:color w:val="000000"/>
        </w:rPr>
        <w:t>Dezvoltarea tehnologiilor aerospațiale.</w:t>
      </w:r>
    </w:p>
    <w:p>
      <w:pPr>
        <w:pStyle w:val="P68B1DB1Normal84"/>
        <w:widowControl w:val="false"/>
        <w:spacing w:lineRule="auto" w:line="240"/>
        <w:ind w:left="283" w:right="417" w:hanging="0"/>
        <w:jc w:val="left"/>
        <w:rPr/>
      </w:pPr>
      <w:r>
        <w:rPr>
          <w:color w:val="BD1271"/>
        </w:rPr>
        <w:t xml:space="preserve">6. </w:t>
      </w:r>
      <w:r>
        <w:rPr>
          <w:color w:val="000000"/>
        </w:rPr>
        <w:t>Înființarea de laboratoare științifice europene (Banca europeană de virusuri).</w:t>
      </w:r>
    </w:p>
    <w:p>
      <w:pPr>
        <w:pStyle w:val="P68B1DB1Normal84"/>
        <w:widowControl w:val="false"/>
        <w:spacing w:lineRule="auto" w:line="240"/>
        <w:ind w:left="283" w:right="417" w:hanging="0"/>
        <w:jc w:val="left"/>
        <w:rPr/>
      </w:pPr>
      <w:r>
        <w:rPr>
          <w:color w:val="BD1271"/>
        </w:rPr>
        <w:t xml:space="preserve">7. </w:t>
      </w:r>
      <w:r>
        <w:rPr>
          <w:color w:val="000000"/>
        </w:rPr>
        <w:t>Crearea unei armate europene comune care să acționeze în cadrul NATO, dar, de asemenea, să ajute să meargă mai departe.</w:t>
      </w:r>
    </w:p>
    <w:p>
      <w:pPr>
        <w:pStyle w:val="P68B1DB1Normal84"/>
        <w:widowControl w:val="false"/>
        <w:spacing w:lineRule="auto" w:line="240"/>
        <w:ind w:left="283" w:right="417" w:hanging="0"/>
        <w:jc w:val="left"/>
        <w:rPr/>
      </w:pPr>
      <w:r>
        <w:rPr>
          <w:color w:val="BD1271"/>
        </w:rPr>
        <w:t xml:space="preserve">8. </w:t>
      </w:r>
      <w:r>
        <w:rPr>
          <w:color w:val="000000"/>
        </w:rPr>
        <w:t>Investiții în formarea formatorilor (schimburi de profesori europeni, Erasmus pentru profesori).</w:t>
      </w:r>
    </w:p>
    <w:p>
      <w:pPr>
        <w:pStyle w:val="P68B1DB1Normal84"/>
        <w:widowControl w:val="false"/>
        <w:spacing w:lineRule="auto" w:line="240"/>
        <w:ind w:left="283" w:right="416" w:hanging="0"/>
        <w:jc w:val="left"/>
        <w:rPr/>
      </w:pPr>
      <w:r>
        <w:rPr>
          <w:color w:val="BD1271"/>
        </w:rPr>
        <w:t xml:space="preserve">9. </w:t>
      </w:r>
      <w:r>
        <w:rPr>
          <w:color w:val="000000"/>
        </w:rPr>
        <w:t>Creșterea mobilității cercetătorilor europeni prin dezvoltarea de noi instituții științifice europene</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Favorizarea apariției unor întreprinderi nou-înființate inovatoare.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Cooperare și parteneriate </w:t>
      </w:r>
    </w:p>
    <w:p>
      <w:pPr>
        <w:pStyle w:val="P68B1DB1Normal76"/>
        <w:widowControl w:val="false"/>
        <w:spacing w:lineRule="auto" w:line="240" w:before="109" w:after="0"/>
        <w:ind w:left="0" w:right="2" w:hanging="0"/>
        <w:jc w:val="both"/>
        <w:rPr/>
      </w:pPr>
      <w:r>
        <w:rPr/>
        <w:t xml:space="preserve">Viziunea Europei de mâine nu este aceea a unei cetăți care își apără bogăția, ci a unui protagonist pe scena internațională capabil să dialogheze cu toate țările lumii. Un dialog care pornește de la o putere comercială și ar trebui să vizeze poziția de lider economic și care poate fi consolidat prin stabilirea de parteneriate și proiecte internaționale la scară largă. </w:t>
      </w:r>
    </w:p>
    <w:p>
      <w:pPr>
        <w:pStyle w:val="P68B1DB1Normal76"/>
        <w:widowControl w:val="false"/>
        <w:spacing w:lineRule="auto" w:line="240" w:before="78" w:after="0"/>
        <w:ind w:left="0" w:right="0" w:hanging="0"/>
        <w:jc w:val="both"/>
        <w:rPr/>
      </w:pPr>
      <w:r>
        <w:rPr/>
        <w:t xml:space="preserve">Toate acestea în vederea cooperării și a atenției față de cele mai fragile regiuni ale lumii, cu proiecte ad-hoc menite să evidențieze țările cele mai sărace, precum și schimburile culturale și economice cu țările estice. </w:t>
      </w:r>
    </w:p>
    <w:p>
      <w:pPr>
        <w:pStyle w:val="P68B1DB1Normal76"/>
        <w:widowControl w:val="false"/>
        <w:spacing w:lineRule="auto" w:line="240" w:before="78" w:after="0"/>
        <w:ind w:left="0" w:right="3" w:hanging="0"/>
        <w:jc w:val="both"/>
        <w:rPr/>
      </w:pPr>
      <w:r>
        <w:rPr/>
        <w:t xml:space="preserve">De asemenea, se acordă o atenție deosebită temei migrației, cu o mai bună coordonare între țări și utilizarea unor proceduri comune de gestionare a cererilor și a persoanelor fizice.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RECOMANDĂRI PE SCURT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Stimularea exporturilor.</w:t>
      </w:r>
    </w:p>
    <w:p>
      <w:pPr>
        <w:pStyle w:val="P68B1DB1Normal84"/>
        <w:widowControl w:val="false"/>
        <w:spacing w:lineRule="auto" w:line="240"/>
        <w:ind w:left="283" w:right="0" w:hanging="0"/>
        <w:jc w:val="left"/>
        <w:rPr/>
      </w:pPr>
      <w:r>
        <w:rPr>
          <w:color w:val="BD1271"/>
        </w:rPr>
        <w:t xml:space="preserve">2. </w:t>
      </w:r>
      <w:r>
        <w:rPr>
          <w:color w:val="000000"/>
        </w:rPr>
        <w:t>Promovarea rutelor turistice europene transnaționale.</w:t>
      </w:r>
    </w:p>
    <w:p>
      <w:pPr>
        <w:pStyle w:val="P68B1DB1Normal84"/>
        <w:widowControl w:val="false"/>
        <w:spacing w:lineRule="auto" w:line="240"/>
        <w:ind w:left="283" w:right="0" w:hanging="0"/>
        <w:jc w:val="left"/>
        <w:rPr/>
      </w:pPr>
      <w:r>
        <w:rPr>
          <w:color w:val="BD1271"/>
        </w:rPr>
        <w:t xml:space="preserve">3. </w:t>
      </w:r>
      <w:r>
        <w:rPr>
          <w:color w:val="000000"/>
        </w:rPr>
        <w:t>Dezvoltarea unui sistem comercial de negocieri la nivel european (nu individual ca state sau întreprinderi, ci ca Uniune) pentru a avea o putere de negociere mai mare, ci cu constrângeri legate de respectarea drepturilor omului.</w:t>
      </w:r>
    </w:p>
    <w:p>
      <w:pPr>
        <w:pStyle w:val="P68B1DB1Normal84"/>
        <w:widowControl w:val="false"/>
        <w:spacing w:lineRule="auto" w:line="240"/>
        <w:ind w:left="283" w:right="417" w:hanging="0"/>
        <w:jc w:val="left"/>
        <w:rPr/>
      </w:pPr>
      <w:r>
        <w:rPr>
          <w:color w:val="BD1271"/>
        </w:rPr>
        <w:t xml:space="preserve">4. </w:t>
      </w:r>
      <w:r>
        <w:rPr>
          <w:color w:val="000000"/>
        </w:rPr>
        <w:t>Conduce proiecte internaționale majore, cum ar fi Stația Spațială Internațională.</w:t>
      </w:r>
    </w:p>
    <w:p>
      <w:pPr>
        <w:pStyle w:val="P68B1DB1Normal84"/>
        <w:widowControl w:val="false"/>
        <w:spacing w:lineRule="auto" w:line="240"/>
        <w:ind w:left="283" w:right="417" w:hanging="0"/>
        <w:jc w:val="left"/>
        <w:rPr/>
      </w:pPr>
      <w:r>
        <w:rPr>
          <w:color w:val="BD1271"/>
        </w:rPr>
        <w:t xml:space="preserve">5. </w:t>
      </w:r>
      <w:r>
        <w:rPr>
          <w:color w:val="000000"/>
        </w:rPr>
        <w:t>Finanțarea proiectelor din Africa de a construi școli și spitale, fără a adopta o atitudine în stil colonial, dar concentrându-se pe respectarea valorilor și drepturilor europene.</w:t>
      </w:r>
    </w:p>
    <w:p>
      <w:pPr>
        <w:pStyle w:val="P68B1DB1Normal84"/>
        <w:widowControl w:val="false"/>
        <w:spacing w:lineRule="auto" w:line="240"/>
        <w:ind w:left="283" w:right="417" w:hanging="0"/>
        <w:jc w:val="left"/>
        <w:rPr/>
      </w:pPr>
      <w:r>
        <w:rPr>
          <w:color w:val="BD1271"/>
        </w:rPr>
        <w:t xml:space="preserve">6. </w:t>
      </w:r>
      <w:r>
        <w:rPr>
          <w:color w:val="000000"/>
        </w:rPr>
        <w:t>Investiți în formarea la fața locului (în special pentru femei) în țările cele mai sărace.</w:t>
      </w:r>
    </w:p>
    <w:p>
      <w:pPr>
        <w:pStyle w:val="P68B1DB1Normal84"/>
        <w:widowControl w:val="false"/>
        <w:spacing w:lineRule="auto" w:line="240"/>
        <w:ind w:left="283" w:right="0" w:hanging="0"/>
        <w:jc w:val="left"/>
        <w:rPr/>
      </w:pPr>
      <w:r>
        <w:rPr>
          <w:color w:val="BD1271"/>
        </w:rPr>
        <w:t xml:space="preserve">7. </w:t>
      </w:r>
      <w:r>
        <w:rPr>
          <w:color w:val="000000"/>
        </w:rPr>
        <w:t>Promovarea schimburilor de tehnicieni și formatori.</w:t>
      </w:r>
    </w:p>
    <w:p>
      <w:pPr>
        <w:pStyle w:val="P68B1DB1Normal84"/>
        <w:widowControl w:val="false"/>
        <w:spacing w:lineRule="auto" w:line="240"/>
        <w:ind w:left="283" w:right="0" w:hanging="0"/>
        <w:jc w:val="left"/>
        <w:rPr/>
      </w:pPr>
      <w:r>
        <w:rPr>
          <w:color w:val="BD1271"/>
        </w:rPr>
        <w:t xml:space="preserve">8. </w:t>
      </w:r>
      <w:r>
        <w:rPr>
          <w:color w:val="000000"/>
        </w:rPr>
        <w:t>Instituirea unui sistem de norme comune pentru accesul migranților, cu diferite procese între migrația umanitară și cea economică și cu o distribuție echitabilă între diferite state, dar cu norme comune (recensarea și controlul comportamentului și al ocupării forței de muncă).</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Referințe politice și culturale </w:t>
      </w:r>
    </w:p>
    <w:p>
      <w:pPr>
        <w:pStyle w:val="P68B1DB1Normal76"/>
        <w:widowControl w:val="false"/>
        <w:spacing w:lineRule="auto" w:line="240" w:before="106" w:after="0"/>
        <w:ind w:left="0" w:right="145" w:hanging="0"/>
        <w:jc w:val="both"/>
        <w:rPr/>
      </w:pPr>
      <w:r>
        <w:rPr/>
        <w:t xml:space="preserve">În scenariul descris mai sus, se preconizează că Europa va oferi o referință politică și culturală clară la nivel mondial din punct de vedere al drepturilor și eticii, oferind un exemplu prin luarea deciziilor pentru a asigura un mediu sănătos, respectarea drepturilor cetățenilor și dialogul dintre Est și Vest.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RECOMANDĂRI PE SCURT</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Conduce calea ca un continent verde, atinge zero emisii în fața altora și crește producția de energie curată (eoliană și solară).</w:t>
      </w:r>
    </w:p>
    <w:p>
      <w:pPr>
        <w:pStyle w:val="P68B1DB1Normal84"/>
        <w:widowControl w:val="false"/>
        <w:spacing w:lineRule="auto" w:line="240"/>
        <w:ind w:left="283" w:right="0" w:hanging="0"/>
        <w:jc w:val="left"/>
        <w:rPr/>
      </w:pPr>
      <w:r>
        <w:rPr>
          <w:color w:val="BD1271"/>
        </w:rPr>
        <w:t xml:space="preserve">2. </w:t>
      </w:r>
      <w:r>
        <w:rPr>
          <w:color w:val="000000"/>
        </w:rPr>
        <w:t>Tehnologii de export pentru a produce bunuri cu impact zero.</w:t>
      </w:r>
    </w:p>
    <w:p>
      <w:pPr>
        <w:pStyle w:val="P68B1DB1Normal84"/>
        <w:widowControl w:val="false"/>
        <w:spacing w:lineRule="auto" w:line="240"/>
        <w:ind w:left="283" w:right="0" w:hanging="0"/>
        <w:jc w:val="left"/>
        <w:rPr/>
      </w:pPr>
      <w:r>
        <w:rPr>
          <w:color w:val="BD1271"/>
        </w:rPr>
        <w:t xml:space="preserve">3. </w:t>
      </w:r>
      <w:r>
        <w:rPr>
          <w:color w:val="000000"/>
        </w:rPr>
        <w:t>Să servească drept confluență (loc public, agora) între Est și Vest, promovând schimburile culturale și inițiativele culturale comune (cum ar fi Zilele Mondiale ale Artei, care urmează să fie organizate la rândul lor în diferite capitale europene, cu un program artistic care include artiști occidentali și estici).</w:t>
      </w:r>
    </w:p>
    <w:p>
      <w:pPr>
        <w:pStyle w:val="P68B1DB1Normal84"/>
        <w:widowControl w:val="false"/>
        <w:spacing w:lineRule="auto" w:line="240"/>
        <w:ind w:left="283" w:right="560" w:hanging="0"/>
        <w:jc w:val="left"/>
        <w:rPr/>
      </w:pPr>
      <w:r>
        <w:rPr>
          <w:color w:val="BD1271"/>
        </w:rPr>
        <w:t xml:space="preserve">4. </w:t>
      </w:r>
      <w:r>
        <w:rPr>
          <w:color w:val="000000"/>
        </w:rPr>
        <w:t>Crearea unui model etic european pentru gestionarea proceselor de migrație, care să poată fi împărtășit la nivel internațional.</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Evaluarea finală de către participanți </w:t>
      </w:r>
    </w:p>
    <w:p>
      <w:pPr>
        <w:pStyle w:val="P68B1DB1Normal76"/>
        <w:widowControl w:val="false"/>
        <w:spacing w:lineRule="auto" w:line="240" w:before="106" w:after="0"/>
        <w:ind w:left="0" w:right="0" w:hanging="0"/>
        <w:jc w:val="both"/>
        <w:rPr/>
      </w:pPr>
      <w:r>
        <w:rPr/>
        <w:t xml:space="preserve">La sfârșitul celor două zile lucrătoare, tuturor participanților li s-a cerut să completeze un scurt chestionar pentru a-și evalua experiența. Chestionarul de evaluare a fost trimis la două zile după încheierea juriului pentru a oferi tuturor participanților timp pentru a face un pas înapoi de la experiență și pentru a putea răspunde mai obiectiv. </w:t>
      </w:r>
    </w:p>
    <w:p>
      <w:pPr>
        <w:pStyle w:val="Normal"/>
        <w:widowControl w:val="false"/>
        <w:spacing w:lineRule="auto" w:line="240" w:before="78" w:after="0"/>
        <w:ind w:left="0" w:right="2" w:hanging="0"/>
        <w:jc w:val="left"/>
        <w:rPr/>
      </w:pPr>
      <w:r>
        <w:rPr>
          <w:color w:val="000000"/>
        </w:rPr>
        <w:t xml:space="preserve">Rezultatele colectate relevă un nivel deosebit de ridicat de satisfacție, atât în ceea ce privește interesul, cât și ușurința participării, precum și un sentiment de ascultare și incluziune.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rmular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2"/>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Satisfacție față de participarea la panel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Satisfacția generală față de experiență</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Calitatea contribuțiilor participanților</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Coerența dintre recomandările formulate și dezbatere</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Ușurința de utilizare a platformei</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Respectul pentru diversitatea opiniilor</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Capacitatea moderatorilor de a da o voce participanților și de a-și asculta intervențiile</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Interesul pentru subiectele abordate</w:t>
                              </w:r>
                            </w:p>
                          </w:txbxContent>
                        </wps:txbx>
                        <wps:bodyPr lIns="90000" rIns="90000" tIns="45000" bIns="45000">
                          <a:noAutofit/>
                        </wps:bodyPr>
                      </wps:wsp>
                    </wpg:wgp>
                  </a:graphicData>
                </a:graphic>
              </wp:anchor>
            </w:drawing>
          </mc:Choice>
          <mc:Fallback>
            <w:pict>
              <v:group id="shape_0" alt="Formular8" style="position:absolute;margin-left:0.05pt;margin-top:3.95pt;width:472.1pt;height:238.2pt" coordorigin="1,79" coordsize="9442,4764">
                <v:shape id="shape_0" stroked="f" style="position:absolute;left:3991;top:846;width:5321;height:3996" type="shapetype_75">
                  <v:imagedata r:id="rId112"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Satisfacție față de participarea la panel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Satisfacția generală față de experiență</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Calitatea contribuțiilor participanților</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Coerența dintre recomandările formulate și dezbatere</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Ușurința de utilizare a platformei</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Respectul pentru diversitatea opiniilor</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Capacitatea moderatorilor de a da o voce participanților și de a-și asculta intervențiile</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Interesul pentru subiectele abordate</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Deși inițial au avut experiențe, abilități și motivații diferite, participanții s-au simțit puternic implicați: 98 % dintre respondenții la chestionarul de evaluare au considerat că au participat activ și au contribuit pozitiv la dezbatere.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În general, utilitatea acestei experiențe, care a fost percepută mai ales ca o oportunitate de a participa activ și care a dat un sentiment de proximitate mai mare față de instituțiile europene, a fost foarte resimțită. Acest lucru a determinat aproape toți respondenții să solicite ca acest tip de inițiativă să fie repetat în timp.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ular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3"/>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EVALUAREA INTERESULUI „COMITETULUI ITALIAN PENTRU CONFERINȚA PRIVIND VIITORUL EUROPEI”</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 trebui să aibă loc mai des</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Este util pentru a face auzită vocea cetățenilor în instituțiile europene</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Poate aduce o contribuție pozitivă la îmbunătățirea viitorului Europei</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Apropierea instituțiilor europene de cetățeni</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fost o pierdere de timp</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Destul de de acord</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Prefer să fiu de acord.</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Nici un acord și nici un acord</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Nu sunt de acord.</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Nu sunt deloc de acord.</w:t>
                              </w:r>
                            </w:p>
                          </w:txbxContent>
                        </wps:txbx>
                        <wps:bodyPr lIns="90000" rIns="90000" tIns="45000" bIns="45000">
                          <a:noAutofit/>
                        </wps:bodyPr>
                      </wps:wsp>
                    </wpg:wgp>
                  </a:graphicData>
                </a:graphic>
              </wp:anchor>
            </w:drawing>
          </mc:Choice>
          <mc:Fallback>
            <w:pict>
              <v:group id="shape_0" alt="Formular9" style="position:absolute;margin-left:0pt;margin-top:5.6pt;width:476.15pt;height:248.3pt" coordorigin="0,112" coordsize="9523,4966">
                <v:shape id="shape_0" stroked="f" style="position:absolute;left:430;top:675;width:9092;height:4095" type="shapetype_75">
                  <v:imagedata r:id="rId113"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EVALUAREA INTERESULUI „COMITETULUI ITALIAN PENTRU CONFERINȚA PRIVIND VIITORUL EUROPEI”</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 trebui să aibă loc mai des</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Este util pentru a face auzită vocea cetățenilor în instituțiile europene</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Poate aduce o contribuție pozitivă la îmbunătățirea viitorului Europei</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Apropierea instituțiilor europene de cetățeni</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fost o pierdere de timp</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Destul de de acord</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Prefer să fiu de acord.</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Nici un acord și nici un acord</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Nu sunt de acord.</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Nu sunt deloc de acord.</w:t>
                        </w:r>
                      </w:p>
                    </w:txbxContent>
                  </v:textbox>
                  <w10:wrap type="square"/>
                  <v:fill o:detectmouseclick="t" on="false"/>
                  <v:stroke color="#3465a4" joinstyle="round" endcap="flat"/>
                </v:rect>
              </v:group>
            </w:pict>
          </mc:Fallback>
        </mc:AlternateContent>
      </w:r>
      <w:r>
        <w:rPr>
          <w:color w:val="000000"/>
        </w:rPr>
        <w:t>Toți participanții au indicat că, în cazul în care o astfel de inițiativă ar fi organizată din nou, nu numai că ar fi dispuși să participe, ci și le-ar recomanda prietenilor să participe.</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Grupurile naționale II E: Lituania</w:t>
      </w:r>
    </w:p>
    <w:p>
      <w:pPr>
        <w:pStyle w:val="P68B1DB1Normal95"/>
        <w:widowControl w:val="false"/>
        <w:spacing w:lineRule="exact" w:line="393"/>
        <w:ind w:left="0" w:right="0" w:hanging="0"/>
        <w:jc w:val="left"/>
        <w:rPr>
          <w:rFonts w:ascii="Arial" w:hAnsi="Arial"/>
          <w:color w:val="5A5A5A"/>
          <w:sz w:val="28"/>
        </w:rPr>
      </w:pPr>
      <w:r>
        <w:rPr/>
        <w:t xml:space="preserve">Grupul cetățenilor lituanieni privind viitorul Europei </w:t>
      </w:r>
    </w:p>
    <w:p>
      <w:pPr>
        <w:pStyle w:val="P68B1DB1Normal95"/>
        <w:widowControl w:val="false"/>
        <w:spacing w:lineRule="exact" w:line="460"/>
        <w:ind w:left="4320" w:right="0" w:hanging="0"/>
        <w:jc w:val="left"/>
        <w:rPr>
          <w:rFonts w:ascii="Arial" w:hAnsi="Arial"/>
          <w:color w:val="5A5A5A"/>
          <w:sz w:val="28"/>
        </w:rPr>
      </w:pPr>
      <w:r>
        <w:rPr/>
        <w:t xml:space="preserve">Raport </w:t>
      </w:r>
    </w:p>
    <w:p>
      <w:pPr>
        <w:pStyle w:val="P68B1DB1Normal76"/>
        <w:widowControl w:val="false"/>
        <w:spacing w:lineRule="exact" w:line="227" w:before="87" w:after="0"/>
        <w:ind w:left="0" w:right="2" w:hanging="0"/>
        <w:jc w:val="both"/>
        <w:rPr/>
      </w:pPr>
      <w:r>
        <w:rPr/>
        <w:t xml:space="preserve">Prezentul raport cuprinde patru părți. Primul prezintă pe scurt progresul evenimentului. Cea de-a doua prezintă recomandările formulate de participanții la Grupul cetățenilor pentru politicile UE și lituaniene. Al treilea oferă o scurtă analiză a discuțiilor din cadrul grupurilor și a principalelor rezultate ale forumului. În al patrulea rând, rezultatele grupului cetățenilor sunt comparate cu cele ale sondajelor realizate de cetățenii lituanieni cu privire la starea și viitorul Europei.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Conduita Grupului Național al Cetățenilor</w:t>
      </w:r>
    </w:p>
    <w:p>
      <w:pPr>
        <w:pStyle w:val="Normal"/>
        <w:widowControl w:val="false"/>
        <w:spacing w:lineRule="exact" w:line="253" w:before="95" w:after="0"/>
        <w:ind w:left="0" w:right="0" w:hanging="0"/>
        <w:jc w:val="both"/>
        <w:rPr/>
      </w:pPr>
      <w:r>
        <w:rPr>
          <w:color w:val="000000"/>
        </w:rPr>
        <w:t>În conformitate cu orientările pentru organizarea grupurilor naționale ale cetățenilor în cadrul Conferinței privind viitorul Europei, Institutul de anchetă Kantar TNS LT a elaborat în decembrie 2021, la cererea Ministerului Afacerilor Externe (MAE), o metodologie de selecție aleatorie stratificată a unui eșantion reprezentativ din populația lituaniană, pe baza căruia Kantar TNS a selectat 25 de cetățeni lituanieni cu vârste cuprinse între 18 și 65 de ani reprezentând diferite grupuri socioeconomice și toate regiunile geografice ale Lituaniei</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La 4 ianuarie, cetățenii selectați au fost invitați la o sesiune introductivă virtuală în cadrul căreia a fost prezentată ideea Grupului Național al Cetățenilor și au avut loc schimburi pe temele cele mai relevante pentru viitorul Europei. La finalul evenimentului, participanții au primit o lucrare de fundal cu o descriere detaliată a subiectelor discutate și a surselor de informare. </w:t>
      </w:r>
    </w:p>
    <w:p>
      <w:pPr>
        <w:pStyle w:val="P68B1DB1Normal76"/>
        <w:widowControl w:val="false"/>
        <w:spacing w:lineRule="exact" w:line="253"/>
        <w:ind w:left="0" w:right="2" w:hanging="0"/>
        <w:jc w:val="both"/>
        <w:rPr/>
      </w:pPr>
      <w:r>
        <w:rPr/>
        <w:t xml:space="preserve">La 15 ianuarie, în cadrul MEA, a avut loc un grup de cetățeni naționali privind viitorul Europei, organizat de Centrul de studiu privind Europa de Est (RESC) din cadrul MEA și de institutul de votare Kantar TNS LT, la care au participat în mod direct 25 de cetățeni selectați.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Participanții au discutat două aspecte legate de politicile UE: </w:t>
      </w:r>
      <w:r>
        <w:rPr>
          <w:b/>
        </w:rPr>
        <w:t>rolul și competențele pe care UE le-ar putea avea în politica externă</w:t>
      </w:r>
      <w:r>
        <w:rPr/>
        <w:t xml:space="preserve">, precum și </w:t>
      </w:r>
      <w:r>
        <w:rPr>
          <w:b/>
        </w:rPr>
        <w:t>rolul economic al UE</w:t>
      </w:r>
      <w:r>
        <w:rPr/>
        <w:t>.</w:t>
      </w:r>
      <w:r>
        <w:rPr>
          <w:b/>
        </w:rPr>
        <w:t xml:space="preserve"> </w:t>
      </w:r>
      <w:r>
        <w:rPr/>
        <w:t xml:space="preserve">La acest eveniment, fiecare dintre aceste chestiuni a făcut obiectul unei sesiuni separate, la începutul căreia experții UE în politici Linas Kojala (RESC) și Ramūnas Vilpišauskas (profesor la Universitatea din Vilnius) au prezentat pe scurt cetățenii cu privire la actualitatea și problemele subiectului sesiunii. În timpul discuției, cetățenii au putut să pună întrebări și să-și împărtășească opiniile. În urma prezentărilor experților, participanții au fost împărțiți în trei grupuri reprezentative mai mici pentru a reflecta fiecare asupra unui alt aspect legat de tema sesiunii. Aspectele de politică externă discutate au fost următoarele: </w:t>
      </w:r>
    </w:p>
    <w:p>
      <w:pPr>
        <w:pStyle w:val="P68B1DB1Normal76"/>
        <w:widowControl w:val="false"/>
        <w:spacing w:lineRule="exact" w:line="253"/>
        <w:ind w:left="720" w:right="1" w:hanging="0"/>
        <w:jc w:val="left"/>
        <w:rPr/>
      </w:pPr>
      <w:r>
        <w:rPr>
          <w:b/>
        </w:rPr>
        <w:t>1.1.</w:t>
      </w:r>
      <w:r>
        <w:rPr/>
        <w:t xml:space="preserve"> Este nevoie de o politică externă și de apărare autonomă a UE?</w:t>
      </w:r>
    </w:p>
    <w:p>
      <w:pPr>
        <w:pStyle w:val="P68B1DB1Normal76"/>
        <w:widowControl w:val="false"/>
        <w:spacing w:lineRule="exact" w:line="253"/>
        <w:ind w:left="720" w:right="1" w:hanging="0"/>
        <w:jc w:val="left"/>
        <w:rPr/>
      </w:pPr>
      <w:r>
        <w:rPr>
          <w:b/>
        </w:rPr>
        <w:t>1.2.</w:t>
      </w:r>
      <w:r>
        <w:rPr/>
        <w:t xml:space="preserve"> Care ar trebui să fie relațiile UE cu vecinii săi din Europa de Est, Africa de Nord și Turcia? </w:t>
      </w:r>
    </w:p>
    <w:p>
      <w:pPr>
        <w:pStyle w:val="P68B1DB1Normal76"/>
        <w:widowControl w:val="false"/>
        <w:spacing w:lineRule="exact" w:line="379"/>
        <w:ind w:left="720" w:right="0" w:hanging="0"/>
        <w:jc w:val="left"/>
        <w:rPr/>
      </w:pPr>
      <w:r>
        <w:rPr>
          <w:b/>
        </w:rPr>
        <w:t>1.3.</w:t>
      </w:r>
      <w:r>
        <w:rPr/>
        <w:t xml:space="preserve"> Care ar trebui să fie politica UE în domeniul migrației? </w:t>
      </w:r>
    </w:p>
    <w:p>
      <w:pPr>
        <w:pStyle w:val="P68B1DB1Normal76"/>
        <w:widowControl w:val="false"/>
        <w:spacing w:lineRule="exact" w:line="254"/>
        <w:ind w:left="0" w:right="0" w:hanging="0"/>
        <w:jc w:val="left"/>
        <w:rPr/>
      </w:pPr>
      <w:r>
        <w:rPr/>
        <w:t xml:space="preserve">Sesiunea privind rolul economic al UE a dat naștere unei reflecții asupra următoarelor aspecte: </w:t>
      </w:r>
    </w:p>
    <w:p>
      <w:pPr>
        <w:pStyle w:val="P68B1DB1Normal76"/>
        <w:widowControl w:val="false"/>
        <w:spacing w:lineRule="exact" w:line="254"/>
        <w:ind w:left="720" w:right="0" w:hanging="0"/>
        <w:jc w:val="left"/>
        <w:rPr/>
      </w:pPr>
      <w:r>
        <w:rPr>
          <w:b/>
        </w:rPr>
        <w:t xml:space="preserve">2.1. </w:t>
      </w:r>
      <w:r>
        <w:rPr/>
        <w:t xml:space="preserve">Este necesară o mai mare realocare a fondurilor de la bugetul UE, din datoria comună a UE? </w:t>
      </w:r>
    </w:p>
    <w:p>
      <w:pPr>
        <w:pStyle w:val="P68B1DB1Normal76"/>
        <w:widowControl w:val="false"/>
        <w:spacing w:lineRule="exact" w:line="379"/>
        <w:ind w:left="720" w:right="0" w:hanging="0"/>
        <w:jc w:val="left"/>
        <w:rPr/>
      </w:pPr>
      <w:r>
        <w:rPr>
          <w:b/>
        </w:rPr>
        <w:t xml:space="preserve">2.2. </w:t>
      </w:r>
      <w:r>
        <w:rPr/>
        <w:t>Ar trebui reglementate standardele sociale la nivelul UE?</w:t>
      </w:r>
      <w:r>
        <w:rPr>
          <w:b/>
        </w:rPr>
        <w:t xml:space="preserve"> </w:t>
      </w:r>
    </w:p>
    <w:p>
      <w:pPr>
        <w:pStyle w:val="P68B1DB1Normal76"/>
        <w:widowControl w:val="false"/>
        <w:spacing w:lineRule="exact" w:line="379"/>
        <w:ind w:left="720" w:right="0" w:hanging="0"/>
        <w:jc w:val="left"/>
        <w:rPr/>
      </w:pPr>
      <w:r>
        <w:rPr>
          <w:b/>
        </w:rPr>
        <w:t>2.3.</w:t>
      </w:r>
      <w:r>
        <w:rPr/>
        <w:t xml:space="preserve"> Cum se poate consolida economia UE? </w:t>
      </w:r>
    </w:p>
    <w:p>
      <w:pPr>
        <w:pStyle w:val="P68B1DB1Normal76"/>
        <w:widowControl w:val="false"/>
        <w:spacing w:lineRule="auto" w:line="240"/>
        <w:ind w:left="0" w:right="0" w:hanging="0"/>
        <w:jc w:val="both"/>
        <w:rPr/>
      </w:pPr>
      <w:r>
        <w:rPr/>
        <w:t xml:space="preserve">La sfârșitul sesiunii, fiecare grup a trebuit să formuleze principalele concluzii ale discuției, să facă declarații de principiu sau propuneri concrete privind preocupările politice ale UE. În timpul discuțiilor cu întregul grup, reprezentantul fiecărui grup a prezentat aceste constatări celorlalți participanți. Cei care au fost în alte grupuri au fost capabili să pună întrebări și să completeze propunerile cu ideile lor. După prezentări și dezbateri, cetățenii au votat fiecare două dintre aceste concluzii, cu un vot pentru cea mai importantă propunere sau declarație privind rolul Lituaniei în consolidarea UE și succesul UE chiar și în întreaga Europă; iar celălalt vot pentru declarația sau propunerea pe care o consideră cel mai important din punct de vedere personal, în interesul lor de locuitor al UE. După acest vot, a avut loc o dezbatere în cadrul comitetului, iar principalele idei care au rezultat din discuții au fost discutate. </w:t>
      </w:r>
    </w:p>
    <w:p>
      <w:pPr>
        <w:pStyle w:val="P68B1DB1Normal76"/>
        <w:widowControl w:val="false"/>
        <w:spacing w:lineRule="auto" w:line="240"/>
        <w:ind w:left="0" w:right="0" w:hanging="0"/>
        <w:jc w:val="both"/>
        <w:rPr/>
      </w:pPr>
      <w:r>
        <w:rPr/>
        <w:t xml:space="preserve">În săptămâna următoare evenimentului, experții au examinat conținutul discuțiilor și au descoperit esența ideilor propuse de cetățeni. La 25 ianuarie a avut loc o sesiune recapitulativă virtuală și au fost comunicate cetățenilor recomandări din conținutul discuțiilor lor. Cetățenilor li s-a oferit posibilitatea de a spune dacă au aprobat recomandările, de a le completa pe fond și de a le evalua. Toți participanții au avut din nou această ocazie la o săptămână după sesiunea recapitulativă, trimițând opiniile și comentariile în scris organizatorilor juriului.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Rezultatele Grupului național cetățenesc</w:t>
      </w:r>
      <w:r>
        <w:rPr/>
        <w:t xml:space="preserve"> </w:t>
      </w:r>
    </w:p>
    <w:p>
      <w:pPr>
        <w:pStyle w:val="P68B1DB1Normal76"/>
        <w:widowControl w:val="false"/>
        <w:spacing w:lineRule="auto" w:line="240" w:before="70" w:after="0"/>
        <w:ind w:left="0" w:right="1" w:hanging="0"/>
        <w:jc w:val="both"/>
        <w:rPr/>
      </w:pPr>
      <w:r>
        <w:rPr/>
        <w:t xml:space="preserve">Această parte a raportului prezintă rezultatele Grupului cetățenilor, cu recomandările formulate de participanții la grupurile de lucru și pozițiile acestora cu privire la rolul UE în politica externă și în economie.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Prima sesiune:</w:t>
      </w:r>
      <w:r>
        <w:rPr/>
        <w:t xml:space="preserve"> </w:t>
      </w:r>
      <w:r>
        <w:rPr>
          <w:b/>
        </w:rPr>
        <w:t>rolul și competențele UE în politica externă</w:t>
      </w:r>
    </w:p>
    <w:p>
      <w:pPr>
        <w:pStyle w:val="P68B1DB1Normal99"/>
        <w:widowControl w:val="false"/>
        <w:spacing w:lineRule="auto" w:line="240" w:before="39" w:after="0"/>
        <w:ind w:left="468" w:right="0" w:hanging="0"/>
        <w:jc w:val="left"/>
        <w:rPr/>
      </w:pPr>
      <w:r>
        <w:rPr/>
        <w:t xml:space="preserve">1. Solicităm UE să elaboreze o politică mai eficientă față de China. Lituania trebuie să fie sprijinită mai ferm, dar ar trebui, de asemenea, să își alinieze mai bine poziția cu cea a partenerilor UE. Pentru a se asigura că interesele pot fi mai bine echilibrate în cadrul UE și că există o singură politică față de China, precum și cu privire la alte chestiuni de politică externă, recomandăm să se ia în considerare posibilitatea instituirii unui ministru de externe al UE. </w:t>
      </w:r>
    </w:p>
    <w:p>
      <w:pPr>
        <w:pStyle w:val="P68B1DB1Normal99"/>
        <w:widowControl w:val="false"/>
        <w:spacing w:lineRule="auto" w:line="240" w:before="78" w:after="0"/>
        <w:ind w:left="468" w:right="341" w:hanging="0"/>
        <w:jc w:val="left"/>
        <w:rPr/>
      </w:pPr>
      <w:r>
        <w:rPr/>
        <w:t xml:space="preserve">2. Recomandăm introducerea pe ordinea de zi a problemei cotelor de migranți la nivelul UE. </w:t>
      </w:r>
    </w:p>
    <w:p>
      <w:pPr>
        <w:pStyle w:val="P68B1DB1Normal99"/>
        <w:widowControl w:val="false"/>
        <w:spacing w:lineRule="auto" w:line="240" w:before="78" w:after="0"/>
        <w:ind w:left="468" w:right="0" w:hanging="0"/>
        <w:jc w:val="left"/>
        <w:rPr/>
      </w:pPr>
      <w:r>
        <w:rPr/>
        <w:t>3. Recomandăm înființarea unui comitet special la nivelul UE care să abordeze chestiunile legate de migrație, care să asigure un răspuns mai rapid la crizele migrației și dreptul statelor membre de a-și explica și apăra interesele naționale și de a elabora și pune în aplicare orientări comune privind gestionarea migrației.</w:t>
      </w:r>
    </w:p>
    <w:p>
      <w:pPr>
        <w:pStyle w:val="P68B1DB1Normal99"/>
        <w:widowControl w:val="false"/>
        <w:spacing w:lineRule="auto" w:line="240" w:before="78" w:after="0"/>
        <w:ind w:left="468" w:right="0" w:hanging="0"/>
        <w:jc w:val="left"/>
        <w:rPr/>
      </w:pPr>
      <w:r>
        <w:rPr/>
        <w:t xml:space="preserve">4. Recomandăm consolidarea legăturilor economice și umanitare cu țările din Africa de Nord, fără a pierde din vedere realitățile politice, în special în vederea reducerii influenței Chinei, Rusiei și a altor state din regiune. </w:t>
      </w:r>
    </w:p>
    <w:p>
      <w:pPr>
        <w:pStyle w:val="P68B1DB1Normal99"/>
        <w:widowControl w:val="false"/>
        <w:spacing w:lineRule="auto" w:line="240" w:before="78" w:after="0"/>
        <w:ind w:left="468" w:right="466" w:hanging="0"/>
        <w:jc w:val="left"/>
        <w:rPr/>
      </w:pPr>
      <w:r>
        <w:rPr/>
        <w:t xml:space="preserve">5. Recomandăm consolidarea legăturilor cu Europa de Est și încurajarea măsurilor economice la nivel personal. </w:t>
      </w:r>
    </w:p>
    <w:p>
      <w:pPr>
        <w:pStyle w:val="P68B1DB1Normal99"/>
        <w:widowControl w:val="false"/>
        <w:spacing w:lineRule="auto" w:line="240" w:before="78" w:after="0"/>
        <w:ind w:left="468" w:right="286" w:hanging="0"/>
        <w:jc w:val="left"/>
        <w:rPr/>
      </w:pPr>
      <w:r>
        <w:rPr/>
        <w:t xml:space="preserve">6. Insistăm ca sancțiunile impuse de UE actorilor străini să fie mai stricte, mai bine direcționate și să vizeze figuri importante ale statului sancționat (de exemplu, liderii politici). </w:t>
      </w:r>
    </w:p>
    <w:p>
      <w:pPr>
        <w:pStyle w:val="P68B1DB1Normal99"/>
        <w:widowControl w:val="false"/>
        <w:spacing w:lineRule="auto" w:line="240" w:before="78" w:after="0"/>
        <w:ind w:left="466" w:right="295" w:hanging="0"/>
        <w:jc w:val="left"/>
        <w:rPr/>
      </w:pPr>
      <w:r>
        <w:rPr/>
        <w:t>7. Insistăm ca politica externă și de securitate comună a UE să se bazeze pe principiul fundamental al solidarității între diferitele state membre ale UE și diferitele regiuni și societăți europene.</w:t>
      </w:r>
    </w:p>
    <w:p>
      <w:pPr>
        <w:pStyle w:val="P68B1DB1Normal99"/>
        <w:widowControl w:val="false"/>
        <w:spacing w:lineRule="auto" w:line="240" w:before="78" w:after="0"/>
        <w:ind w:left="466" w:right="295" w:hanging="0"/>
        <w:jc w:val="left"/>
        <w:rPr/>
      </w:pPr>
      <w:r>
        <w:rPr/>
        <w:t xml:space="preserve">8. Recomandăm ca UE să revizuiască politica de deschidere până în prezent în ceea ce privește migrația, care cauzează probleme de securitate, o creștere a criminalității și instituirea comunitarismului în societate. </w:t>
      </w:r>
    </w:p>
    <w:p>
      <w:pPr>
        <w:pStyle w:val="P68B1DB1Normal99"/>
        <w:widowControl w:val="false"/>
        <w:spacing w:lineRule="auto" w:line="240" w:before="78" w:after="0"/>
        <w:ind w:left="468" w:right="0" w:hanging="0"/>
        <w:jc w:val="left"/>
        <w:rPr/>
      </w:pPr>
      <w:r>
        <w:rPr/>
        <w:t xml:space="preserve">9. Invităm Lituania să vorbească mai activ cu privire la chestiunile legate de politica în domeniul migrației și să lanseze discuții cu privire la chestiuni legate de migrație. </w:t>
      </w:r>
    </w:p>
    <w:p>
      <w:pPr>
        <w:pStyle w:val="P68B1DB1Normal99"/>
        <w:widowControl w:val="false"/>
        <w:spacing w:lineRule="auto" w:line="240" w:before="78" w:after="0"/>
        <w:ind w:left="468" w:right="0" w:hanging="0"/>
        <w:jc w:val="left"/>
        <w:rPr>
          <w:rFonts w:ascii="Arial" w:hAnsi="Arial"/>
          <w:color w:val="000000"/>
          <w:sz w:val="20"/>
        </w:rPr>
      </w:pPr>
      <w:r>
        <w:rPr/>
        <w:t xml:space="preserve">10. Recomandăm UE să urmeze o politică activă și riguroasă față de statele care utilizează fluxurile migratorii ca armă în atacurile hibride: pe de o parte, prin aplicarea unor sancțiuni mai stricte și, pe de altă parte, prin dialog cu acestea în vederea detensionării.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A doua sesiune: rolul economic al UE </w:t>
      </w:r>
    </w:p>
    <w:p>
      <w:pPr>
        <w:pStyle w:val="P68B1DB1Normal99"/>
        <w:widowControl w:val="false"/>
        <w:spacing w:lineRule="auto" w:line="240"/>
        <w:ind w:left="828" w:right="142" w:hanging="359"/>
        <w:jc w:val="both"/>
        <w:rPr/>
      </w:pPr>
      <w:r>
        <w:rPr/>
        <w:t xml:space="preserve">1. Recomandăm UE să consolideze securitatea aprovizionării cu bunuri esențiale prin diverse mijloace: prioritizarea comerțului intern al UE, promovarea producției de tehnologii avansate și diversificarea în continuare a surselor de import. De asemenea, vă recomandăm să explorați noi piețe de export. </w:t>
      </w:r>
    </w:p>
    <w:p>
      <w:pPr>
        <w:pStyle w:val="P68B1DB1Normal99"/>
        <w:widowControl w:val="false"/>
        <w:spacing w:lineRule="auto" w:line="240" w:before="83" w:after="0"/>
        <w:ind w:left="828" w:right="143" w:hanging="359"/>
        <w:jc w:val="both"/>
        <w:rPr/>
      </w:pPr>
      <w:r>
        <w:rPr/>
        <w:t xml:space="preserve">2. Recomandăm revizuirea practicilor de negociere a contractelor de gaze naturale, atât pentru contractele pe termen scurt, cât și pentru cele pe termen lung. Vă recomandăm diversificarea în continuare a surselor de aprovizionare cu energie. </w:t>
      </w:r>
    </w:p>
    <w:p>
      <w:pPr>
        <w:pStyle w:val="P68B1DB1Normal99"/>
        <w:widowControl w:val="false"/>
        <w:spacing w:lineRule="auto" w:line="240" w:before="83" w:after="0"/>
        <w:ind w:left="828" w:right="143" w:hanging="359"/>
        <w:jc w:val="both"/>
        <w:rPr/>
      </w:pPr>
      <w:r>
        <w:rPr/>
        <w:t xml:space="preserve">3. Recomandăm ca măsurile Pactului verde și punerea lor în aplicare să fie evaluate ținând seama de potențialele efecte socioeconomice negative. Pentru a pune în aplicare obiectivele Pactului verde, recomandăm ca energia nucleară și gazele naturale să fie utilizate în plus față de utilizarea surselor regenerabile de energie. </w:t>
      </w:r>
    </w:p>
    <w:p>
      <w:pPr>
        <w:pStyle w:val="P68B1DB1Normal99"/>
        <w:widowControl w:val="false"/>
        <w:spacing w:lineRule="auto" w:line="240" w:before="83" w:after="0"/>
        <w:ind w:left="828" w:right="143" w:hanging="359"/>
        <w:jc w:val="both"/>
        <w:rPr/>
      </w:pPr>
      <w:r>
        <w:rPr/>
        <w:t xml:space="preserve">4. Subliniem că este deosebit de important ca toate statele membre să respecte principiul supremației dreptului UE. Solicităm, cu titlu de exemplu, ca Lituania să aibă o poziție clară principială cu privire la această chestiune. </w:t>
      </w:r>
    </w:p>
    <w:p>
      <w:pPr>
        <w:pStyle w:val="P68B1DB1Normal99"/>
        <w:widowControl w:val="false"/>
        <w:spacing w:lineRule="auto" w:line="240" w:before="83" w:after="0"/>
        <w:ind w:left="828" w:right="142" w:hanging="359"/>
        <w:jc w:val="both"/>
        <w:rPr/>
      </w:pPr>
      <w:r>
        <w:rPr/>
        <w:t>5. Recomandăm Lituaniei să utilizeze mai activ bunele practici din țările UE în scopul unor standarde sociale mai ridicate, al extinderii economice și al dezvoltării echilibrate și durabile.</w:t>
      </w:r>
    </w:p>
    <w:p>
      <w:pPr>
        <w:pStyle w:val="P68B1DB1Normal99"/>
        <w:widowControl w:val="false"/>
        <w:spacing w:lineRule="auto" w:line="240" w:before="83" w:after="0"/>
        <w:ind w:left="828" w:right="142" w:hanging="359"/>
        <w:jc w:val="both"/>
        <w:rPr/>
      </w:pPr>
      <w:r>
        <w:rPr/>
        <w:t xml:space="preserve">6. Recomandăm să se acorde mai multă atenție consolidării securității cibernetice, precum și protecției datelor și infrastructurii. </w:t>
      </w:r>
    </w:p>
    <w:p>
      <w:pPr>
        <w:pStyle w:val="P68B1DB1Normal99"/>
        <w:widowControl w:val="false"/>
        <w:spacing w:lineRule="auto" w:line="240" w:before="83" w:after="0"/>
        <w:ind w:left="821" w:right="143" w:hanging="354"/>
        <w:jc w:val="both"/>
        <w:rPr/>
      </w:pPr>
      <w:r>
        <w:rPr/>
        <w:t xml:space="preserve">7. Recomandăm ca UE și statele membre să acorde prioritate dezvoltării cunoștințelor economice de bază în rândul cetățenilor, educației și difuzării informațiilor. </w:t>
      </w:r>
    </w:p>
    <w:p>
      <w:pPr>
        <w:pStyle w:val="P68B1DB1Normal99"/>
        <w:widowControl w:val="false"/>
        <w:spacing w:lineRule="auto" w:line="240" w:before="45" w:after="0"/>
        <w:ind w:left="821" w:right="143" w:hanging="354"/>
        <w:jc w:val="both"/>
        <w:rPr/>
      </w:pPr>
      <w:r>
        <w:rPr/>
        <w:t xml:space="preserve">8. Recomandăm ca noile acorduri comerciale ale UE să includă standarde sociale, de muncă și de sănătate ambițioase. Recomandăm stabilirea, la nivelul UE, a unor orientări cu privire la ceea ce trebuie să faceți și nu aveți dreptul de a utiliza platforme de comunicare socială care să gestioneze datele cu caracter personal ale consumatorilor și informațiile despre acestea. </w:t>
      </w:r>
    </w:p>
    <w:p>
      <w:pPr>
        <w:pStyle w:val="P68B1DB1Normal99"/>
        <w:widowControl w:val="false"/>
        <w:spacing w:lineRule="auto" w:line="240" w:before="42" w:after="0"/>
        <w:ind w:left="821" w:right="143" w:hanging="354"/>
        <w:jc w:val="both"/>
        <w:rPr/>
      </w:pPr>
      <w:r>
        <w:rPr/>
        <w:t>9. Recomandăm o reflecție suplimentară cu privire la posibilitatea unor împrumuturi comune la nivelul UE pentru a obține cele mai bune condiții posibile de împrumut. De asemenea, recomandăm elaborarea unei politici solide și responsabile din punct de vedere financiar pentru a reduce nevoia de îndatorare pentru statele membre.</w:t>
      </w:r>
    </w:p>
    <w:p>
      <w:pPr>
        <w:pStyle w:val="P68B1DB1Normal99"/>
        <w:widowControl w:val="false"/>
        <w:spacing w:lineRule="auto" w:line="240" w:before="42" w:after="0"/>
        <w:ind w:left="821" w:right="143" w:hanging="354"/>
        <w:jc w:val="both"/>
        <w:rPr/>
      </w:pPr>
      <w:r>
        <w:rPr/>
        <w:t>10. Recomandăm consolidarea monitorizării absorbției și utilizării fondurilor UE, ajutând autoritățile locale să stabilească o practică reală de ajustare a utilizării fondurilor. Întrucât situația obiectivă a beneficiarilor fondurilor UE se poate schimba, este deosebit de important să se articuleze cerințele de transparență și de flexibilitate.</w:t>
      </w:r>
    </w:p>
    <w:p>
      <w:pPr>
        <w:pStyle w:val="P68B1DB1Normal99"/>
        <w:widowControl w:val="false"/>
        <w:spacing w:lineRule="auto" w:line="240" w:before="42" w:after="0"/>
        <w:ind w:left="821" w:right="143" w:hanging="354"/>
        <w:jc w:val="both"/>
        <w:rPr/>
      </w:pPr>
      <w:r>
        <w:rPr/>
        <w:t xml:space="preserve">11. Recomandăm Lituaniei să continue să promoveze în mod activ dezvoltarea economică și investițiile în regiunile țării.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Discuții în cadrul Grupului național cetățenesc și analiza rezultatelor </w:t>
      </w:r>
    </w:p>
    <w:p>
      <w:pPr>
        <w:pStyle w:val="P68B1DB1Normal76"/>
        <w:widowControl w:val="false"/>
        <w:spacing w:lineRule="auto" w:line="240" w:before="46" w:after="0"/>
        <w:ind w:left="0" w:right="29" w:hanging="0"/>
        <w:jc w:val="both"/>
        <w:rPr/>
      </w:pPr>
      <w:r>
        <w:rPr/>
        <w:t xml:space="preserve">Participanții la Grupul național al cetățenilor au discutat despre cele mai importante aspecte de actualitate pentru Lituania (discutate în mare măsură la nivel național în arena politică și mediatică) și cum să le abordeze. Votul general privind principalele concluzii ale comitetului a arătat că aproape 45 % din totalul voturilor exprimate în cursul celor două sesiuni au fost dedicate propunerilor pe două teme: relațiile cu China și controlul fluxurilor migratorii (a se vedea tabelul de mai jos). Tema politicii energetice a atras, de asemenea, multă atenție. A fost subiectul unei singure propuneri, dar a primit voturile a aproape 10 % dintre participanți. Rezultatul acestor voturi sugerează că percepția cetățenilor cu privire la viitorul Europei ar putea fi decisivă pentru problemele politice și știrile actuale (la nivel național).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Recomandare</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Votează</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Prima sesiune: rolul și competențele UE în politica externă</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Solicităm UE să elaboreze o politică mai eficientă față de China. Sprijinul actual pentru Lituania nu este suficient, dar Lituania nu și-a aliniat suficient poziția cu cea a partenerilor UE. Pentru a se asigura că interesele pot fi mai bine echilibrate în cadrul UE și că există o singură politică față de China, precum și cu privire la alte chestiuni de politică externă, recomandăm să se ia în considerare posibilitatea instituirii unui ministru de externe al 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sunt importante pentru întreaga Europă: 8; cu titlu personal: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Recomandăm introducerea pe ordinea de zi a problemei cotelor de migranți la nivelul 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importante pentru întreaga Europă: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Recomandăm înființarea unui comitet special la nivelul UE care să abordeze chestiunile legate de migrație, care să asigure un răspuns mai rapid la crizele migrației și dreptul statelor membre de a-și explica și apăra interesele naționale, precum și de a elabora și pune în aplicare orientări comune în materie de gestionare a migrației.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importante pentru întreaga Europă: 3; cu titlu personal: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Recomandăm consolidarea legăturilor economice și umanitare cu țările din Africa de Nord, fără a pierde din vedere realitățile politice, în special în vederea reducerii influenței Chinei, Rusiei și a altor state din regiune.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importante din punct de vedere personal: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Recomandăm consolidarea legăturilor cu Europa de Est și aplicarea de măsuri economice la nivelul cetățenilor.</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sunt importante personal: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A doua sesiune: rolul economic al UE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Recomandăm UE să ia diverse măsuri pentru a spori securitatea aprovizionării cu bunuri esențiale: prioritizarea comerțului în interiorul UE, promovarea producției de tehnologii avansate în cadrul UE și diversificarea în continuare a surselor de import. De asemenea, vă recomandăm să explorați noi piețe de export.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importante pentru întreaga Europă: 3; personal: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Recomandăm revizuirea practicilor de negociere a contractelor de gaze naturale, atât pentru contractele pe termen scurt, cât și pentru cele pe termen lung. Vă recomandăm diversificarea în continuare a surselor de aprovizionare cu energie.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importante pentru întreaga Europă: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Recomandăm ca măsurile Pactului verde și punerea lor în aplicare să fie evaluate ținând seama de potențialele efecte socioeconomice negative. Pentru a pune în aplicare obiectivele Pactului verde, recomandăm ca energia nucleară și gazele naturale să fie utilizate în plus față de utilizarea surselor regenerabile de energie.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importante din punct de vedere personal: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Subliniem că este important ca toate statele membre să respecte principiul supremației dreptului UE. Solicităm, cu titlu de exemplu, ca Lituania să aibă o poziție clară principială cu privire la această chestiune.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este important pentru întreaga Europă: 2; cu titlu personal: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În plus, cele mai importante aspecte pentru cetățeni, și anume relațiile cu China, migrația sau energia, sunt temporare: Rezoluția lor va avea un impact fundamental asupra viitorului pe termen lung al Europei. Prin urmare, probabilitatea ca cetățenii să se gândească la viitor nu este problematică. Pe măsură ce construcția viitorului începe astăzi cu o multitudine de pași mici, percepția așteptărilor cetățenilor pe termen scurt este o condiție esențială pentru asigurarea unui control puternic pe termen lung al proceselor și pentru rezolvarea problemelor. Analiza de mai jos a principalelor rezultate ale grupului de cetățeni naționali se bazează pe această observație.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Rezoluția care primește cel mai mare număr de voturi (11 sau aproape 12 %) este că</w:t>
      </w:r>
      <w:r>
        <w:rPr>
          <w:b/>
        </w:rPr>
        <w:t xml:space="preserve"> UE are nevoie de o politică mai eficientă față de China</w:t>
      </w:r>
      <w:r>
        <w:rPr/>
        <w:t xml:space="preserve">. Această concluzie generală a vizat câteva declarații mai concrete. În primul rând, participanții au subliniat că, în această etapă, sprijinul UE acordat Lituaniei în fața presiunii economice exercitate de China nu a fost suficient. În al doilea rând, reprezentanții grupului care au comunicat concluzia au subliniat că Lituania ar trebui să depună eforturi mai mari pentru a-și armoniza politica față de China cu cea a partenerilor UE, în special pentru că este important ca UE în ansamblu să continue să se angajeze în comerțul cu China. În al treilea rând, cetățenii au ridicat ideea că coordonarea pozițiilor și dezvoltarea unei politici comune în ceea ce privește China, în special, ar putea fi mai eficiente dacă s-ar institui un ministru de externe al UE. Opt participanți au declarat această concluzie deosebit de importantă pentru întreaga Europă, iar alți trei au declarat că este importantă pentru ei din punct de vedere personal.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Chestiunea relațiilor cu China este strâns legată de alte două propuneri, cu un număr mare de voci ale cetățenilor. Nouă participanți au votat în favoarea concluziei la care s-a ajuns în cadrul celei de-a doua sesiuni, conform căreia </w:t>
      </w:r>
      <w:r>
        <w:rPr>
          <w:b/>
        </w:rPr>
        <w:t>UE trebuie să consolideze securitatea aprovizionării</w:t>
      </w:r>
      <w:r>
        <w:rPr/>
        <w:t xml:space="preserve"> (trei participanți au indicat acest lucru ca fiind deosebit de important pentru întreaga Europă și alți șase că acest lucru este pentru ei în nume personal). Această concluzie a inclus, de asemenea, mai multe aspecte. În primul rând, cetățenii au subliniat necesitatea de a acorda prioritate piețelor UE caracterizate de furnizori și produse fiabile care îndeplinesc standarde exigente. În al doilea rând, participanții au subliniat necesitatea de a încuraja capacitatea de producție de înaltă tehnologie în Europa însăși. În al treilea rând, cetățenii și-au exprimat sprijinul pentru o mai mare diversificare a surselor de import. În formularea acestor recomandări, participanții la discuție s-au referit în mod constant la factorul Chinei: amenințările la adresa securității legate de mărfurile chinezești, dependența de materiile prime chineze necesare pentru fabricarea tehnologiilor avansate, precum și practicile Chinei de copiere și furt de tehnologii de la companiile occidentale care operează pe piața sa. Propunerea de</w:t>
      </w:r>
      <w:r>
        <w:rPr>
          <w:b/>
        </w:rPr>
        <w:t xml:space="preserve"> dezvoltare a cooperării economice și umanitare a UE cu țările din Africa de Nord a</w:t>
      </w:r>
      <w:r>
        <w:rPr/>
        <w:t xml:space="preserve"> primit, de asemenea, șase voturi (importante cu titlu personal), pe motiv că în această regiune este important să se reducă influența Chinei, precum și a Rusiei și a altor state prietenoase.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Rezultatele votului au reflectat, de asemenea, preocupările cetățenilor cu privire la chestiunile legate de migrație. Două dintre cele trei constatări cele mai vocale din politica externă au fost dedicate migrației. Nouă participanți au votat în favoarea propunerii </w:t>
      </w:r>
      <w:r>
        <w:rPr>
          <w:b/>
        </w:rPr>
        <w:t>ca UE să revină la crearea unui sistem de cote obligatorii de primire a migranților pentru statele membre</w:t>
      </w:r>
      <w:r>
        <w:rPr/>
        <w:t xml:space="preserve"> (toți au subliniat că această propunere are o importanță deosebită pentru întreaga Europă). Participanții care au formulat această concluzie și-au exprimat sprijinul pentru stabilirea cotelor naționale în funcție de numărul de locuitori și pentru cofinanțarea UE pentru a răspunde nevoilor migranților în conformitate cu aceste cote. Șapte participanți au votat în continuare în favoarea propunerii de </w:t>
      </w:r>
      <w:r>
        <w:rPr>
          <w:b/>
        </w:rPr>
        <w:t>înființare a unei comisii tehnice permanente la nivelul UE pentru a aborda chestiunile legate de migrație, în cadrul căreia vor fi detașați reprezentanți ai statelor membre</w:t>
      </w:r>
      <w:r>
        <w:rPr/>
        <w:t xml:space="preserve"> (trei participanți consideră această propunere de importanță deosebită pentru Europa în ansamblu, patru consideră că este importantă pentru ei din punct de vedere personal). Participanții au subliniat că un astfel de organism ar putea permite UE să reacționeze mai rapid la crizele migrației, asigurând în același timp un echilibru între respectarea adecvată a principiilor generale ale UE și dreptul statelor membre de a-și apăra interesele naționale și securitatea.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În cadrul dezbaterii privind politica în domeniul migrației, participanții au discutat două crize distincte în gestionarea fluxurilor migratorii: în 2016, criza migrației din Marea Mediterană și în 2012 atacul hibrid al Belarusului asupra Lituaniei, Letoniei și Poloniei, în timpul căruia Minsk a utilizat migranți proveniți din fluxurile din Orientul Mijlociu și Africa. O serie de participanți la panel au declarat că criza din 2016 pare îndepărtată și irelevantă, atât pentru Lituania în ansamblu, cât și pentru ei cu titlu personal, iar propunerea de instituire a unui sistem de cote pentru migranți nu le-a părut adecvată. Potrivit participanților, experiența atacului hibrid a apropiat problema migrației în Europa de Est și a forțat să abordeze cotele ca un instrument de politică în domeniul migrației adaptat, eficace și solidar. Unii participanți au subliniat că, în mijlocul crizei din 2021, a devenit dificil să se facă distincția între cei de pe teritoriul țării, refugiați, migranți și cei care reprezintă o amenințare. Toți participanții la discuție au convenit că actuala politică „deschisă” a UE în domeniul migrației nu ia suficient în considerare amenințările reprezentate de migrație, interesele naționale ale statelor membre, capacitatea acestora de a integra migranții etc. Cetățenii au criticat, de asemenea, UE pentru încetinirea sau lipsa de răspuns la nevoile Lituaniei, precum și pentru refuzul său de a finanța construirea unui zid la frontierele externe.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Pe scurt, se poate spune că două elemente ale celor mai fierbinți știri ale Lituaniei în 2021 – relațiile cu China și gestionarea fluxurilor migratorii – încurajează cetățenii lituanieni să solicite ca UE să intervină mai mult și să aibă o politică comună mai eficientă. Cetățenii sunt îngrijorați de politica Chinei și de influența din ce în ce mai mare a acesteia în Europa și în vecinătatea UE. Trebuie recunoscut faptul că influența economică a Chinei forțează Europa să caute măsuri politice adecvate și echilibrate. În opinia cetățenilor, principala soluție este consolidarea instrumentelor de politică externă comună ale UE, a politicii industriale și a cooperării cu vecinii. În mod similar, cetățenii au considerat că acțiunea unică la nivelul UE, precum și un posibil nou sistem de cote de migrație, au fost probabil cea mai adecvată modalitate de a scăpa de amenințările la adresa securității reprezentate de migrație, precum și de a controla rapid și eficient fluxurile de migrație către Europa. În opinia grupului, cel mai bun răspuns la presiunile tot mai mari ale Chinei și la atacul hibrid al Belarusului ar fi acela de a avea o politică comună profundă și consolidată a UE.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Prezentul aviz privind crizele aflate în discuție poate fi comparat cu propunerile participanților la panel cu privire la chestiuni legate de energie și climă. La sfârșitul anului 2021, mulți cetățeni lituanieni au trebuit să se ocupe direct de creșterea prețurilor la încălzire, iar criza prețurilor la energie s-a dovedit rapid a fi una dintre cele mai importante știri pentru Lituania. Preocuparea cu privire la prețurile la energie se reflectă și în votul participanților: nouă cetățeni au votat chiar pentru concluzia că această chestiune este cea mai importantă pentru întreaga Europă. Principala recomandare a participanților a fost de</w:t>
      </w:r>
      <w:r>
        <w:rPr>
          <w:b/>
        </w:rPr>
        <w:t xml:space="preserve"> a revizui practica actuală a statelor membre prin încheierea de contracte de furnizare a energiei cu diferiți furnizori și prin încercarea de a le încheia atât pe termen scurt, cât și pe termen lung.</w:t>
      </w:r>
      <w:r>
        <w:rPr/>
        <w:t xml:space="preserve"> Cu alte cuvinte, cetățenii au sprijinit politica de diversificare a surselor de aprovizionare cu energie, dar nu au făcut recomandări cu privire la politicile generale ale UE și nu au recomandat integrarea în continuare a politicilor energetice.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În ceea ce </w:t>
      </w:r>
      <w:r>
        <w:rPr>
          <w:b/>
        </w:rPr>
        <w:t>privește politica în domeniul climei, cetățenii au recomandat o evaluare a măsurilor Pactului verde, ținând seama de impactul socioeconomic și de nivelul de ambiție preconizate.</w:t>
      </w:r>
      <w:r>
        <w:rPr/>
        <w:t xml:space="preserve"> Această propunere a primit vocea a șase participanți, fiecare dintre aceștia considerând-o importantă din punct de vedere personal. Unii participanți și-au exprimat îngrijorarea cu privire la ritmul prea rapid al așa-numitei „tranziții verzi” și au declarat că Lituania ar trebui să evalueze mai atent dacă o astfel de politică ar submina interesele țării și ale cetățenilor săi. Unii participanți au reînviat, de asemenea, necesitatea de a utiliza nu numai energia regenerabilă, ci și energia nucleară și gazul natural. În sprijinul acestei poziții, ei s-au referit la decizia Germaniei de a continua să utilizeze gaze naturale, precum și la potențialul reactoarelor nucleare „modulare” de nouă generație. Prin urmare, în ceea ce privește politica în domeniul climei, grupul a acordat prioritate politicilor statelor membre în conformitate cu nevoile naționale, și nu unei politici comune ambițioase a UE privind guvernanța în domeniul climei.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Având în vedere numărul relativ mic de participanți la comitet și disparitatea răspunsurilor cetățenilor (mai multă unitate de acțiune sau mai multă flexibilitate) la diferitele crize, ar fi greșit să se ia în considerare aici măsuri recapitulative și aplicabile pe scară largă. Cu toate acestea, această dinamică de exprimare a opiniilor poate conduce la propunerea unor teme de interes pentru viitoarele studii de opinie ale cetățenilor lituanieni cu privire la aspectele legate de integrarea în UE, în care ar trebui să se țină seama de ceea ce spun cetățenii cu privire la politicile autonome ale UE, la schimbările intervenite în aranjamentele instituționale și la diferențele dintre acestea.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Rezultatele Grupului cetățenilor în contextul mai larg al opiniei publice din Lituania </w:t>
      </w:r>
    </w:p>
    <w:p>
      <w:pPr>
        <w:pStyle w:val="Normal"/>
        <w:widowControl w:val="false"/>
        <w:spacing w:lineRule="auto" w:line="240"/>
        <w:ind w:left="0" w:right="1" w:hanging="0"/>
        <w:jc w:val="both"/>
        <w:rPr/>
      </w:pPr>
      <w:r>
        <w:rPr>
          <w:color w:val="000000"/>
        </w:rPr>
        <w:t>Pentru a contextualiza rezultatele grupului național cetățenesc, acestea sunt comparate pe scurt în ultima parte cu rezultatele a două sondaje de opinie actuale, precum și cu rezultatele intermediare ale altor activități pregătitoare pentru Conferința privind viitorul Europei. Prima parte a acestui raport se referă la un</w:t>
      </w:r>
      <w:hyperlink r:id="rId114">
        <w:r>
          <w:rPr>
            <w:color w:val="000000"/>
          </w:rPr>
          <w:t xml:space="preserve"> </w:t>
        </w:r>
      </w:hyperlink>
      <w:hyperlink r:id="rId115">
        <w:r>
          <w:rPr>
            <w:rStyle w:val="LienInternet"/>
            <w:color w:val="0563C1"/>
          </w:rPr>
          <w:t>sondaj</w:t>
        </w:r>
      </w:hyperlink>
      <w:r>
        <w:rPr>
          <w:color w:val="000000"/>
        </w:rPr>
        <w:t xml:space="preserve">al cetățenilor </w:t>
      </w:r>
      <w:hyperlink r:id="rId116">
        <w:r>
          <w:rPr>
            <w:rStyle w:val="LienInternet"/>
            <w:color w:val="0563C1"/>
          </w:rPr>
          <w:t>UE</w:t>
        </w:r>
      </w:hyperlink>
      <w:r>
        <w:rPr>
          <w:color w:val="000000"/>
        </w:rPr>
        <w:t xml:space="preserve">privind obarometrul efectuat în octombrie și noiembrie 2020 cu privire la Conferința privind viitorul Europei; al doilea referitor la cel mai recent </w:t>
      </w:r>
      <w:hyperlink r:id="rId117">
        <w:r>
          <w:rPr>
            <w:rStyle w:val="LienInternet"/>
            <w:color w:val="0563C1"/>
          </w:rPr>
          <w:t>sondaj Eurobarometru standard</w:t>
        </w:r>
      </w:hyperlink>
      <w:r>
        <w:rPr>
          <w:color w:val="000000"/>
        </w:rPr>
        <w:t xml:space="preserve"> realizat în vara anului 2021. În măsura în care unele dintre întrebările din aceste studii s-au axat pe alte teme politice și așteptările cetățenilor de la conferința în sine, se face o comparație mai jos cu problemele care au fost abordate cu adevărat în cadrul comisiei. Examinarea rezultatelor lucrărilor pregătitoare pentru Conferința privind viitorul Europei s-a bazat pe raportul preliminar al acestei lucrări pregătit de CSE, care a inclus declarații ale cetățenilor care au participat la lucrările privind diferite aspecte de politică ale UE.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Rezultatele sondajelor Eurobarometru sugerează că discuțiile și voturile participanților la Grupul cetățenilor reflectă destul de bine punctele de vedere predominante în societatea lituaniană. Recomandările participanților grupului de experți privind consolidarea politicii externe și a politicii comune în domeniul migrației, prin participarea la deciziile luate la nivelul UE, corespund constatărilor sondajelor mai ample de opinie publică: </w:t>
      </w:r>
    </w:p>
    <w:p>
      <w:pPr>
        <w:pStyle w:val="P68B1DB1Normal76"/>
        <w:widowControl w:val="false"/>
        <w:spacing w:lineRule="auto" w:line="240"/>
        <w:ind w:left="361" w:right="1" w:hanging="0"/>
        <w:jc w:val="left"/>
        <w:rPr/>
      </w:pPr>
      <w:r>
        <w:rPr>
          <w:rFonts w:ascii="Garamond" w:hAnsi="Garamond"/>
        </w:rPr>
        <w:t>-Cetățenii</w:t>
      </w:r>
      <w:r>
        <w:rPr/>
        <w:t xml:space="preserve"> lituanieni sprijină politica de apărare comună a UE mai mult decât media UE (90 % față de 78 %); </w:t>
      </w:r>
    </w:p>
    <w:p>
      <w:pPr>
        <w:pStyle w:val="P68B1DB1Normal76"/>
        <w:widowControl w:val="false"/>
        <w:spacing w:lineRule="auto" w:line="240"/>
        <w:ind w:left="361" w:right="3" w:hanging="0"/>
        <w:jc w:val="left"/>
        <w:rPr/>
      </w:pPr>
      <w:r>
        <w:rPr>
          <w:rFonts w:ascii="Garamond" w:hAnsi="Garamond"/>
        </w:rPr>
        <w:t>-Cetățenii</w:t>
      </w:r>
      <w:r>
        <w:rPr/>
        <w:t xml:space="preserve"> lituanieni sprijină politica comună a UE în domeniul migrației mai mult decât media UE (76 % față de 71 %; această diferență se încadrează în marja de eroare); </w:t>
      </w:r>
    </w:p>
    <w:p>
      <w:pPr>
        <w:pStyle w:val="P68B1DB1Normal76"/>
        <w:widowControl w:val="false"/>
        <w:spacing w:lineRule="auto" w:line="240"/>
        <w:ind w:left="360" w:right="2" w:hanging="0"/>
        <w:jc w:val="left"/>
        <w:rPr/>
      </w:pPr>
      <w:r>
        <w:rPr>
          <w:rFonts w:ascii="Garamond" w:hAnsi="Garamond"/>
        </w:rPr>
        <w:t>-Cetățenii</w:t>
      </w:r>
      <w:r>
        <w:rPr/>
        <w:t xml:space="preserve"> lituanieni consideră migrația ca fiind una dintre cele două probleme principale ale UE; </w:t>
      </w:r>
    </w:p>
    <w:p>
      <w:pPr>
        <w:pStyle w:val="P68B1DB1Normal76"/>
        <w:widowControl w:val="false"/>
        <w:spacing w:lineRule="auto" w:line="240"/>
        <w:ind w:left="360" w:right="3" w:hanging="0"/>
        <w:jc w:val="left"/>
        <w:rPr/>
      </w:pPr>
      <w:r>
        <w:rPr>
          <w:rFonts w:ascii="Garamond" w:hAnsi="Garamond"/>
        </w:rPr>
        <w:t>Cetățenii</w:t>
      </w:r>
      <w:r>
        <w:rPr/>
        <w:t xml:space="preserve"> lituanieni doresc să fie rezolvate mai multe probleme la nivelul UE (49 % față de 42 %). </w:t>
      </w:r>
    </w:p>
    <w:p>
      <w:pPr>
        <w:pStyle w:val="P68B1DB1Normal76"/>
        <w:widowControl w:val="false"/>
        <w:spacing w:lineRule="auto" w:line="240" w:before="83" w:after="0"/>
        <w:ind w:left="0" w:right="3" w:hanging="0"/>
        <w:jc w:val="both"/>
        <w:rPr/>
      </w:pPr>
      <w:r>
        <w:rPr/>
        <w:t xml:space="preserve">Cetățenii lituanieni care au participat la evenimentele pregătitoare pentru Conferința privind viitorul Europei au subliniat, de asemenea, importanța cooperării în domeniul apărării și că politica comună a UE în domeniul migrației și politica externă a UE sunt domenii în care Lituania ar beneficia de o intervenție mai puternică a UE.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Datele Eurobarometru ar putea aduce o lumină asupra opiniilor participanților la panel cu privire la relațiile cu China și prețurile la energie: Lituanienii sunt mai îngrijorați decât media UE cu privire la defalcarea relațiilor dintre țările din întreaga lume și la tensiunile geopolitice din ce în ce mai mari (33 % față de 18 %). Concluziile comitetului privind necesitatea unei politici mai ambițioase față de China se suprapun, de asemenea, cu aceste date, precum și cu poziția menționată mai sus în favoarea procesului decizional la nivelul UE și a unei politici de apărare comune a UE. Pe de altă parte, preocuparea participanților la panel cu privire la diverse decizii de reducere a prețurilor la energie poate fi legată de faptul că lituanienii sunt mult mai preocupați decât media UE de creșterea inflației și de creșterea prețurilor (53 % față de 23 %). Sensibilitatea la creșterea inflației se datorează faptului că controlul creșterii prețurilor pare a fi mai important decât elaborarea politicilor generale ale UE sau alte obiective de politică.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Datele Eurobarometru sugerează, de asemenea, o evoluție interesantă a percepției lituaniene asupra problemei migrației dintr-o perspectivă politică. În sondajul din 2020, lituanienii au menționat migrația drept o provocare importantă pentru viitorul UE (16 % față de 27 %) față de media UE; În sondajul din 2021, 32 % dintre respondenții lituanieni au considerat migrația ca fiind una dintre principalele probleme în UE (față de 25 % în medie în UE în ansamblu). În timp ce această schimbare de opinie se poate datora diferențelor în formularea problemei, ea se suprapune cu ceea ce participanții la panel au spus în discuțiile privind evoluția opiniilor lor cu privire la chestiuni legate de migrație.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În plus, compararea rezultatelor grupului cetățenilor cu datele Eurobarometru indică un decalaj între, pe de o parte, o viziune relativ prudentă a participanților grupului cu privire la politica UE și, pe de altă parte, o preocupare a cetățenilor lituanieni cu privire la chestiunile legate de schimbările climatice. Deși participanții la panel au încurajat să evalueze dacă Pactul verde nu a fost prea ambițios și nu ar aduce atingere intereselor Lituaniei, lituanienii, potrivit studiilor Eurobarometru, au identificat în mod constant schimbările climatice ca fiind una dintre principalele provocări cu care se confruntă UE. În sondajul din 2020, 47 % dintre respondenții lituanieni au considerat că clima este una dintre cele mai importante provocări pentru viitorul Europei (față de 45 % în medie în UE în ansamblu); În sondajul din 2021, acesta a fost cazul pentru 28 % dintre respondenții lituanieni (în creștere de la 25 % în medie în UE în ansamblu). Ar trebui remarcat faptul că cetățenii care au participat la alte evenimente pregătitoare pentru Conferința privind viitorul Europei s-au referit, de asemenea, la politica în domeniul climei ca fiind unul dintre domeniile în care Lituania ar avea cel mai mare interes pentru o intervenție mai puternică a UE. Această discrepanță poate fi explicată probabil prin motivația votului participanților: toți cei care au votat în favoarea recomandării de reevaluare a măsurilor Pactului verde au identificat acest lucru ca fiind important pentru ei din punct de vedere personal. Cu alte cuvinte, opoziția personală nu ar fi incompatibilă cu constatarea că schimbările climatice reprezintă una dintre cele mai importante provocări pentru politica UE.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Grupuri naționale: Țările de Jos</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Imagini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ini46" descr=""/>
                    <pic:cNvPicPr>
                      <a:picLocks noChangeAspect="1" noChangeArrowheads="1"/>
                    </pic:cNvPicPr>
                  </pic:nvPicPr>
                  <pic:blipFill>
                    <a:blip r:embed="rId118"/>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V</w:t>
      </w:r>
      <w:r>
        <w:rPr>
          <w:rFonts w:ascii="Calibri" w:hAnsi="Calibri"/>
          <w:b/>
          <w:i/>
          <w:color w:val="000000"/>
          <w:sz w:val="48"/>
        </w:rPr>
        <w:t>iziunea noastră despre Europa</w:t>
      </w:r>
    </w:p>
    <w:p>
      <w:pPr>
        <w:pStyle w:val="P68B1DB1Normal103"/>
        <w:widowControl w:val="false"/>
        <w:spacing w:lineRule="exact" w:line="499" w:before="100" w:after="0"/>
        <w:ind w:left="0" w:right="0" w:hanging="0"/>
        <w:jc w:val="left"/>
        <w:rPr>
          <w:rFonts w:ascii="Calibri" w:hAnsi="Calibri"/>
          <w:i/>
          <w:i/>
          <w:color w:val="000000"/>
          <w:sz w:val="32"/>
        </w:rPr>
      </w:pPr>
      <w:r>
        <w:rPr/>
        <w:t xml:space="preserve">Opinii, idei și recomandări </w:t>
      </w:r>
    </w:p>
    <w:p>
      <w:pPr>
        <w:pStyle w:val="P68B1DB1Normal104"/>
        <w:widowControl w:val="false"/>
        <w:spacing w:lineRule="exact" w:line="339" w:before="101" w:after="0"/>
        <w:ind w:left="0" w:right="0" w:hanging="0"/>
        <w:jc w:val="left"/>
        <w:rPr>
          <w:rFonts w:ascii="Calibri" w:hAnsi="Calibri"/>
          <w:color w:val="000000"/>
          <w:sz w:val="21"/>
        </w:rPr>
      </w:pPr>
      <w:r>
        <w:rPr/>
        <w:t xml:space="preserve">Teme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Valori și drepturi, statul de drept și securitate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O economie mai puternică, justiție socială și ocuparea forței de muncă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Democrația europeană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Transformarea digitală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Educație, cultură, tineret și sport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decembrie 2021 </w:t>
      </w:r>
    </w:p>
    <w:p>
      <w:pPr>
        <w:pStyle w:val="Normal"/>
        <w:widowControl w:val="false"/>
        <w:spacing w:lineRule="exact" w:line="282" w:before="1" w:after="0"/>
        <w:ind w:left="0" w:right="37" w:hanging="0"/>
        <w:jc w:val="left"/>
        <w:rPr/>
      </w:pPr>
      <w:r>
        <w:rPr>
          <w:rFonts w:ascii="Calibri" w:hAnsi="Calibri"/>
          <w:color w:val="000000"/>
          <w:sz w:val="21"/>
        </w:rPr>
        <w:t xml:space="preserve">Prezentul document este o traducere a raportului intitulat „Eleven kijk op Europa; Meningen, ideeën en Aanbevelingen„(”Viziunea noastră asupra Europei: avize, idei și recomandări”, care a fost publicată în limba neerlandeză la 3 decembrie 2021 la adresa www.kijkopeuropa.nl. Această traducere este o versiune simplificată a raportului în care prezentarea originală (ilustrații și alte elemente grafice) a fost modificată în scopul traducerii.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Viziunea noastră de...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Rezumatul raportului: toate recomandările pe scurt </w:t>
      </w:r>
    </w:p>
    <w:p>
      <w:pPr>
        <w:pStyle w:val="P68B1DB1Normal104"/>
        <w:widowControl w:val="false"/>
        <w:spacing w:lineRule="exact" w:line="282" w:before="185" w:after="0"/>
        <w:ind w:left="0" w:right="25" w:hanging="0"/>
        <w:jc w:val="left"/>
        <w:rPr/>
      </w:pPr>
      <w:r>
        <w:rPr/>
        <w:t xml:space="preserve">Prin intermediul dialogului cu cetățenii organizat pe tema „Viziunea Europei”, am adunat opiniile și ideile cetățenilor olandezi cu privire la viitorul Europei. Acest lucru a condus la următoarele recomandări adresate Uniunii Europene pentru primele cinci teme.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Valori și drepturi, statul de drept și securitate </w:t>
      </w:r>
    </w:p>
    <w:p>
      <w:pPr>
        <w:pStyle w:val="P68B1DB1Normal104"/>
        <w:widowControl w:val="false"/>
        <w:spacing w:lineRule="exact" w:line="282" w:before="178" w:after="0"/>
        <w:ind w:left="0" w:right="105" w:hanging="0"/>
        <w:jc w:val="left"/>
        <w:rPr/>
      </w:pPr>
      <w:r>
        <w:rPr/>
        <w:t xml:space="preserve">Este important ca UE să protejeze statul de drept. În același timp, olandezii consideră că ar trebui acordată atenție diversității tradițiilor și culturilor care există în Europa. Cooperarea în cadrul UE poate avea multe beneficii sub diferite forme, dar trebuie să aducă valoare adăugată tuturor părților interesate. Acest lucru este valabil și pentru schimbul de informații de securitate. Schimbul de informații face rapid cooperarea ineficientă.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Asigurați-vă că toată lumea se poate simți liberă și în siguranță</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Extinderea UE numai dacă aduce valoare adăugată</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Cooperarea în principal în lupta împotriva criminalității internaționale și a terorismului</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O economie mai puternică, justiție socială și ocuparea forței de muncă </w:t>
      </w:r>
    </w:p>
    <w:p>
      <w:pPr>
        <w:pStyle w:val="P68B1DB1Normal104"/>
        <w:widowControl w:val="false"/>
        <w:spacing w:lineRule="exact" w:line="282" w:before="178" w:after="0"/>
        <w:ind w:left="0" w:right="18" w:hanging="0"/>
        <w:jc w:val="left"/>
        <w:rPr/>
      </w:pPr>
      <w:r>
        <w:rPr/>
        <w:t xml:space="preserve">Olandezii cred că există multe oportunități de consolidare a economiei europene. Dar țările nu pot fi întotdeauna comparate între ele. Sistemul fiscal, în special, ar trebui să fie mai echitabil și mai clar. Și, în Europa, ar trebui să ne concentrăm mai mult pe punctele noastre forte, cum ar fi calitatea și diversitatea. În plus, țările UE pot coopera pentru a asigura egalitatea de șanse pe piața europeană a forței de muncă.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Luarea în considerare a elementelor comune și a diferențelor</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Valorificarea într-o mai mare măsură a punctelor forte ale Europei</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Dezvoltarea unui sistem fiscal echitabil și clar</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Garantarea faptului că toată lumea poate participa la </w:t>
      </w:r>
      <w:r>
        <w:rPr>
          <w:rFonts w:ascii="Calibri" w:hAnsi="Calibri"/>
          <w:b/>
          <w:i/>
          <w:sz w:val="24"/>
        </w:rPr>
        <w:t xml:space="preserve">democrația europeană </w:t>
      </w:r>
    </w:p>
    <w:p>
      <w:pPr>
        <w:pStyle w:val="P68B1DB1Normal104"/>
        <w:widowControl w:val="false"/>
        <w:spacing w:lineRule="exact" w:line="282" w:before="178" w:after="0"/>
        <w:ind w:left="0" w:right="323" w:hanging="0"/>
        <w:jc w:val="both"/>
        <w:rPr/>
      </w:pPr>
      <w:r>
        <w:rPr/>
        <w:t xml:space="preserve">Olandezii nu trebuie să știe totul despre Uniunea Europeană, dar doresc mai multă transparență și mai multe informații. De exemplu, cunoașterea punctelor de vedere ale altor țări ale UE poate contribui la o imagine de ansamblu mai bună. În plus, olandezii consideră că UE ar trebui să se implice mai des și, de preferință, în mod permanent cu cetățenii. În acest sens, este important nu numai să se țină seama de diferitele interese, ci și să se ia decizii mai rapid decât în prezent.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O mai bună imagine de ansamblu asupra Europei</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Găsiți noi modalități de a asculta în mod continuu cetățenii</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Mai multă transparență și claritate cu privire la deciziile luate</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Asigurarea faptului că problemele spinoase pot fi rezolvate mai repede</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Transformarea digitală </w:t>
      </w:r>
    </w:p>
    <w:p>
      <w:pPr>
        <w:pStyle w:val="P68B1DB1Normal104"/>
        <w:widowControl w:val="false"/>
        <w:spacing w:lineRule="exact" w:line="282" w:before="178" w:after="0"/>
        <w:ind w:left="0" w:right="54" w:hanging="0"/>
        <w:jc w:val="left"/>
        <w:rPr/>
      </w:pPr>
      <w:r>
        <w:rPr/>
        <w:t xml:space="preserve">Societatea este din ce în ce mai dependentă de internet, iar marile companii de tehnologie devin din ce în ce mai puternice. Uneori acest lucru îi îngrijorează foarte mult pe olandezi. Prin urmare, este util ca UE să elaboreze norme și standarde europene (de confidențialitate). Cu toate acestea, este important ca toată lumea să poată înțelege și aplica aceste norme și standarde. Olandezii preferă să primească sprijin și informații din partea autorităților naționale în propria lor limbă.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Asigurarea unui internet rapid, sigur și stabil peste tot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Stabilirea unor norme și standarde clare pentru societățile de internet</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Adăugarea punerii în aplicare și a explicațiilor practice la normele de confidențialitate</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Educație, cultură, tineret și sport </w:t>
      </w:r>
    </w:p>
    <w:p>
      <w:pPr>
        <w:pStyle w:val="P68B1DB1Normal104"/>
        <w:widowControl w:val="false"/>
        <w:spacing w:lineRule="exact" w:line="282" w:before="178" w:after="0"/>
        <w:ind w:left="0" w:right="166" w:hanging="0"/>
        <w:jc w:val="left"/>
        <w:rPr/>
      </w:pPr>
      <w:r>
        <w:rPr/>
        <w:t>Tinerii care studiază în străinătate ar trebui să poată învăța mai multe de la țara gazdă decât în</w:t>
      </w:r>
      <w:r>
        <w:rPr/>
        <w:commentReference w:id="21"/>
      </w:r>
      <w:r>
        <w:rPr/>
        <w:t xml:space="preserve"> prezent. Iar țările cu un nivel mai scăzut de cunoștințe nu ar trebui să-și piardă toate talentele, care merg în străinătate. Olandezii consideră că subiecte precum cultura și abuzul în sport sunt aspecte care ar trebui mai degrabă să fie responsabilitatea statelor membre înseși. Și consideră că este foarte important să ai propria limbă națională. În general, în Europa, fiecare persoană trebuie, mai presus de toate, să se simtă liberă și să fie ea însăși.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Încurajarea studenților să studieze inteligent în străinătate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Permite statelor membre să se concentreze asupra unor teme precum cultura și sportul</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Asigurarea faptului că europenii se cunosc mai bine și se respectă reciproc</w:t>
      </w:r>
      <w:r>
        <w:rPr>
          <w:color w:val="000000"/>
          <w:sz w:val="21"/>
        </w:rPr>
        <w:t xml:space="preserve"> </w:t>
      </w:r>
      <w:r>
        <w:br w:type="page"/>
      </w:r>
    </w:p>
    <w:p>
      <w:pPr>
        <w:pStyle w:val="P68B1DB1Normal109"/>
        <w:rPr>
          <w:rFonts w:ascii="Calibri" w:hAnsi="Calibri"/>
          <w:b/>
          <w:b/>
          <w:i/>
          <w:i/>
          <w:color w:val="000000"/>
          <w:sz w:val="32"/>
        </w:rPr>
      </w:pPr>
      <w:r>
        <w:rPr/>
        <w:t xml:space="preserve">Introducere </w:t>
      </w:r>
    </w:p>
    <w:p>
      <w:pPr>
        <w:pStyle w:val="P68B1DB1Normal110"/>
        <w:widowControl w:val="false"/>
        <w:spacing w:lineRule="exact" w:line="274" w:before="31" w:after="0"/>
        <w:ind w:left="0" w:right="113" w:hanging="0"/>
        <w:jc w:val="left"/>
        <w:rPr/>
      </w:pPr>
      <w:r>
        <w:rPr>
          <w:sz w:val="21"/>
        </w:rPr>
        <w:t xml:space="preserve">Dialogul cu cetățenii „Viziunea Europei”, care a avut loc între 1 septembrie și jumătatea lunii noiembrie, a permis tuturor Țărilor de Jos să își exprime opiniile și ideile cu privire la viitorul Europei. Țările de Jos prezintă Uniunii Europene (UE) recomandările pe baza cărora a condus dialogul, precum și ideile și opiniile exprimate. În acest raport, ne concentrăm pe primele cinci teme. Celelalte patru subiecte vor fi abordate într-un raport viitor la începutul anului 2022. </w:t>
      </w:r>
      <w:r>
        <w:rPr>
          <w:b/>
          <w:i/>
          <w:sz w:val="24"/>
        </w:rPr>
        <w:t>Despre viziunea Europei</w:t>
      </w:r>
    </w:p>
    <w:p>
      <w:pPr>
        <w:pStyle w:val="P68B1DB1Normal104"/>
        <w:widowControl w:val="false"/>
        <w:spacing w:lineRule="exact" w:line="257" w:before="34" w:after="0"/>
        <w:ind w:left="0" w:right="200" w:hanging="0"/>
        <w:jc w:val="left"/>
        <w:rPr/>
      </w:pPr>
      <w:r>
        <w:rPr/>
        <w:t xml:space="preserve">Uniunea Europeană dorește ca cetățenii săi să împărtășească ceea ce cred ei despre Europa. Acesta este motivul pentru care UE organizează Conferința privind viitorul Europei. Opiniile și ideile cetățenilor din întreaga Uniune Europeană vor contribui apoi la planurile pentru viitorul Europei. În cadrul conferinței, Țările de Jos au organizat dialogul cu cetățenii „Viziunea Europei” la nivel național.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Dialogul „Viziunea Europei” a început la 1 septembrie, cu colectarea online de opinii și idei, printr-un sondaj realizat de un grup reprezentativ. Pentru a aprofunda rezultatele inițiale ale sondajului și pentru a formula recomandări concrete, am organizat dialoguri online tematice. Oricine dorește să participe poate participa. De asemenea, am călătorit în țară pentru a purta discuții cu tinerii și alte grupuri (dificultăți de atins). </w:t>
      </w:r>
    </w:p>
    <w:p>
      <w:pPr>
        <w:pStyle w:val="P68B1DB1Normal111"/>
        <w:widowControl w:val="false"/>
        <w:spacing w:lineRule="exact" w:line="269" w:before="28" w:after="0"/>
        <w:ind w:left="0" w:right="113" w:hanging="0"/>
        <w:jc w:val="left"/>
        <w:rPr/>
      </w:pPr>
      <w:r>
        <w:rPr/>
        <w:t xml:space="preserve">De la elevi, elevi de liceu și studenți la ministru, agricultori și migranți </w:t>
      </w:r>
    </w:p>
    <w:p>
      <w:pPr>
        <w:pStyle w:val="P68B1DB1Normal104"/>
        <w:widowControl w:val="false"/>
        <w:spacing w:lineRule="exact" w:line="257" w:before="26" w:after="0"/>
        <w:ind w:left="0" w:right="44" w:hanging="0"/>
        <w:jc w:val="left"/>
        <w:rPr/>
      </w:pPr>
      <w:r>
        <w:rPr/>
        <w:t xml:space="preserve">În octombrie și noiembrie, au avut loc în total opt dialoguri tematice online, cu o medie de 30 de participanți per reuniune. De asemenea, am organizat un dialog tematic online și șapte dialoguri tematice la fața locului cu diferite grupuri de cetățeni olandezi. Am vorbit cu comunitatea turcă din Schiedam și am fost invitați de voluntarii Fundației Piëzo la Zoetermeer. Cu această ultimă ocazie, ministrul de externe Ben Knapen a fost de asemenea prezent la sfârșitul dialogului. Ministrul a purtat o discuție cu participanții cu privire la dialogul și opiniile exprimate cu privire la viitorul Europei. În cele din urmă, am organizat șase întâlniri cu diferite grupuri de tineri. De exemplu, am fost bineveniți la o școală secundară din Helmond, o școală secundară profesională din Doetinchem și Universitatea din Leiden.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Întotdeauna îmi place să-mi exprim părerea în fața mașinii de cafea. De aceea am crezut că trebuie să particip. </w:t>
      </w:r>
    </w:p>
    <w:p>
      <w:pPr>
        <w:pStyle w:val="P68B1DB1Normal110"/>
        <w:widowControl w:val="false"/>
        <w:spacing w:lineRule="exact" w:line="346" w:before="41" w:after="0"/>
        <w:ind w:left="0" w:right="6639" w:hanging="0"/>
        <w:jc w:val="left"/>
        <w:rPr/>
      </w:pPr>
      <w:r>
        <w:rPr>
          <w:sz w:val="21"/>
        </w:rPr>
        <w:t xml:space="preserve">Participant la </w:t>
      </w:r>
      <w:r>
        <w:rPr>
          <w:b/>
          <w:i/>
          <w:sz w:val="24"/>
        </w:rPr>
        <w:t xml:space="preserve">Dialogul Tematic Despre acest raport </w:t>
      </w:r>
    </w:p>
    <w:p>
      <w:pPr>
        <w:pStyle w:val="P68B1DB1Normal104"/>
        <w:widowControl w:val="false"/>
        <w:spacing w:lineRule="exact" w:line="257" w:before="178" w:after="0"/>
        <w:ind w:left="0" w:right="56" w:hanging="0"/>
        <w:jc w:val="left"/>
        <w:rPr/>
      </w:pPr>
      <w:r>
        <w:rPr/>
        <w:t xml:space="preserve">Pe baza ideilor și opiniilor pe care le-am adunat în ultimele luni, am elaborat o serie de recomandări pe care cetățenii olandezi le fac Uniunii Europene. În timpul discuțiilor dintre cetățenii olandezi, au avut loc schimburi interesante de opinii și au fost prezentate idei inovatoare. Sugestiile au fost făcute, de asemenea, prin intermediul grupului de experți și al anchetei publice. Unele dintre aceste idei au fost incluse în acest raport. Conținutul acestui raport este, prin urmare, vocea Țărilor de Jos: viziunea noastră asupra Europei.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Așa cum există diferențe de opinii între țări și cetățenii europeni, nici noi nu suntem întotdeauna de acord unii cu alții în Țările de Jos. Aceste diferențe de opinii, mai exact, sunt valoroase: ele sunt o trăsătură importantă a unei democrații. Recomandările sunt extrase din ideile și opiniile cel mai frecvent exprimate de participanții la sondajul Vision of Europe. De asemenea, descriem preocupări, idei și sentimente care pot fi mai puțin răspândite, dar care ne-au atras atenția în timpul dialogurilor și al sondajului online. </w:t>
      </w:r>
      <w:r>
        <w:br w:type="page"/>
      </w:r>
    </w:p>
    <w:p>
      <w:pPr>
        <w:pStyle w:val="P68B1DB1Normal113"/>
        <w:spacing w:lineRule="auto" w:line="240"/>
        <w:rPr/>
      </w:pPr>
      <w:r>
        <w:rPr/>
        <w:t xml:space="preserve">A fost frumos să pot vorbi în grupuri mici cu suporteri și adversari. Este foarte diferit de modul în care discuțiile au loc de obicei pe social media. </w:t>
      </w:r>
    </w:p>
    <w:p>
      <w:pPr>
        <w:pStyle w:val="P68B1DB1Normal76"/>
        <w:widowControl w:val="false"/>
        <w:spacing w:lineRule="auto" w:line="240" w:before="267" w:after="0"/>
        <w:ind w:left="0" w:right="0" w:hanging="0"/>
        <w:jc w:val="left"/>
        <w:rPr/>
      </w:pPr>
      <w:r>
        <w:rPr>
          <w:rFonts w:ascii="Calibri" w:hAnsi="Calibri"/>
          <w:sz w:val="21"/>
        </w:rPr>
        <w:t>Participant la dialogul tematic</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Au fost identificate nouă teme pentru Conferința privind viitorul Europei. Aceste teme se află, de asemenea, în centrul dialogului Viziunea Europei cu cetățenii olandezi. În octombrie, Curtea a publicat un raport intermediar care oferă o imagine de ansamblu inițială a rezultatelor și întrebări complementare bazate pe sondajul grupului. În acest al doilea raport, am prezentat avizele, ideile și recomandările cu privire la primele cinci teme ale reuniunii plenare a Conferinței privind viitorul Europei din decembrie. Următorul raport, care va aborda cele patru teme rămase, va fi publicat la mijlocul lunii ianuarie. </w:t>
      </w:r>
    </w:p>
    <w:p>
      <w:pPr>
        <w:pStyle w:val="Normal"/>
        <w:rPr/>
      </w:pPr>
      <w:r>
        <w:rPr/>
        <w:t xml:space="preserve">Raport curent – decembrie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Valori și drepturi, statul de drept și securitate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O economie mai puternică, justiție socială și ocuparea forței de muncă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Democrația europeană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Transformarea digitală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Educație, cultură, tineret și sport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Următorul raport – ianuarie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Schimbările climatice și mediul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Migrație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Sănătate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UE în lume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Pașii următori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Conferința privind viitorul Europei reunește ideile, avizele și recomandările tuturor cetățenilor UE. Reuniunile vor fi dedicate nu numai rezultatelor tuturor dialogurilor cu cetățenii la nivel național, ci și rezultatelor altor inițiative lansate în contextul conferinței. De exemplu, există, de asemenea, grupuri de cetățeni europeni, iar toți cetățenii UE (inclusiv cetățenii olandezi) pot avea acces la o platformă digitală europeană. </w:t>
      </w:r>
    </w:p>
    <w:p>
      <w:pPr>
        <w:pStyle w:val="P68B1DB1Normal113"/>
        <w:widowControl w:val="false"/>
        <w:spacing w:lineRule="auto" w:line="240" w:before="203" w:after="0"/>
        <w:ind w:left="1080" w:right="1083" w:hanging="0"/>
        <w:jc w:val="center"/>
        <w:rPr/>
      </w:pPr>
      <w:r>
        <w:rPr/>
        <w:t>„</w:t>
      </w:r>
      <w:r>
        <w:rPr/>
        <w:t xml:space="preserve">Este bine că UE ia această inițiativă. Sper că rezultatele vor fi într-adevăr luate în considerare. </w:t>
      </w:r>
    </w:p>
    <w:p>
      <w:pPr>
        <w:pStyle w:val="P68B1DB1Normal104"/>
        <w:widowControl w:val="false"/>
        <w:spacing w:lineRule="auto" w:line="240" w:before="307" w:after="0"/>
        <w:ind w:left="0" w:right="0" w:hanging="0"/>
        <w:jc w:val="left"/>
        <w:rPr>
          <w:rFonts w:ascii="Calibri" w:hAnsi="Calibri"/>
          <w:color w:val="000000"/>
          <w:sz w:val="21"/>
        </w:rPr>
      </w:pPr>
      <w:r>
        <w:rPr/>
        <w:t xml:space="preserve">Participant la dialogul tematic </w:t>
      </w:r>
    </w:p>
    <w:p>
      <w:pPr>
        <w:pStyle w:val="P68B1DB1Normal105"/>
        <w:widowControl w:val="false"/>
        <w:spacing w:lineRule="auto" w:line="240"/>
        <w:ind w:left="0" w:right="0" w:hanging="0"/>
        <w:jc w:val="left"/>
        <w:rPr/>
      </w:pPr>
      <w:r>
        <w:rPr>
          <w:rFonts w:ascii="Verdana" w:hAnsi="Verdana"/>
        </w:rPr>
        <w:t>•</w:t>
      </w:r>
      <w:r>
        <w:rPr/>
        <w:t xml:space="preserve"> </w:t>
      </w:r>
      <w:r>
        <w:rPr/>
        <w:t xml:space="preserve">Conferința </w:t>
      </w:r>
      <w:r>
        <w:rPr>
          <w:rFonts w:ascii="Calibri" w:hAnsi="Calibri"/>
        </w:rPr>
        <w:t xml:space="preserve">se va încheia în primăvara anului 2022. Țările de Jos vor elabora apoi un raport final privind dialogul cu cetățenii: o compilație a prezentului raport și a următorului raport (inclusiv alte teme). În urma conferinței, se vor formula recomandări președintelui conferinței: președinții Parlamentului European, Consiliului de Miniștri și Comisiei Europene. Ei s-au angajat să exploreze modalitățile și mijloacele de punere în aplicare a recomandărilor. Pentru guvernul olandez, rezultatele reprezintă, de asemenea, o contribuție valoroasă la dezvoltarea politicilor europene ale Țărilor de Jos.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Pe scurt, procesul până în primăvara anului 2022 va fi organizat după cum urmează: </w:t>
      </w:r>
      <w:r>
        <w:br w:type="page"/>
      </w:r>
    </w:p>
    <w:p>
      <w:pPr>
        <w:pStyle w:val="P68B1DB1Normal107"/>
        <w:spacing w:lineRule="auto" w:line="240"/>
        <w:rPr/>
      </w:pPr>
      <w:r>
        <w:rPr/>
        <w:t xml:space="preserve">Cronologie </w:t>
      </w:r>
    </w:p>
    <w:p>
      <w:pPr>
        <w:pStyle w:val="P68B1DB1Normal114"/>
        <w:spacing w:lineRule="auto" w:line="240"/>
        <w:rPr/>
      </w:pPr>
      <w:r>
        <w:rPr/>
        <w:t xml:space="preserve">Viziunea Europei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Primele șapte.</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octombrie</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octombrie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noiembrie.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decembrie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ianuarie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aprilie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Colectarea ideilor online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Dialoguri tematice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Rezultate intermediare (raport intermediar)</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Raport intermediar privind „Economia” și „Democrația”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Raport intermediar privind „Clima” și „UE în lume”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Raportul final „Viziunea noastră pentru Europa”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ROMÂNĂ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ROMÂNĂ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ROMÂNĂ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ROMÂNĂ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Reuniunea Conferinței</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Reuniunea Conferinței</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Reuniunea Conferinței</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Închiderea conferinței</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Recomandări pentru președinți </w:t>
              <w:br/>
              <w:t xml:space="preserve">• Parlamentul European </w:t>
              <w:br/>
              <w:t xml:space="preserve">• Comisia Europeană </w:t>
              <w:br/>
              <w:t>• Consiliul de Miniștri</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ROMÂNĂ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ROMÂNĂ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ROMÂNĂ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Mai multe opinii și idei cu privire la viitorul Europei:</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Dialoguri cu cetățenii</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Grupurile cetățenești europene</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Platforma digitală europeană (de asemenea, pentru cetățenii olandezi)</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Explicații pentru facilitarea lecturii </w:t>
      </w:r>
    </w:p>
    <w:p>
      <w:pPr>
        <w:pStyle w:val="P68B1DB1Normal104"/>
        <w:widowControl w:val="false"/>
        <w:spacing w:lineRule="auto" w:line="240" w:before="125" w:after="0"/>
        <w:ind w:left="0" w:right="0" w:hanging="0"/>
        <w:jc w:val="left"/>
        <w:rPr/>
      </w:pPr>
      <w:r>
        <w:rPr/>
        <w:t xml:space="preserve">În acest raport, am discutat cinci teme. Pentru fiecare temă, am inclus succesiv: </w:t>
      </w:r>
    </w:p>
    <w:p>
      <w:pPr>
        <w:pStyle w:val="P68B1DB1Normal104"/>
        <w:widowControl w:val="false"/>
        <w:spacing w:lineRule="auto" w:line="240"/>
        <w:ind w:left="0" w:right="0" w:hanging="0"/>
        <w:jc w:val="left"/>
        <w:rPr>
          <w:rFonts w:ascii="Calibri" w:hAnsi="Calibri"/>
          <w:color w:val="000000"/>
          <w:sz w:val="21"/>
        </w:rPr>
      </w:pPr>
      <w:r>
        <w:rPr/>
        <w:t xml:space="preserve">recomandări bazate pe toate aspectele dialogului cu cetățenii; </w:t>
      </w:r>
    </w:p>
    <w:p>
      <w:pPr>
        <w:pStyle w:val="P68B1DB1Normal104"/>
        <w:widowControl w:val="false"/>
        <w:spacing w:lineRule="auto" w:line="240" w:before="1" w:after="0"/>
        <w:ind w:left="0" w:right="0" w:hanging="0"/>
        <w:jc w:val="left"/>
        <w:rPr/>
      </w:pPr>
      <w:r>
        <w:rPr/>
        <w:t xml:space="preserve">prezentare generală a opiniilor, ideilor și opiniilor schimbate (online și cu prezență fizică) în cadrul dialogurilor tematice și al sugestiilor din sondajul online, în cuvinte și imagini.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O descriere a metodologiei utilizate în anchetă poate fi găsită la sfârșitul prezentului raport.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Valori și drepturi, statul de drept și securitate </w:t>
      </w:r>
    </w:p>
    <w:p>
      <w:pPr>
        <w:pStyle w:val="P68B1DB1Normal104"/>
        <w:widowControl w:val="false"/>
        <w:spacing w:lineRule="auto" w:line="240" w:before="36" w:after="0"/>
        <w:ind w:left="0" w:right="0" w:hanging="0"/>
        <w:jc w:val="both"/>
        <w:rPr/>
      </w:pPr>
      <w:r>
        <w:rPr/>
        <w:t xml:space="preserve">UE monitorizează statul de drept în toate țările UE și încearcă să reducă inegalitățile din cadrul UE. De asemenea, UE dorește să protejeze toți europenii împotriva terorismului și a criminalității. Pentru a realiza acest lucru, UE pune în aplicare măsuri și norme, iar țările UE cooperează intens.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Care este viziunea Olandei în acest sens?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Recomandări – Viziunea noastră privind securitatea și statul de drept </w:t>
      </w:r>
    </w:p>
    <w:p>
      <w:pPr>
        <w:pStyle w:val="P68B1DB1Normal69"/>
        <w:widowControl w:val="false"/>
        <w:spacing w:lineRule="auto" w:line="240" w:before="41" w:after="0"/>
        <w:ind w:left="0" w:right="0" w:hanging="0"/>
        <w:jc w:val="left"/>
        <w:rPr/>
      </w:pPr>
      <w:r>
        <w:rPr/>
        <w:t xml:space="preserve">68 % dintre olandezi consideră că securitatea și statul de drept reprezintă o problemă importantă și că UE trebuie să intervină în acest domeniu.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Asigurați-vă că toată lumea se poate simți liberă și în siguranță </w:t>
      </w:r>
    </w:p>
    <w:p>
      <w:pPr>
        <w:pStyle w:val="P68B1DB1Normal104"/>
        <w:widowControl w:val="false"/>
        <w:spacing w:lineRule="auto" w:line="240" w:before="25" w:after="0"/>
        <w:ind w:left="0" w:right="0" w:hanging="0"/>
        <w:jc w:val="left"/>
        <w:rPr/>
      </w:pPr>
      <w:r>
        <w:rPr/>
        <w:t xml:space="preserve">78 % dintre olandezi consideră că este important ca UE să protejeze statul de drept și drepturile și libertățile noastre fundamentale. De asemenea, acordăm importanță protecției drepturilor consumatorilor: Marea majoritate a cetățenilor consideră că este un lucru bun că UE impune producătorilor să includă aceleași informații pe etichete în toate țările. Cu toate acestea, un număr mare de olandezi consideră că UE trebuie să acorde atenție diferențelor dintre tradițiile și culturile (guvernanței) din Europa. Și acest lucru, printre altele, pentru că, în caz contrar, ar fi dificil să coopereze eficient. Credem că este deosebit de important ca toată lumea să se simtă liberă și în siguranță în Europa. Aceasta include un acoperiș deasupra capului, dar și educație și îngrijire. Și acest lucru se referă, de asemenea, la faptul că produsele găsite în magazinele europene sunt </w:t>
      </w:r>
    </w:p>
    <w:p>
      <w:pPr>
        <w:pStyle w:val="P68B1DB1Normal104"/>
        <w:widowControl w:val="false"/>
        <w:spacing w:lineRule="auto" w:line="240"/>
        <w:ind w:left="0" w:right="0" w:hanging="0"/>
        <w:jc w:val="left"/>
        <w:rPr>
          <w:rFonts w:ascii="Calibri" w:hAnsi="Calibri"/>
          <w:color w:val="000000"/>
          <w:sz w:val="21"/>
        </w:rPr>
      </w:pPr>
      <w:r>
        <w:rPr/>
        <w:t xml:space="preserve">întotdeauna sigur.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Extinderea UE numai dacă aduce valoare adăugată </w:t>
      </w:r>
    </w:p>
    <w:p>
      <w:pPr>
        <w:pStyle w:val="P68B1DB1Normal104"/>
        <w:widowControl w:val="false"/>
        <w:spacing w:lineRule="auto" w:line="240" w:before="25" w:after="0"/>
        <w:ind w:left="0" w:right="0" w:hanging="0"/>
        <w:jc w:val="left"/>
        <w:rPr/>
      </w:pPr>
      <w:r>
        <w:rPr/>
        <w:t xml:space="preserve">44 % dintre olandezi nu cred că UE ar trebui să se extindă în mai multe țări. 25 %, pe de altă parte, sunt în favoarea extinderii. Observăm că există deja multe dezbateri între statele membre actuale. Mulți olandezi cred că trebuie să ne concentrăm mai întâi pe această temă. Și dacă noi țări aderă la Uniune, ele trebuie să fie într-adevăr în măsură să îndeplinească condițiile noastre. Astăzi și în viitor. Mulți olandezi consideră că statele membre actuale trebuie, de asemenea, să perceapă valoarea adăugată a extinderii. De asemenea, credem că există și alte oportunități de a lucra împreună ca țară pentru securitate și stabilitate. De exemplu, uneori suntem îngrijorați de influența Rusiei asupra țărilor de la frontiera estică a UE. Este important ca UE să acorde atenție.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Extinderea nu ar trebui să se concentreze pe costuri și beneficii, ci pe o viziune a stabilității.” </w:t>
      </w:r>
    </w:p>
    <w:p>
      <w:pPr>
        <w:pStyle w:val="P68B1DB1Normal111"/>
        <w:widowControl w:val="false"/>
        <w:spacing w:lineRule="auto" w:line="240" w:before="40" w:after="0"/>
        <w:ind w:left="0" w:right="0" w:hanging="0"/>
        <w:jc w:val="left"/>
        <w:rPr/>
      </w:pPr>
      <w:r>
        <w:rPr/>
        <w:t xml:space="preserve">3. Cooperarea în principal în lupta împotriva criminalității internaționale și a terorismului </w:t>
      </w:r>
    </w:p>
    <w:p>
      <w:pPr>
        <w:pStyle w:val="P68B1DB1Normal104"/>
        <w:widowControl w:val="false"/>
        <w:spacing w:lineRule="auto" w:line="240" w:before="26" w:after="0"/>
        <w:ind w:left="0" w:right="0" w:hanging="0"/>
        <w:jc w:val="left"/>
        <w:rPr/>
      </w:pPr>
      <w:r>
        <w:rPr/>
        <w:t xml:space="preserve">68 % dintre olandezi consideră că serviciile de securitate ale UE ar trebui să facă schimb de informații. Cu toate acestea, considerăm că este important ca țările să fie, de asemenea, în măsură să decidă în continuare pentru ele însele, în parte, ce informații doresc sau nu să furnizeze. Schimbul de informații face rapid cooperarea ineficientă. Iar UE este atât de mare astăzi încât trebuie să continuăm să analizăm critic unde ajung sau este probabil să se întâmple informații sensibile. Dorim să continuăm să avem încredere că intimitatea noastră este protejată. Considerăm că este logic, înainte de toate, să coopereze în lupta împotriva formelor grave de criminalitate internațională, cum ar fi criminalitatea informatică, traficul de droguri și terorismul. </w:t>
      </w:r>
    </w:p>
    <w:p>
      <w:pPr>
        <w:pStyle w:val="P68B1DB1Normal113"/>
        <w:widowControl w:val="false"/>
        <w:spacing w:lineRule="auto" w:line="240" w:before="28" w:after="0"/>
        <w:ind w:left="0" w:right="0" w:hanging="0"/>
        <w:jc w:val="center"/>
        <w:rPr/>
      </w:pPr>
      <w:r>
        <w:rPr/>
        <w:t xml:space="preserve">Dacă ardeți o dată o lumină roșie în Olanda, nu există niciun motiv pentru ca acest lucru să fie cunoscut în Spania.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Discuții și idei online și la fața locului </w:t>
      </w:r>
    </w:p>
    <w:p>
      <w:pPr>
        <w:pStyle w:val="P68B1DB1Normal118"/>
        <w:widowControl w:val="false"/>
        <w:spacing w:lineRule="auto" w:line="240" w:before="118" w:after="0"/>
        <w:ind w:left="0" w:right="0" w:hanging="0"/>
        <w:jc w:val="left"/>
        <w:rPr>
          <w:rFonts w:ascii="Calibri" w:hAnsi="Calibri"/>
          <w:i/>
          <w:i/>
          <w:color w:val="000000"/>
          <w:sz w:val="21"/>
        </w:rPr>
      </w:pPr>
      <w:r>
        <w:rPr/>
        <w:t xml:space="preserve">Dacă sancționați o țară care nu respectă regulile, cei mai săraci locuitori ai acestei țări sunt primele victime. De aceea cred că e mai bine să vorbești decât să sancționezi. </w:t>
      </w:r>
    </w:p>
    <w:p>
      <w:pPr>
        <w:pStyle w:val="P68B1DB1Normal118"/>
        <w:widowControl w:val="false"/>
        <w:spacing w:lineRule="auto" w:line="240" w:before="87" w:after="0"/>
        <w:ind w:left="0" w:right="0" w:hanging="0"/>
        <w:jc w:val="left"/>
        <w:rPr>
          <w:rFonts w:ascii="Calibri" w:hAnsi="Calibri"/>
          <w:i/>
          <w:i/>
          <w:color w:val="000000"/>
          <w:sz w:val="21"/>
        </w:rPr>
      </w:pPr>
      <w:r>
        <w:rPr/>
        <w:t xml:space="preserve">În primul rând, trebuie să asigurăm stabilitatea în cadrul clubului actual. Apoi, gândiți-vă doar la extindere. </w:t>
      </w:r>
    </w:p>
    <w:p>
      <w:pPr>
        <w:pStyle w:val="P68B1DB1Normal118"/>
        <w:widowControl w:val="false"/>
        <w:spacing w:lineRule="auto" w:line="240" w:before="85" w:after="0"/>
        <w:ind w:left="0" w:right="392" w:hanging="0"/>
        <w:jc w:val="left"/>
        <w:rPr/>
      </w:pPr>
      <w:r>
        <w:rPr/>
        <w:t xml:space="preserve">De asemenea, trebuie să examinăm în mod critic propriul nostru stat de drept. Există, cu siguranță, una sau cealaltă defecțiune. </w:t>
      </w:r>
    </w:p>
    <w:p>
      <w:pPr>
        <w:pStyle w:val="P68B1DB1Normal118"/>
        <w:widowControl w:val="false"/>
        <w:spacing w:lineRule="auto" w:line="240" w:before="85" w:after="0"/>
        <w:ind w:left="0" w:right="244" w:hanging="0"/>
        <w:jc w:val="left"/>
        <w:rPr/>
      </w:pPr>
      <w:r>
        <w:rPr/>
        <w:t xml:space="preserve">IDEE: „Stabilirea unor norme stricte de integritate pentru politicienii din întreaga Europă, astfel încât aceștia să nu poată fi influențați prea ușor.” </w:t>
      </w:r>
    </w:p>
    <w:p>
      <w:pPr>
        <w:pStyle w:val="P68B1DB1Normal118"/>
        <w:widowControl w:val="false"/>
        <w:spacing w:lineRule="auto" w:line="240" w:before="85" w:after="0"/>
        <w:ind w:left="0" w:right="0" w:hanging="0"/>
        <w:jc w:val="left"/>
        <w:rPr>
          <w:rFonts w:ascii="Calibri" w:hAnsi="Calibri"/>
          <w:i/>
          <w:i/>
          <w:color w:val="000000"/>
          <w:sz w:val="21"/>
        </w:rPr>
      </w:pPr>
      <w:r>
        <w:rPr/>
        <w:t xml:space="preserve">IDEE: „Consolidarea cooperării dintre poliție și sistemul judiciar din țările UE.” </w:t>
      </w:r>
    </w:p>
    <w:p>
      <w:pPr>
        <w:pStyle w:val="P68B1DB1Normal111"/>
        <w:widowControl w:val="false"/>
        <w:spacing w:lineRule="auto" w:line="240" w:before="84" w:after="0"/>
        <w:ind w:left="0" w:right="67" w:hanging="0"/>
        <w:jc w:val="left"/>
        <w:rPr/>
      </w:pPr>
      <w:r>
        <w:rPr/>
        <w:t xml:space="preserve">Doetinchem elevi de liceu profesional: Cei care doresc să facă parte din UE trebuie să respecte regulile. </w:t>
      </w:r>
    </w:p>
    <w:p>
      <w:pPr>
        <w:pStyle w:val="P68B1DB1Normal104"/>
        <w:widowControl w:val="false"/>
        <w:spacing w:lineRule="auto" w:line="240" w:before="100" w:after="0"/>
        <w:ind w:left="0" w:right="0" w:hanging="0"/>
        <w:jc w:val="left"/>
        <w:rPr/>
      </w:pPr>
      <w:r>
        <w:rPr/>
        <w:t xml:space="preserve">La Colegiul Graafschap din Doetinchem, aproximativ 20 de studenți la asistență medicală au dezbătut întrebarea care, în opinia lor, au reprezentat cele mai mari beneficii ale UE: piața liberă, euro ca monedă comună și faptul că, în calitate de europeană, se poate stabili și lucra cu ușurință în alte țări ale UE. Și faptul că țările UE se pot sprijini reciproc. Uniunea este putere", a spus unul dintre studenții prezenți. S-a discutat, de asemenea, importanța normelor. Dacă țările nu le respectă, adesea este dificil să le pedepsiți cu asprime. Potrivit elevilor, ar putea fi util ca acest lucru să devină un pic mai ușor. Unul dintre ei a menționat, de asemenea, efectul disuasiv. Dacă impuneți sancțiuni severe, alte țări văd ce se poate întâmpla atunci când nu respectați regulile.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din Surinam în Utrecht: Uneori lipsește încrederea în statul de drept </w:t>
      </w:r>
    </w:p>
    <w:p>
      <w:pPr>
        <w:pStyle w:val="Normal"/>
        <w:widowControl w:val="false"/>
        <w:spacing w:lineRule="auto" w:line="240" w:before="97" w:after="0"/>
        <w:ind w:left="0" w:right="34" w:hanging="0"/>
        <w:jc w:val="left"/>
        <w:rPr/>
      </w:pPr>
      <w:r>
        <w:rPr>
          <w:rFonts w:ascii="Calibri" w:hAnsi="Calibri"/>
          <w:color w:val="000000"/>
          <w:sz w:val="21"/>
        </w:rPr>
        <w:t xml:space="preserve">Fundația Asha este o organizație de voluntari hinduși din Surinam, în municipalitatea Utrecht. Participanții la dialogul tematic au discutat în special importanța drepturilor cetățenilor: dreptul de a avea un acoperiș deasupra capului, dar și, de exemplu, dreptul la nediscriminare. Potrivit voluntarilor prezenți, trebuie să existe norme care să protejeze aceste drepturi pentru toți cetățenii europeni. Nu se știe întotdeauna ce este reglementat în prezent în Țările de Jos și ceea ce este reglementat în prezent la nivel european. Prin urmare, uneori este dificil să avem încredere în autoritățile publice. Mai ales că uneori există unele defecțiuni în cadrul autorităților publice. „Puteți spune că autoritățile trebuie să mă apere, dar uneori reușesc să semene vâsle, așa cum s-a întâmplat cu cazul alocației”, a spus unul dintre participanți. „UE ar trebui să se asigure că normele sunt efectiv respectate”, a declarat un alt participant. </w:t>
      </w:r>
      <w:r>
        <w:br w:type="page"/>
      </w:r>
    </w:p>
    <w:p>
      <w:pPr>
        <w:pStyle w:val="P68B1DB1Normal117"/>
        <w:spacing w:lineRule="auto" w:line="240"/>
        <w:ind w:left="0" w:right="0" w:hanging="0"/>
        <w:rPr>
          <w:rFonts w:ascii="Calibri" w:hAnsi="Calibri"/>
          <w:b/>
          <w:b/>
          <w:i/>
          <w:i/>
          <w:color w:val="000000"/>
          <w:sz w:val="28"/>
        </w:rPr>
      </w:pPr>
      <w:r>
        <w:rPr/>
        <w:t xml:space="preserve">O economie mai puternică, justiție socială și ocuparea forței de muncă </w:t>
      </w:r>
    </w:p>
    <w:p>
      <w:pPr>
        <w:pStyle w:val="P68B1DB1Normal104"/>
        <w:widowControl w:val="false"/>
        <w:spacing w:lineRule="auto" w:line="240" w:before="139" w:after="0"/>
        <w:ind w:left="0" w:right="0" w:hanging="0"/>
        <w:jc w:val="left"/>
        <w:rPr/>
      </w:pPr>
      <w:r>
        <w:rPr/>
        <w:t xml:space="preserve">Întreprinderile mici și mijlocii reprezintă coloana vertebrală a economiei europene. Prin urmare, UE dorește ca țările UE să colaboreze la planurile de redresare pentru a ieși mai puternici din punct de vedere economic în urma crizei provocate de pandemia de COVID-19. Pe termen lung, obiectivul UE este de a face economia europeană mai sănătoasă, mai ecologică și mai digitală. Care este viziunea Olandei în acest sens?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Recomandări – Viziunea noastră asupra economiei și ocupării forței de muncă </w:t>
      </w:r>
    </w:p>
    <w:p>
      <w:pPr>
        <w:pStyle w:val="P68B1DB1Normal35"/>
        <w:widowControl w:val="false"/>
        <w:spacing w:lineRule="auto" w:line="240" w:before="123" w:after="0"/>
        <w:ind w:left="0" w:right="0" w:hanging="0"/>
        <w:jc w:val="left"/>
        <w:rPr/>
      </w:pPr>
      <w:r>
        <w:rPr>
          <w:rFonts w:ascii="Calibri" w:hAnsi="Calibri"/>
          <w:sz w:val="20"/>
        </w:rPr>
        <w:t>61 % dintre olandezi consideră că economia și ocuparea forței de muncă reprezintă o temă importantă și că UE trebuie să intervină în acest domeniu.</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Luarea în considerare a elementelor comune și a diferențelor </w:t>
      </w:r>
    </w:p>
    <w:p>
      <w:pPr>
        <w:pStyle w:val="P68B1DB1Normal104"/>
        <w:widowControl w:val="false"/>
        <w:spacing w:lineRule="auto" w:line="240" w:before="97" w:after="0"/>
        <w:ind w:left="0" w:right="0" w:hanging="0"/>
        <w:jc w:val="left"/>
        <w:rPr/>
      </w:pPr>
      <w:r>
        <w:rPr/>
        <w:t xml:space="preserve">71 % dintre olandezi consideră că UE ar trebui să se asigure că întreprinderile colaborează mai mult, consolidând astfel economia europeană. Cu toate acestea, dintre aceste persoane, doar o mică parte consideră că UE trebuie să plătească mai mulți bani întreprinderilor. Mai presus de toate, considerăm că cooperarea poate fi mai eficientă. Astăzi vedem că diferite companii investesc în aceeași tehnologie nouă, uneori chiar și cu fonduri publice. Dacă am avea o viziune europeană asupra economiei, am putea folosi acești bani mai eficient. Cu toate acestea, în acest sens, ar trebui acordată o atenție deosebită diferențelor dintre țări. </w:t>
      </w:r>
    </w:p>
    <w:p>
      <w:pPr>
        <w:pStyle w:val="P68B1DB1Normal113"/>
        <w:widowControl w:val="false"/>
        <w:spacing w:lineRule="auto" w:line="240" w:before="306" w:after="0"/>
        <w:ind w:left="0" w:right="0" w:hanging="0"/>
        <w:jc w:val="center"/>
        <w:rPr/>
      </w:pPr>
      <w:r>
        <w:rPr/>
        <w:t xml:space="preserve">Sectorul agricol din Olanda este atât de modern. Nu este întotdeauna posibil să o comparăm cu cea a altor țări.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Valorificarea într-o mai mare măsură a punctelor forte ale Europei </w:t>
      </w:r>
    </w:p>
    <w:p>
      <w:pPr>
        <w:pStyle w:val="P68B1DB1Normal104"/>
        <w:widowControl w:val="false"/>
        <w:spacing w:lineRule="auto" w:line="240" w:before="97" w:after="0"/>
        <w:ind w:left="0" w:right="0" w:hanging="0"/>
        <w:jc w:val="left"/>
        <w:rPr/>
      </w:pPr>
      <w:r>
        <w:rPr/>
        <w:t>Olandezii cred că există multe oportunități de consolidare a economiei europene, dar că trebuie făcute alegeri. Acesta este motivul pentru care credem că UE ar trebui să se concentreze mai presus de toate pe punctele sale forte. De exemplu, considerăm că Europa este bună în</w:t>
      </w:r>
    </w:p>
    <w:p>
      <w:pPr>
        <w:pStyle w:val="P68B1DB1Normal104"/>
        <w:widowControl w:val="false"/>
        <w:spacing w:lineRule="auto" w:line="240"/>
        <w:ind w:left="0" w:right="0" w:hanging="0"/>
        <w:jc w:val="left"/>
        <w:rPr/>
      </w:pPr>
      <w:r>
        <w:rPr/>
        <w:t xml:space="preserve"> </w:t>
      </w:r>
      <w:r>
        <w:rPr/>
        <w:t xml:space="preserve">domenii precum tranziția digitală, sustenabilitatea și infrastructura. Și ceea ce este, poate, mai important: apărăm calitatea și diversitatea. Tocmai diversitatea continentului nostru, cu opinii și idei diferite, trebuie să exploatăm mult mai mult ca avantaj economic. Acest lucru poate permite Europei să se distingă, de exemplu, de economia chineză.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Dezvoltarea unui sistem fiscal echitabil și clar </w:t>
      </w:r>
    </w:p>
    <w:p>
      <w:pPr>
        <w:pStyle w:val="P68B1DB1Normal104"/>
        <w:widowControl w:val="false"/>
        <w:spacing w:lineRule="auto" w:line="240" w:before="95" w:after="0"/>
        <w:ind w:left="0" w:right="0" w:hanging="0"/>
        <w:jc w:val="left"/>
        <w:rPr/>
      </w:pPr>
      <w:r>
        <w:rPr/>
        <w:t xml:space="preserve">82 % dintre olandezi consideră că țările UE trebuie să se asigure în mod colectiv că toate întreprinderile din UE plătesc impozite echitabile. Aceasta include companii foarte mari. Astăzi, ei se stabilesc uneori în alte țări pentru simplul motiv că plătesc mai puține impozite. UE ar trebui să combată acest fenomen, de exemplu prin stabilirea unei rate minime pentru toate țările. Pe de altă parte, considerăm că impozitarea este o competență care aparține țărilor care au obiective și contexte proprii. Considerăm că impozitarea este, în general, o problemă complexă. Tocmai din acest motiv am dori un sistem fiscal mai bun, care să fie corect și clar pentru toată lumea din Europa. </w:t>
      </w:r>
    </w:p>
    <w:p>
      <w:pPr>
        <w:pStyle w:val="P68B1DB1Normal113"/>
        <w:widowControl w:val="false"/>
        <w:spacing w:lineRule="auto" w:line="240" w:before="256" w:after="0"/>
        <w:ind w:left="0" w:right="0" w:hanging="0"/>
        <w:jc w:val="center"/>
        <w:rPr/>
      </w:pPr>
      <w:r>
        <w:rPr/>
        <w:t xml:space="preserve">Castraveții trebuie să aibă aceeași formă peste tot, dar regulile fiscale sunt diferite. E o nebunie, nu-i așa?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Asigurați-vă că toată lumea poate participa </w:t>
      </w:r>
    </w:p>
    <w:p>
      <w:pPr>
        <w:pStyle w:val="P68B1DB1Normal104"/>
        <w:widowControl w:val="false"/>
        <w:spacing w:lineRule="auto" w:line="240" w:before="97" w:after="0"/>
        <w:ind w:left="0" w:right="0" w:hanging="0"/>
        <w:jc w:val="left"/>
        <w:rPr/>
      </w:pPr>
      <w:r>
        <w:rPr/>
        <w:t xml:space="preserve">71 % dintre olandezi consideră că UE ar trebui să contribuie la stimularea ocupării forței de muncă. În acest sens, considerăm că ar trebui acordată o atenție deosebită anumitor grupuri, cum ar fi tinerii și persoanele aflate în afara pieței forței de muncă. Acest lucru se poate realiza prin norme sau subvenții pentru întreprinderi, dar și prin acordarea de sprijin specific angajatorilor și lucrătorilor. Ne gândim, de exemplu, la activități de sensibilizare sau la probleme foarte practice. Este posibil ca, în unele cazuri, un astfel de sprijin să poată fi organizat mai eficient la nivelul UE și, în altele, să fie o sarcină, mai degrabă decât pentru statele membre însele. Țările UE ar trebui, în cele din urmă, să coopereze pentru a asigura egalitatea de șanse pe piața europeană a forței de muncă.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Discuții și idei online și la fața locului </w:t>
      </w:r>
    </w:p>
    <w:p>
      <w:pPr>
        <w:pStyle w:val="P68B1DB1Normal118"/>
        <w:widowControl w:val="false"/>
        <w:spacing w:lineRule="auto" w:line="240" w:before="115" w:after="0"/>
        <w:ind w:left="0" w:right="0" w:hanging="0"/>
        <w:jc w:val="left"/>
        <w:rPr>
          <w:rFonts w:ascii="Calibri" w:hAnsi="Calibri"/>
          <w:i/>
          <w:i/>
          <w:color w:val="000000"/>
          <w:sz w:val="21"/>
        </w:rPr>
      </w:pPr>
      <w:r>
        <w:rPr/>
        <w:t xml:space="preserve">Accelerați automatizarea în Europa, astfel încât produsele care provin în prezent din China să fie fabricate din nou aici. </w:t>
      </w:r>
    </w:p>
    <w:p>
      <w:pPr>
        <w:pStyle w:val="P68B1DB1Normal118"/>
        <w:widowControl w:val="false"/>
        <w:spacing w:lineRule="auto" w:line="240" w:before="85" w:after="0"/>
        <w:ind w:left="0" w:right="0" w:hanging="0"/>
        <w:jc w:val="left"/>
        <w:rPr/>
      </w:pPr>
      <w:r>
        <w:rPr/>
        <w:t xml:space="preserve">Luați în serios revoluția bitcoinilor și a altor criptomonede. Persoanele interesate de ea sunt tratate ca fraudatori fiscali, în timp ce acest tip de tehnologie blockchain este viitorul. </w:t>
      </w:r>
    </w:p>
    <w:p>
      <w:pPr>
        <w:pStyle w:val="P68B1DB1Normal118"/>
        <w:widowControl w:val="false"/>
        <w:spacing w:lineRule="auto" w:line="240" w:before="87" w:after="0"/>
        <w:ind w:left="0" w:right="0" w:hanging="0"/>
        <w:jc w:val="left"/>
        <w:rPr/>
      </w:pPr>
      <w:r>
        <w:rPr/>
        <w:t xml:space="preserve">Acționarii nu sunt singurii actori ai economiei europene. Nimic nu este posibil fără angajați.„Europa trebuie să facă mai mult pentru persoanele cu handicap”. Este mult prea dificil pentru ei să găsească un loc de muncă potrivit astăzi. </w:t>
      </w:r>
    </w:p>
    <w:p>
      <w:pPr>
        <w:pStyle w:val="P68B1DB1Normal118"/>
        <w:widowControl w:val="false"/>
        <w:spacing w:lineRule="auto" w:line="240" w:before="85" w:after="0"/>
        <w:ind w:left="0" w:right="0" w:hanging="0"/>
        <w:jc w:val="left"/>
        <w:rPr/>
      </w:pPr>
      <w:r>
        <w:rPr/>
        <w:t xml:space="preserve">Multe norme europene sunt complexe și se schimbă în mod regulat. Prin urmare, este dificil pentru întreprinderi să inoveze. </w:t>
      </w:r>
    </w:p>
    <w:p>
      <w:pPr>
        <w:pStyle w:val="P68B1DB1Normal118"/>
        <w:widowControl w:val="false"/>
        <w:spacing w:lineRule="auto" w:line="240" w:before="85" w:after="0"/>
        <w:ind w:left="0" w:right="0" w:hanging="0"/>
        <w:jc w:val="both"/>
        <w:rPr/>
      </w:pPr>
      <w:r>
        <w:rPr/>
        <w:t xml:space="preserve">În cazul lucrărilor de transformare în cadrul companiei mele, contractantul meu local ar fi putut începe cu mult timp în urmă. Dar mai întâi a trebuit să lansez o cerere de oferte la nivel european. E o rușine. </w:t>
      </w:r>
    </w:p>
    <w:p>
      <w:pPr>
        <w:pStyle w:val="P68B1DB1Normal111"/>
        <w:widowControl w:val="false"/>
        <w:spacing w:lineRule="auto" w:line="240" w:before="85" w:after="0"/>
        <w:ind w:left="0" w:right="0" w:hanging="0"/>
        <w:jc w:val="both"/>
        <w:rPr>
          <w:rFonts w:ascii="Calibri" w:hAnsi="Calibri"/>
          <w:b/>
          <w:b/>
          <w:color w:val="000000"/>
          <w:sz w:val="22"/>
        </w:rPr>
      </w:pPr>
      <w:r>
        <w:rPr/>
        <w:t xml:space="preserve">Participanții la dialogul online: „Gândindu-se împreună la problema marilor companii” </w:t>
      </w:r>
    </w:p>
    <w:p>
      <w:pPr>
        <w:pStyle w:val="P68B1DB1Normal104"/>
        <w:widowControl w:val="false"/>
        <w:spacing w:lineRule="auto" w:line="240" w:before="97" w:after="0"/>
        <w:ind w:left="0" w:right="0" w:hanging="0"/>
        <w:jc w:val="left"/>
        <w:rPr/>
      </w:pPr>
      <w:r>
        <w:rPr/>
        <w:t>În cadrul unuia dintre dialogurile tematice online, a apărut o dezbatere cu privire la creșterea puterii întreprinderilor mari. Unii participanți ar dori ca UE</w:t>
      </w:r>
      <w:r>
        <w:rPr/>
        <w:commentReference w:id="22"/>
      </w:r>
      <w:r>
        <w:rPr/>
        <w:t xml:space="preserve"> să ia măsuri mai ferme în această privință. Într-adevăr, unele întreprinderi obțin uneori profituri semnificative pentru care plătesc impozite mici datorită unor aranjamente sofisticate. Alți participanți au cerut să privească lucrurile în ansamblu: aceste companii generează un nivel ridicat de ocupare a forței de muncă și aduc beneficii economiei naționale. „Nu ar trebui să-i urmărești”, a spus cineva. Un alt participant a considerat că, în orice caz, este important ca țările UE să reflecteze împreună asupra acestei chestiuni. Companiile mari pot concura în prezent între țări. Acesta este motivul pentru care trebuie să prezentăm un front mai unit ca UE. </w:t>
      </w:r>
    </w:p>
    <w:p>
      <w:pPr>
        <w:pStyle w:val="P68B1DB1Normal111"/>
        <w:widowControl w:val="false"/>
        <w:spacing w:lineRule="auto" w:line="240" w:before="97" w:after="0"/>
        <w:ind w:left="0" w:right="0" w:hanging="0"/>
        <w:jc w:val="left"/>
        <w:rPr>
          <w:rFonts w:ascii="Calibri" w:hAnsi="Calibri"/>
          <w:b/>
          <w:b/>
          <w:color w:val="000000"/>
          <w:sz w:val="22"/>
        </w:rPr>
      </w:pPr>
      <w:r>
        <w:rPr/>
        <w:t xml:space="preserve">Agricultorii care țin seama de natură: „Stabilește obiective mai degrabă decât cote” </w:t>
      </w:r>
    </w:p>
    <w:p>
      <w:pPr>
        <w:pStyle w:val="P68B1DB1Normal104"/>
        <w:widowControl w:val="false"/>
        <w:spacing w:lineRule="auto" w:line="240" w:before="95" w:after="0"/>
        <w:ind w:left="0" w:right="0" w:hanging="0"/>
        <w:jc w:val="left"/>
        <w:rPr/>
      </w:pPr>
      <w:r>
        <w:rPr/>
        <w:t xml:space="preserve">BoerenNatuur este o asociație a grupurilor agricole. Un mic grup de membri a discutat, printre altele, normele UE pentru fermieri. Pe de o parte, ei consideră că UE aduce o mulțime de lucruri pozitive, cum ar fi ușurința exportului către alte țări. Pe de altă parte, ei consideră că politicile ar putea fi adesea și mai explicite. „Dar toată lumea lucrează din ce în ce mai mult în aceeași direcție”, a spus cineva. În special, sunt posibile îmbunătățiri ale procedurilor: acestea sunt adesea foarte administrative și consumatoare de timp. În opinia unui participant, regulile nu ar trebui să fie prea detaliate. Preferați obiective clare, cum ar fi apa curată. Apoi ne putem decide pe noi înșine ca urmare a lățimii unui șanț.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Democrația europeană </w:t>
      </w:r>
    </w:p>
    <w:p>
      <w:pPr>
        <w:pStyle w:val="P68B1DB1Normal104"/>
        <w:widowControl w:val="false"/>
        <w:spacing w:lineRule="auto" w:line="240"/>
        <w:ind w:left="0" w:right="0" w:hanging="0"/>
        <w:jc w:val="left"/>
        <w:rPr/>
      </w:pPr>
      <w:r>
        <w:rPr/>
        <w:t xml:space="preserve">UE încurajează europenii să voteze și dorește, de asemenea, să îi implice în procesul decizional și în politicile europene în afara perioadei electorale. UE ia, de asemenea, inițiative de consolidare a democrației, de exemplu prin elaborarea unui plan de acțiune axat pe alegeri libere și corecte și pe libertatea presei. Care este viziunea Olandei în acest sens?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Recomandări – Viziunea noastră pentru democrația europeană </w:t>
      </w:r>
    </w:p>
    <w:p>
      <w:pPr>
        <w:pStyle w:val="P68B1DB1Normal69"/>
        <w:widowControl w:val="false"/>
        <w:spacing w:lineRule="auto" w:line="240"/>
        <w:ind w:left="0" w:right="0" w:hanging="0"/>
        <w:jc w:val="left"/>
        <w:rPr/>
      </w:pPr>
      <w:r>
        <w:rPr/>
        <w:t xml:space="preserve">60 % dintre olandezi consideră că democrația europeană este o problemă importantă și că UE trebuie să intervină în acest domeniu.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O mai bună imagine de ansamblu asupra Europei </w:t>
      </w:r>
    </w:p>
    <w:p>
      <w:pPr>
        <w:pStyle w:val="P68B1DB1Normal104"/>
        <w:widowControl w:val="false"/>
        <w:spacing w:lineRule="auto" w:line="240"/>
        <w:ind w:left="0" w:right="0" w:hanging="0"/>
        <w:jc w:val="left"/>
        <w:rPr/>
      </w:pPr>
      <w:r>
        <w:rPr/>
        <w:t xml:space="preserve">Olandezii subliniază că Europa apare adesea în cazul unei crize în mass-media. Pe de altă parte, avem puține informații despre deciziile zilnice. În calitate de cetățeni, nu trebuie să știm totul, dar pentru a forma o opinie bună, ar fi bine să avem o imagine de ansamblu mai bună. De exemplu, ar fi interesant să auzim mai des punctele de vedere ale altor țări cu privire la UE. Mass-media și educația pot juca un rol important în acest sens. Dar mass-media trebuie să rămână în măsură să facă propriile alegeri. Pentru că olandezii consideră că libertatea presei este foarte importantă în democrația noastră. </w:t>
      </w:r>
    </w:p>
    <w:p>
      <w:pPr>
        <w:pStyle w:val="P68B1DB1Normal113"/>
        <w:widowControl w:val="false"/>
        <w:spacing w:lineRule="auto" w:line="240" w:before="184" w:after="0"/>
        <w:ind w:left="0" w:right="0" w:hanging="0"/>
        <w:jc w:val="center"/>
        <w:rPr/>
      </w:pPr>
      <w:r>
        <w:rPr/>
        <w:t>„</w:t>
      </w:r>
      <w:r>
        <w:rPr/>
        <w:t xml:space="preserve">De cele mai multe ori, auzim despre UE doar în cazul unei crize. Din acest motiv, sentimentul față de Europa rămâne negativ.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Găsiți noi modalități de a asculta în mod continuu cetățenii </w:t>
      </w:r>
    </w:p>
    <w:p>
      <w:pPr>
        <w:pStyle w:val="P68B1DB1Normal104"/>
        <w:widowControl w:val="false"/>
        <w:spacing w:lineRule="auto" w:line="240"/>
        <w:ind w:left="0" w:right="0" w:hanging="0"/>
        <w:jc w:val="left"/>
        <w:rPr/>
      </w:pPr>
      <w:r>
        <w:rPr/>
        <w:t xml:space="preserve">51 % dintre olandezi consideră că UE nu este suficient de conștientă de ceea ce se întâmplă în societate. Pentru a îmbunătăți această situație, UE ar trebui să se implice mai des, de preferință permanent, într-un dialog cu cetățenii. Prin urmare, mulți olandezi consideră că Conferința privind viitorul Europei este o inițiativă bună. Referendumurile pot fi, de asemenea, un instrument valoros, dar olandezii au opinii diferite în acest sens. Pentru anumite subiecte, este, de asemenea, uneori necesar să aveți cunoștințe de specialitate. În orice caz, a vorbi cu cetățenii nu ar trebui să fie o simplă formalitate. Credem că este important să fim luați în serios.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Mai multă transparență și claritate cu privire la deciziile luate </w:t>
      </w:r>
    </w:p>
    <w:p>
      <w:pPr>
        <w:pStyle w:val="P68B1DB1Normal104"/>
        <w:widowControl w:val="false"/>
        <w:spacing w:lineRule="auto" w:line="240"/>
        <w:ind w:left="0" w:right="0" w:hanging="0"/>
        <w:jc w:val="left"/>
        <w:rPr/>
      </w:pPr>
      <w:r>
        <w:rPr/>
        <w:t xml:space="preserve">Olandezii găsesc uneori Europa destul de complicată. Nu toată lumea are același nivel de cunoștințe de bază. UE trebuie să țină seama mai mult de acest aspect. Dorim ca UE să devină mai transparentă și să faciliteze actualizarea. Autoritățile olandeze au, de asemenea, un rol de jucat în această privință. Mulți olandezi sunt interesați de deciziile europene, dar consideră că canalele oficiale sunt prea dificil de găsit sau prea complexe. În plus, fiecare are interese și nevoi diferite. Prin urmare, ar fi necesar să putem alege subiectele pe care am dori să le învățăm mai mult. Tinerii sunt adesea interesați de Europa, dar văd puține informații despre aceasta pe rețelele lor sociale, de exemplu. </w:t>
      </w:r>
    </w:p>
    <w:p>
      <w:pPr>
        <w:pStyle w:val="P68B1DB1Normal113"/>
        <w:widowControl w:val="false"/>
        <w:spacing w:lineRule="auto" w:line="240" w:before="184" w:after="0"/>
        <w:ind w:left="0" w:right="0" w:hanging="0"/>
        <w:jc w:val="center"/>
        <w:rPr/>
      </w:pPr>
      <w:r>
        <w:rPr/>
        <w:t xml:space="preserve">În timp ce eram în vacanță în Ungaria, am văzut un semn mare lângă o nouă plantație forestieră care spunea: „Această plantație a fost posibilă datorită UE.” Chiar dacă sunt sceptic față de Europa, încă mă simțeam mândru.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Asigurarea faptului că problemele spinoase pot fi rezolvate mai repede </w:t>
      </w:r>
    </w:p>
    <w:p>
      <w:pPr>
        <w:pStyle w:val="P68B1DB1Normal104"/>
        <w:widowControl w:val="false"/>
        <w:spacing w:lineRule="auto" w:line="240"/>
        <w:ind w:left="0" w:right="0" w:hanging="0"/>
        <w:jc w:val="left"/>
        <w:rPr/>
      </w:pPr>
      <w:r>
        <w:rPr/>
        <w:t>Olandezilor le este greu să înțeleagă cum funcționează democrația europeană, dar li se pare că procesul decizional în UE este adesea foarte lent. La alegerile europene, vedem, înainte de toate, alianțele dintre partidele</w:t>
      </w:r>
      <w:r>
        <w:rPr/>
        <w:commentReference w:id="23"/>
      </w:r>
      <w:r>
        <w:rPr/>
        <w:t xml:space="preserve"> naționale. De asemenea, pot exista și alte modalități de abordare a intereselor europene. Aproximativ o treime din olandezi consideră că, la alegerile pentru Parlamentul European, ar trebui să fie posibil să se voteze pentru candidații străini. Un număr aproximativ egal de cetățeni consideră că acest lucru nu ar trebui să fie posibil. Ceea ce contează cel mai mult este că diferitele interese în cauză sunt luate în considerare în mod suficient. În același timp, este posibil să se rezolve problemele spinoase mai repede decât este cazul astăzi. </w:t>
      </w:r>
    </w:p>
    <w:p>
      <w:pPr>
        <w:pStyle w:val="P68B1DB1Normal113"/>
        <w:widowControl w:val="false"/>
        <w:spacing w:lineRule="auto" w:line="240" w:before="201" w:after="0"/>
        <w:ind w:left="0" w:right="0" w:hanging="0"/>
        <w:jc w:val="center"/>
        <w:rPr/>
      </w:pPr>
      <w:r>
        <w:rPr/>
        <w:t xml:space="preserve">În alegeri, aș vrea să mă pot identifica cu cineva și să știu ce apără. Nu trebuie neapărat să fie un compatriot.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Discuții și idei online și la fața locului </w:t>
      </w:r>
    </w:p>
    <w:p>
      <w:pPr>
        <w:pStyle w:val="P68B1DB1Normal118"/>
        <w:widowControl w:val="false"/>
        <w:spacing w:lineRule="auto" w:line="240" w:before="3" w:after="0"/>
        <w:ind w:left="0" w:right="0" w:hanging="0"/>
        <w:jc w:val="left"/>
        <w:rPr>
          <w:rFonts w:ascii="Calibri" w:hAnsi="Calibri"/>
          <w:i/>
          <w:i/>
          <w:color w:val="000000"/>
          <w:sz w:val="21"/>
        </w:rPr>
      </w:pPr>
      <w:r>
        <w:rPr/>
        <w:t xml:space="preserve">Înlăturați puterea de veto a țărilor. Majoritatea trebuie să decidă. </w:t>
      </w:r>
    </w:p>
    <w:p>
      <w:pPr>
        <w:pStyle w:val="Normal"/>
        <w:widowControl w:val="false"/>
        <w:spacing w:lineRule="auto" w:line="240" w:before="85" w:after="0"/>
        <w:ind w:left="0" w:right="0" w:hanging="0"/>
        <w:jc w:val="left"/>
        <w:rPr/>
      </w:pPr>
      <w:r>
        <w:rPr>
          <w:rFonts w:ascii="Calibri" w:hAnsi="Calibri"/>
          <w:i/>
          <w:color w:val="000000"/>
          <w:sz w:val="21"/>
        </w:rPr>
        <w:t xml:space="preserve">Pentru decizii importante, înființează grupuri de discuții </w:t>
      </w:r>
      <w:commentRangeStart w:id="24"/>
      <w:r>
        <w:rPr>
          <w:rFonts w:ascii="Calibri" w:hAnsi="Calibri"/>
          <w:i/>
          <w:color w:val="000000"/>
          <w:sz w:val="21"/>
        </w:rPr>
        <w:t xml:space="preserve">compuse </w:t>
      </w:r>
      <w:r>
        <w:rPr>
          <w:rFonts w:ascii="Calibri" w:hAnsi="Calibri"/>
          <w:i/>
          <w:color w:val="000000"/>
          <w:sz w:val="21"/>
        </w:rPr>
      </w:r>
      <w:commentRangeEnd w:id="24"/>
      <w:r>
        <w:commentReference w:id="24"/>
      </w:r>
      <w:r>
        <w:rPr>
          <w:rFonts w:ascii="Calibri" w:hAnsi="Calibri"/>
          <w:i/>
          <w:color w:val="000000"/>
          <w:sz w:val="21"/>
        </w:rPr>
        <w:t>din cetățeni, poate pe o bază (semi-) obligatorie, așa cum se face în cazul juriilor din Statele Unite.</w:t>
      </w:r>
    </w:p>
    <w:p>
      <w:pPr>
        <w:pStyle w:val="P68B1DB1Normal118"/>
        <w:widowControl w:val="false"/>
        <w:spacing w:lineRule="auto" w:line="240" w:before="85" w:after="0"/>
        <w:ind w:left="0" w:right="0" w:hanging="0"/>
        <w:jc w:val="left"/>
        <w:rPr/>
      </w:pPr>
      <w:r>
        <w:rPr/>
        <w:t>„</w:t>
      </w:r>
      <w:r>
        <w:rPr/>
        <w:t xml:space="preserve">Asigurați-vă că politicienii și oficialii UE vizitează în mod regulat hinterlandul” și nu rămân pe deplin conservați în bula lor de la Bruxelles. </w:t>
      </w:r>
    </w:p>
    <w:p>
      <w:pPr>
        <w:pStyle w:val="P68B1DB1Normal118"/>
        <w:widowControl w:val="false"/>
        <w:spacing w:lineRule="auto" w:line="240" w:before="85" w:after="0"/>
        <w:ind w:left="0" w:right="0" w:hanging="0"/>
        <w:jc w:val="left"/>
        <w:rPr/>
      </w:pPr>
      <w:r>
        <w:rPr/>
        <w:t xml:space="preserve">IDEE: De fapt, știrile TV ar trebui să dedice câteva minute Europei în fiecare dintre edițiile sale. Sau am putea lansa un ziar zilnic sau săptămânal dedicat Europei. </w:t>
      </w:r>
    </w:p>
    <w:p>
      <w:pPr>
        <w:pStyle w:val="P68B1DB1Normal118"/>
        <w:widowControl w:val="false"/>
        <w:spacing w:lineRule="auto" w:line="240" w:before="85" w:after="0"/>
        <w:ind w:left="0" w:right="0" w:hanging="0"/>
        <w:jc w:val="left"/>
        <w:rPr/>
      </w:pPr>
      <w:r>
        <w:rPr/>
        <w:t xml:space="preserve">IDEE: Poate că politicienii europeni ar trebui să participe mai des la programele de televiziune. </w:t>
      </w:r>
    </w:p>
    <w:p>
      <w:pPr>
        <w:pStyle w:val="P68B1DB1Normal118"/>
        <w:widowControl w:val="false"/>
        <w:spacing w:lineRule="auto" w:line="240" w:before="85" w:after="0"/>
        <w:ind w:left="0" w:right="0" w:hanging="0"/>
        <w:jc w:val="left"/>
        <w:rPr/>
      </w:pPr>
      <w:r>
        <w:rPr/>
        <w:t xml:space="preserve">Ca tânăr, aproape niciodată nu am citit nimic despre Europa. Cu toate acestea, sunt curios să știu mai multe, dar fără a fi nevoie să fac prea mult efort pentru a obține informații. </w:t>
      </w:r>
    </w:p>
    <w:p>
      <w:pPr>
        <w:pStyle w:val="P68B1DB1Normal111"/>
        <w:widowControl w:val="false"/>
        <w:spacing w:lineRule="auto" w:line="240" w:before="84" w:after="0"/>
        <w:ind w:left="0" w:right="0" w:hanging="0"/>
        <w:jc w:val="left"/>
        <w:rPr>
          <w:rFonts w:ascii="Calibri" w:hAnsi="Calibri"/>
          <w:b/>
          <w:b/>
          <w:color w:val="000000"/>
          <w:sz w:val="22"/>
        </w:rPr>
      </w:pPr>
      <w:r>
        <w:rPr/>
        <w:t xml:space="preserve">Tineri membri ai Coaliției-Y din Utrecht: dezbatere privind utilizarea referendumurilor </w:t>
      </w:r>
    </w:p>
    <w:p>
      <w:pPr>
        <w:pStyle w:val="P68B1DB1Normal104"/>
        <w:widowControl w:val="false"/>
        <w:spacing w:lineRule="auto" w:line="240"/>
        <w:ind w:left="0" w:right="0" w:hanging="0"/>
        <w:jc w:val="left"/>
        <w:rPr/>
      </w:pPr>
      <w:r>
        <w:rPr/>
        <w:t xml:space="preserve">Membrii Coaliției-Y – o cooperare între diferite organizații de tineret – au organizat o dezbatere plină de viață cu privire la utilizarea referendumurilor. Oponenții au menționat riscul de a avea dezbateri în care totul este negru sau alb, în timp ce subiectele sunt adesea mult mai complexe. Unul dintre participanți a declarat în continuare: Putem vota pentru UE și să candidăm. Referendumurile subminează de fapt acest principiu." Susținătorii referendumului au declarat că este util ca factorii de decizie politică să știe ce cred cetățenii despre un anumit subiect: acest lucru ar putea contribui la furnizarea de orientări. Referendumurile ar putea contribui, de asemenea, la sensibilizarea publicului cu privire la UE în ansamblu: care sunt subiectele de pe ordinea de zi și care sunt alegerile de făcut? </w:t>
      </w:r>
    </w:p>
    <w:p>
      <w:pPr>
        <w:pStyle w:val="P68B1DB1Normal111"/>
        <w:widowControl w:val="false"/>
        <w:spacing w:lineRule="auto" w:line="240" w:before="38" w:after="0"/>
        <w:ind w:left="0" w:right="0" w:hanging="0"/>
        <w:jc w:val="left"/>
        <w:rPr>
          <w:rFonts w:ascii="Calibri" w:hAnsi="Calibri"/>
          <w:b/>
          <w:b/>
          <w:color w:val="000000"/>
          <w:sz w:val="22"/>
        </w:rPr>
      </w:pPr>
      <w:r>
        <w:rPr/>
        <w:t xml:space="preserve">Voluntari sociali: Trebuie să existe o mai bună înțelegere reciprocă între țări. </w:t>
      </w:r>
    </w:p>
    <w:p>
      <w:pPr>
        <w:pStyle w:val="Normal"/>
        <w:widowControl w:val="false"/>
        <w:spacing w:lineRule="auto" w:line="240"/>
        <w:ind w:left="0" w:right="0" w:hanging="0"/>
        <w:jc w:val="left"/>
        <w:rPr/>
      </w:pPr>
      <w:r>
        <w:rPr/>
        <w:t>Fundația</w:t>
      </w:r>
      <w:r>
        <w:rPr>
          <w:rFonts w:ascii="Calibri" w:hAnsi="Calibri"/>
          <w:color w:val="000000"/>
          <w:sz w:val="21"/>
        </w:rPr>
        <w:t xml:space="preserve">Piëzo din Zoetermeer este formată din voluntari care sunt activi în diverse moduri în domeniul participării sociale. Participanții la dialogul tematic și-au exprimat îngrijorarea cu privire la decalajul tot mai mare din Europa. Acestea sunt, de exemplu, opiniile pe care țările le au cu privire la comunitatea LGBTIQ. În cazul în care țările nu înțeleg punctele lor de vedere, este dificil să coopereze. „Din acest motiv, este esențial să ne cunoaștem mai bine”, a spus unul dintre participanți. Astăzi, pur și simplu nu știm ce cred oamenii în alte țări. Nu înțelegem suficient cultura și contextul țărilor noastre. Acest lucru este esențial dacă vrem să luăm decizii bune împreună. </w:t>
      </w:r>
      <w:r>
        <w:br w:type="page"/>
      </w:r>
    </w:p>
    <w:p>
      <w:pPr>
        <w:pStyle w:val="P68B1DB1Normal117"/>
        <w:spacing w:lineRule="auto" w:line="240"/>
        <w:ind w:left="0" w:right="0" w:hanging="0"/>
        <w:rPr>
          <w:rFonts w:ascii="Calibri" w:hAnsi="Calibri"/>
          <w:b/>
          <w:b/>
          <w:i/>
          <w:i/>
          <w:color w:val="000000"/>
          <w:sz w:val="28"/>
        </w:rPr>
      </w:pPr>
      <w:r>
        <w:rPr/>
        <w:t xml:space="preserve">Transformarea digitală </w:t>
      </w:r>
    </w:p>
    <w:p>
      <w:pPr>
        <w:pStyle w:val="P68B1DB1Normal104"/>
        <w:widowControl w:val="false"/>
        <w:spacing w:lineRule="auto" w:line="240" w:before="62" w:after="0"/>
        <w:ind w:left="0" w:right="0" w:hanging="0"/>
        <w:jc w:val="left"/>
        <w:rPr/>
      </w:pPr>
      <w:r>
        <w:rPr/>
        <w:t xml:space="preserve">În lumea virtuală, cerințele de conectivitate la internet, securitate și confidențialitate sunt în creștere. UE se simte responsabilă în acest sens și se angajează să se asigure că nimeni nu este lăsat în urmă în societatea digitală. În plus, UE investește în soluții digitale la provocările societale. Care este viziunea Olandei în acest sens?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Recomandări – viziunea noastră virtuală asupra lumii </w:t>
      </w:r>
    </w:p>
    <w:p>
      <w:pPr>
        <w:pStyle w:val="P68B1DB1Normal69"/>
        <w:widowControl w:val="false"/>
        <w:spacing w:lineRule="auto" w:line="240" w:before="65" w:after="0"/>
        <w:ind w:left="0" w:right="0" w:hanging="0"/>
        <w:jc w:val="left"/>
        <w:rPr/>
      </w:pPr>
      <w:r>
        <w:rPr/>
        <w:t xml:space="preserve">45 % dintre olandezi consideră că lumea virtuală este o temă importantă și că UE trebuie să intervină în acest domeniu.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Asigurarea unui internet rapid, sigur și stabil peste tot </w:t>
      </w:r>
    </w:p>
    <w:p>
      <w:pPr>
        <w:pStyle w:val="P68B1DB1Normal104"/>
        <w:widowControl w:val="false"/>
        <w:spacing w:lineRule="auto" w:line="240" w:before="49" w:after="0"/>
        <w:ind w:left="0" w:right="0" w:hanging="0"/>
        <w:jc w:val="left"/>
        <w:rPr/>
      </w:pPr>
      <w:r>
        <w:rPr/>
        <w:t xml:space="preserve">61 % dintre olandezi consideră că UE ar trebui să se asigure că fiecare persoană din Europa are acces la un internet rapid și stabil. Cu toții vedem că internetul joacă un rol din ce în ce mai important în viața noastră. Copiii noștri cresc cu educația digitală. Iar comunicarea trece din ce în ce mai mult prin internet, atât la nivel național, cât și internațional. Uneori ne preocupă dependența mare de internet. Prin urmare, mulți olandezi consideră că UE este cea mai în măsură să îi dedice fonduri, cu condiția ca acestea să fie utilizate în mod eficient. Protecția împotriva criminalității online este, în opinia noastră, cea mai importantă problemă care trebuie abordată la nivel european. Cu toate acestea, ar trebui să se acorde atenție și combaterii criminalității pe internet la nivel național. </w:t>
      </w:r>
    </w:p>
    <w:p>
      <w:pPr>
        <w:pStyle w:val="P68B1DB1Normal113"/>
        <w:widowControl w:val="false"/>
        <w:spacing w:lineRule="auto" w:line="240" w:before="54" w:after="0"/>
        <w:ind w:left="0" w:right="0" w:hanging="0"/>
        <w:jc w:val="center"/>
        <w:rPr/>
      </w:pPr>
      <w:r>
        <w:rPr/>
        <w:t xml:space="preserve">Ideea unui atac cibernetic asupra sistemului nostru de protecție a apei mă face să mă simt vulnerabilă.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Stabilirea unor norme și standarde clare pentru societățile de internet </w:t>
      </w:r>
    </w:p>
    <w:p>
      <w:pPr>
        <w:pStyle w:val="P68B1DB1Normal104"/>
        <w:widowControl w:val="false"/>
        <w:spacing w:lineRule="auto" w:line="240" w:before="49" w:after="0"/>
        <w:ind w:left="0" w:right="0" w:hanging="0"/>
        <w:jc w:val="left"/>
        <w:rPr/>
      </w:pPr>
      <w:r>
        <w:rPr/>
        <w:t xml:space="preserve">75 % dintre olandezi consideră că UE ar trebui să se asigure că achizițiile online pot fi efectuate cu același nivel de securitate în toate țările UE. Cu toții cumpărăm din ce în ce mai mult în străinătate și partajăm astfel date cu caracter personal sensibile. Uneori pare periculos. Este dificil să se determine care site-uri sunt de încredere. Este bine că UE elaborează norme și standarde europene în materie de confidențialitate pe care toată lumea le poate înțelege. Puterea marilor companii de internet este, de asemenea, o sursă regulată de îngrijorare pentru noi. Considerăm că este responsabilitatea noastră să exercităm prudență în utilizarea datelor noastre. Dar credem, de asemenea, că UE poate juca un rol în această privință. Țările UE trebuie să colaboreze pentru a se asigura că companii precum Google și Facebook nu au prea multă putere. </w:t>
      </w:r>
    </w:p>
    <w:p>
      <w:pPr>
        <w:pStyle w:val="P68B1DB1Normal113"/>
        <w:widowControl w:val="false"/>
        <w:spacing w:lineRule="auto" w:line="240" w:before="54" w:after="0"/>
        <w:ind w:left="0" w:right="0" w:hanging="0"/>
        <w:jc w:val="center"/>
        <w:rPr/>
      </w:pPr>
      <w:r>
        <w:rPr/>
        <w:t xml:space="preserve">În fața unui jucător global precum Facebook, suntem relativ săraci ca o țară mică. </w:t>
      </w:r>
    </w:p>
    <w:p>
      <w:pPr>
        <w:pStyle w:val="P68B1DB1Normal111"/>
        <w:widowControl w:val="false"/>
        <w:spacing w:lineRule="auto" w:line="240" w:before="71" w:after="0"/>
        <w:ind w:left="0" w:right="0" w:hanging="0"/>
        <w:jc w:val="left"/>
        <w:rPr/>
      </w:pPr>
      <w:r>
        <w:rPr/>
        <w:t xml:space="preserve">3. Adăugarea punerii în aplicare și a explicațiilor practice la normele de confidențialitate </w:t>
      </w:r>
    </w:p>
    <w:p>
      <w:pPr>
        <w:pStyle w:val="Normal"/>
        <w:widowControl w:val="false"/>
        <w:spacing w:lineRule="auto" w:line="240" w:before="49" w:after="0"/>
        <w:ind w:left="0" w:right="0" w:hanging="0"/>
        <w:jc w:val="left"/>
        <w:rPr/>
      </w:pPr>
      <w:r>
        <w:rPr>
          <w:rFonts w:ascii="Calibri" w:hAnsi="Calibri"/>
          <w:color w:val="000000"/>
          <w:sz w:val="21"/>
        </w:rPr>
        <w:t xml:space="preserve">Odată cu introducerea Regulamentului general privind protecția datelor (GDPR), olandezii știu că toate țările trebuie să respecte aceleași legi și reglementări privind confidențialitatea. Credem că este bine să putem conta pe asta, pentru că intimitatea este o problemă importantă. Cu toate acestea, unii olandezi consideră că normele de confidențialitate sunt uneori exagerate sau ilogice. În plus, această legislație poate genera o mulțime de muncă pentru antreprenori. Prin urmare, considerăm că ar trebui acordată mai multă atenție punerii în aplicare practice a legislației privind protecția vieții private: sprijin și informare atât pentru cetățeni, cât și pentru întreprinderi. În special, considerăm că statele membre au un rol de jucat. Problemele sau problemele legate de confidențialitate sunt gestionate cel mai bine de către autoritățile noastre naționale în propria noastră limbă. </w:t>
      </w:r>
      <w:r>
        <w:br w:type="page"/>
      </w:r>
    </w:p>
    <w:p>
      <w:pPr>
        <w:pStyle w:val="P68B1DB1Normal108"/>
        <w:spacing w:lineRule="auto" w:line="240"/>
        <w:ind w:left="0" w:right="0" w:hanging="0"/>
        <w:rPr>
          <w:rFonts w:ascii="Calibri" w:hAnsi="Calibri"/>
          <w:b/>
          <w:b/>
          <w:i/>
          <w:i/>
          <w:color w:val="000000"/>
          <w:sz w:val="24"/>
        </w:rPr>
      </w:pPr>
      <w:r>
        <w:rPr/>
        <w:t xml:space="preserve">Discuții și idei online și la fața locului </w:t>
      </w:r>
    </w:p>
    <w:p>
      <w:pPr>
        <w:pStyle w:val="P68B1DB1Normal118"/>
        <w:widowControl w:val="false"/>
        <w:spacing w:lineRule="auto" w:line="240" w:before="120" w:after="0"/>
        <w:ind w:left="0" w:right="889" w:hanging="0"/>
        <w:jc w:val="left"/>
        <w:rPr/>
      </w:pPr>
      <w:r>
        <w:rPr/>
        <w:t xml:space="preserve">IDEE: Stabilirea unor criterii mai stricte pentru programatori și întreprinderi prin interzicerea limbajelor de programare periculoase. </w:t>
      </w:r>
    </w:p>
    <w:p>
      <w:pPr>
        <w:pStyle w:val="P68B1DB1Normal118"/>
        <w:widowControl w:val="false"/>
        <w:spacing w:lineRule="auto" w:line="240" w:before="87" w:after="0"/>
        <w:ind w:left="0" w:right="0" w:hanging="0"/>
        <w:jc w:val="left"/>
        <w:rPr>
          <w:rFonts w:ascii="Calibri" w:hAnsi="Calibri"/>
          <w:i/>
          <w:i/>
          <w:color w:val="000000"/>
          <w:sz w:val="21"/>
        </w:rPr>
      </w:pPr>
      <w:r>
        <w:rPr/>
        <w:t xml:space="preserve">Propunerea unui program antivirus european gratuit pentru crearea unui firewall european. </w:t>
      </w:r>
    </w:p>
    <w:p>
      <w:pPr>
        <w:pStyle w:val="P68B1DB1Normal118"/>
        <w:widowControl w:val="false"/>
        <w:spacing w:lineRule="auto" w:line="240" w:before="85" w:after="0"/>
        <w:ind w:left="0" w:right="42" w:hanging="0"/>
        <w:jc w:val="left"/>
        <w:rPr/>
      </w:pPr>
      <w:r>
        <w:rPr/>
        <w:t xml:space="preserve">Când trec granița în Germania, dintr-o dată nu mai am o rețea pe telefonul meu mobil. Nu ar trebui să se mai întâmple, nu-i așa? </w:t>
      </w:r>
    </w:p>
    <w:p>
      <w:pPr>
        <w:pStyle w:val="P68B1DB1Normal118"/>
        <w:widowControl w:val="false"/>
        <w:spacing w:lineRule="auto" w:line="240" w:before="85" w:after="0"/>
        <w:ind w:left="0" w:right="959" w:hanging="0"/>
        <w:jc w:val="left"/>
        <w:rPr/>
      </w:pPr>
      <w:r>
        <w:rPr/>
        <w:t xml:space="preserve">Cu iPhone-urile noastre, putem urmări toate călătoriile noastre. Avem și partea noastră de responsabilitate. </w:t>
      </w:r>
    </w:p>
    <w:p>
      <w:pPr>
        <w:pStyle w:val="P68B1DB1Normal118"/>
        <w:widowControl w:val="false"/>
        <w:spacing w:lineRule="auto" w:line="240" w:before="83" w:after="0"/>
        <w:ind w:left="0" w:right="0" w:hanging="0"/>
        <w:jc w:val="left"/>
        <w:rPr/>
      </w:pPr>
      <w:r>
        <w:rPr/>
        <w:t xml:space="preserve">Nu este convenabil să completați un alt tip de formular de confidențialitate în fiecare țară. </w:t>
      </w:r>
    </w:p>
    <w:p>
      <w:pPr>
        <w:pStyle w:val="P68B1DB1Normal118"/>
        <w:widowControl w:val="false"/>
        <w:spacing w:lineRule="auto" w:line="240" w:before="87" w:after="0"/>
        <w:ind w:left="0" w:right="0" w:hanging="0"/>
        <w:jc w:val="left"/>
        <w:rPr>
          <w:rFonts w:ascii="Calibri" w:hAnsi="Calibri"/>
          <w:i/>
          <w:i/>
          <w:color w:val="000000"/>
          <w:sz w:val="21"/>
        </w:rPr>
      </w:pPr>
      <w:r>
        <w:rPr/>
        <w:t xml:space="preserve">IDEE: Ar trebui să înființăm o poliție cibernetică europeană. Acest lucru este clar pentru UE. </w:t>
      </w:r>
    </w:p>
    <w:p>
      <w:pPr>
        <w:pStyle w:val="P68B1DB1Normal111"/>
        <w:widowControl w:val="false"/>
        <w:spacing w:lineRule="auto" w:line="240" w:before="84" w:after="0"/>
        <w:ind w:left="0" w:right="823" w:hanging="0"/>
        <w:jc w:val="left"/>
        <w:rPr/>
      </w:pPr>
      <w:r>
        <w:rPr/>
        <w:t xml:space="preserve">Participanții la dialogul online: Accesul la internet de calitate peste tot este, de asemenea, în interesul nostru. </w:t>
      </w:r>
    </w:p>
    <w:p>
      <w:pPr>
        <w:pStyle w:val="P68B1DB1Normal104"/>
        <w:widowControl w:val="false"/>
        <w:spacing w:lineRule="auto" w:line="240" w:before="97" w:after="0"/>
        <w:ind w:left="0" w:right="236" w:hanging="0"/>
        <w:jc w:val="left"/>
        <w:rPr/>
      </w:pPr>
      <w:r>
        <w:rPr/>
        <w:t xml:space="preserve">În cursul unuia dintre dialogurile tematice online, s-a născut o dezbatere interesantă cu privire la rolul UE în lumea virtuală. Toți participanții au fost de acord că este bine și important să existe o conexiune bună la internet în întreaga Europă. Dar este la latitudinea UE să se ocupe de ea? Mai mulți participanți au indicat că aceasta este o sarcină în primul rând pentru fiecare stat membru. Un alt participant a subliniat că un internet stabil și de calitate în străinătate este, de asemenea, un avantaj pentru Țările de Jos: Facem miliarde de dolari din comerțul cu alte țări ale UE. Prin urmare, este în interesul nostru ca aceste țări să funcționeze bine. </w:t>
      </w:r>
    </w:p>
    <w:p>
      <w:pPr>
        <w:pStyle w:val="P68B1DB1Normal111"/>
        <w:widowControl w:val="false"/>
        <w:spacing w:lineRule="auto" w:line="240" w:before="40" w:after="0"/>
        <w:ind w:left="0" w:right="0" w:hanging="0"/>
        <w:jc w:val="left"/>
        <w:rPr>
          <w:rFonts w:ascii="Calibri" w:hAnsi="Calibri"/>
          <w:b/>
          <w:b/>
          <w:color w:val="000000"/>
          <w:sz w:val="22"/>
        </w:rPr>
      </w:pPr>
      <w:r>
        <w:rPr/>
        <w:t xml:space="preserve">Elevii din Helmond: Norme și sancțiuni identice pentru infractorii cibernetici </w:t>
      </w:r>
    </w:p>
    <w:p>
      <w:pPr>
        <w:pStyle w:val="Normal"/>
        <w:widowControl w:val="false"/>
        <w:spacing w:lineRule="auto" w:line="240" w:before="95" w:after="0"/>
        <w:ind w:left="0" w:right="32" w:hanging="0"/>
        <w:jc w:val="left"/>
        <w:rPr/>
      </w:pPr>
      <w:r>
        <w:rPr>
          <w:rFonts w:ascii="Calibri" w:hAnsi="Calibri"/>
          <w:color w:val="000000"/>
          <w:sz w:val="21"/>
        </w:rPr>
        <w:t xml:space="preserve">La Colegiul Dr. Knippenberg din Helmond, elevii cu vârste cuprinse între 15 și 16 ani au discutat problema criminalității pe internet. Ei aud știrile în mod regulat. De exemplu, atunci când a existat o scurgere de date într-o companie. Sau când o țară ca Rusia sau China încearcă să fure date. Deoarece infractorii cibernetici lucrează adesea la nivel transfrontalier, acestora li se pare logic ca țările europene să coopereze. În acest context, acestea iau în considerare elaborarea de norme, dar și definirea sancțiunilor. Dacă hackerii ruși încearcă să pătrundă în casele noastre, UE trebuie să ia măsuri ferme pentru a le preveni. </w:t>
      </w:r>
      <w:r>
        <w:br w:type="page"/>
      </w:r>
    </w:p>
    <w:p>
      <w:pPr>
        <w:pStyle w:val="P68B1DB1Normal117"/>
        <w:spacing w:lineRule="auto" w:line="240"/>
        <w:ind w:left="0" w:right="0" w:hanging="0"/>
        <w:rPr>
          <w:rFonts w:ascii="Calibri" w:hAnsi="Calibri"/>
          <w:b/>
          <w:b/>
          <w:i/>
          <w:i/>
          <w:color w:val="000000"/>
          <w:sz w:val="28"/>
        </w:rPr>
      </w:pPr>
      <w:r>
        <w:rPr/>
        <w:t xml:space="preserve">Educație, cultură, tineret și sport </w:t>
      </w:r>
    </w:p>
    <w:p>
      <w:pPr>
        <w:pStyle w:val="P68B1DB1Normal104"/>
        <w:widowControl w:val="false"/>
        <w:spacing w:lineRule="auto" w:line="240" w:before="93" w:after="0"/>
        <w:ind w:left="0" w:right="0" w:hanging="0"/>
        <w:jc w:val="left"/>
        <w:rPr/>
      </w:pPr>
      <w:r>
        <w:rPr/>
        <w:t xml:space="preserve">Țările UE sunt direct responsabile pentru educație, cultură, tineret și sport. UE poate și ar dori să le acorde asistență în acest sens, de exemplu prin promovarea educației de calitate, a multilingvismului, a protecției patrimoniului cultural și a sprijinului acordat sectoarelor culturale și sportive. Care este viziunea Olandei în acest sens?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Recomandări – Viziunea noastră asupra educației, culturii, tineretului și sportului </w:t>
      </w:r>
    </w:p>
    <w:p>
      <w:pPr>
        <w:pStyle w:val="P68B1DB1Normal69"/>
        <w:widowControl w:val="false"/>
        <w:spacing w:lineRule="auto" w:line="240" w:before="123" w:after="0"/>
        <w:ind w:left="0" w:right="0" w:hanging="0"/>
        <w:jc w:val="left"/>
        <w:rPr/>
      </w:pPr>
      <w:r>
        <w:rPr/>
        <w:t xml:space="preserve">45 % dintre olandezi consideră că educația este o problemă importantă și că UE trebuie să intervină în acest domeniu. Pentru tineret, cultură și sport, această cifră se ridică la 39 %, 23 % și, respectiv, 19 %.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Încurajarea studenților să studieze inteligent în străinătate </w:t>
      </w:r>
    </w:p>
    <w:p>
      <w:pPr>
        <w:pStyle w:val="P68B1DB1Normal104"/>
        <w:widowControl w:val="false"/>
        <w:spacing w:lineRule="auto" w:line="240"/>
        <w:ind w:left="0" w:right="0" w:hanging="0"/>
        <w:jc w:val="left"/>
        <w:rPr/>
      </w:pPr>
      <w:r>
        <w:rPr/>
        <w:t xml:space="preserve">Mulți olandezi cred că studiul în străinătate are un impact pozitiv asupra tinerilor. Acest lucru contribuie la dezvoltarea personală. În plus, studiile în străinătate îi pot ajuta pe europeni să se înțeleagă mai bine. De asemenea, poate contribui la o mai bună integrare. Prin urmare, mulți olandezi consideră că există un program Erasmus care încurajează studiile în străinătate. Dar credem că UE ar trebui, de asemenea, să continue să abordeze în mod critic această problemă. În practică, de exemplu, se pare că studenții internaționali rămân în cea mai mare parte unul cu celălalt și nu învață întotdeauna multe despre țara în care se află. De asemenea, UE trebuie să împiedice „golirea” țărilor cu un nivel mai scăzut de cunoștințe, deoarece toate talentele vor studia în străinătate. </w:t>
      </w:r>
    </w:p>
    <w:p>
      <w:pPr>
        <w:pStyle w:val="P68B1DB1Normal113"/>
        <w:widowControl w:val="false"/>
        <w:spacing w:lineRule="auto" w:line="240" w:before="167" w:after="0"/>
        <w:ind w:left="0" w:right="0" w:hanging="0"/>
        <w:jc w:val="center"/>
        <w:rPr/>
      </w:pPr>
      <w:r>
        <w:rPr/>
        <w:t>„</w:t>
      </w:r>
      <w:r>
        <w:rPr/>
        <w:t xml:space="preserve">Dezvoltă programe de schimb și la nivelul învățământului secundar profesional.” </w:t>
      </w:r>
    </w:p>
    <w:p>
      <w:pPr>
        <w:pStyle w:val="Normal"/>
        <w:widowControl w:val="false"/>
        <w:spacing w:lineRule="auto" w:line="240" w:before="136" w:after="0"/>
        <w:ind w:left="0" w:right="0" w:hanging="0"/>
        <w:jc w:val="left"/>
        <w:rPr/>
      </w:pPr>
      <w:r>
        <w:rPr>
          <w:rFonts w:ascii="Calibri" w:hAnsi="Calibri"/>
          <w:b/>
          <w:color w:val="000000"/>
        </w:rPr>
        <w:t>2. Permite statelor membre să se concentreze asupra unor teme precum cultura și sportul</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dintre olandezi consideră că UE ar trebui să protejeze mai bine patrimoniul cultural din Europa. Ne gândim, de exemplu, la templele din Grecia. Pe de altă parte, constatăm că cultura locală este în primul rând responsabilitatea țărilor înseși. Același lucru este valabil, de exemplu, în cazul abuzului în sport. Considerăm că aceasta este o chestiune importantă, dar nu o misiune principală a UE. Europa trebuie să stabilească în mod necesar priorități și sunt necesare resurse financiare semnificative pentru alte aspecte. Uneori putem aduce o contribuție financiară, dar uneori putem colabora și în alte moduri, de exemplu prin schimbul de cunoștințe și idei. </w:t>
      </w:r>
    </w:p>
    <w:p>
      <w:pPr>
        <w:pStyle w:val="P68B1DB1Normal113"/>
        <w:widowControl w:val="false"/>
        <w:spacing w:lineRule="auto" w:line="240" w:before="167" w:after="0"/>
        <w:ind w:left="0" w:right="0" w:hanging="0"/>
        <w:jc w:val="center"/>
        <w:rPr/>
      </w:pPr>
      <w:r>
        <w:rPr/>
        <w:t xml:space="preserve">Protecția culturii aparține țărilor însele. Dar dacă patrimoniul mondial este neglijat, atunci cred că UE trebuie să intervină.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Asigurarea faptului că europenii se cunosc mai bine și se respectă reciproc </w:t>
      </w:r>
    </w:p>
    <w:p>
      <w:pPr>
        <w:pStyle w:val="P68B1DB1Normal104"/>
        <w:widowControl w:val="false"/>
        <w:spacing w:lineRule="auto" w:line="240"/>
        <w:ind w:left="0" w:right="0" w:hanging="0"/>
        <w:jc w:val="left"/>
        <w:rPr/>
      </w:pPr>
      <w:r>
        <w:rPr/>
        <w:t xml:space="preserve">Olandezii apreciază atunci când alți europeni vorbesc bine limba engleză. Simplifică lucrurile atunci când suntem în străinătate. Și când, de exemplu, dorim să comunicăm cu lucrătorii migranți din Țările de Jos. În același timp, mulți olandezi consideră că este foarte important să continuăm să vorbim și să prețuim propria noastră limbă. Prin urmare, dorim, de asemenea, să fie respectate și alte diferențe în Europa. Fie că este vorba de cultură, educație sau sport, fiecare persoană trebuie să se simtă liberă și să fie capabilă să fie ea însăși. Diferențele pot provoca uneori tensiuni, dar, de asemenea, ele fac continentul european bogat. Mulți olandezi cred că țărilor ar trebui să li se acorde timp să se familiarizeze cu obiceiurile și ideile lor respective. </w:t>
      </w:r>
    </w:p>
    <w:p>
      <w:pPr>
        <w:pStyle w:val="P68B1DB1Normal113"/>
        <w:widowControl w:val="false"/>
        <w:spacing w:lineRule="auto" w:line="240" w:before="167" w:after="0"/>
        <w:ind w:left="0" w:right="0" w:hanging="0"/>
        <w:jc w:val="center"/>
        <w:rPr/>
      </w:pPr>
      <w:r>
        <w:rPr/>
        <w:t xml:space="preserve">Pentru mine, UE este ca un grup de prieteni. Ne respectăm diferențele și pot cere ajutor dacă am nevoie de ele.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Discuții și idei online și la fața locului </w:t>
      </w:r>
    </w:p>
    <w:p>
      <w:pPr>
        <w:pStyle w:val="P68B1DB1Normal118"/>
        <w:widowControl w:val="false"/>
        <w:spacing w:lineRule="auto" w:line="240" w:before="120" w:after="0"/>
        <w:ind w:left="0" w:right="0" w:hanging="0"/>
        <w:jc w:val="left"/>
        <w:rPr/>
      </w:pPr>
      <w:r>
        <w:rPr/>
        <w:t xml:space="preserve">IDEE: Pe lângă curriculum-ul local, ar trebui introdus un curriculum european comun la toate nivelurile de învățământ. </w:t>
      </w:r>
    </w:p>
    <w:p>
      <w:pPr>
        <w:pStyle w:val="P68B1DB1Normal118"/>
        <w:widowControl w:val="false"/>
        <w:spacing w:lineRule="auto" w:line="240" w:before="254" w:after="0"/>
        <w:ind w:left="0" w:right="0" w:hanging="0"/>
        <w:jc w:val="left"/>
        <w:rPr>
          <w:rFonts w:ascii="Calibri" w:hAnsi="Calibri"/>
          <w:i/>
          <w:i/>
          <w:color w:val="000000"/>
          <w:sz w:val="21"/>
        </w:rPr>
      </w:pPr>
      <w:r>
        <w:rPr/>
        <w:t xml:space="preserve">IDEE: În plus față de o capitală a culturii, ar trebui să alegeți, de asemenea, o capitală (sau țară) în fiecare an în domeniul educației, tineretului și sportului. </w:t>
      </w:r>
    </w:p>
    <w:p>
      <w:pPr>
        <w:pStyle w:val="P68B1DB1Normal118"/>
        <w:widowControl w:val="false"/>
        <w:spacing w:lineRule="auto" w:line="240" w:before="85" w:after="0"/>
        <w:ind w:left="0" w:right="0" w:hanging="0"/>
        <w:jc w:val="left"/>
        <w:rPr/>
      </w:pPr>
      <w:r>
        <w:rPr/>
        <w:t xml:space="preserve">Ceea ce ne unește în UE este tocmai faptul că toți avem propria noastră cultură națională. Și, prin urmare, nu pot fi adunate sub stindardul unei singure culturi. </w:t>
      </w:r>
    </w:p>
    <w:p>
      <w:pPr>
        <w:pStyle w:val="P68B1DB1Normal118"/>
        <w:widowControl w:val="false"/>
        <w:spacing w:lineRule="auto" w:line="240" w:before="87" w:after="0"/>
        <w:ind w:left="0" w:right="0" w:hanging="0"/>
        <w:jc w:val="left"/>
        <w:rPr>
          <w:rFonts w:ascii="Calibri" w:hAnsi="Calibri"/>
          <w:i/>
          <w:i/>
          <w:color w:val="000000"/>
          <w:sz w:val="21"/>
        </w:rPr>
      </w:pPr>
      <w:r>
        <w:rPr/>
        <w:t xml:space="preserve">În loc să evidențiezi lucrurile negative, este mai bine să încerci să promovezi sportul. </w:t>
      </w:r>
    </w:p>
    <w:p>
      <w:pPr>
        <w:pStyle w:val="P68B1DB1Normal118"/>
        <w:widowControl w:val="false"/>
        <w:spacing w:lineRule="auto" w:line="240" w:before="85" w:after="0"/>
        <w:ind w:left="0" w:right="0" w:hanging="0"/>
        <w:jc w:val="left"/>
        <w:rPr/>
      </w:pPr>
      <w:r>
        <w:rPr/>
        <w:t xml:space="preserve">Sunt integrat aici, plătesc impozite, dar sunt și rămân latino-american. Îmi iubesc limba, muzica și mâncarea. Nu este vorba despre Europa. </w:t>
      </w:r>
    </w:p>
    <w:p>
      <w:pPr>
        <w:pStyle w:val="P68B1DB1Normal118"/>
        <w:widowControl w:val="false"/>
        <w:spacing w:lineRule="auto" w:line="240" w:before="87" w:after="0"/>
        <w:ind w:left="0" w:right="0" w:hanging="0"/>
        <w:jc w:val="left"/>
        <w:rPr>
          <w:rFonts w:ascii="Calibri" w:hAnsi="Calibri"/>
          <w:i/>
          <w:i/>
          <w:color w:val="000000"/>
          <w:sz w:val="21"/>
        </w:rPr>
      </w:pPr>
      <w:r>
        <w:rPr/>
        <w:t xml:space="preserve">Vorbim prea mult despre economia Europei. Și prea puțină bunăstare. </w:t>
      </w:r>
    </w:p>
    <w:p>
      <w:pPr>
        <w:pStyle w:val="P68B1DB1Normal111"/>
        <w:widowControl w:val="false"/>
        <w:spacing w:lineRule="auto" w:line="240" w:before="84" w:after="0"/>
        <w:ind w:left="0" w:right="0" w:hanging="0"/>
        <w:jc w:val="left"/>
        <w:rPr>
          <w:rFonts w:ascii="Calibri" w:hAnsi="Calibri"/>
          <w:b/>
          <w:b/>
          <w:color w:val="000000"/>
          <w:sz w:val="22"/>
        </w:rPr>
      </w:pPr>
      <w:r>
        <w:rPr/>
        <w:t xml:space="preserve">Studenți de la Universitatea din Leiden: Limba este importantă, dar trebuie să rămână o alegere liberă </w:t>
      </w:r>
    </w:p>
    <w:p>
      <w:pPr>
        <w:pStyle w:val="P68B1DB1Normal104"/>
        <w:widowControl w:val="false"/>
        <w:spacing w:lineRule="auto" w:line="240" w:before="100" w:after="0"/>
        <w:ind w:left="0" w:right="0" w:hanging="0"/>
        <w:jc w:val="left"/>
        <w:rPr/>
      </w:pPr>
      <w:r>
        <w:rPr/>
        <w:t xml:space="preserve">La Universitatea Leiden, studenții la istorie au vorbit între ei. Ei consideră că este important ca oamenii să vorbească mai multe limbi. Ei consideră că stăpânirea mai multor limbi este excelentă pentru dezvoltarea sa personală și este benefică pentru relațiile comerciale și politice din cadrul UE. Cu toate acestea, ei consideră că limbile străine ar trebui oferite la școală și nu ar trebui să devină obligatorii. Ei consideră, de asemenea, că o a doua limbă nu trebuie neapărat să fie o limbă europeană. „Dacă locuiți în Europa de Est și alegeți să învățați limba rusă, acesta este dreptul vostru”, a spus unul dintre participanți. </w:t>
      </w:r>
    </w:p>
    <w:p>
      <w:pPr>
        <w:pStyle w:val="P68B1DB1Normal110"/>
        <w:widowControl w:val="false"/>
        <w:spacing w:lineRule="auto" w:line="240" w:before="223" w:after="0"/>
        <w:ind w:left="0" w:right="0" w:hanging="0"/>
        <w:jc w:val="left"/>
        <w:rPr/>
      </w:pPr>
      <w:r>
        <w:rPr>
          <w:b/>
        </w:rPr>
        <w:t xml:space="preserve">Comunitatea turcă Schiedam: </w:t>
      </w:r>
      <w:r>
        <w:rPr>
          <w:sz w:val="21"/>
        </w:rPr>
        <w:t xml:space="preserve">La Fundația Hakder din Schiedam, comunitatea locală turcă a discutat importanța oportunităților de angajare echitabile pentru toți. Toți participanții au convenit că UE ar trebui să oblige întreprinderile să ofere stagii sau locuri de muncă tinerilor cu perspective limitate. Aceștia au indicat că, în special, tinerii migranți întâmpină dificultăți în găsirea unui stagiu sau a unui loc de muncă. Uneori nici măcar nu îndrăznesc să meargă la medicul de familie, pentru că le este teamă să plătească pentru vizita ei înșiși. Ca să nu mai vorbim de îndrăzneala de a aplica pentru un stagiu sau un loc de muncă", a spus unul dintre participanți. „Întreprinderile trebuie să fie mai atente, iar UE le poate încuraja să facă acest lucru.”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Descrierea metodologiei utilizate în cadrul anchetei</w:t>
      </w:r>
      <w:r>
        <w:rPr>
          <w:color w:val="365F91"/>
        </w:rPr>
        <w:t xml:space="preserve"> </w:t>
      </w:r>
    </w:p>
    <w:p>
      <w:pPr>
        <w:pStyle w:val="P68B1DB1Normal104"/>
        <w:widowControl w:val="false"/>
        <w:spacing w:lineRule="auto" w:line="240" w:before="137" w:after="0"/>
        <w:ind w:left="0" w:right="0" w:hanging="0"/>
        <w:jc w:val="left"/>
        <w:rPr/>
      </w:pPr>
      <w:r>
        <w:rPr/>
        <w:t xml:space="preserve">Sondajul „Viziunea Europei” constă în diferite forme de dialog conex pentru a aduna opiniile și ideile cetățenilor olandezi cu privire la viitorul Europei și al UE. Acest capitol descrie metodologia utilizată pentru a se asigura că formele de dialog aferente sunt conforme cu orientările pentru grupurile naționale de cetățeni în contextul Conferinței privind viitorul Europei. </w:t>
      </w:r>
    </w:p>
    <w:p>
      <w:pPr>
        <w:pStyle w:val="P68B1DB1Normal110"/>
        <w:widowControl w:val="false"/>
        <w:spacing w:lineRule="auto" w:line="240" w:before="236" w:after="0"/>
        <w:ind w:left="0" w:right="0" w:hanging="0"/>
        <w:jc w:val="both"/>
        <w:rPr/>
      </w:pPr>
      <w:r>
        <w:rPr>
          <w:b/>
          <w:i/>
          <w:sz w:val="24"/>
        </w:rPr>
        <w:t xml:space="preserve">Conceperea formelor conexe de dialog </w:t>
      </w:r>
      <w:r>
        <w:rPr>
          <w:sz w:val="21"/>
        </w:rPr>
        <w:t xml:space="preserve">Se utilizează următoarele forme de dialog: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Sondajul unui panou</w:t>
      </w:r>
    </w:p>
    <w:p>
      <w:pPr>
        <w:pStyle w:val="P68B1DB1Normal104"/>
        <w:widowControl w:val="false"/>
        <w:spacing w:lineRule="auto" w:line="240"/>
        <w:ind w:left="0" w:right="0" w:hanging="0"/>
        <w:jc w:val="left"/>
        <w:rPr>
          <w:rFonts w:ascii="Calibri" w:hAnsi="Calibri"/>
          <w:color w:val="000000"/>
          <w:sz w:val="21"/>
        </w:rPr>
      </w:pPr>
      <w:r>
        <w:rPr/>
        <w:t xml:space="preserve">Sondaj asupra unui eșantion reprezentativ din populația olandeză.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Dialoguri tematice online pentru aprofundare</w:t>
      </w:r>
    </w:p>
    <w:p>
      <w:pPr>
        <w:pStyle w:val="P68B1DB1Normal104"/>
        <w:widowControl w:val="false"/>
        <w:spacing w:lineRule="auto" w:line="240"/>
        <w:ind w:left="0" w:right="0" w:hanging="0"/>
        <w:jc w:val="left"/>
        <w:rPr/>
      </w:pPr>
      <w:r>
        <w:rPr/>
        <w:t xml:space="preserve">Dialoguri organizate de fiecare dată cu un grup de olandezi cu scopul de a aprofunda concluziile primului raport intermediar „Viziunea noastră pentru Europa” (8 octombrie 2021), oferind o imagine de ansamblu inițială a rezultatelor și întrebări complementare.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Dialoguri cu grupuri specifice</w:t>
      </w:r>
    </w:p>
    <w:p>
      <w:pPr>
        <w:pStyle w:val="P68B1DB1Normal104"/>
        <w:widowControl w:val="false"/>
        <w:spacing w:lineRule="auto" w:line="240"/>
        <w:ind w:left="0" w:right="0" w:hanging="0"/>
        <w:jc w:val="left"/>
        <w:rPr>
          <w:rFonts w:ascii="Calibri" w:hAnsi="Calibri"/>
          <w:color w:val="000000"/>
          <w:sz w:val="21"/>
        </w:rPr>
      </w:pPr>
      <w:r>
        <w:rPr/>
        <w:t xml:space="preserve">Întâlniri cu olandezii care nu sunt obișnuiți să participe la sondaje și grupuri de experți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Dialoguri cu tinerii</w:t>
      </w:r>
    </w:p>
    <w:p>
      <w:pPr>
        <w:pStyle w:val="P68B1DB1Normal104"/>
        <w:widowControl w:val="false"/>
        <w:spacing w:lineRule="auto" w:line="240"/>
        <w:ind w:left="0" w:right="0" w:hanging="0"/>
        <w:jc w:val="left"/>
        <w:rPr>
          <w:rFonts w:ascii="Calibri" w:hAnsi="Calibri"/>
          <w:color w:val="000000"/>
          <w:sz w:val="21"/>
        </w:rPr>
      </w:pPr>
      <w:r>
        <w:rPr/>
        <w:t xml:space="preserve">Reuniuni axate pe cele mai relevante teme europene pentru tineri.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Sondaj public online: Chestionar și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to the future) </w:t>
      </w:r>
    </w:p>
    <w:p>
      <w:pPr>
        <w:pStyle w:val="P68B1DB1Normal104"/>
        <w:widowControl w:val="false"/>
        <w:spacing w:lineRule="auto" w:line="240"/>
        <w:ind w:left="0" w:right="0" w:hanging="0"/>
        <w:jc w:val="left"/>
        <w:rPr/>
      </w:pPr>
      <w:r>
        <w:rPr/>
        <w:t xml:space="preserve">Chestionarul de sondaj al panelului ar putea fi completat și de toți olandezii, inclusiv de cei care locuiesc în străinătate. Acest chestionar a fost disponibil în perioada 1 septembrie 2021-14 noiembrie 2021. În plus, în aceeași perioadă, fiecare olandez a putut participa la acțiunea „Swipen naar de toekomst” (Swiper to the future), un instrument online care prezintă 20 de revendicări.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Sondajul unui panou </w:t>
      </w:r>
    </w:p>
    <w:p>
      <w:pPr>
        <w:pStyle w:val="P68B1DB1Normal104"/>
        <w:widowControl w:val="false"/>
        <w:spacing w:lineRule="auto" w:line="240" w:before="118" w:after="0"/>
        <w:ind w:left="0" w:right="0" w:hanging="0"/>
        <w:jc w:val="left"/>
        <w:rPr/>
      </w:pPr>
      <w:r>
        <w:rPr/>
        <w:t xml:space="preserve">Dialogul cu cetățenii din Țările de Jos „Viziunea Europei” a început la 1 septembrie cu un sondaj de opinie. În această descriere a metodologiei sondajului, explicăm pe scurt conceperea și punerea în aplicare a acestui sondaj unui grup de experți. </w:t>
      </w:r>
    </w:p>
    <w:p>
      <w:pPr>
        <w:pStyle w:val="P68B1DB1Normal107"/>
        <w:widowControl w:val="false"/>
        <w:spacing w:lineRule="auto" w:line="240" w:before="43" w:after="0"/>
        <w:ind w:left="0" w:right="0" w:hanging="0"/>
        <w:jc w:val="left"/>
        <w:rPr>
          <w:rFonts w:ascii="Calibri" w:hAnsi="Calibri"/>
          <w:i/>
          <w:i/>
          <w:color w:val="000000"/>
          <w:sz w:val="24"/>
        </w:rPr>
      </w:pPr>
      <w:r>
        <w:rPr/>
        <w:t xml:space="preserve">Populația țintă și populația țintă </w:t>
      </w:r>
    </w:p>
    <w:p>
      <w:pPr>
        <w:pStyle w:val="Normal"/>
        <w:widowControl w:val="false"/>
        <w:spacing w:lineRule="auto" w:line="240" w:before="123" w:after="0"/>
        <w:ind w:left="0" w:right="0" w:hanging="0"/>
        <w:jc w:val="left"/>
        <w:rPr/>
      </w:pPr>
      <w:r>
        <w:rPr>
          <w:rFonts w:ascii="Calibri" w:hAnsi="Calibri"/>
          <w:color w:val="000000"/>
          <w:sz w:val="21"/>
        </w:rPr>
        <w:t>Sondajul „Vision of Europe” a început cu un chestionar online privind modul în care cetățenii olandezi văd viitorul Europei. Acest chestionar a fost transmis unui grup reprezentativ și este, de asemenea, deschis tuturor Țărilor de Jos (inclusiv celor care locuiesc în străinătate). În plus, fiecare persoană a putut participa la acțiunea „Swipen naar de toekomst” (Swiper</w:t>
      </w:r>
      <w:commentRangeStart w:id="26"/>
      <w:r>
        <w:rPr>
          <w:rFonts w:ascii="Calibri" w:hAnsi="Calibri"/>
          <w:color w:val="000000"/>
          <w:sz w:val="21"/>
        </w:rPr>
        <w:t>to</w:t>
      </w:r>
      <w:r>
        <w:rPr>
          <w:rFonts w:ascii="Calibri" w:hAnsi="Calibri"/>
          <w:color w:val="000000"/>
          <w:sz w:val="21"/>
        </w:rPr>
      </w:r>
      <w:commentRangeEnd w:id="26"/>
      <w:r>
        <w:commentReference w:id="26"/>
      </w:r>
      <w:r>
        <w:rPr>
          <w:rFonts w:ascii="Calibri" w:hAnsi="Calibri"/>
          <w:color w:val="000000"/>
          <w:sz w:val="21"/>
        </w:rPr>
        <w:t xml:space="preserve"> the future), un instrument online care prezintă 20 de revendicări. Rezultatele sondajului au alimentat mai multe dialoguri tematice organizate ca urmare a procesului de dialog cu cetățenii „Viziunea Europei”.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Populația țintă a sondajului include toate persoanele olandeze în vârstă de 18 ani sau mai în vârstă care erau înregistrate ca rezidenți în registrul populației la momentul începerii activității pe teren. Potrivit Biroului Național de Statistică din Țările de Jos (Centraal Bureau voor de Statistiek – CBS), acest grup țintă avea 14.190.874 de persoane la 1 ianuarie 2021. Limita inferioară de 18 ani corespunde majorității electorale. Noi o numim populația sondajului de grup.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Muncă pe teren </w:t>
      </w:r>
    </w:p>
    <w:p>
      <w:pPr>
        <w:pStyle w:val="P68B1DB1Normal104"/>
        <w:widowControl w:val="false"/>
        <w:spacing w:lineRule="auto" w:line="240" w:before="127" w:after="0"/>
        <w:ind w:left="0" w:right="0" w:hanging="0"/>
        <w:jc w:val="left"/>
        <w:rPr/>
      </w:pPr>
      <w:r>
        <w:rPr/>
        <w:t xml:space="preserve">Un panou de peste 100.000 de participanți din întreaga țară (certificat ISO, Research Keurmerk groep, Nederlandse marktonderzoek Associatie) a fost folosit pentru a obține o imagine digitală a „Medium Dutch”. Acești participanți s-au înscris în comitetul de anchetă pentru a-și prezenta în mod regulat opiniile cu privire la o gamă largă de subiecte. Pe lângă motivația lor intrinsecă de a contribui, aceștia sunt plătiți pentru a răspunde la chestionare. Mai multe studii științifice arată că respondenții care primesc compensații pentru completarea unui chestionar nu oferă răspunsuri semnificativ diferite (sursa: Utilizarea stimulentelor pentru anchete degradează calitatea datelor?Cole,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Lucrările pe teren au început la 11 august 2021 și s-au încheiat la 19 septembrie 2021. Pentru implementare, a fost utilizată o singură metodă de colectare a datelor, și anume sondajul pe internet. Membrii grupului de anchetă au primit un e-mail cu un link personal către chestionarul online. După două săptămâni, participanții au primit un memento. Invitațiile de participare au fost trimise în loturi și stratificate (prin asigurarea unei distribuții egale a subgrupurilor) până la atingerea numărului necesar de respondenți. </w:t>
      </w:r>
    </w:p>
    <w:p>
      <w:pPr>
        <w:pStyle w:val="P68B1DB1Normal107"/>
        <w:widowControl w:val="false"/>
        <w:spacing w:lineRule="auto" w:line="240" w:before="42" w:after="0"/>
        <w:ind w:left="0" w:right="0" w:hanging="0"/>
        <w:jc w:val="left"/>
        <w:rPr>
          <w:rFonts w:ascii="Calibri" w:hAnsi="Calibri"/>
          <w:i/>
          <w:i/>
          <w:color w:val="000000"/>
          <w:sz w:val="24"/>
        </w:rPr>
      </w:pPr>
      <w:r>
        <w:rPr/>
        <w:t xml:space="preserve">Prelevarea de probe și distribuția </w:t>
      </w:r>
    </w:p>
    <w:p>
      <w:pPr>
        <w:pStyle w:val="P68B1DB1Normal104"/>
        <w:widowControl w:val="false"/>
        <w:spacing w:lineRule="auto" w:line="240" w:before="123" w:after="0"/>
        <w:ind w:left="0" w:right="0" w:hanging="0"/>
        <w:jc w:val="left"/>
        <w:rPr/>
      </w:pPr>
      <w:r>
        <w:rPr/>
        <w:t xml:space="preserve">Proiectarea sondajului se bazează pe principiul conform căruia minimum 3.600 de respondenți trebuie să participe la sondaj pentru a asigura o bună fiabilitate statistică. În plus, acest număr permite o bună distribuție între diferitele caracteristici generale ale populației. Nu există doar un singur tip de olandez. Prin urmare, ne-am asigurat în prealabil că eșantionul este distribuit bine pe o serie de caracteristici. Olanda este o țară relativ mică, dar opiniile pot diferi în funcție de regiune. Poziționarea și importanța acordată temelor pot fi (în parte) determinate de regiunea în care locuiți. De exemplu, persoanele care locuiesc în zonele rurale pot înțelege un subiect precum securitatea în mod diferit față de cele din zonele urbane. Cercetările efectuate de Biroul olandez de planificare socială și culturală arată, de asemenea, că persoanele cu un nivel mai ridicat de studiu sunt mai des susținători ai UE decât cei cu un nivel mai scăzut de studiu și că tinerii sprijină mai mult UE decât persoanele în vârstă (sursa: Wat Willen Nederlanders van de Europese Unie?Oficiul social și cultural olandez, Haga,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Acesta este motivul pentru care am alocat anterior următoarele trei caracteristici proporțional pentru a asigura reprezentativitatea eșantionului: (1) șederea în regiunile COROP, (2) vârsta și (3) nivelul de educație. Distribuția eșantionului a fost, de asemenea, prezentată în conformitate cu următoarele caracteristici generale: gen, origine, ocupație principală, orientare politică.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Regiunile COROP au fost dezvoltate pe baza principiului nodal (o „inimă” cu o zonă de atracție sau o funcție regională), pe baza fluxului de persoane care fac naveta. Au fost admise câteva încălcări ale principiului nodal, astfel încât regiunile să urmeze granițele provinciale. După reorganizarea municipalităților dincolo de limitele COROP, distribuția a fost ajustată (sursa: Oficiul Național de Statistică din Țările de Jos). În cadrul regiunilor COROP, am asigurat o bună repartizare între grupele de vârstă, cu următoarea defalcare: vârstele 18-34, 35-54, 55-75 și peste 75.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În cele din urmă, am asigurat o distribuție reprezentativă a nivelurilor educaționale. În eșantion, distribuția respondenților corespunde distribuției la nivel național a celui mai înalt nivel de educație, care este după cum urmează: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Cel mai înalt nivel de educație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Scăzut: învățământul primar, învățământul profesional pregătitor, clasele 1-III din învățământul secundar superior general/învățământul preuniversitar, învățământul profesional secundar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Intermediar: învățământul secundar superior general/învățământ preuniversitar, învățământul profesional secundar de la 2 la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Înălțime: învățământul profesional superior sau învățământul universitar</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Necunoscut</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Rata de răspuns </w:t>
      </w:r>
    </w:p>
    <w:p>
      <w:pPr>
        <w:pStyle w:val="P68B1DB1Normal104"/>
        <w:widowControl w:val="false"/>
        <w:spacing w:lineRule="exact" w:line="283" w:before="87" w:after="0"/>
        <w:ind w:left="0" w:right="368" w:hanging="0"/>
        <w:jc w:val="left"/>
        <w:rPr/>
      </w:pPr>
      <w:r>
        <w:rPr/>
        <w:t xml:space="preserve">Un total de 4.866 de persoane au participat la sondaj pentru fiecare grup. Prin urmare, obiectivul de 3 600 de chestionare completate integral este atins.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Răspunsuri din partea regiunilor și vârstei COROP</w:t>
            </w:r>
          </w:p>
        </w:tc>
        <w:tc>
          <w:tcPr>
            <w:tcW w:w="1348" w:type="dxa"/>
            <w:tcBorders/>
            <w:shd w:fill="auto" w:val="clear"/>
            <w:vAlign w:val="bottom"/>
          </w:tcPr>
          <w:p>
            <w:pPr>
              <w:pStyle w:val="P68B1DB1Contenudetableau122"/>
              <w:spacing w:before="57" w:after="57"/>
              <w:jc w:val="left"/>
              <w:rPr>
                <w:b/>
                <w:b/>
                <w:color w:val="000000"/>
              </w:rPr>
            </w:pPr>
            <w:r>
              <w:rPr/>
              <w:t>Între 18 și 34 de ani</w:t>
            </w:r>
          </w:p>
        </w:tc>
        <w:tc>
          <w:tcPr>
            <w:tcW w:w="1348" w:type="dxa"/>
            <w:tcBorders/>
            <w:shd w:fill="auto" w:val="clear"/>
            <w:vAlign w:val="bottom"/>
          </w:tcPr>
          <w:p>
            <w:pPr>
              <w:pStyle w:val="P68B1DB1Contenudetableau122"/>
              <w:spacing w:before="57" w:after="57"/>
              <w:jc w:val="left"/>
              <w:rPr>
                <w:b/>
                <w:b/>
                <w:color w:val="000000"/>
              </w:rPr>
            </w:pPr>
            <w:r>
              <w:rPr/>
              <w:t>Între 35 și 54 de ani</w:t>
            </w:r>
          </w:p>
        </w:tc>
        <w:tc>
          <w:tcPr>
            <w:tcW w:w="1574" w:type="dxa"/>
            <w:tcBorders/>
            <w:shd w:fill="auto" w:val="clear"/>
            <w:vAlign w:val="bottom"/>
          </w:tcPr>
          <w:p>
            <w:pPr>
              <w:pStyle w:val="P68B1DB1Contenudetableau122"/>
              <w:spacing w:before="57" w:after="57"/>
              <w:jc w:val="left"/>
              <w:rPr>
                <w:b/>
                <w:b/>
                <w:color w:val="000000"/>
              </w:rPr>
            </w:pPr>
            <w:r>
              <w:rPr/>
              <w:t>Între 55 și 75 de ani</w:t>
            </w:r>
          </w:p>
        </w:tc>
        <w:tc>
          <w:tcPr>
            <w:tcW w:w="1352" w:type="dxa"/>
            <w:tcBorders/>
            <w:shd w:fill="auto" w:val="clear"/>
            <w:vAlign w:val="bottom"/>
          </w:tcPr>
          <w:p>
            <w:pPr>
              <w:pStyle w:val="P68B1DB1Contenudetableau122"/>
              <w:spacing w:before="57" w:after="57"/>
              <w:jc w:val="left"/>
              <w:rPr>
                <w:b/>
                <w:b/>
                <w:color w:val="000000"/>
              </w:rPr>
            </w:pPr>
            <w:r>
              <w:rPr/>
              <w:t xml:space="preserve"> </w:t>
            </w:r>
            <w:r>
              <w:rPr/>
              <w:t>mai mult de 75 de ani</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 de Nord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sud-est de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sud-vest de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Nordul Frieslandului</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Sud-Estul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sud-vest de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Sud-Vest din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Marele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Groningen de Est</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Restul din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Centrul orașului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Limburgul de Nord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Limburgul de Sud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Centrul Brabantul de Nord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Răspunsuri din partea regiunilor și vârstei COROP </w:t>
            </w:r>
          </w:p>
        </w:tc>
        <w:tc>
          <w:tcPr>
            <w:tcW w:w="1393" w:type="dxa"/>
            <w:tcBorders/>
            <w:shd w:fill="auto" w:val="clear"/>
            <w:vAlign w:val="bottom"/>
          </w:tcPr>
          <w:p>
            <w:pPr>
              <w:pStyle w:val="P68B1DB1Contenudetableau122"/>
              <w:spacing w:before="57" w:after="57"/>
              <w:jc w:val="left"/>
              <w:rPr>
                <w:b/>
                <w:b/>
                <w:color w:val="000000"/>
              </w:rPr>
            </w:pPr>
            <w:r>
              <w:rPr/>
              <w:t>Între 18 și 34 de ani</w:t>
            </w:r>
          </w:p>
        </w:tc>
        <w:tc>
          <w:tcPr>
            <w:tcW w:w="1393" w:type="dxa"/>
            <w:tcBorders/>
            <w:shd w:fill="auto" w:val="clear"/>
            <w:vAlign w:val="bottom"/>
          </w:tcPr>
          <w:p>
            <w:pPr>
              <w:pStyle w:val="P68B1DB1Contenudetableau122"/>
              <w:spacing w:before="57" w:after="57"/>
              <w:jc w:val="left"/>
              <w:rPr>
                <w:b/>
                <w:b/>
                <w:color w:val="000000"/>
              </w:rPr>
            </w:pPr>
            <w:r>
              <w:rPr/>
              <w:t>Între 35 și 54 de ani</w:t>
            </w:r>
          </w:p>
        </w:tc>
        <w:tc>
          <w:tcPr>
            <w:tcW w:w="1370" w:type="dxa"/>
            <w:tcBorders/>
            <w:shd w:fill="auto" w:val="clear"/>
            <w:vAlign w:val="bottom"/>
          </w:tcPr>
          <w:p>
            <w:pPr>
              <w:pStyle w:val="P68B1DB1Contenudetableau122"/>
              <w:spacing w:before="57" w:after="57"/>
              <w:jc w:val="left"/>
              <w:rPr>
                <w:b/>
                <w:b/>
                <w:color w:val="000000"/>
              </w:rPr>
            </w:pPr>
            <w:r>
              <w:rPr/>
              <w:t>Între 55 și 75 de ani</w:t>
            </w:r>
          </w:p>
        </w:tc>
        <w:tc>
          <w:tcPr>
            <w:tcW w:w="1376" w:type="dxa"/>
            <w:tcBorders/>
            <w:shd w:fill="auto" w:val="clear"/>
            <w:vAlign w:val="bottom"/>
          </w:tcPr>
          <w:p>
            <w:pPr>
              <w:pStyle w:val="P68B1DB1Contenudetableau122"/>
              <w:spacing w:before="57" w:after="57"/>
              <w:jc w:val="left"/>
              <w:rPr>
                <w:b/>
                <w:b/>
                <w:color w:val="000000"/>
              </w:rPr>
            </w:pPr>
            <w:r>
              <w:rPr/>
              <w:t>mai mult de 75 de ani</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nord-est de Brabantul de Nord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vest de Brabantul de Nord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Sud-Estul Brabantului de Nord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Aglomerarea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și împrejurimile sale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Mare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și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Vârful Olandei de Nord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Regiunea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Overijssel de Nord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sud-vest de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Restul Zeelandei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Flandra Zeelanda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Aglomerarea Leiden și regiunea bulbilor</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Aglomerarea din Haga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și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Marele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Estul Olandei de Sud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Sud-estul Olandei de Sud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Răspunsuri în funcție de nivelul de educație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Scăzut</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Intermediar</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Înaltă</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Necunoscut</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Fiabilitate și reprezentativitate </w:t>
      </w:r>
    </w:p>
    <w:p>
      <w:pPr>
        <w:pStyle w:val="P68B1DB1Normal104"/>
        <w:widowControl w:val="false"/>
        <w:spacing w:lineRule="auto" w:line="240" w:before="87" w:after="0"/>
        <w:ind w:left="0" w:right="0" w:hanging="0"/>
        <w:jc w:val="left"/>
        <w:rPr/>
      </w:pPr>
      <w:r>
        <w:rPr/>
        <w:t xml:space="preserve">Numărul de respondenți de 4 086 permite formularea de observații pentru întreaga populație, cu un nivel de încredere de 95 % și o marjă de eroare de 1,53 %. Nivelul de încredere și marja de eroare a rezultatelor sunt determinate de dimensiunea eșantionului. Cu cât eșantionul este mai mare, cu atât rezultatele pot fi extrapolate la întreaga populație.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Nivelul de încredere este definit ca 1 (100 %) minus nivelul de semnificație. Este obișnuit să se bazeze pe un nivel de semnificație de 5 %. Vorbim despre un nivel de încredere de 95 %. Cu alte cuvinte, dacă ancheta ar fi repetată în același mod și în aceleași condiții, rezultatele ar fi aceleași în 95 % din cazuri. </w:t>
      </w:r>
    </w:p>
    <w:p>
      <w:pPr>
        <w:pStyle w:val="P68B1DB1Normal104"/>
        <w:widowControl w:val="false"/>
        <w:spacing w:lineRule="auto" w:line="240"/>
        <w:ind w:left="0" w:right="0" w:hanging="0"/>
        <w:jc w:val="left"/>
        <w:rPr/>
      </w:pPr>
      <w:r>
        <w:rPr/>
        <w:t xml:space="preserve">Precizia (exprimată prin marjă de eroare) indică intervalul de valori în care este localizată valoarea reală a populației. Cu alte cuvinte: care ar fi diferența maximă dintre rezultatele eșantionului și rezultatele obținute de la populație în ansamblu? O marjă de eroare de 1,53 % înseamnă că valoarea reală în cadrul populației totale poate fi cu 1,53 % mai mare sau mai mică decât valoarea eșantionului. De exemplu, dacă un sondaj efectuat pe un eșantion de persoane indică faptul că 50 % dintre respondenți consideră că o anumită temă este importantă, procentul real este cu 1,53 % mai mare sau mai mic decât 50 %, adică între 48,47 și 51,53 %. O marjă maximă de eroare de 5 % este comună și general acceptată în studiile cantitative (statistici). </w:t>
      </w:r>
    </w:p>
    <w:p>
      <w:pPr>
        <w:pStyle w:val="P68B1DB1Normal104"/>
        <w:widowControl w:val="false"/>
        <w:spacing w:lineRule="auto" w:line="240"/>
        <w:ind w:left="0" w:right="0" w:hanging="0"/>
        <w:jc w:val="left"/>
        <w:rPr/>
      </w:pPr>
      <w:r>
        <w:rPr/>
        <w:t xml:space="preserve">În plus față de fiabilitate, reprezentativitatea eșantionului este importantă. Întrucât invitațiile de participare au fost trimise în loturi și stratificate, rezultatele sunt reprezentative în ceea ce privește caracteristicile regiunii COROP și grupele de vârstă pentru fiecare regiune COROP. Răspunsurile sunt, de asemenea, reprezentative din punctul de vedere al nivelului de educație în comparație cu cel mai înalt nivel de educație realizat la nivel național. </w:t>
      </w:r>
    </w:p>
    <w:p>
      <w:pPr>
        <w:pStyle w:val="P68B1DB1Normal107"/>
        <w:widowControl w:val="false"/>
        <w:spacing w:lineRule="auto" w:line="240"/>
        <w:ind w:left="0" w:right="0" w:hanging="0"/>
        <w:jc w:val="left"/>
        <w:rPr>
          <w:rFonts w:ascii="Calibri" w:hAnsi="Calibri"/>
          <w:i/>
          <w:i/>
          <w:color w:val="000000"/>
          <w:sz w:val="24"/>
        </w:rPr>
      </w:pPr>
      <w:r>
        <w:rPr/>
        <w:t xml:space="preserve">Alte caracteristici generale </w:t>
      </w:r>
    </w:p>
    <w:p>
      <w:pPr>
        <w:pStyle w:val="P68B1DB1Normal104"/>
        <w:widowControl w:val="false"/>
        <w:spacing w:lineRule="auto" w:line="240" w:before="5" w:after="0"/>
        <w:ind w:left="0" w:right="0" w:hanging="0"/>
        <w:jc w:val="left"/>
        <w:rPr/>
      </w:pPr>
      <w:r>
        <w:rPr/>
        <w:t xml:space="preserve">O serie de întrebări contextuale suplimentare au fost adresate participanților la sondaj prin intermediul unui grup de experți. Printre acestea se numără genul, poziționarea UE, originea, ocupația principală și partidul politic pentru care persoana ar vota în cazul alegerilor. </w:t>
      </w:r>
    </w:p>
    <w:p>
      <w:pPr>
        <w:pStyle w:val="P68B1DB1Normal104"/>
        <w:widowControl w:val="false"/>
        <w:spacing w:lineRule="auto" w:line="240"/>
        <w:ind w:left="0" w:right="0" w:hanging="0"/>
        <w:jc w:val="left"/>
        <w:rPr/>
      </w:pPr>
      <w:r>
        <w:rPr/>
        <w:t xml:space="preserve">49 % dintre respondenți sunt bărbați, 50 % sunt femei și 1 % preferă să nu răspundă la această întrebare. </w:t>
      </w:r>
    </w:p>
    <w:p>
      <w:pPr>
        <w:pStyle w:val="Normal"/>
        <w:widowControl w:val="false"/>
        <w:spacing w:lineRule="auto" w:line="240"/>
        <w:ind w:left="0" w:right="0" w:hanging="0"/>
        <w:jc w:val="left"/>
        <w:rPr/>
      </w:pPr>
      <w:r>
        <w:rPr>
          <w:rFonts w:ascii="Calibri" w:hAnsi="Calibri"/>
          <w:color w:val="000000"/>
          <w:sz w:val="21"/>
        </w:rPr>
        <w:t xml:space="preserve">51 % dintre respondenți consideră că este un lucru bun pentru Țările de Jos să fie membru al UE, 13 % consideră că este un lucru rău, iar 36 % sunt neutri sau nu au nicio opinie. </w:t>
      </w:r>
      <w:r>
        <w:br w:type="page"/>
      </w:r>
    </w:p>
    <w:p>
      <w:pPr>
        <w:pStyle w:val="P68B1DB1Normal104"/>
        <w:spacing w:lineRule="auto" w:line="240"/>
        <w:ind w:left="0" w:right="0" w:hanging="0"/>
        <w:rPr/>
      </w:pPr>
      <w:r>
        <w:rPr/>
        <w:t xml:space="preserve">95 % dintre respondenți s-au născut în Olanda. 89 % dintre respondenți au indicat că ambii părinți s-au născut în Țările de Jos. 5 % s-au născut din doi părinți născuți în străinătate.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Orientarea politică actuală a respondenților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Petrecere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(Partidul Poporului pentru Libertate și Democrație)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(Partidul pentru Libertate)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(Partidul Socialist)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(Democrații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(Creștin Democrat Call)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(Partidul Muncii)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(Partidul Animalelor)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(Stânga Verde)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(Uniunea Creștină)</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(Mișcarea Farmer-cetățean)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(Forumul pentru Democrație)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SGP (Partidul Politic Reformat)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Jocuri cu Jocul 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JOCURI CU JOCUL 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Vot alb</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Prefer să nu răspund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Nu votez</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Care este în prezent principala ta ocupație?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Ocupație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Angajat cu fracțiune de normă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Angajat cu normă întreagă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Contractant independent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Persoană acasă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Persoană aflată în căutarea unui loc de muncă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Voluntariat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Incapacitate de muncă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Pensionar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Prefer să nu răspund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Română</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Chestionarul și prezentul raport au fost elaborate de o organizație externă independentă la cererea Ministerului Afacerilor Externe. Chestionarul prezintă o structură modulară și include următoarele blocuri de întrebări, în conformitate cu temele identificate pentru Conferința privind viitorul Europei: Teme importante și rolul Europei </w:t>
      </w:r>
    </w:p>
    <w:p>
      <w:pPr>
        <w:pStyle w:val="P68B1DB1Normal104"/>
        <w:widowControl w:val="false"/>
        <w:spacing w:lineRule="auto" w:line="240" w:before="1" w:after="0"/>
        <w:ind w:left="0" w:right="0" w:hanging="0"/>
        <w:jc w:val="left"/>
        <w:rPr>
          <w:rFonts w:ascii="Calibri" w:hAnsi="Calibri"/>
          <w:color w:val="000000"/>
          <w:sz w:val="21"/>
        </w:rPr>
      </w:pPr>
      <w:r>
        <w:rPr/>
        <w:t xml:space="preserve">Schimbările climatice și mediul </w:t>
      </w:r>
    </w:p>
    <w:p>
      <w:pPr>
        <w:pStyle w:val="P68B1DB1Normal104"/>
        <w:widowControl w:val="false"/>
        <w:spacing w:lineRule="auto" w:line="240"/>
        <w:ind w:left="0" w:right="0" w:hanging="0"/>
        <w:jc w:val="left"/>
        <w:rPr>
          <w:rFonts w:ascii="Calibri" w:hAnsi="Calibri"/>
          <w:color w:val="000000"/>
          <w:sz w:val="21"/>
        </w:rPr>
      </w:pPr>
      <w:r>
        <w:rPr/>
        <w:t xml:space="preserve">Sănătate </w:t>
      </w:r>
    </w:p>
    <w:p>
      <w:pPr>
        <w:pStyle w:val="P68B1DB1Normal104"/>
        <w:widowControl w:val="false"/>
        <w:spacing w:lineRule="auto" w:line="240" w:before="1" w:after="0"/>
        <w:ind w:left="0" w:right="0" w:hanging="0"/>
        <w:jc w:val="left"/>
        <w:rPr>
          <w:rFonts w:ascii="Calibri" w:hAnsi="Calibri"/>
          <w:color w:val="000000"/>
          <w:sz w:val="21"/>
        </w:rPr>
      </w:pPr>
      <w:r>
        <w:rPr/>
        <w:t xml:space="preserve">Economie și ocuparea forței de muncă </w:t>
      </w:r>
    </w:p>
    <w:p>
      <w:pPr>
        <w:pStyle w:val="P68B1DB1Normal104"/>
        <w:widowControl w:val="false"/>
        <w:spacing w:lineRule="auto" w:line="240"/>
        <w:ind w:left="0" w:right="0" w:hanging="0"/>
        <w:jc w:val="left"/>
        <w:rPr>
          <w:rFonts w:ascii="Calibri" w:hAnsi="Calibri"/>
          <w:color w:val="000000"/>
          <w:sz w:val="21"/>
        </w:rPr>
      </w:pPr>
      <w:r>
        <w:rPr/>
        <w:t xml:space="preserve">Rolul Uniunii Europene în lume </w:t>
      </w:r>
    </w:p>
    <w:p>
      <w:pPr>
        <w:pStyle w:val="P68B1DB1Normal104"/>
        <w:widowControl w:val="false"/>
        <w:spacing w:lineRule="auto" w:line="240" w:before="1" w:after="0"/>
        <w:ind w:left="0" w:right="0" w:hanging="0"/>
        <w:jc w:val="left"/>
        <w:rPr>
          <w:rFonts w:ascii="Calibri" w:hAnsi="Calibri"/>
          <w:color w:val="000000"/>
          <w:sz w:val="21"/>
        </w:rPr>
      </w:pPr>
      <w:r>
        <w:rPr/>
        <w:t xml:space="preserve">Securitatea și statul de drept </w:t>
      </w:r>
    </w:p>
    <w:p>
      <w:pPr>
        <w:pStyle w:val="P68B1DB1Normal104"/>
        <w:widowControl w:val="false"/>
        <w:spacing w:lineRule="auto" w:line="240"/>
        <w:ind w:left="0" w:right="0" w:hanging="0"/>
        <w:jc w:val="left"/>
        <w:rPr>
          <w:rFonts w:ascii="Calibri" w:hAnsi="Calibri"/>
          <w:color w:val="000000"/>
          <w:sz w:val="21"/>
        </w:rPr>
      </w:pPr>
      <w:r>
        <w:rPr/>
        <w:t xml:space="preserve">Lumea virtuală </w:t>
      </w:r>
    </w:p>
    <w:p>
      <w:pPr>
        <w:pStyle w:val="P68B1DB1Normal104"/>
        <w:widowControl w:val="false"/>
        <w:spacing w:lineRule="auto" w:line="240" w:before="1" w:after="0"/>
        <w:ind w:left="0" w:right="0" w:hanging="0"/>
        <w:jc w:val="left"/>
        <w:rPr>
          <w:rFonts w:ascii="Calibri" w:hAnsi="Calibri"/>
          <w:color w:val="000000"/>
          <w:sz w:val="21"/>
        </w:rPr>
      </w:pPr>
      <w:r>
        <w:rPr/>
        <w:t xml:space="preserve">Democrația europeană </w:t>
      </w:r>
    </w:p>
    <w:p>
      <w:pPr>
        <w:pStyle w:val="P68B1DB1Normal104"/>
        <w:widowControl w:val="false"/>
        <w:spacing w:lineRule="auto" w:line="240"/>
        <w:ind w:left="0" w:right="0" w:hanging="0"/>
        <w:jc w:val="left"/>
        <w:rPr>
          <w:rFonts w:ascii="Calibri" w:hAnsi="Calibri"/>
          <w:color w:val="000000"/>
          <w:sz w:val="21"/>
        </w:rPr>
      </w:pPr>
      <w:r>
        <w:rPr/>
        <w:t xml:space="preserve">Migrația și refugiații </w:t>
      </w:r>
    </w:p>
    <w:p>
      <w:pPr>
        <w:pStyle w:val="P68B1DB1Normal104"/>
        <w:widowControl w:val="false"/>
        <w:spacing w:lineRule="auto" w:line="240" w:before="1" w:after="0"/>
        <w:ind w:left="0" w:right="0" w:hanging="0"/>
        <w:jc w:val="left"/>
        <w:rPr>
          <w:rFonts w:ascii="Calibri" w:hAnsi="Calibri"/>
          <w:color w:val="000000"/>
          <w:sz w:val="21"/>
        </w:rPr>
      </w:pPr>
      <w:r>
        <w:rPr/>
        <w:t xml:space="preserve">Educație/cultură/tineret/sport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În timpul pregătirii chestionarului, s-a acordat o atenție deosebită calității, fiabilității și validității întrebărilor. Din acest motiv, s-a căutat o formulare neutră și neîndrumată a întrebărilor, afirmațiilor și opțiunilor de răspuns și s-a verificat dacă întrebările au fost formulate într-un limbaj inteligibil (nivelul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Chestionarul a fost supus unor teste de calitate prin interviuri față în față cu participanții la test care aparțin grupului țintă. Acest lucru ne-a permis să studiem modul în care întrebările sunt înțelese de diferite tipuri de respondenți. Dacă o întrebare părea să reprezinte o sarcină cognitivă prea mare (prea complexă), era adecvată. </w:t>
      </w:r>
      <w:r>
        <w:br w:type="page"/>
      </w:r>
    </w:p>
    <w:p>
      <w:pPr>
        <w:pStyle w:val="P68B1DB1Normal107"/>
        <w:spacing w:lineRule="auto" w:line="240"/>
        <w:ind w:left="0" w:right="0" w:hanging="0"/>
        <w:rPr>
          <w:rFonts w:ascii="Calibri" w:hAnsi="Calibri"/>
          <w:i/>
          <w:i/>
          <w:color w:val="000000"/>
          <w:sz w:val="24"/>
        </w:rPr>
      </w:pPr>
      <w:r>
        <w:rPr/>
        <w:t xml:space="preserve">Metode de analiză </w:t>
      </w:r>
    </w:p>
    <w:p>
      <w:pPr>
        <w:pStyle w:val="P68B1DB1Normal104"/>
        <w:widowControl w:val="false"/>
        <w:spacing w:lineRule="auto" w:line="240" w:before="127" w:after="0"/>
        <w:ind w:left="0" w:right="0" w:hanging="0"/>
        <w:jc w:val="left"/>
        <w:rPr>
          <w:rFonts w:ascii="Calibri" w:hAnsi="Calibri"/>
          <w:color w:val="000000"/>
          <w:sz w:val="21"/>
        </w:rPr>
      </w:pPr>
      <w:r>
        <w:rPr/>
        <w:t xml:space="preserve">În cadrul acestui sondaj au fost utilizate două metode de analiză: </w:t>
      </w:r>
    </w:p>
    <w:p>
      <w:pPr>
        <w:pStyle w:val="P68B1DB1Normal111"/>
        <w:widowControl w:val="false"/>
        <w:spacing w:lineRule="auto" w:line="240" w:before="38" w:after="0"/>
        <w:ind w:left="0" w:right="0" w:hanging="0"/>
        <w:jc w:val="left"/>
        <w:rPr>
          <w:rFonts w:ascii="Calibri" w:hAnsi="Calibri"/>
          <w:b/>
          <w:b/>
          <w:color w:val="000000"/>
          <w:sz w:val="22"/>
        </w:rPr>
      </w:pPr>
      <w:r>
        <w:rPr/>
        <w:t xml:space="preserve">Analize univariate </w:t>
      </w:r>
    </w:p>
    <w:p>
      <w:pPr>
        <w:pStyle w:val="P68B1DB1Normal104"/>
        <w:widowControl w:val="false"/>
        <w:spacing w:lineRule="auto" w:line="240" w:before="97" w:after="0"/>
        <w:ind w:left="0" w:right="0" w:hanging="0"/>
        <w:jc w:val="left"/>
        <w:rPr/>
      </w:pPr>
      <w:r>
        <w:rPr/>
        <w:t xml:space="preserve">Statisticile descriptive sunt utilizate pentru a descrie variabilele unui sondaj. Frecvențele și mediile sunt utilizate în acest sondaj. </w:t>
      </w:r>
    </w:p>
    <w:p>
      <w:pPr>
        <w:pStyle w:val="P68B1DB1Normal111"/>
        <w:widowControl w:val="false"/>
        <w:spacing w:lineRule="auto" w:line="240" w:before="41" w:after="0"/>
        <w:ind w:left="0" w:right="0" w:hanging="0"/>
        <w:jc w:val="left"/>
        <w:rPr>
          <w:rFonts w:ascii="Calibri" w:hAnsi="Calibri"/>
          <w:b/>
          <w:b/>
          <w:color w:val="000000"/>
          <w:sz w:val="22"/>
        </w:rPr>
      </w:pPr>
      <w:r>
        <w:rPr/>
        <w:t xml:space="preserve">Analize bivariate </w:t>
      </w:r>
    </w:p>
    <w:p>
      <w:pPr>
        <w:pStyle w:val="P68B1DB1Normal104"/>
        <w:widowControl w:val="false"/>
        <w:spacing w:lineRule="auto" w:line="240" w:before="95" w:after="0"/>
        <w:ind w:left="0" w:right="0" w:hanging="0"/>
        <w:jc w:val="left"/>
        <w:rPr/>
      </w:pPr>
      <w:r>
        <w:rPr/>
        <w:t xml:space="preserve">Analizele bivariate permit examinarea relației dintre două variabile, în speță relația dintre importanța diferitelor teme și întrebarea dacă UE ar trebui să intervină în acest domeniu și caracteristica generală a vârstei. S-a efectuat o revizuire pentru a se stabili dacă diferite grupe de vârstă acordă o importanță diferită unui subiect și dacă există opinii diferite cu privire la măsura în care acestea sunt aspecte în care ar trebui să fie implicată UE. </w:t>
      </w:r>
    </w:p>
    <w:p>
      <w:pPr>
        <w:pStyle w:val="P68B1DB1Normal107"/>
        <w:widowControl w:val="false"/>
        <w:spacing w:lineRule="auto" w:line="240" w:before="43" w:after="0"/>
        <w:ind w:left="0" w:right="0" w:hanging="0"/>
        <w:jc w:val="left"/>
        <w:rPr>
          <w:rFonts w:ascii="Calibri" w:hAnsi="Calibri"/>
          <w:i/>
          <w:i/>
          <w:color w:val="000000"/>
          <w:sz w:val="24"/>
        </w:rPr>
      </w:pPr>
      <w:r>
        <w:rPr/>
        <w:t xml:space="preserve">Publicarea informațiilor și caracterul complet </w:t>
      </w:r>
    </w:p>
    <w:p>
      <w:pPr>
        <w:pStyle w:val="P68B1DB1Normal104"/>
        <w:widowControl w:val="false"/>
        <w:spacing w:lineRule="auto" w:line="240" w:before="123" w:after="0"/>
        <w:ind w:left="0" w:right="0" w:hanging="0"/>
        <w:jc w:val="left"/>
        <w:rPr/>
      </w:pPr>
      <w:r>
        <w:rPr/>
        <w:t xml:space="preserve">Acest raport include o reprezentare (vizuală) a rezultatelor tuturor întrebărilor adresate respondenților din grupul de anchetă. Pentru unele întrebări, respondentului i s-a oferit posibilitatea de a oferi răspunsuri „deschise” (adică nu predeterminate). Răspunsurile deschise au fost apoi clasificate și incluse în publicație. Ideile împărtășite de respondenți în cadrul comentariilor gratuite sunt utilizate pentru a contribui la diferitele dialoguri tematice organizate ca urmare a procesului de dialog cu cetățenii „Viziunea Europei”.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Dialoguri tematice online pentru aprofundare </w:t>
      </w:r>
    </w:p>
    <w:p>
      <w:pPr>
        <w:pStyle w:val="P68B1DB1Normal104"/>
        <w:widowControl w:val="false"/>
        <w:spacing w:lineRule="auto" w:line="240" w:before="17" w:after="0"/>
        <w:ind w:left="0" w:right="0" w:hanging="0"/>
        <w:jc w:val="left"/>
        <w:rPr/>
      </w:pPr>
      <w:r>
        <w:rPr/>
        <w:t xml:space="preserve">Temele aflate în centrul Conferinței privind viitorul Europei au fost aprofundate prin intermediul a opt dialoguri tematice online. Scopul acestor dialoguri a fost de a descoperi motivele opiniilor exprimate, precum și motivațiile și sentimentele din spatele lor. Care sunt preocupările și oportunitățile percepute? Sesiunile de discuții au permis, de asemenea, participanților să formuleze sugestii și idei pe aceste teme, precum și să ridice probleme care nu fac parte din conferință, dar rămân importante pentru ei.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Dialogurile tematice au avut loc la 12-14 octombrie și 9-11 noiembrie. În octombrie au fost organizate patru dialoguri tematice online pe temele „Economie” și „Democrație”. În noiembrie au avut loc patru dialoguri tematice online pe temele „Climă” și „UE în lume”. În medie, 29 de persoane au participat la fiecare sesiune de discuții (231 în total). Participanții au fost recrutați din rândul membrilor juriului (a se vedea punctul 1) și prin intermediul platformelor de comunicare socială.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Dialoguri cu grupuri specifice </w:t>
      </w:r>
    </w:p>
    <w:p>
      <w:pPr>
        <w:pStyle w:val="P68B1DB1Normal104"/>
        <w:widowControl w:val="false"/>
        <w:spacing w:lineRule="auto" w:line="240" w:before="12" w:after="0"/>
        <w:ind w:left="0" w:right="0" w:hanging="0"/>
        <w:jc w:val="left"/>
        <w:rPr/>
      </w:pPr>
      <w:r>
        <w:rPr/>
        <w:t xml:space="preserve">Unele grupuri olandeze sunt cunoscute a fi mai puțin obișnuite cu participarea la sondaje și panouri (online). Pentru a obține o imagine reprezentativă a „vocii Țărilor de Jos”, a fost important ca acești cetățeni să își poată exprima, de asemenea, ideile și opiniile. Acesta este motivul pentru care am organizat, de asemenea, o serie de dialoguri la fața locului pentru sondajul „Viziunea Europei”. Opiniile și ideile pe care le-am putut aduna au fost folosite ca bază (printre altele) pentru formularea recomandărilor.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Grupuri țintă </w:t>
      </w:r>
    </w:p>
    <w:p>
      <w:pPr>
        <w:pStyle w:val="P68B1DB1Normal110"/>
        <w:widowControl w:val="false"/>
        <w:spacing w:lineRule="auto" w:line="240" w:before="22" w:after="0"/>
        <w:ind w:left="0" w:right="0" w:hanging="0"/>
        <w:jc w:val="left"/>
        <w:rPr/>
      </w:pPr>
      <w:r>
        <w:rPr>
          <w:sz w:val="21"/>
        </w:rPr>
        <w:t xml:space="preserve">Grupurile țintă greu accesibile nu pot fi definite fără echivoc. Studiile și experiența ne permit să știm că olandezii cu </w:t>
      </w:r>
      <w:r>
        <w:rPr>
          <w:b/>
          <w:sz w:val="21"/>
        </w:rPr>
        <w:t>origini non-occidentale</w:t>
      </w:r>
      <w:r>
        <w:rPr>
          <w:sz w:val="21"/>
        </w:rPr>
        <w:t>participă semnificativ mai puțin la investigații și discuții. Deoarece acesta reprezintă un grup mare (14 % din olandezii</w:t>
      </w:r>
      <w:r>
        <w:rPr>
          <w:position w:val="6"/>
          <w:sz w:val="14"/>
        </w:rPr>
        <w:t>1</w:t>
      </w:r>
      <w:r>
        <w:rPr>
          <w:sz w:val="21"/>
        </w:rPr>
        <w:t xml:space="preserve">), aceștia au fost selectați pentru a participa la dialogul „Viziunea Europei”. Același raționament a fost urmat în ceea ce privește </w:t>
      </w:r>
      <w:r>
        <w:rPr>
          <w:b/>
          <w:sz w:val="21"/>
        </w:rPr>
        <w:t>persoanele cu educație redusă</w:t>
      </w:r>
      <w:r>
        <w:rPr>
          <w:sz w:val="21"/>
        </w:rPr>
        <w:t>. Este, de asemenea, un grup mare (2,5 milioane olandezi</w:t>
      </w:r>
      <w:r>
        <w:rPr>
          <w:position w:val="6"/>
          <w:sz w:val="14"/>
        </w:rPr>
        <w:t>2</w:t>
      </w:r>
      <w:r>
        <w:rPr>
          <w:sz w:val="21"/>
        </w:rPr>
        <w:t xml:space="preserve">), care se suprapune în parte cu grupul de migranți (39 %). În cele din urmă, a avut loc un dialog cu un grup de persoane care sunt rareori întâlnite în sondaje și discuții, </w:t>
      </w:r>
      <w:r>
        <w:rPr>
          <w:b/>
          <w:sz w:val="21"/>
        </w:rPr>
        <w:t>care critică Europa, dar pentru care Europa joacă un rol important în sfera profesională.</w:t>
      </w:r>
      <w:r>
        <w:rPr>
          <w:sz w:val="21"/>
        </w:rPr>
        <w:t xml:space="preserve"> Au fost selectați antreprenori din sectorul agricol.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Grupurile menționate mai sus au fost abordate prin intermediul organizațiilor din care fac parte, cum ar fi organizațiile de migranți, asociațiile de advocacy și organizațiile profesionale. Din moment ce am limitat numărul de dialoguri la opt, nu am putut fi complet „exhaustiv”. Acest lucru face ca alegerea participanților să fie oarecum arbitrară. Pentru a face această alegere, am ținut cont și de entuziasmul de a participa și de a ajuta la mobilizarea bazei lor, precum și de probleme practice, cum ar fi disponibilitatea în funcție de date și locație.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Au avut loc dialoguri la fața locului cu membrii următoarelor organizații: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Fundația Hakder, comunitatea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Fundația Asha, comunitatea hindusă, Utrecht (două sesiuni de discuții)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organizație a societății civile,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 organizație pentru persoanele cu studii scăzute,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asociația grupurilor agricole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comunitatea marocană,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Femei pentru libertate, organizație de advocacy pentru femeile care provin din familii de migranți, Haga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La aceste întâlniri au participat în total 110 persoane.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Dialoguri cu tinerii </w:t>
      </w:r>
    </w:p>
    <w:p>
      <w:pPr>
        <w:pStyle w:val="P68B1DB1Normal104"/>
        <w:widowControl w:val="false"/>
        <w:spacing w:lineRule="auto" w:line="240" w:before="118" w:after="0"/>
        <w:ind w:left="0" w:right="0" w:hanging="0"/>
        <w:jc w:val="both"/>
        <w:rPr/>
      </w:pPr>
      <w:r>
        <w:rPr/>
        <w:t xml:space="preserve">Tinerii reprezintă un grup țintă prioritar al Conferinței privind viitorul Europei. Pentru a încuraja în mod activ participarea acestora la dialogul cu cetățenii „Viziunea Europei” și pentru a face bine auzite opiniile și ideile acestui grup, au fost organizate cinci reuniuni de discuții fizice destinate în mod special tinerilor. O a șasea reuniune planificată cu tinerii nu a putut avea loc din cauza măsurilor restrictive legate de coronavirus.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Reuniunile au avut loc în următoarele instituții: </w:t>
      </w:r>
    </w:p>
    <w:p>
      <w:pPr>
        <w:pStyle w:val="P68B1DB1Normal104"/>
        <w:widowControl w:val="false"/>
        <w:spacing w:lineRule="auto" w:line="240"/>
        <w:ind w:left="0" w:right="0" w:hanging="0"/>
        <w:jc w:val="both"/>
        <w:rPr>
          <w:rFonts w:ascii="Calibri" w:hAnsi="Calibri"/>
          <w:color w:val="000000"/>
          <w:sz w:val="21"/>
        </w:rPr>
      </w:pPr>
      <w:r>
        <w:rPr/>
        <w:t xml:space="preserve">Asociația Studenților la Istorie, Universitatea din Leiden </w:t>
      </w:r>
    </w:p>
    <w:p>
      <w:pPr>
        <w:pStyle w:val="P68B1DB1Normal104"/>
        <w:widowControl w:val="false"/>
        <w:spacing w:lineRule="auto" w:line="240"/>
        <w:ind w:left="0" w:right="0" w:hanging="0"/>
        <w:jc w:val="both"/>
        <w:rPr>
          <w:rFonts w:ascii="Calibri" w:hAnsi="Calibri"/>
          <w:color w:val="000000"/>
          <w:sz w:val="21"/>
        </w:rPr>
      </w:pPr>
      <w:r>
        <w:rPr/>
        <w:t xml:space="preserve">Colegiul Dr. Knippenberg, Liceul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Coaliția-Y, Platforma pentru tineret a Consiliului Economic și Social </w:t>
      </w:r>
    </w:p>
    <w:p>
      <w:pPr>
        <w:pStyle w:val="P68B1DB1Normal104"/>
        <w:widowControl w:val="false"/>
        <w:spacing w:lineRule="auto" w:line="240"/>
        <w:ind w:left="0" w:right="0" w:hanging="0"/>
        <w:jc w:val="left"/>
        <w:rPr>
          <w:rFonts w:ascii="Calibri" w:hAnsi="Calibri"/>
          <w:color w:val="000000"/>
          <w:sz w:val="21"/>
        </w:rPr>
      </w:pPr>
      <w:r>
        <w:rPr/>
        <w:t xml:space="preserve">Colegiul Graafschap, Învățământul secundar profesional,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învățământ secundar axat pe subiecte tehnologice,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Un total de 95 de tineri au participat la întâlnirile de discuții. </w:t>
      </w:r>
      <w:r>
        <w:br w:type="page"/>
      </w:r>
    </w:p>
    <w:p>
      <w:pPr>
        <w:pStyle w:val="P68B1DB1Normal107"/>
        <w:spacing w:lineRule="auto" w:line="240"/>
        <w:ind w:left="0" w:right="0" w:hanging="0"/>
        <w:rPr>
          <w:rFonts w:ascii="Calibri" w:hAnsi="Calibri"/>
          <w:i/>
          <w:i/>
          <w:color w:val="000000"/>
          <w:sz w:val="24"/>
        </w:rPr>
      </w:pPr>
      <w:r>
        <w:rPr/>
        <w:t xml:space="preserve">Tehnici de întreținere utilizate </w:t>
      </w:r>
    </w:p>
    <w:p>
      <w:pPr>
        <w:pStyle w:val="P68B1DB1Normal104"/>
        <w:widowControl w:val="false"/>
        <w:spacing w:lineRule="auto" w:line="240" w:before="10" w:after="0"/>
        <w:ind w:left="0" w:right="0" w:hanging="0"/>
        <w:jc w:val="left"/>
        <w:rPr/>
      </w:pPr>
      <w:r>
        <w:rPr/>
        <w:t xml:space="preserve">Dialogurile tematice online, dialogurile cu grupuri specifice și dialogurile cu tinerii s-au desfășurat utilizând așa-numita metodă de interviu „socratic”. Această metodă a fost folosită de mulți ani de Ziua Dialogului, unde oamenii din Țările de Jos interacționează cu probleme care îi afectează. În contextul metodei de întreținere socratică, moderatorul ia în considerare următoarele principii: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t>Să</w:t>
      </w:r>
      <w:r>
        <w:rPr>
          <w:rFonts w:ascii="Verdana" w:hAnsi="Verdana"/>
        </w:rPr>
        <w:t>-</w:t>
      </w:r>
      <w:r>
        <w:rPr/>
        <w:t xml:space="preserve"> i lăsăm pe ceilalți să-și spună povestea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Nu</w:t>
      </w:r>
      <w:r>
        <w:rPr/>
        <w:t xml:space="preserve"> </w:t>
      </w:r>
      <w:r>
        <w:rPr>
          <w:rFonts w:ascii="Calibri" w:hAnsi="Calibri"/>
        </w:rPr>
        <w:t xml:space="preserve">răspundeți imediat cu o altă poveste </w:t>
      </w:r>
    </w:p>
    <w:p>
      <w:pPr>
        <w:pStyle w:val="P68B1DB1Normal105"/>
        <w:widowControl w:val="false"/>
        <w:spacing w:lineRule="auto" w:line="240" w:before="2" w:after="0"/>
        <w:ind w:left="0" w:right="0" w:hanging="0"/>
        <w:jc w:val="left"/>
        <w:rPr/>
      </w:pPr>
      <w:r>
        <w:rPr>
          <w:rFonts w:ascii="Verdana" w:hAnsi="Verdana"/>
        </w:rPr>
        <w:t>Tratează</w:t>
      </w:r>
      <w:r>
        <w:rPr/>
        <w:t xml:space="preserve"> </w:t>
      </w:r>
      <w:r>
        <w:rPr>
          <w:rFonts w:ascii="Calibri" w:hAnsi="Calibri"/>
        </w:rPr>
        <w:t xml:space="preserve">-te cu respect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Vorbiți despre propriul punct de vedere („găsesc” mai degrabă decât „ei spun”)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Solicitați mai multe explicații în cazul în care punctele de vedere exprimate se limitează la generalități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Evitați judecățile și analizați-le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Acordați momente de tăcere în cazul în care oamenii trebuie să gândească pentru un moment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În timpul dialogurilor se utilizează următorul ritm: divergență – convergență – divergență. Principiul este că trebuie să vă divergeți mai întâi (să exprimați direct sentimentele și opiniile individuale), înainte de a putea converge (vorbește posibile căi) și apoi, în cele din urmă, diverge din nou (de exemplu, colecta recomandări individuale). Experiența și teoria arată că acest ritm asigură un flux optim de dialog.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Toate dialogurile au fost conduse de facilitatori profesioniști.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Sondaj public online: Chestionar și „Swipen naar de toekomst” (Swiper to the future)</w:t>
      </w:r>
    </w:p>
    <w:p>
      <w:pPr>
        <w:pStyle w:val="P68B1DB1Normal104"/>
        <w:widowControl w:val="false"/>
        <w:spacing w:lineRule="auto" w:line="240" w:before="229" w:after="0"/>
        <w:ind w:left="0" w:right="0" w:hanging="0"/>
        <w:jc w:val="both"/>
        <w:rPr/>
      </w:pPr>
      <w:r>
        <w:rPr/>
        <w:t xml:space="preserve">Chestionarul de sondaj al panelului a fost, de asemenea, deschis tuturor Țărilor de Jos, inclusiv celor care locuiesc în străinătate. Acest chestionar a fost disponibil în perioada 1 septembrie 2021-14 noiembrie 2021. În plus, în aceeași perioadă, fiecare olandez a putut participa la acțiunea „Swipen naar de toekomst” (Swiper to the future), un instrument online care prezintă 20 de revendicări. </w:t>
      </w:r>
    </w:p>
    <w:p>
      <w:pPr>
        <w:pStyle w:val="P68B1DB1Normal107"/>
        <w:widowControl w:val="false"/>
        <w:spacing w:lineRule="auto" w:line="240" w:before="41" w:after="0"/>
        <w:ind w:left="0" w:right="0" w:hanging="0"/>
        <w:jc w:val="left"/>
        <w:rPr>
          <w:rFonts w:ascii="Calibri" w:hAnsi="Calibri"/>
          <w:i/>
          <w:i/>
          <w:color w:val="000000"/>
          <w:sz w:val="24"/>
        </w:rPr>
      </w:pPr>
      <w:r>
        <w:rPr/>
        <w:t xml:space="preserve">Răspunsuri și utilizare </w:t>
      </w:r>
    </w:p>
    <w:p>
      <w:pPr>
        <w:pStyle w:val="P68B1DB1Normal104"/>
        <w:widowControl w:val="false"/>
        <w:spacing w:lineRule="auto" w:line="240" w:before="7" w:after="0"/>
        <w:ind w:left="0" w:right="0" w:hanging="0"/>
        <w:jc w:val="left"/>
        <w:rPr/>
      </w:pPr>
      <w:r>
        <w:rPr/>
        <w:t xml:space="preserve">Un total de 1.967 de participanți au completat chestionarul și 6.968 au fost până la sfârșitul instrumentului de scanare a ecranului. Atât chestionarul, cât și instrumentul de scanare a ecranului au fost deschise tuturor: nu au existat condiții prealabile sau criterii de selecție pentru a participa. În chestionar, a fost posibil să se transmită întrebări (nu au existat întrebări obligatorii) pentru a maximiza rata de răspuns. Participanții au ales „Prefer să nu răspund” mult mai des decât în sondajul reprezentativ. </w:t>
      </w:r>
    </w:p>
    <w:p>
      <w:pPr>
        <w:pStyle w:val="P68B1DB1Normal104"/>
        <w:widowControl w:val="false"/>
        <w:spacing w:lineRule="auto" w:line="240"/>
        <w:ind w:left="0" w:right="0" w:hanging="0"/>
        <w:jc w:val="left"/>
        <w:rPr/>
      </w:pPr>
      <w:r>
        <w:rPr/>
        <w:t xml:space="preserve">Caracteristicile generale ale participanților la chestionarul deschis și la instrumentul de scanare a ecranului diferă în mai multe privințe de cele ale participanților din juriul reprezentativ. Spre deosebire de sondajul de grup, rezultatele chestionarului deschis și ale instrumentului de scanare a ecranului nu sunt reprezentative. Rezultatele sondajului deschis online au fost utilizate pentru a completa sondajul panelului. Acestea oferă o imagine de ansamblu asupra sentimentelor și ideilor care circulă în Olanda. Sugestiile de îmbunătățire menționate în câmpurile de introducere au fost utilizate în secțiunea „Discuții și idei online și pe site”. Instrumentul de scanare a ecranului a fost folosit pentru a înțelege mai bine unele dintre sentimentele care circulă în Olanda. Aceste rezultate au fost luate în considerare la elaborarea recomandărilor. Din cauza cerinței de reprezentativitate, rezultatele anchetei deschise online au fost luate în considerare în mod limitat în prezentul raport.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Acest raport este publicat de Ministerul Afacerilor Externe. </w:t>
      </w:r>
      <w:hyperlink r:id="rId119">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Imagini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ini47" descr=""/>
                    <pic:cNvPicPr>
                      <a:picLocks noChangeAspect="1" noChangeArrowheads="1"/>
                    </pic:cNvPicPr>
                  </pic:nvPicPr>
                  <pic:blipFill>
                    <a:blip r:embed="rId120"/>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Guvernul național al Țărilor de Jos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Viziunea noastră despre Europa </w:t>
      </w:r>
    </w:p>
    <w:p>
      <w:pPr>
        <w:pStyle w:val="Titre4"/>
        <w:numPr>
          <w:ilvl w:val="3"/>
          <w:numId w:val="2"/>
        </w:numPr>
        <w:rPr/>
      </w:pPr>
      <w:bookmarkStart w:id="237" w:name="__RefHeading___Toc298386_1346298689"/>
      <w:bookmarkEnd w:id="237"/>
      <w:r>
        <w:rPr/>
        <w:t>Raportul din ianuarie 2022</w:t>
      </w:r>
    </w:p>
    <w:p>
      <w:pPr>
        <w:pStyle w:val="P68B1DB1Normal20"/>
        <w:widowControl w:val="false"/>
        <w:spacing w:lineRule="auto" w:line="240" w:before="105" w:after="0"/>
        <w:ind w:left="0" w:right="0" w:hanging="0"/>
        <w:jc w:val="left"/>
        <w:rPr>
          <w:rFonts w:ascii="Calibri" w:hAnsi="Calibri"/>
          <w:color w:val="000000"/>
          <w:sz w:val="24"/>
        </w:rPr>
      </w:pPr>
      <w:r>
        <w:rPr/>
        <w:t xml:space="preserve">Opinii, idei și recomandări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Teme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Schimbările climatice și mediul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Migrație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Sănătate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UE în lume </w:t>
      </w:r>
    </w:p>
    <w:p>
      <w:pPr>
        <w:pStyle w:val="P68B1DB1Normal105"/>
        <w:widowControl w:val="false"/>
        <w:spacing w:lineRule="auto" w:line="240" w:before="7" w:after="0"/>
        <w:ind w:left="0" w:right="0" w:hanging="0"/>
        <w:jc w:val="left"/>
        <w:rPr/>
      </w:pPr>
      <w:r>
        <w:rPr>
          <w:rFonts w:ascii="Verdana" w:hAnsi="Verdana"/>
        </w:rPr>
        <w:t>ROMÂNĂ</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ianuarie 2022 </w:t>
      </w:r>
    </w:p>
    <w:p>
      <w:pPr>
        <w:pStyle w:val="P68B1DB1Normal105"/>
        <w:widowControl w:val="false"/>
        <w:spacing w:lineRule="auto" w:line="240" w:before="5" w:after="0"/>
        <w:ind w:left="0" w:right="0" w:hanging="0"/>
        <w:jc w:val="left"/>
        <w:rPr/>
      </w:pPr>
      <w:r>
        <w:rPr>
          <w:rFonts w:ascii="Verdana" w:hAnsi="Verdana"/>
        </w:rPr>
        <w:t>ROMÂNĂ</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Prezentul document este o traducere a raportului intitulat „Elze kijk op Europa; Meningen, ideeën en Aanbevelingen„(”Viziunea noastră asupra Europei: avize, idei și recomandări”, care a fost publicată în limba neerlandeză la 14 ianuarie 2022 la adresa www.kijkopeuropa.nl. Această traducere este o versiune simplificată a raportului în care prezentarea originală (ilustrații și alte elemente grafice) a fost modificată în scopul traducerii.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Viziunea noastră de... </w:t>
      </w:r>
    </w:p>
    <w:p>
      <w:pPr>
        <w:pStyle w:val="P68B1DB1Normal126"/>
        <w:widowControl w:val="false"/>
        <w:spacing w:lineRule="auto" w:line="240" w:before="101" w:after="0"/>
        <w:ind w:left="0" w:right="0" w:hanging="0"/>
        <w:jc w:val="left"/>
        <w:rPr>
          <w:rFonts w:ascii="Calibri" w:hAnsi="Calibri"/>
          <w:color w:val="0070C0"/>
          <w:sz w:val="24"/>
        </w:rPr>
      </w:pPr>
      <w:r>
        <w:rPr/>
        <w:t xml:space="preserve">Rezumatul raportului: toate recomandările pe scurt </w:t>
      </w:r>
    </w:p>
    <w:p>
      <w:pPr>
        <w:pStyle w:val="P68B1DB1Normal104"/>
        <w:widowControl w:val="false"/>
        <w:spacing w:lineRule="auto" w:line="240" w:before="109" w:after="0"/>
        <w:ind w:left="0" w:right="0" w:hanging="0"/>
        <w:jc w:val="both"/>
        <w:rPr/>
      </w:pPr>
      <w:r>
        <w:rPr/>
        <w:t xml:space="preserve">Prin intermediul dialogului cu cetățenii organizat pe tema „Viziunea Europei”, am adunat opiniile și ideile cetățenilor olandezi cu privire la viitorul Europei. Acest lucru a dus la următoarele recomandări adresate Uniunii Europene pentru ultimele patru teme (din cele nouă teme identificate în total). </w:t>
      </w:r>
    </w:p>
    <w:p>
      <w:pPr>
        <w:pStyle w:val="P68B1DB1Normal126"/>
        <w:widowControl w:val="false"/>
        <w:spacing w:lineRule="auto" w:line="240" w:before="108" w:after="0"/>
        <w:ind w:left="0" w:right="0" w:hanging="0"/>
        <w:jc w:val="left"/>
        <w:rPr>
          <w:rFonts w:ascii="Calibri" w:hAnsi="Calibri"/>
          <w:color w:val="0070C0"/>
          <w:sz w:val="24"/>
        </w:rPr>
      </w:pPr>
      <w:r>
        <w:rPr/>
        <w:t xml:space="preserve">Schimbările climatice și mediul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Alegeți o direcție clară pentru abordarea europeană a schimbărilor climatice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Să se asigure că țările și întreprinderile cooperează mai strâns pentru a găsi soluții specifice 3.</w:t>
      </w:r>
      <w:r>
        <w:rPr/>
        <w:t xml:space="preserve"> </w:t>
      </w:r>
      <w:r>
        <w:rPr>
          <w:rFonts w:ascii="Calibri" w:hAnsi="Calibri"/>
        </w:rPr>
        <w:t>Crearea unui sistem de CO2 echitabil și fezabil în practică</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Comunicarea într-un mod mai clar și mai pozitiv cu privire la abordarea climatică</w:t>
      </w:r>
    </w:p>
    <w:p>
      <w:pPr>
        <w:pStyle w:val="P68B1DB1Normal104"/>
        <w:widowControl w:val="false"/>
        <w:spacing w:lineRule="auto" w:line="240" w:before="93" w:after="0"/>
        <w:ind w:left="0" w:right="0" w:hanging="0"/>
        <w:jc w:val="left"/>
        <w:rPr/>
      </w:pPr>
      <w:r>
        <w:rPr/>
        <w:t xml:space="preserve">Olandezii consideră că UE trebuie să joace un rol de lider în lupta împotriva schimbărilor climatice. Statele membre trebuie să fie în măsură să facă propriile alegeri, dar trebuie totuși să coopereze pentru a atinge aceleași obiective. În loc să se indice reciproc, țările UE ar trebui să dedice mai multă energie schimbului de cunoștințe și găsirii de soluții comune. Un sistem de impozitare a emisiilor de CO2 poate fi eficient, dar trebuie să fie, de asemenea, echitabil, practic și clar. Ca regulă generală, olandezii consideră că UE ar trebui să comunice mai eficient și mai pozitiv cu privire la aspectele legate de climă. </w:t>
      </w:r>
    </w:p>
    <w:p>
      <w:pPr>
        <w:pStyle w:val="P68B1DB1Normal126"/>
        <w:widowControl w:val="false"/>
        <w:spacing w:lineRule="auto" w:line="240" w:before="108" w:after="0"/>
        <w:ind w:left="0" w:right="0" w:hanging="0"/>
        <w:jc w:val="left"/>
        <w:rPr>
          <w:rFonts w:ascii="Calibri" w:hAnsi="Calibri"/>
          <w:color w:val="0070C0"/>
          <w:sz w:val="24"/>
        </w:rPr>
      </w:pPr>
      <w:r>
        <w:rPr/>
        <w:t xml:space="preserve">Migrație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Împiedicarea dezbaterilor pe tema refugiaților să devină mai puțin nuanțate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Definirea unei distribuții echitabile și practice a refugiaților</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Valorificarea cunoștințelor și a experienței acumulate pentru a ajuta regiunile din care provin refugiații</w:t>
      </w:r>
    </w:p>
    <w:p>
      <w:pPr>
        <w:pStyle w:val="P68B1DB1Normal104"/>
        <w:widowControl w:val="false"/>
        <w:spacing w:lineRule="auto" w:line="240"/>
        <w:ind w:left="0" w:right="0" w:hanging="0"/>
        <w:jc w:val="left"/>
        <w:rPr/>
      </w:pPr>
      <w:r>
        <w:rPr/>
        <w:t xml:space="preserve">Olandezii consideră că este important să se facă distincția între persoanele care fug din zone periculoase și refugiații economici. Dezbaterile privind migrația și integrarea sunt adesea lipsite de nuanțe. Pentru a realiza o distribuție echitabilă a refugiaților în Europa, este necesar să se convină, în cadrul UE, asupra unor criterii clare care să țină seama atât de statele membre, cât și de cei care au fugit. În cele din urmă, Țările de Jos propun ca UE să sprijine regiunile din care provin refugiații nu numai din punct de vedere financiar, ci și prin cunoaștere. </w:t>
      </w:r>
    </w:p>
    <w:p>
      <w:pPr>
        <w:pStyle w:val="P68B1DB1Normal126"/>
        <w:widowControl w:val="false"/>
        <w:spacing w:lineRule="auto" w:line="240" w:before="108" w:after="0"/>
        <w:ind w:left="0" w:right="0" w:hanging="0"/>
        <w:jc w:val="left"/>
        <w:rPr>
          <w:rFonts w:ascii="Calibri" w:hAnsi="Calibri"/>
          <w:color w:val="0070C0"/>
          <w:sz w:val="24"/>
        </w:rPr>
      </w:pPr>
      <w:r>
        <w:rPr/>
        <w:t xml:space="preserve">Sănătate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Să aibă un control mai bun asupra gestionării unei pandemii</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Asigurarea disponibilității unor medicamente accesibile și fiabile pentru toți</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Țările trebuie să se concentreze pe îmbunătățirea sistemelor lor de sănătate și să le facă mai echitabile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Olandezii consideră că țările UE trebuie să coopereze mai mult pentru a combate o pandemie. Modul în care este gestionată criza provocată de coronavirus creează uneori confuzie. Regulile ar trebui să fie mai coerente unul cu celălalt, fără a fi nevoie să fie la fel peste tot. În ceea ce privește vaccinurile sau medicamentele, olandezii doresc ca prețurile să rămână cât mai scăzute posibil, dar doresc să se poată baza pe o producție de calitate și responsabilă. În plus, considerăm că este important ca marile companii să nu abuzeze de puterea lor și credem că asistența medicală trebuie să fie în continuare la nivel național. </w:t>
      </w:r>
      <w:r>
        <w:br w:type="page"/>
      </w:r>
    </w:p>
    <w:p>
      <w:pPr>
        <w:pStyle w:val="P68B1DB1Normal126"/>
        <w:widowControl w:val="false"/>
        <w:spacing w:lineRule="auto" w:line="240"/>
        <w:ind w:left="0" w:right="0" w:hanging="0"/>
        <w:jc w:val="left"/>
        <w:rPr>
          <w:rFonts w:ascii="Calibri" w:hAnsi="Calibri"/>
          <w:color w:val="0070C0"/>
          <w:sz w:val="24"/>
        </w:rPr>
      </w:pPr>
      <w:r>
        <w:rPr/>
        <w:t xml:space="preserve">Rolul UE în lume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Valorificarea puterii UE în principalele teme internaționale</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În interiorul și în afara Europei, alegeți cooperarea, mai degrabă decât lupta</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Oferirea, într-un mod atent, a ajutorului în caz de conflict</w:t>
      </w:r>
    </w:p>
    <w:p>
      <w:pPr>
        <w:pStyle w:val="P68B1DB1Normal104"/>
        <w:widowControl w:val="false"/>
        <w:spacing w:lineRule="auto" w:line="240" w:before="84" w:after="0"/>
        <w:ind w:left="0" w:right="0" w:hanging="0"/>
        <w:jc w:val="left"/>
        <w:rPr/>
      </w:pPr>
      <w:r>
        <w:rPr/>
        <w:t xml:space="preserve">Olandezii consideră că cooperarea europeană ar trebui să se concentreze în primul rând pe principalele interese comune. Cooperarea UE cu țările terțe trebuie, de asemenea, să facă parte din această abordare. Pe lângă schimbările climatice și pandemia de coronavirus, acestea includ, de exemplu, securitatea internațională și protecția economiei europene împotriva practicilor comerciale neloiale. În interiorul și în afara Europei, olandezii preferă cooperarea în locul luptei. În ceea ce privește abordarea conflictelor, este întotdeauna de preferat să le rezolvăm fără a recurge la violență. </w:t>
      </w:r>
    </w:p>
    <w:p>
      <w:pPr>
        <w:pStyle w:val="P68B1DB1Normal125"/>
        <w:widowControl w:val="false"/>
        <w:spacing w:lineRule="auto" w:line="240" w:before="96" w:after="0"/>
        <w:ind w:left="0" w:right="0" w:hanging="0"/>
        <w:jc w:val="left"/>
        <w:rPr>
          <w:rFonts w:ascii="Calibri" w:hAnsi="Calibri"/>
          <w:b/>
          <w:b/>
          <w:color w:val="0070C0"/>
          <w:sz w:val="32"/>
        </w:rPr>
      </w:pPr>
      <w:r>
        <w:rPr/>
        <w:t xml:space="preserve">Introducere </w:t>
      </w:r>
    </w:p>
    <w:p>
      <w:pPr>
        <w:pStyle w:val="P68B1DB1Normal104"/>
        <w:widowControl w:val="false"/>
        <w:spacing w:lineRule="auto" w:line="240" w:before="183" w:after="0"/>
        <w:ind w:left="0" w:right="0" w:hanging="0"/>
        <w:jc w:val="left"/>
        <w:rPr/>
      </w:pPr>
      <w:r>
        <w:rPr/>
        <w:t xml:space="preserve">Dialogul cu cetățenii „Viziunea Europei”, care a avut loc între 1 septembrie și jumătatea lunii noiembrie, a permis tuturor Țărilor de Jos să își exprime opiniile și ideile cu privire la viitorul Europei. Țările de Jos prezintă Uniunii Europene (UE) recomandările pe baza cărora a condus dialogul, precum și ideile și opiniile exprimate. În acest raport, ne ocupăm de ultimele patru teme (din cele nouă teme identificate în total). Primele cinci teme au fost deja abordate în raportul publicat la 3 decembrie 2021. </w:t>
      </w:r>
    </w:p>
    <w:p>
      <w:pPr>
        <w:pStyle w:val="P68B1DB1Normal126"/>
        <w:widowControl w:val="false"/>
        <w:spacing w:lineRule="auto" w:line="240" w:before="79" w:after="0"/>
        <w:ind w:left="0" w:right="0" w:hanging="0"/>
        <w:jc w:val="left"/>
        <w:rPr>
          <w:rFonts w:ascii="Calibri" w:hAnsi="Calibri"/>
          <w:color w:val="0070C0"/>
          <w:sz w:val="24"/>
        </w:rPr>
      </w:pPr>
      <w:r>
        <w:rPr/>
        <w:t xml:space="preserve">Despre viziunea Europei </w:t>
      </w:r>
    </w:p>
    <w:p>
      <w:pPr>
        <w:pStyle w:val="P68B1DB1Normal104"/>
        <w:widowControl w:val="false"/>
        <w:spacing w:lineRule="auto" w:line="240" w:before="78" w:after="0"/>
        <w:ind w:left="0" w:right="0" w:hanging="0"/>
        <w:jc w:val="left"/>
        <w:rPr/>
      </w:pPr>
      <w:r>
        <w:rPr/>
        <w:t xml:space="preserve">Uniunea Europeană dorește ca cetățenii săi să împărtășească ceea ce cred ei despre Europa. Acesta este motivul pentru care UE organizează Conferința privind viitorul Europei. Opiniile și ideile cetățenilor din întreaga Uniune Europeană vor contribui apoi la planurile pentru viitorul Europei. În cadrul conferinței, Țările de Jos au organizat dialogul cu cetățenii „Viziunea Europei” la nivel național. </w:t>
      </w:r>
    </w:p>
    <w:p>
      <w:pPr>
        <w:pStyle w:val="P68B1DB1Normal104"/>
        <w:widowControl w:val="false"/>
        <w:spacing w:lineRule="auto" w:line="240"/>
        <w:ind w:left="0" w:right="0" w:hanging="0"/>
        <w:jc w:val="left"/>
        <w:rPr/>
      </w:pPr>
      <w:r>
        <w:rPr/>
        <w:t xml:space="preserve">Dialogul „Viziunea Europei” a început la 1 septembrie, cu colectarea online de opinii și idei, printr-un sondaj realizat de un grup reprezentativ. Pentru a aprofunda primele rezultate ale sondajului și pentru a formula recomandări concrete, am organizat dialoguri tematice online. Oricine dorește să participe poate participa. De asemenea, am călătorit în țară pentru a purta discuții cu tinerii și alte grupuri (dificultăți de atins).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De la elevi, elevi de liceu și studenți la ministru, agricultori și migranți </w:t>
      </w:r>
    </w:p>
    <w:p>
      <w:pPr>
        <w:pStyle w:val="P68B1DB1Normal104"/>
        <w:widowControl w:val="false"/>
        <w:spacing w:lineRule="auto" w:line="240" w:before="91" w:after="0"/>
        <w:ind w:left="0" w:right="0" w:hanging="0"/>
        <w:jc w:val="both"/>
        <w:rPr/>
      </w:pPr>
      <w:r>
        <w:rPr/>
        <w:t xml:space="preserve">În octombrie și noiembrie, au avut loc în total opt dialoguri tematice online, cu o medie de 30 de participanți per reuniune. De asemenea, am organizat un dialog tematic online și șapte dialoguri tematice la fața locului cu diferite grupuri de cetățeni olandezi. Am vorbit cu comunitatea turcă din Schiedam și am fost invitați de voluntarii Fundației Piëzo la Zoetermeer. Cu această ultimă ocazie, ministrul de externe Ben Knapen a fost de asemenea prezent la sfârșitul dialogului. Ministrul a purtat o discuție cu participanții cu privire la dialogul și opiniile exprimate cu privire la viitorul Europei. În cele din urmă, am organizat șase întâlniri cu diferite grupuri de tineri. De exemplu, am fost bineveniți la o școală secundară din Helmond, o școală secundară profesională din Doetinchem și Universitatea din Leiden. </w:t>
      </w:r>
    </w:p>
    <w:p>
      <w:pPr>
        <w:pStyle w:val="P68B1DB1Normal113"/>
        <w:widowControl w:val="false"/>
        <w:spacing w:lineRule="auto" w:line="240" w:before="160" w:after="0"/>
        <w:ind w:left="0" w:right="0" w:hanging="0"/>
        <w:jc w:val="center"/>
        <w:rPr/>
      </w:pPr>
      <w:r>
        <w:rPr/>
        <w:t xml:space="preserve">Acesta este viitorul copiilor noștri. De aceea cred că este important să participi. </w:t>
      </w:r>
    </w:p>
    <w:p>
      <w:pPr>
        <w:pStyle w:val="P68B1DB1Normal104"/>
        <w:widowControl w:val="false"/>
        <w:spacing w:lineRule="auto" w:line="240" w:before="127" w:after="0"/>
        <w:ind w:left="0" w:right="0" w:hanging="0"/>
        <w:jc w:val="left"/>
        <w:rPr>
          <w:rFonts w:ascii="Calibri" w:hAnsi="Calibri"/>
          <w:color w:val="000000"/>
          <w:sz w:val="21"/>
        </w:rPr>
      </w:pPr>
      <w:r>
        <w:rPr/>
        <w:t xml:space="preserve">Participant la dialogul tematic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Despre acest raport </w:t>
      </w:r>
    </w:p>
    <w:p>
      <w:pPr>
        <w:pStyle w:val="P68B1DB1Normal104"/>
        <w:widowControl w:val="false"/>
        <w:spacing w:lineRule="auto" w:line="240" w:before="88" w:after="0"/>
        <w:ind w:left="0" w:right="0" w:hanging="0"/>
        <w:jc w:val="left"/>
        <w:rPr/>
      </w:pPr>
      <w:r>
        <w:rPr/>
        <w:t xml:space="preserve">Pe baza ideilor și opiniilor pe care le-am adunat în ultimele luni, am elaborat o serie de recomandări pe care cetățenii olandezi le fac Uniunii Europene. În timpul discuțiilor dintre cetățenii olandezi, au avut loc schimburi interesante de opinii și au fost făcute idei și sugestii inovatoare. Unele dintre aceste idei și sugestii au fost incluse în prezentul raport. Conținutul acestui raport este, prin urmare, vocea Țărilor de Jos: viziunea noastră asupra Europei.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Așa cum există diferențe de opinii între țări și cetățenii europeni, nici noi nu suntem întotdeauna de acord unii cu alții în Țările de Jos. Aceste diferențe de opinii, mai exact, sunt valoroase: ele sunt o trăsătură importantă a unei democrații. Recomandările sunt extrase din ideile și opiniile cel mai frecvent exprimate de participanții la sondajul Vision of Europe. De asemenea, descriem preocupări, idei și sentimente care pot fi mai puțin răspândite, dar care ne-au atras atenția în timpul dialogurilor și al sondajului online. </w:t>
      </w:r>
    </w:p>
    <w:p>
      <w:pPr>
        <w:pStyle w:val="P68B1DB1Normal113"/>
        <w:widowControl w:val="false"/>
        <w:spacing w:lineRule="auto" w:line="240" w:before="181" w:after="0"/>
        <w:ind w:left="0" w:right="0" w:hanging="0"/>
        <w:jc w:val="center"/>
        <w:rPr/>
      </w:pPr>
      <w:r>
        <w:rPr/>
        <w:t xml:space="preserve">Mi-a plăcut să-mi dau părerea despre subiecte care cred că sunt importante. Și să fi avut sentimentul de a fi ascultat. </w:t>
      </w:r>
    </w:p>
    <w:p>
      <w:pPr>
        <w:pStyle w:val="P68B1DB1Normal104"/>
        <w:widowControl w:val="false"/>
        <w:spacing w:lineRule="auto" w:line="240" w:before="300" w:after="0"/>
        <w:ind w:left="0" w:right="0" w:hanging="0"/>
        <w:jc w:val="left"/>
        <w:rPr>
          <w:rFonts w:ascii="Calibri" w:hAnsi="Calibri"/>
          <w:color w:val="000000"/>
          <w:sz w:val="21"/>
        </w:rPr>
      </w:pPr>
      <w:r>
        <w:rPr/>
        <w:t xml:space="preserve">Participant la dialogul tematic </w:t>
      </w:r>
    </w:p>
    <w:p>
      <w:pPr>
        <w:pStyle w:val="P68B1DB1Normal104"/>
        <w:widowControl w:val="false"/>
        <w:spacing w:lineRule="auto" w:line="240"/>
        <w:ind w:left="0" w:right="0" w:hanging="0"/>
        <w:jc w:val="left"/>
        <w:rPr/>
      </w:pPr>
      <w:r>
        <w:rPr/>
        <w:t xml:space="preserve">Au fost identificate nouă teme pentru Conferința privind viitorul Europei. Aceste teme se află, de asemenea, în centrul dialogului Viziunea Europei cu cetățenii olandezi. În octombrie, Curtea a publicat un raport intermediar care oferă o imagine de ansamblu inițială a rezultatelor și întrebări complementare bazate pe sondajul grupului. La începutul lunii decembrie, a fost publicat un nou raport, prezentând avize, idei și recomandări cu privire la primele cinci teme. Prezentul raport abordează celelalte patru teme.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Raportul anterior – decembrie 2021 </w:t>
      </w:r>
    </w:p>
    <w:p>
      <w:pPr>
        <w:pStyle w:val="P68B1DB1Normal104"/>
        <w:widowControl w:val="false"/>
        <w:spacing w:lineRule="auto" w:line="240"/>
        <w:ind w:left="0" w:right="0" w:hanging="0"/>
        <w:jc w:val="left"/>
        <w:rPr>
          <w:rFonts w:ascii="Calibri" w:hAnsi="Calibri"/>
          <w:color w:val="000000"/>
          <w:sz w:val="21"/>
        </w:rPr>
      </w:pPr>
      <w:r>
        <w:rPr/>
        <w:t xml:space="preserve">Valori și drepturi, statul de drept și securitate </w:t>
      </w:r>
    </w:p>
    <w:p>
      <w:pPr>
        <w:pStyle w:val="P68B1DB1Normal104"/>
        <w:widowControl w:val="false"/>
        <w:spacing w:lineRule="auto" w:line="240"/>
        <w:ind w:left="0" w:right="0" w:hanging="0"/>
        <w:jc w:val="left"/>
        <w:rPr/>
      </w:pPr>
      <w:r>
        <w:rPr/>
        <w:t xml:space="preserve">O economie mai puternică, justiție socială și ocuparea forței de muncă democrație europeană </w:t>
      </w:r>
    </w:p>
    <w:p>
      <w:pPr>
        <w:pStyle w:val="P68B1DB1Normal104"/>
        <w:widowControl w:val="false"/>
        <w:spacing w:lineRule="auto" w:line="240"/>
        <w:ind w:left="0" w:right="0" w:hanging="0"/>
        <w:jc w:val="left"/>
        <w:rPr>
          <w:rFonts w:ascii="Calibri" w:hAnsi="Calibri"/>
          <w:color w:val="000000"/>
          <w:sz w:val="21"/>
        </w:rPr>
      </w:pPr>
      <w:r>
        <w:rPr/>
        <w:t xml:space="preserve">Transformarea digitală </w:t>
      </w:r>
    </w:p>
    <w:p>
      <w:pPr>
        <w:pStyle w:val="P68B1DB1Normal104"/>
        <w:widowControl w:val="false"/>
        <w:spacing w:lineRule="auto" w:line="240"/>
        <w:ind w:left="0" w:right="0" w:hanging="0"/>
        <w:jc w:val="left"/>
        <w:rPr>
          <w:rFonts w:ascii="Calibri" w:hAnsi="Calibri"/>
          <w:color w:val="000000"/>
          <w:sz w:val="21"/>
        </w:rPr>
      </w:pPr>
      <w:r>
        <w:rPr/>
        <w:t xml:space="preserve">Educație, cultură, tineret și 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Raport curent – ianuarie 2022</w:t>
      </w:r>
    </w:p>
    <w:p>
      <w:pPr>
        <w:pStyle w:val="P68B1DB1Normal104"/>
        <w:widowControl w:val="false"/>
        <w:spacing w:lineRule="auto" w:line="240"/>
        <w:ind w:left="0" w:right="0" w:hanging="0"/>
        <w:jc w:val="left"/>
        <w:rPr/>
      </w:pPr>
      <w:r>
        <w:rPr/>
        <w:t xml:space="preserve">Schimbările climatice și mediul </w:t>
      </w:r>
    </w:p>
    <w:p>
      <w:pPr>
        <w:pStyle w:val="P68B1DB1Normal104"/>
        <w:widowControl w:val="false"/>
        <w:spacing w:lineRule="auto" w:line="240"/>
        <w:ind w:left="0" w:right="0" w:hanging="0"/>
        <w:jc w:val="left"/>
        <w:rPr>
          <w:rFonts w:ascii="Calibri" w:hAnsi="Calibri"/>
          <w:color w:val="000000"/>
          <w:sz w:val="21"/>
        </w:rPr>
      </w:pPr>
      <w:r>
        <w:rPr/>
        <w:t xml:space="preserve">Migrație </w:t>
      </w:r>
    </w:p>
    <w:p>
      <w:pPr>
        <w:pStyle w:val="P68B1DB1Normal104"/>
        <w:widowControl w:val="false"/>
        <w:spacing w:lineRule="auto" w:line="240"/>
        <w:ind w:left="0" w:right="0" w:hanging="0"/>
        <w:jc w:val="left"/>
        <w:rPr>
          <w:rFonts w:ascii="Calibri" w:hAnsi="Calibri"/>
          <w:color w:val="000000"/>
          <w:sz w:val="21"/>
        </w:rPr>
      </w:pPr>
      <w:r>
        <w:rPr/>
        <w:t xml:space="preserve">Sănătate </w:t>
      </w:r>
    </w:p>
    <w:p>
      <w:pPr>
        <w:pStyle w:val="P68B1DB1Normal104"/>
        <w:widowControl w:val="false"/>
        <w:spacing w:lineRule="auto" w:line="240"/>
        <w:ind w:left="0" w:right="0" w:hanging="0"/>
        <w:jc w:val="left"/>
        <w:rPr>
          <w:rFonts w:ascii="Calibri" w:hAnsi="Calibri"/>
          <w:color w:val="000000"/>
          <w:sz w:val="21"/>
        </w:rPr>
      </w:pPr>
      <w:r>
        <w:rPr/>
        <w:t xml:space="preserve">UE în lume </w:t>
      </w:r>
    </w:p>
    <w:p>
      <w:pPr>
        <w:pStyle w:val="P68B1DB1Normal126"/>
        <w:widowControl w:val="false"/>
        <w:spacing w:lineRule="auto" w:line="240" w:before="105" w:after="0"/>
        <w:ind w:left="0" w:right="0" w:hanging="0"/>
        <w:jc w:val="left"/>
        <w:rPr>
          <w:rFonts w:ascii="Calibri" w:hAnsi="Calibri"/>
          <w:color w:val="0070C0"/>
          <w:sz w:val="24"/>
        </w:rPr>
      </w:pPr>
      <w:r>
        <w:rPr/>
        <w:t xml:space="preserve">Pașii următori </w:t>
      </w:r>
    </w:p>
    <w:p>
      <w:pPr>
        <w:pStyle w:val="Normal"/>
        <w:widowControl w:val="false"/>
        <w:spacing w:lineRule="auto" w:line="240" w:before="107" w:after="0"/>
        <w:ind w:left="0" w:right="0" w:hanging="0"/>
        <w:jc w:val="left"/>
        <w:rPr/>
      </w:pPr>
      <w:r>
        <w:rPr>
          <w:rFonts w:ascii="Calibri" w:hAnsi="Calibri"/>
          <w:color w:val="000000"/>
          <w:sz w:val="21"/>
        </w:rPr>
        <w:t xml:space="preserve">Conferința privind viitorul Europei reunește ideile, avizele și recomandările tuturor cetățenilor UE. Reuniunile vor fi dedicate nu numai rezultatelor tuturor dialogurilor cu cetățenii la nivel național, ci și rezultatelor altor inițiative lansate în contextul conferinței. De exemplu, există, de asemenea, grupuri de cetățeni europeni, iar toți cetățenii UE (inclusiv cetățenii olandezi) pot avea acces la o platformă digitală europeană.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Sper că liderii UE vor lua în considerare punctul meu de vedere. Și asta îi va ajuta să facă alegerile corecte. </w:t>
      </w:r>
    </w:p>
    <w:p>
      <w:pPr>
        <w:pStyle w:val="P68B1DB1Normal104"/>
        <w:widowControl w:val="false"/>
        <w:spacing w:lineRule="auto" w:line="240" w:before="300" w:after="0"/>
        <w:ind w:left="0" w:right="0" w:hanging="0"/>
        <w:jc w:val="left"/>
        <w:rPr>
          <w:rFonts w:ascii="Calibri" w:hAnsi="Calibri"/>
          <w:color w:val="000000"/>
          <w:sz w:val="21"/>
        </w:rPr>
      </w:pPr>
      <w:r>
        <w:rPr/>
        <w:t xml:space="preserve">Participant la dialogul tematic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Conferința se va încheia în primăvara anului 2022. Țările de Jos vor elabora apoi un raport final privind dialogul cu cetățenii: o compilație a acestui raport și a raportului anterior, inclusiv recomandări pentru toate cele nouă teme. În urma conferinței, se vor formula recomandări președintelui conferinței: președinții Parlamentului European, Consiliului de Miniștri și Comisiei Europene. Ei s-au angajat să exploreze modalitățile și mijloacele de punere în aplicare a recomandărilor. Pentru guvernul olandez, rezultatele reprezintă, de asemenea, o contribuție valoroasă la dezvoltarea politicilor europene ale Țărilor de Jos.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Pe scurt, procesul până în primăvara anului 2022 va fi organizat după cum urmează: </w:t>
      </w:r>
      <w:r>
        <w:br w:type="page"/>
      </w:r>
    </w:p>
    <w:p>
      <w:pPr>
        <w:pStyle w:val="P68B1DB1Normal127"/>
        <w:widowControl w:val="false"/>
        <w:spacing w:lineRule="auto" w:line="240" w:before="0" w:after="0"/>
        <w:ind w:left="0" w:right="0" w:hanging="0"/>
        <w:jc w:val="left"/>
        <w:rPr/>
      </w:pPr>
      <w:r>
        <w:rPr>
          <w:color w:val="0070C0"/>
          <w:sz w:val="24"/>
        </w:rPr>
        <w:t>Cronologie</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Viziunea Europei</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septembrie</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octombrie</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octombrie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noiembrie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decembrie</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ianuarie</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ianuarie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Februarie</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februarie</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martie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aprilie</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Colectarea ideilor online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Dialoguri tematice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Rezultate intermediare (raport intermediar)</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Raport intermediar privind „Economia” și „Democrația”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Raport intermediar privind „Clima” și „UE în lume”</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Raportul final „Viziunea noastră pentru Europa”</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ROMÂNĂ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ROMÂNĂ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ROMÂNĂ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ROMÂNĂ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ROMÂNĂ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Reuniunea Conferinței</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Reuniunea Conferinței</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Întâlnire de </w:t>
              <w:br/>
              <w:t>Conferința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(posibil) reuniune a conferinței</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Eveniment de încheiere a conferinței</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Recomandări pentru președinți </w:t>
            </w:r>
          </w:p>
          <w:p>
            <w:pPr>
              <w:pStyle w:val="P68B1DB1Contenudetableau128"/>
              <w:spacing w:before="57" w:after="57"/>
              <w:jc w:val="left"/>
              <w:rPr>
                <w:color w:val="000000"/>
                <w:sz w:val="14"/>
              </w:rPr>
            </w:pPr>
            <w:r>
              <w:rPr/>
              <w:t xml:space="preserve">• </w:t>
            </w:r>
            <w:r>
              <w:rPr/>
              <w:t xml:space="preserve">Parlamentul European </w:t>
              <w:br/>
              <w:t xml:space="preserve">• Comisia Europeană </w:t>
              <w:br/>
              <w:t>• Consiliul de Miniștri</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ROMÂNĂ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ROMÂNĂ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ROMÂNĂ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Mai multe opinii și idei cu privire la viitorul Europei:</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Dialoguri cu cetățenii</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Grupurile cetățenești europene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Platforma digitală europeană (de asemenea, pentru cetățenii olandezi)</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Explicații pentru facilitarea lecturii </w:t>
      </w:r>
    </w:p>
    <w:p>
      <w:pPr>
        <w:pStyle w:val="P68B1DB1Normal104"/>
        <w:widowControl w:val="false"/>
        <w:spacing w:lineRule="exact" w:line="281" w:before="116" w:after="0"/>
        <w:ind w:left="0" w:right="772" w:hanging="0"/>
        <w:jc w:val="left"/>
        <w:rPr/>
      </w:pPr>
      <w:r>
        <w:rPr/>
        <w:t xml:space="preserve">În acest raport, am discutat patru teme. Pentru fiecare temă, am inclus succesiv: </w:t>
      </w:r>
    </w:p>
    <w:p>
      <w:pPr>
        <w:pStyle w:val="P68B1DB1Normal104"/>
        <w:widowControl w:val="false"/>
        <w:spacing w:lineRule="exact" w:line="339" w:before="1" w:after="0"/>
        <w:ind w:left="0" w:right="0" w:hanging="0"/>
        <w:jc w:val="left"/>
        <w:rPr>
          <w:rFonts w:ascii="Calibri" w:hAnsi="Calibri"/>
          <w:color w:val="000000"/>
          <w:sz w:val="21"/>
        </w:rPr>
      </w:pPr>
      <w:r>
        <w:rPr/>
        <w:t xml:space="preserve">recomandări bazate pe toate aspectele dialogului cu cetățenii; </w:t>
      </w:r>
    </w:p>
    <w:p>
      <w:pPr>
        <w:pStyle w:val="P68B1DB1Normal104"/>
        <w:widowControl w:val="false"/>
        <w:spacing w:lineRule="exact" w:line="283"/>
        <w:ind w:left="0" w:right="137" w:hanging="0"/>
        <w:jc w:val="left"/>
        <w:rPr/>
      </w:pPr>
      <w:r>
        <w:rPr/>
        <w:t xml:space="preserve">discuții și idei online și la fața locului: prezentare generală a opiniilor, ideilor și opiniilor schimbate (online și cu prezență fizică) în cadrul dialogurilor tematice.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O descriere a metodologiei utilizate în anchetă poate fi găsită la sfârșitul prezentului raport.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Schimbările climatice și mediul </w:t>
      </w:r>
    </w:p>
    <w:p>
      <w:pPr>
        <w:pStyle w:val="P68B1DB1Normal126"/>
        <w:widowControl w:val="false"/>
        <w:spacing w:lineRule="auto" w:line="240" w:before="48" w:after="0"/>
        <w:ind w:left="0" w:right="0" w:hanging="0"/>
        <w:jc w:val="left"/>
        <w:rPr>
          <w:rFonts w:ascii="Calibri" w:hAnsi="Calibri"/>
          <w:color w:val="0070C0"/>
          <w:sz w:val="24"/>
        </w:rPr>
      </w:pPr>
      <w:r>
        <w:rPr/>
        <w:t xml:space="preserve">Recomandări – Viziunea noastră pentru schimbările climatice și mediu </w:t>
      </w:r>
    </w:p>
    <w:p>
      <w:pPr>
        <w:pStyle w:val="P68B1DB1Normal120"/>
        <w:widowControl w:val="false"/>
        <w:spacing w:lineRule="auto" w:line="240" w:before="61" w:after="0"/>
        <w:ind w:left="0" w:right="0" w:hanging="0"/>
        <w:jc w:val="left"/>
        <w:rPr/>
      </w:pPr>
      <w:r>
        <w:rPr/>
        <w:t xml:space="preserve">71 % dintre olandezi consideră că schimbările climatice și mediul reprezintă o problemă importantă și că UE trebuie să intervină în acest domeniu. </w:t>
      </w:r>
    </w:p>
    <w:p>
      <w:pPr>
        <w:pStyle w:val="P68B1DB1Normal110"/>
        <w:widowControl w:val="false"/>
        <w:spacing w:lineRule="auto" w:line="240" w:before="57" w:after="0"/>
        <w:ind w:left="0" w:right="0" w:hanging="0"/>
        <w:jc w:val="left"/>
        <w:rPr/>
      </w:pPr>
      <w:r>
        <w:rPr>
          <w:b/>
        </w:rPr>
        <w:t xml:space="preserve">1. Alegerea unei direcții clare pentru abordarea europeană a schimbărilor climatice, </w:t>
      </w:r>
      <w:r>
        <w:rPr>
          <w:sz w:val="21"/>
        </w:rPr>
        <w:t xml:space="preserve">68 % dintre olandezi, consideră că UE trebuie să joace un rol de lider în lupta împotriva schimbărilor climatice. Încălzirea globală este o problemă și nicio țară nu o poate rezolva singură. Chiar dacă Țările de Jos nu sunt de acord cu privire la schimbările climatice, considerăm că UE trebuie să aibă oricum o viziune mai clară asupra viitorului. În ciuda Pactului verde, Curtea constată în prezent că statele membre nu sunt adesea aliniate. Deși țările trebuie să poată continua să facă propriile alegeri, ele trebuie totuși să coopereze pentru a atinge aceleași obiective. Credem, de asemenea, că, în calitate de cetățeni, avem și partea noastră de responsabilitate, de exemplu în ceea ce privește adaptarea obiceiurilor noastre de consum. </w:t>
      </w:r>
    </w:p>
    <w:p>
      <w:pPr>
        <w:pStyle w:val="P68B1DB1Normal113"/>
        <w:widowControl w:val="false"/>
        <w:spacing w:lineRule="auto" w:line="240" w:before="135" w:after="0"/>
        <w:ind w:left="0" w:right="0" w:hanging="0"/>
        <w:jc w:val="center"/>
        <w:rPr/>
      </w:pPr>
      <w:r>
        <w:rPr/>
        <w:t xml:space="preserve">Țările de Jos doresc să renunțe la gazele naturale, în timp ce în Germania este tocmai încurajată să îl utilizeze. Uneori nu înseamnă să înțelegi nimic. </w:t>
      </w:r>
    </w:p>
    <w:p>
      <w:pPr>
        <w:pStyle w:val="P68B1DB1Normal111"/>
        <w:widowControl w:val="false"/>
        <w:spacing w:lineRule="auto" w:line="240" w:before="109" w:after="0"/>
        <w:ind w:left="0" w:right="0" w:hanging="0"/>
        <w:jc w:val="left"/>
        <w:rPr/>
      </w:pPr>
      <w:r>
        <w:rPr/>
        <w:t xml:space="preserve">2. Să se asigure că țările și întreprinderile cooperează mai strâns pentru a găsi soluții specifice </w:t>
      </w:r>
    </w:p>
    <w:p>
      <w:pPr>
        <w:pStyle w:val="P68B1DB1Normal104"/>
        <w:widowControl w:val="false"/>
        <w:spacing w:lineRule="auto" w:line="240"/>
        <w:ind w:left="0" w:right="0" w:hanging="0"/>
        <w:jc w:val="left"/>
        <w:rPr/>
      </w:pPr>
      <w:r>
        <w:rPr/>
        <w:t xml:space="preserve">Când vine vorba de schimbările climatice și de mediu, olandezii descoperă că țările arată adesea cu degetul. Accentul se pune adesea pe diferențele dintre țările sărace și cele bogate din UE. Sau între țări puternic industrializate sau slab industrializate. Am prefera să încercăm să ajungem la acorduri. De exemplu, întreprinderile similare din diferite țări ar putea face schimb de cunoștințe și ar putea gândi împreună la soluții. Dacă s-ar face acest lucru, țările mai sărace ar putea fi mai implicate în abordarea schimbărilor climatice. Aceștia ar putea participa la reflecție și ar putea profita, de asemenea, de soluții comune. </w:t>
      </w:r>
    </w:p>
    <w:p>
      <w:pPr>
        <w:pStyle w:val="P68B1DB1Normal113"/>
        <w:widowControl w:val="false"/>
        <w:spacing w:lineRule="auto" w:line="240" w:before="143" w:after="0"/>
        <w:ind w:left="0" w:right="0" w:hanging="0"/>
        <w:jc w:val="center"/>
        <w:rPr/>
      </w:pPr>
      <w:r>
        <w:rPr/>
        <w:t xml:space="preserve">Abordarea schimbărilor climatice nu ar trebui să fie o rasă, ci o cooperare.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Crearea unui sistem de CO2 echitabil și fezabil în practică </w:t>
      </w:r>
    </w:p>
    <w:p>
      <w:pPr>
        <w:pStyle w:val="P68B1DB1Normal104"/>
        <w:widowControl w:val="false"/>
        <w:spacing w:lineRule="auto" w:line="240"/>
        <w:ind w:left="0" w:right="0" w:hanging="0"/>
        <w:jc w:val="left"/>
        <w:rPr/>
      </w:pPr>
      <w:r>
        <w:rPr/>
        <w:t xml:space="preserve">Abordarea UE privind schimbările climatice acordă o atenție deosebită reducerii emisiilor de CO2. Olandezii consideră că este nevoie de un sistem mai bun în acest scop, care ar permite atât producătorilor, cât și consumatorilor să fie impozitați în mod echitabil. Olandezii sunt divizați în ceea ce privește dacă țările cu cei mai mulți locuitori au dreptul de a emite mai mult CO2. Unele țări, de exemplu, au o industrie foarte poluantă. Pe de altă parte, alte țări au multe oportunități de a produce energie verde. Aceste diferențe ar trebui luate în considerare. Fără ca acest lucru să devină prea complex, pentru că sistemul trebuie să fie de înțeles pentru toată lumea. </w:t>
      </w:r>
    </w:p>
    <w:p>
      <w:pPr>
        <w:pStyle w:val="P68B1DB1Normal129"/>
        <w:widowControl w:val="false"/>
        <w:spacing w:lineRule="auto" w:line="240" w:before="135" w:after="0"/>
        <w:ind w:left="0" w:right="0" w:hanging="0"/>
        <w:jc w:val="center"/>
        <w:rPr/>
      </w:pPr>
      <w:r>
        <w:rPr>
          <w:sz w:val="26"/>
        </w:rPr>
        <w:t>Țările industrializate exportă foarte mult. Prin urmare, acestea trebuie să suporte</w:t>
      </w:r>
      <w:r>
        <w:rPr>
          <w:position w:val="0"/>
          <w:sz w:val="17"/>
        </w:rPr>
        <w:t>doar taxa pe CO2</w:t>
      </w:r>
      <w:r>
        <w:rPr>
          <w:sz w:val="26"/>
        </w:rPr>
        <w:t xml:space="preserve">? În opinia mea, și consumatorul ar trebui să plătească.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Comunică într-un mod mai clar și mai pozitiv despre abordarea climatică </w:t>
      </w:r>
      <w:r>
        <w:rPr>
          <w:sz w:val="21"/>
        </w:rPr>
        <w:t xml:space="preserve">Poporul olandez aude multe despre schimbările climatice și citesc multe despre asta. Cu toate acestea, acesta rămâne un subiect abstract și complex pentru mulți oameni. Este adesea perceput ca ceva care costă o mulțime de bani, în timp ce abordarea schimbărilor climatice creează, de asemenea, oportunități. Ne gândim, de exemplu, la stimularea producției locale de alimente și la dezvoltarea de tehnologii noi și durabile. UE ar putea expune acest aspect mai des și mai eficient. Considerăm, de asemenea, că șefii de guvern ai statelor membre ar putea da ei înșiși un exemplu mai bun. Călătoriile mai puține – de exemplu între Bruxelles și Strasbourg – și întâlnirile online mai des ar putea contribui, de exemplu, la sprijinirea durabilității. </w:t>
      </w:r>
    </w:p>
    <w:p>
      <w:pPr>
        <w:pStyle w:val="P68B1DB1Normal113"/>
        <w:widowControl w:val="false"/>
        <w:spacing w:lineRule="auto" w:line="240" w:before="61" w:after="0"/>
        <w:ind w:left="0" w:right="0" w:hanging="0"/>
        <w:jc w:val="center"/>
        <w:rPr/>
      </w:pPr>
      <w:r>
        <w:rPr/>
        <w:t xml:space="preserve">Sustenabilitatea este percepută prea des ca un cost. Ar trebui să fie văzută ca o oportunitate, nu ca o amenințare. </w:t>
      </w:r>
    </w:p>
    <w:p>
      <w:pPr>
        <w:pStyle w:val="P68B1DB1Normal126"/>
        <w:widowControl w:val="false"/>
        <w:spacing w:lineRule="auto" w:line="240" w:before="129" w:after="0"/>
        <w:ind w:left="0" w:right="0" w:hanging="0"/>
        <w:jc w:val="left"/>
        <w:rPr>
          <w:rFonts w:ascii="Calibri" w:hAnsi="Calibri"/>
          <w:color w:val="0070C0"/>
          <w:sz w:val="24"/>
        </w:rPr>
      </w:pPr>
      <w:r>
        <w:rPr/>
        <w:t xml:space="preserve">Discuții și idei online și la fața locului </w:t>
      </w:r>
    </w:p>
    <w:p>
      <w:pPr>
        <w:pStyle w:val="P68B1DB1Normal129"/>
        <w:widowControl w:val="false"/>
        <w:spacing w:lineRule="auto" w:line="240" w:before="78" w:after="0"/>
        <w:ind w:left="0" w:right="0" w:hanging="0"/>
        <w:jc w:val="left"/>
        <w:rPr/>
      </w:pPr>
      <w:r>
        <w:rPr>
          <w:sz w:val="21"/>
        </w:rPr>
        <w:t>Nu ar trebui să considerăm emisiile de</w:t>
      </w:r>
      <w:r>
        <w:rPr>
          <w:position w:val="0"/>
          <w:sz w:val="14"/>
        </w:rPr>
        <w:t>CO2 drept</w:t>
      </w:r>
      <w:r>
        <w:rPr>
          <w:sz w:val="21"/>
        </w:rPr>
        <w:t xml:space="preserve"> drept, ci ca un corolar ciudat.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Am impresia că, în Europa, petrecem mai mult timp discutând despre schimbările climatice decât luând măsuri reale pentru a le aborda.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Norme mai stricte privind clima s-ar putea dovedi, în cele din urmă, benefice pentru noi. Ca un continent implicat în comerț, trebuie să încercăm să vedem oportunități acolo.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Nu putem aștepta alte continente. Nu avem timp să așteptăm.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Recompensează țările din punct de vedere financiar dacă demonstrează că natura și biodiversitatea lor sunt în creștere.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„Stimularea turismului favorabil naturii în regiunile sărace ale UE.”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elevi de liceu profesional: Călătoriile îndepărtate trebuie să rămână accesibile tuturor.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Teza că zborurile în interiorul UE ar trebui să devină mai scumpe a fost prezentată studenților de la Colegiul Graafschap din Doetinchem. Unii studenți au fost de acord că biletele mai scumpe ar încuraja oamenii să caute alternative mai ieftine. În plus, s-a subliniat faptul că UE ar trebui apoi să asigure opțiuni mai ecologice, cum ar fi conexiunile feroviare mai bune. Alți participanți au indicat că nu sunt în favoarea unor prețuri mai mari ale biletelor de avion. „Oamenii bogați sunt cei care călătoresc cel mai mult astăzi și vor putea plăti cu ușurință”, a spus un participant. Prețurile ridicate nu-i vor împiedica să călătorească. În timp ce vacanțele îndepărtate vor deveni imposibile pentru cetățenii „obișnuiți”. </w:t>
      </w:r>
    </w:p>
    <w:p>
      <w:pPr>
        <w:pStyle w:val="P68B1DB1Normal118"/>
        <w:widowControl w:val="false"/>
        <w:spacing w:lineRule="auto" w:line="240"/>
        <w:ind w:left="0" w:right="0" w:hanging="0"/>
        <w:jc w:val="left"/>
        <w:rPr/>
      </w:pPr>
      <w:r>
        <w:rPr/>
        <w:t xml:space="preserve">Agricultori prietenoși cu natura: „UE ar putea contribui la diseminarea cunoștințelor privind soluțiile durabile.”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este o asociație de grupuri de fermieri. În cadrul dialogului tematic, discuția s-a axat pe schimbările climatice și pe mediu. </w:t>
      </w:r>
    </w:p>
    <w:p>
      <w:pPr>
        <w:pStyle w:val="Normal"/>
        <w:widowControl w:val="false"/>
        <w:spacing w:lineRule="auto" w:line="240"/>
        <w:ind w:left="0" w:right="0" w:hanging="0"/>
        <w:jc w:val="left"/>
        <w:rPr/>
      </w:pPr>
      <w:r>
        <w:rPr>
          <w:rFonts w:ascii="Calibri" w:hAnsi="Calibri"/>
          <w:color w:val="000000"/>
          <w:sz w:val="21"/>
        </w:rPr>
        <w:t>Ceea ce este probabil să fie îmbunătățit în funcție de participanți este aplicarea legislației și reglementărilor UE de către diferite țări. Dosarul privind azotul a fost citat ca exemplu. Legislația UE prevede doar că o zonă naturală „nu se poate deteriora”. Dar în sudul Europei, această noțiune este interpretată altfel decât în Olanda." Majoritatea celor prezenți sunt de acord că Europa trebuie să joace un rol de lider în lupta împotriva schimbărilor climatice. Și nu trebuie să fim mulțumiți de vorbire, trebuie să obținem rezultate. Mai ales prin schimbul de cunoștințe, cred fermierii. În sectorul agrar, lucrăm la soluții pentru a</w:t>
      </w:r>
      <w:r>
        <w:rPr>
          <w:rFonts w:ascii="Calibri" w:hAnsi="Calibri"/>
          <w:color w:val="000000"/>
          <w:sz w:val="21"/>
        </w:rPr>
        <w:commentReference w:id="27"/>
      </w:r>
      <w:r>
        <w:rPr>
          <w:rFonts w:ascii="Calibri" w:hAnsi="Calibri"/>
          <w:color w:val="000000"/>
          <w:sz w:val="21"/>
        </w:rPr>
        <w:t xml:space="preserve"> obține o agricultură mai curată. UE trebuie să contribuie la diseminarea rapidă a cunoștințelor în acest domeniu.” </w:t>
      </w:r>
      <w:r>
        <w:br w:type="page"/>
      </w:r>
    </w:p>
    <w:p>
      <w:pPr>
        <w:pStyle w:val="P68B1DB1Normal127"/>
        <w:widowControl w:val="false"/>
        <w:spacing w:lineRule="auto" w:line="240"/>
        <w:ind w:left="0" w:right="0" w:hanging="0"/>
        <w:jc w:val="left"/>
        <w:rPr/>
      </w:pPr>
      <w:r>
        <w:rPr>
          <w:b/>
          <w:color w:val="0070C0"/>
          <w:sz w:val="32"/>
        </w:rPr>
        <w:t>Migrație</w:t>
      </w:r>
      <w:r>
        <w:rPr>
          <w:color w:val="365F91"/>
          <w:sz w:val="28"/>
        </w:rPr>
        <w:t xml:space="preserve"> </w:t>
      </w:r>
      <w:r>
        <w:rPr>
          <w:color w:val="0070C0"/>
          <w:sz w:val="21"/>
        </w:rPr>
        <w:t xml:space="preserve">(Migrație și refugiați)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Frontierele dintre statele membre ale UE sunt deschise. Prin urmare, în cadrul UE se desfășoară o cooperare în ceea ce privește, de exemplu, gestionarea frontierelor externe și combaterea introducerii ilegale de migranți. De asemenea, se discută o distribuție echitabilă a refugiaților între diferitele state membre ale UE. Care este punctul de vedere al Țărilor de Jos în această privință? </w:t>
      </w:r>
    </w:p>
    <w:p>
      <w:pPr>
        <w:pStyle w:val="P68B1DB1Normal126"/>
        <w:widowControl w:val="false"/>
        <w:spacing w:lineRule="auto" w:line="240" w:before="93" w:after="0"/>
        <w:ind w:left="0" w:right="0" w:hanging="0"/>
        <w:jc w:val="left"/>
        <w:rPr>
          <w:rFonts w:ascii="Calibri" w:hAnsi="Calibri"/>
          <w:color w:val="0070C0"/>
          <w:sz w:val="24"/>
        </w:rPr>
      </w:pPr>
      <w:r>
        <w:rPr/>
        <w:t xml:space="preserve">Recomandări – Viziunea noastră privind migrația și refugiații </w:t>
      </w:r>
    </w:p>
    <w:p>
      <w:pPr>
        <w:pStyle w:val="P68B1DB1Normal120"/>
        <w:widowControl w:val="false"/>
        <w:spacing w:lineRule="auto" w:line="240" w:before="90" w:after="0"/>
        <w:ind w:left="0" w:right="0" w:hanging="0"/>
        <w:jc w:val="left"/>
        <w:rPr/>
      </w:pPr>
      <w:r>
        <w:rPr/>
        <w:t xml:space="preserve">65 % dintre olandezi consideră că migrația și refugiații reprezintă o problemă importantă și că UE trebuie să intervină în acest domeniu.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Evitați ca dezbaterile pe tema refugiaților să fie prea puțin nuanțate </w:t>
      </w:r>
    </w:p>
    <w:p>
      <w:pPr>
        <w:pStyle w:val="P68B1DB1Normal104"/>
        <w:widowControl w:val="false"/>
        <w:spacing w:lineRule="auto" w:line="240"/>
        <w:ind w:left="0" w:right="0" w:hanging="0"/>
        <w:jc w:val="left"/>
        <w:rPr/>
      </w:pPr>
      <w:r>
        <w:rPr/>
        <w:t xml:space="preserve">70 % dintre olandezi consideră că frontierele externe ale Europei trebuie să fie mai bine protejate. Dintre acestea, 72 % cred, de asemenea, că înseamnă întoarcerea mai multor refugiați în țări nesigure. Olandezii consideră că ar trebui acordată mai multă atenție motivelor care îi determină pe oameni să fugă dintr-o țară nesigură. Aceste motive sunt uneori legate de schimbările climatice, uneori de războaie. Aceste contexte sunt adesea menționate doar într-un mod limitat în dezbaterea privind chestiunea refugiaților. Valoarea adăugată pe care acești refugiați o aduc unei țări este, de asemenea, rareori abordată. În cele din urmă, considerăm că UE trebuie să facă o distincție mai clară între persoanele din regiuni nesigure care se prezintă la frontiere și refugiații economici. Pe scurt, constatăm că dezbaterile privind migrația și refugiații sunt, în general, lipsite de context și de nuanțe. Politicienii europeni ar putea remedia această situație prin a da un exemplu. </w:t>
      </w:r>
    </w:p>
    <w:p>
      <w:pPr>
        <w:pStyle w:val="P68B1DB1Normal113"/>
        <w:widowControl w:val="false"/>
        <w:spacing w:lineRule="auto" w:line="240" w:before="173" w:after="0"/>
        <w:ind w:left="0" w:right="0" w:hanging="0"/>
        <w:jc w:val="center"/>
        <w:rPr/>
      </w:pPr>
      <w:r>
        <w:rPr/>
        <w:t xml:space="preserve">Trebuie să continuăm să considerăm refugiații în primul rând ca fiind concetățenii noștri. Căci aproape nimeni nu va abandona o persoană în primejdie.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Definirea unei distribuții echitabile și practice a refugiaților </w:t>
      </w:r>
    </w:p>
    <w:p>
      <w:pPr>
        <w:pStyle w:val="P68B1DB1Normal104"/>
        <w:widowControl w:val="false"/>
        <w:spacing w:lineRule="auto" w:line="240"/>
        <w:ind w:left="0" w:right="0" w:hanging="0"/>
        <w:jc w:val="both"/>
        <w:rPr/>
      </w:pPr>
      <w:r>
        <w:rPr/>
        <w:t xml:space="preserve">Un serviciu european de imigrație ar trebui să garanteze că refugiații sunt distribuiți în mod echitabil între statele membre ale UE. Olandezii consideră, de asemenea, că ar trebui stabilite criterii clare pentru a defini ce este o distribuție echitabilă. Un sistem social bun poate, de exemplu, să facă o țară atractivă pentru refugiați, dar și alți factori sunt importanți atât pentru refugiați, cât și pentru țara în cauză. În Țările de Jos, ne confruntăm cu o penurie de locuințe, în timp ce unele țări sau sectoare pur și simplu au nevoie de mai mulți lucrători migranți. Considerăm că este important ca UE să țină seama de acest lucru atunci când distribuie refugiați. Mecanismele clare nu numai că garantează transparența, ci și mai puțin disputa, ceea ce este, în cele din urmă, în interesul tuturor. </w:t>
      </w:r>
    </w:p>
    <w:p>
      <w:pPr>
        <w:pStyle w:val="P68B1DB1Normal113"/>
        <w:widowControl w:val="false"/>
        <w:spacing w:lineRule="auto" w:line="240" w:before="173" w:after="0"/>
        <w:ind w:left="0" w:right="0" w:hanging="0"/>
        <w:jc w:val="center"/>
        <w:rPr/>
      </w:pPr>
      <w:r>
        <w:rPr/>
        <w:t xml:space="preserve">De asemenea, refugiații trebuie să își poată exprima talentul într-o țară de destinație.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Valorificarea cunoștințelor și a experienței dobândite pentru a sprijini regiunile de origine ale refugiaților </w:t>
      </w:r>
    </w:p>
    <w:p>
      <w:pPr>
        <w:pStyle w:val="P68B1DB1Normal104"/>
        <w:widowControl w:val="false"/>
        <w:spacing w:lineRule="auto" w:line="240" w:before="86" w:after="0"/>
        <w:ind w:left="0" w:right="0" w:hanging="0"/>
        <w:jc w:val="left"/>
        <w:rPr/>
      </w:pPr>
      <w:r>
        <w:rPr/>
        <w:t xml:space="preserve">67 % dintre olandezi consideră că UE trebuie să ajute în continuare regiunile nesigure pentru a stopa fluxurile de refugiați. Ne dăm seama că refugiații nu își părăsesc țara printr-o alegere simplă. Prin urmare, trebuie să analizăm cauzele, cum ar fi schimbările climatice sau conflictele, care fac regiunile nesigure sau de neiertat. UE poate ajuta regiunile refugiate nu numai prin sprijin financiar, ci și prin cunoaștere. În Olanda, de exemplu, avem competențe puternice în agricultură. Cu ajutorul tehnicilor agricole moderne, putem ajuta alte țări să facă față mai bine secetei și salinizării. Iar persoanele care s-au refugiat în Europa pot participa la cursuri de formare într-o țară europeană și apoi își pot ajuta ei înșiși țara de origine.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Discuții și idei online și la fața locului </w:t>
      </w:r>
    </w:p>
    <w:p>
      <w:pPr>
        <w:pStyle w:val="P68B1DB1Normal118"/>
        <w:widowControl w:val="false"/>
        <w:spacing w:lineRule="auto" w:line="240" w:before="85" w:after="0"/>
        <w:ind w:left="0" w:right="0" w:hanging="0"/>
        <w:jc w:val="left"/>
        <w:rPr/>
      </w:pPr>
      <w:r>
        <w:rPr/>
        <w:t>„</w:t>
      </w:r>
      <w:r>
        <w:rPr/>
        <w:t xml:space="preserve">UE trebuie să instituie proceduri de azil mai rapide. Deci, va fi mai mult loc pentru oamenii care au cu adevărat nevoie de ea. </w:t>
      </w:r>
    </w:p>
    <w:p>
      <w:pPr>
        <w:pStyle w:val="P68B1DB1Normal118"/>
        <w:widowControl w:val="false"/>
        <w:spacing w:lineRule="auto" w:line="240"/>
        <w:ind w:left="0" w:right="0" w:hanging="0"/>
        <w:jc w:val="left"/>
        <w:rPr/>
      </w:pPr>
      <w:r>
        <w:rPr/>
        <w:t xml:space="preserve">Cunosc mulți tineri din jurul meu care doresc să cumpere o casă, dar care nu găsesc nimic accesibil, în timp ce refugiații se văd oferind locuințe. Mi-e greu să accept. </w:t>
      </w:r>
    </w:p>
    <w:p>
      <w:pPr>
        <w:pStyle w:val="P68B1DB1Normal118"/>
        <w:widowControl w:val="false"/>
        <w:spacing w:lineRule="auto" w:line="240"/>
        <w:ind w:left="0" w:right="0" w:hanging="0"/>
        <w:jc w:val="left"/>
        <w:rPr/>
      </w:pPr>
      <w:r>
        <w:rPr/>
        <w:t xml:space="preserve">Schimbările climatice vor continua oricum să ducă la strămutarea populației. Nu putem opri aceste fluxuri, dar le putem reglementa mai bine. </w:t>
      </w:r>
    </w:p>
    <w:p>
      <w:pPr>
        <w:pStyle w:val="P68B1DB1Normal118"/>
        <w:widowControl w:val="false"/>
        <w:spacing w:lineRule="auto" w:line="240"/>
        <w:ind w:left="0" w:right="0" w:hanging="0"/>
        <w:jc w:val="left"/>
        <w:rPr/>
      </w:pPr>
      <w:r>
        <w:rPr/>
        <w:t xml:space="preserve">Locuiesc în Betuwe. În timpul sezonului de pere și mere, pur și simplu avem nevoie de o mulțime de lucrători migranți. </w:t>
      </w:r>
    </w:p>
    <w:p>
      <w:pPr>
        <w:pStyle w:val="P68B1DB1Normal118"/>
        <w:widowControl w:val="false"/>
        <w:spacing w:lineRule="auto" w:line="240"/>
        <w:ind w:left="0" w:right="0" w:hanging="0"/>
        <w:jc w:val="left"/>
        <w:rPr/>
      </w:pPr>
      <w:r>
        <w:rPr/>
        <w:t xml:space="preserve">Regiunile nesigure nu sunt nesigure pentru nimic, autoritățile publice fiind adesea nesigure. Cum știm încotro se îndreaptă ajutorul și banii noștri? </w:t>
      </w:r>
    </w:p>
    <w:p>
      <w:pPr>
        <w:pStyle w:val="P68B1DB1Normal104"/>
        <w:widowControl w:val="false"/>
        <w:spacing w:lineRule="auto" w:line="240"/>
        <w:ind w:left="0" w:right="0" w:hanging="0"/>
        <w:jc w:val="left"/>
        <w:rPr/>
      </w:pPr>
      <w:r>
        <w:rPr/>
        <w:t xml:space="preserve">IDEE: </w:t>
      </w:r>
      <w:r>
        <w:rPr>
          <w:i/>
        </w:rPr>
        <w:t>Să ia în considerare, de asemenea, strategiile locale, cum ar fi participarea cetățenilor la primirea la nivel local a refugiaților și finanțarea inițiativelor de integrare locală.</w:t>
      </w:r>
    </w:p>
    <w:p>
      <w:pPr>
        <w:pStyle w:val="P68B1DB1Normal104"/>
        <w:widowControl w:val="false"/>
        <w:spacing w:lineRule="auto" w:line="240"/>
        <w:ind w:left="0" w:right="0" w:hanging="0"/>
        <w:jc w:val="left"/>
        <w:rPr/>
      </w:pPr>
      <w:r>
        <w:rPr/>
        <w:t>IDEE:</w:t>
      </w:r>
      <w:r>
        <w:rPr>
          <w:i/>
        </w:rPr>
        <w:t xml:space="preserve"> Înființează mini-case în orașe unde refugiații puteau locui la sosire. Acest lucru ar reduce presiunea asupra pieței locuințelor și ar spori sprijinul public pentru primirea acestor persoane. </w:t>
      </w:r>
    </w:p>
    <w:p>
      <w:pPr>
        <w:pStyle w:val="P68B1DB1Normal118"/>
        <w:widowControl w:val="false"/>
        <w:spacing w:lineRule="auto" w:line="240"/>
        <w:ind w:left="0" w:right="0" w:hanging="0"/>
        <w:jc w:val="left"/>
        <w:rPr/>
      </w:pPr>
      <w:r>
        <w:rPr/>
        <w:t xml:space="preserve">Voluntarii care au fost ei înșiși refugiați: În Europa, oamenii stau adesea departe unul de celălalt.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este o organizație de voluntariat care se asigură că noii locuitori ai Allofonei din Utrecht pot participa în societate. Dialogul tematic cu această organizație s-a axat nu numai pe migrație, ci și, mai ales, pe integrare. Mai mulți participanți au sosit în Țările de Jos ca refugiați, inclusiv unul din Siria. După șapte ani, încă nu mă mai simt olandeză. De asemenea, nu mi-am găsit un loc de muncă, chiar dacă am obținut o diplomă de master. Observ că țările europene sunt preocupate în primul rând de ele însele și nu sunt foarte deschise față de alte țări și culturi." Un alt participant a remarcat că europenii rămân adesea departe unul de celălalt. Majoritatea oamenilor sunt singuri; toată lumea stă în colțul lor. Găsesc, la rândul meu, că unul trebuie să vorbească unul cu altul și că unul poate învăța unul de la celălalt.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Tineri din Consiliul Național al Tineretului: Ar trebui să lași oamenii să intre doar dacă poți avea grijă de ei. </w:t>
      </w:r>
    </w:p>
    <w:p>
      <w:pPr>
        <w:pStyle w:val="P68B1DB1Normal104"/>
        <w:widowControl w:val="false"/>
        <w:spacing w:lineRule="auto" w:line="240"/>
        <w:ind w:left="0" w:right="0" w:hanging="0"/>
        <w:jc w:val="both"/>
        <w:rPr/>
      </w:pPr>
      <w:r>
        <w:rPr/>
        <w:t xml:space="preserve">La Utrecht, membrii diferitelor grupuri de lucru ale Consiliului Național al Tineretului (CNJ) au organizat o dezbatere. Participanții (cu vârste cuprinse între 16 și 23 de ani) consideră că, la distribuirea refugiaților în Europa, trebuie să se țină seama de mai multe aspecte, cum ar fi numărul de locuitori, dimensiunea țării, prosperitatea și numărul centrelor solicitanților de azil. „Refugiații ar trebui să aibă voie să intre în țară numai dacă pot fi îngrijiți”, a spus unul dintre ei. </w:t>
      </w:r>
    </w:p>
    <w:p>
      <w:pPr>
        <w:pStyle w:val="Normal"/>
        <w:widowControl w:val="false"/>
        <w:spacing w:lineRule="auto" w:line="240"/>
        <w:ind w:left="0" w:right="0" w:hanging="0"/>
        <w:jc w:val="left"/>
        <w:rPr/>
      </w:pPr>
      <w:r>
        <w:rPr>
          <w:rFonts w:ascii="Calibri" w:hAnsi="Calibri"/>
          <w:color w:val="000000"/>
          <w:sz w:val="21"/>
        </w:rPr>
        <w:t xml:space="preserve">Tinerii consideră, de asemenea, că trebuie să existe consecințe atunci când țările nu își îndeplinesc angajamentele de a găzdui refugiați. Acestea trebuie, de exemplu, să fie amendate. „Și refugiații trebuie, de asemenea, să aibă un cuvânt de spus în cazul în care vor merge”, a spus cineva. De exemplu, dacă au deja o familie undeva, nu le putem trimite în altă parte.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Sănătate </w:t>
      </w:r>
    </w:p>
    <w:p>
      <w:pPr>
        <w:pStyle w:val="P68B1DB1Normal130"/>
        <w:widowControl w:val="false"/>
        <w:spacing w:lineRule="auto" w:line="240"/>
        <w:ind w:left="0" w:right="0" w:hanging="0"/>
        <w:jc w:val="left"/>
        <w:rPr>
          <w:rFonts w:ascii="Calibri" w:hAnsi="Calibri"/>
          <w:color w:val="0070C0"/>
          <w:sz w:val="21"/>
        </w:rPr>
      </w:pPr>
      <w:r>
        <w:rPr/>
        <w:t xml:space="preserve">(Îngrijire medicală) </w:t>
      </w:r>
    </w:p>
    <w:p>
      <w:pPr>
        <w:pStyle w:val="P68B1DB1Normal104"/>
        <w:widowControl w:val="false"/>
        <w:spacing w:lineRule="auto" w:line="240"/>
        <w:ind w:left="0" w:right="0" w:hanging="0"/>
        <w:jc w:val="left"/>
        <w:rPr/>
      </w:pPr>
      <w:r>
        <w:rPr/>
        <w:t xml:space="preserve">Deși asistența medicală este în primul rând responsabilitatea fiecărei țări, aceasta poate fi sprijinită și consolidată prin politici ale UE, de exemplu ca răspuns la pandemia de COVID-19 sau la alte crize sanitare (viitoare) sau în cercetarea în parteneriat privind bolile grave. Care este punctul de vedere al Țărilor de Jos în această privință? </w:t>
      </w:r>
    </w:p>
    <w:p>
      <w:pPr>
        <w:pStyle w:val="P68B1DB1Normal126"/>
        <w:widowControl w:val="false"/>
        <w:spacing w:lineRule="auto" w:line="240" w:before="14" w:after="0"/>
        <w:ind w:left="0" w:right="0" w:hanging="0"/>
        <w:jc w:val="left"/>
        <w:rPr>
          <w:rFonts w:ascii="Calibri" w:hAnsi="Calibri"/>
          <w:color w:val="0070C0"/>
          <w:sz w:val="24"/>
        </w:rPr>
      </w:pPr>
      <w:r>
        <w:rPr/>
        <w:t xml:space="preserve">Recomandări – Viziunea noastră asupra asistenței medicale </w:t>
      </w:r>
    </w:p>
    <w:p>
      <w:pPr>
        <w:pStyle w:val="P68B1DB1Normal120"/>
        <w:widowControl w:val="false"/>
        <w:spacing w:lineRule="auto" w:line="240"/>
        <w:ind w:left="0" w:right="0" w:hanging="0"/>
        <w:jc w:val="left"/>
        <w:rPr/>
      </w:pPr>
      <w:r>
        <w:rPr/>
        <w:t xml:space="preserve">64 % dintre olandezi consideră că asistența medicală este o problemă importantă și că UE trebuie să intervină în acest domeniu. </w:t>
      </w:r>
    </w:p>
    <w:p>
      <w:pPr>
        <w:pStyle w:val="P68B1DB1Normal111"/>
        <w:widowControl w:val="false"/>
        <w:spacing w:lineRule="auto" w:line="240" w:before="2" w:after="0"/>
        <w:ind w:left="0" w:right="0" w:hanging="0"/>
        <w:jc w:val="left"/>
        <w:rPr>
          <w:rFonts w:ascii="Calibri" w:hAnsi="Calibri"/>
          <w:b/>
          <w:b/>
          <w:color w:val="000000"/>
          <w:sz w:val="22"/>
        </w:rPr>
      </w:pPr>
      <w:r>
        <w:rPr/>
        <w:t xml:space="preserve">1. Să aibă un control mai bun asupra gestionării unei pandemii </w:t>
      </w:r>
    </w:p>
    <w:p>
      <w:pPr>
        <w:pStyle w:val="P68B1DB1Normal104"/>
        <w:widowControl w:val="false"/>
        <w:spacing w:lineRule="auto" w:line="240"/>
        <w:ind w:left="0" w:right="0" w:hanging="0"/>
        <w:jc w:val="left"/>
        <w:rPr/>
      </w:pPr>
      <w:r>
        <w:rPr/>
        <w:t xml:space="preserve">83 % dintre olandezi consideră că țările UE trebuie să colaboreze mai mult pentru a preveni răspândirea unei boli contagioase în întreaga lume. Pentru că un virus nu cunoaște granițe. Putem vedea acest lucru în timpul actualei pandemii. Politicile din cadrul UE sunt uneori confuze. Acest lucru nu este bun pentru respectarea regulilor. Considerăm că normele de combatere a răspândirii unui virus în Europa trebuie să fie mai bine coordonate, fără a fi neapărat aceleași peste tot. Trebuie să existe loc pentru alegeri locale. Nu numai pentru că numărul contaminărilor poate fi diferit, ci și pentru că există culturi diferite în Europa. Unele măsuri funcționează mai bine în unele țări decât în altele. </w:t>
      </w:r>
    </w:p>
    <w:p>
      <w:pPr>
        <w:pStyle w:val="P68B1DB1Normal113"/>
        <w:widowControl w:val="false"/>
        <w:spacing w:lineRule="auto" w:line="240" w:before="164" w:after="0"/>
        <w:ind w:left="0" w:right="0" w:hanging="0"/>
        <w:jc w:val="center"/>
        <w:rPr/>
      </w:pPr>
      <w:r>
        <w:rPr/>
        <w:t xml:space="preserve">Locuiesc în Olanda, la granița cu Germania. Diferitele măsuri adoptate de cele două țări pentru combaterea coronavirusului mă înnebunesc.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Asigurarea disponibilității unor medicamente accesibile și fiabile pentru toți</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dintre olandezi consideră că UE trebuie să se asigure că avem nevoie de mai puține țări terțe pentru dezvoltarea, producția și livrarea de medicamente. Dar dacă asta înseamnă să aștepți mai mult timp pentru a avea medicamente, opiniile sunt împărțite. Olandezii consideră că producția și distribuția de medicamente reprezintă o problemă complexă. Pe de o parte, costurile asistenței medicale cresc brusc în Țările de Jos, de aceea considerăm că este important să le menținem la cel mai scăzut nivel posibil. Pe de altă parte, vrem să avem încredere în droguri, chiar și atunci când acestea vin de departe. Acestea trebuie să fie nu numai de calitate, ci și produse într-un mod durabil și responsabil din punct de vedere etic. În general, considerăm că medicamentele importante trebuie să fie accesibile tuturor, inclusiv în țările mai sărace. </w:t>
      </w:r>
    </w:p>
    <w:p>
      <w:pPr>
        <w:pStyle w:val="P68B1DB1Normal113"/>
        <w:widowControl w:val="false"/>
        <w:spacing w:lineRule="auto" w:line="240" w:before="167" w:after="0"/>
        <w:ind w:left="0" w:right="0" w:hanging="0"/>
        <w:jc w:val="both"/>
        <w:rPr/>
      </w:pPr>
      <w:r>
        <w:rPr/>
        <w:t>Costurile de îngrijire a sănătății sunt deja inaccesibile. Deci, trebuie să încercăm, de asemenea, să cumpărăm noi medicamente la cel mai mic preț posibil.</w:t>
      </w:r>
      <w:r>
        <w:rPr>
          <w:b/>
        </w:rPr>
        <w:t xml:space="preserve"> </w:t>
      </w:r>
    </w:p>
    <w:p>
      <w:pPr>
        <w:pStyle w:val="P68B1DB1Normal111"/>
        <w:widowControl w:val="false"/>
        <w:spacing w:lineRule="auto" w:line="240" w:before="131" w:after="0"/>
        <w:ind w:left="0" w:right="0" w:hanging="0"/>
        <w:jc w:val="left"/>
        <w:rPr/>
      </w:pPr>
      <w:r>
        <w:rPr/>
        <w:t xml:space="preserve">3. Țările trebuie să se concentreze pe îmbunătățirea sistemelor lor de sănătate și să le facă mai echitabile </w:t>
      </w:r>
    </w:p>
    <w:p>
      <w:pPr>
        <w:pStyle w:val="P68B1DB1Normal104"/>
        <w:widowControl w:val="false"/>
        <w:spacing w:lineRule="auto" w:line="240" w:before="85" w:after="0"/>
        <w:ind w:left="0" w:right="0" w:hanging="0"/>
        <w:jc w:val="left"/>
        <w:rPr/>
      </w:pPr>
      <w:r>
        <w:rPr/>
        <w:t xml:space="preserve">Țărilor de Jos le pasă mult de asistența medicală, iar această preocupare depășește impactul pandemiei de COVID-19. Știm, de exemplu, de probleme de capacitate structurală în spitale. Unii olandezi nu au încredere în efectele forțelor pieței în sectorul asistenței medicale. Înțelegem că companiile farmaceutice trebuie să-și recupereze investițiile și că fondurile de asigurări de sănătate doresc asistență medicală ieftină, dar companiile mari nu ar trebui să abuzeze de puterea lor. UE ar trebui să adopte norme în acest sens. De asemenea, considerăm că asistența medicală este în primul rând o problemă națională. Țările știu mai bine care sunt problemele și prioritățile la nivel local. Cu toate acestea, considerăm că este important ca țările europene să poată învăța unele de la altele pentru a îmbunătăți asistența medicală.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Discuții și idei online și la fața locului </w:t>
      </w:r>
    </w:p>
    <w:p>
      <w:pPr>
        <w:pStyle w:val="P68B1DB1Normal118"/>
        <w:widowControl w:val="false"/>
        <w:spacing w:lineRule="auto" w:line="240" w:before="95" w:after="0"/>
        <w:ind w:left="0" w:right="0" w:hanging="0"/>
        <w:jc w:val="left"/>
        <w:rPr/>
      </w:pPr>
      <w:r>
        <w:rPr/>
        <w:t xml:space="preserve">În ceea ce privește disponibilitatea medicamentelor în Europa, am putea fi, de asemenea, puțin mai economici. Aruncăm prea mult astăzi.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Este foarte bine că Germania a salutat pacienții din Țările de Jos cu COVID-19. Aș dori să văd mai multă solidaritate în Europa.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Oriunde locuiți în UE și indiferent dacă sunteți bogat sau sărac, toată lumea are dreptul la îngrijire de calitate.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Atunci când cumpărați medicamente, trebuie să luați în considerare nu numai costurile, ci și etica. Aceasta înseamnă, de exemplu, că munca copiilor nu ar trebui utilizată.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„Îmbunătățirea sănătății europenilor prin asigurarea faptului că aceștia sunt mai puțin stresați. De exemplu, reduceți durata săptămânii de lucru.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Să le permită tinerilor să facă alegeri mai sănătoase prin intermediul unor jocuri serioase de realitate augmentată.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Dintre locuitorii din Utrecht de origine marocană: Sănătatea poate avea un anumit preț.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Fundația Marokkaans Dialoog Overvecht (MDO) (dialog marocan în Overvecht) este dedicată participării comunității marocane din districtul Overvecht din Utrecht. În acest scop, încurajează dialogul în vecinătate și, prin urmare, combate inegalitățile. Participanții la dialogul tematic din cadrul Viziunii Europei consideră că cooperarea europeană este foarte utilă. Cu toate acestea, un număr consideră că Țările de Jos sunt uneori prea dependente de alte țări. Gestionarea crizei provocate de pandemia de COVID-19 a fost citată ca exemplu în acest sens. Numeroasele consultări din Europa au avut ca efect, potrivit participanților, faptul că Țările de Jos au început vaccinarea împotriva COVID-19 prea târziu. „Poate că va costa mai mult dacă Olanda vrea să decidă mai mult pe cont propriu”, a spus cineva. Dar este vorba despre sănătate, poate costa un pic mai mult.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Elevii lui Helmond: Este mai bine să înveți inteligent unul de la celălalt decât să urmezi aceeași abordare.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La Colegiul Dr. Knippenberg din Helmond, studenții în vârstă de aproximativ 16 ani au discutat despre gestionarea europeană a pandemiei de COVID-19. Unii consideră că statele membre ale UE ar fi trebuit să definească împreună programul de vaccinare. Majoritatea participanților au considerat că țările în sine au o idee mai bună despre ceea ce este necesar și ce funcționează. Prin urmare, ei sunt mai capabili, potrivit lor, să decidă ce este corect pentru populație. Ei știu mai bine, de exemplu, ce sectoare au nevoie mai întâi de vaccinare și pe care le pot aștepta. „Este în mod natural foarte bine pentru țări să se consulte”, a spus unul dintre studenți. Dacă multe țări au o abordare proprie, ele pot observa ce fac alții și învață unele de la altele.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Rolul UE în lume </w:t>
      </w:r>
    </w:p>
    <w:p>
      <w:pPr>
        <w:pStyle w:val="P68B1DB1Normal104"/>
        <w:widowControl w:val="false"/>
        <w:spacing w:lineRule="auto" w:line="240" w:before="126" w:after="0"/>
        <w:ind w:left="0" w:right="0" w:hanging="0"/>
        <w:jc w:val="left"/>
        <w:rPr/>
      </w:pPr>
      <w:r>
        <w:rPr/>
        <w:t xml:space="preserve">Lumea se confruntă cu mari provocări. UE este convinsă că aspecte precum schimbările climatice și pandemiile pot fi abordate numai prin cooperare la nivel mondial. UE dorește să își facă auzită vocea pe scena mondială în această privință, de exemplu, alături de SUA și China. Care este punctul de vedere al Țărilor de Jos în această privință? </w:t>
      </w:r>
    </w:p>
    <w:p>
      <w:pPr>
        <w:pStyle w:val="P68B1DB1Normal126"/>
        <w:widowControl w:val="false"/>
        <w:spacing w:lineRule="auto" w:line="240" w:before="125" w:after="0"/>
        <w:ind w:left="0" w:right="0" w:hanging="0"/>
        <w:jc w:val="left"/>
        <w:rPr>
          <w:rFonts w:ascii="Calibri" w:hAnsi="Calibri"/>
          <w:color w:val="0070C0"/>
          <w:sz w:val="24"/>
        </w:rPr>
      </w:pPr>
      <w:r>
        <w:rPr/>
        <w:t xml:space="preserve">Recomandări – Viziunea noastră asupra rolului UE în lume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dintre olandezi consideră că rolul UE în lume este o temă importantă și că UE trebuie să intervină în acest domeniu.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Valorificarea puterii UE în principal în contextul unor teme internaționale majore </w:t>
      </w:r>
    </w:p>
    <w:p>
      <w:pPr>
        <w:pStyle w:val="P68B1DB1Normal104"/>
        <w:widowControl w:val="false"/>
        <w:spacing w:lineRule="auto" w:line="240"/>
        <w:ind w:left="0" w:right="0" w:hanging="0"/>
        <w:jc w:val="left"/>
        <w:rPr/>
      </w:pPr>
      <w:r>
        <w:rPr/>
        <w:t xml:space="preserve">Faptul că crearea sa a contribuit la faptul că europenii care trăiesc în pace de peste 75 de ani este considerat de mulți olandezi ca fiind principala valoare adăugată a UE. Olandezii consideră, de asemenea, că puterea UE constă în gestionarea în comun a provocărilor internaționale majore. Ne gândim, de exemplu, la schimbările climatice, la pandemia de COVID-19 și la criza refugiaților. Statele membre ale UE pot avea, de asemenea, un impact mai mare asupra țărilor terțe, prin încheierea colectivă de acorduri internaționale ale UE. Credem că țara noastră este prea mică pentru a face diferența doar în aceste domenii. Acestea fiind spuse, olandezii doresc ca Olanda să continue să facă propriile alegeri, bazate pe propria lor cultură și interese. Prin urmare, cooperarea în Europa trebuie să asigure, în primul rând, eficiența și puterea politică. </w:t>
      </w:r>
    </w:p>
    <w:p>
      <w:pPr>
        <w:pStyle w:val="P68B1DB1Normal113"/>
        <w:widowControl w:val="false"/>
        <w:spacing w:lineRule="auto" w:line="240" w:before="200" w:after="0"/>
        <w:ind w:left="0" w:right="0" w:hanging="0"/>
        <w:jc w:val="center"/>
        <w:rPr/>
      </w:pPr>
      <w:r>
        <w:rPr/>
        <w:t xml:space="preserve">Este mai ușor să se încheie acorduri de cooperare în cadrul UE decât ca țară izolată.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În interiorul și în afara Europei, alegeți cooperarea, mai degrabă decât lupta </w:t>
      </w:r>
    </w:p>
    <w:p>
      <w:pPr>
        <w:pStyle w:val="P68B1DB1Normal104"/>
        <w:widowControl w:val="false"/>
        <w:spacing w:lineRule="auto" w:line="240" w:before="1" w:after="0"/>
        <w:ind w:left="0" w:right="0" w:hanging="0"/>
        <w:jc w:val="left"/>
        <w:rPr/>
      </w:pPr>
      <w:r>
        <w:rPr/>
        <w:t xml:space="preserve">66 % dintre olandezi consideră că UE trebuie să formeze un bloc mai puternic împotriva altor blocuri internaționale. Asistăm la o slăbire a echilibrului în lume. Țări precum China și Rusia își extind constant puterea în diferite domenii. Acest lucru ne îngrijorează foarte mult. Prin urmare, UE trebuie să acorde mai multă atenție, de exemplu, securității internaționale și protecției economiei europene împotriva practicilor comerciale neloiale. Considerăm că este important, în acest sens, ca statele membre să se coordoneze mai bine și mai rapid. Acest lucru ne va permite să ne facem vocea auzită mai clar. Faptul că suntem mai puternici împreună ca țări europene nu înseamnă că vrem să intrăm în conflict. De asemenea, dorim, pe cât posibil, o bună cooperare cu țările terțe. </w:t>
      </w:r>
    </w:p>
    <w:p>
      <w:pPr>
        <w:pStyle w:val="P68B1DB1Normal113"/>
        <w:widowControl w:val="false"/>
        <w:spacing w:lineRule="auto" w:line="240" w:before="200" w:after="0"/>
        <w:ind w:left="0" w:right="0" w:hanging="0"/>
        <w:jc w:val="center"/>
        <w:rPr/>
      </w:pPr>
      <w:r>
        <w:rPr/>
        <w:t>„</w:t>
      </w:r>
      <w:r>
        <w:rPr/>
        <w:t xml:space="preserve">Reducerea conflictelor interne va spori prestigiul și puterea de influență a UE pe scena mondială.”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Oferirea, într-un mod atent, a ajutorului în caz de conflict </w:t>
      </w:r>
    </w:p>
    <w:p>
      <w:pPr>
        <w:pStyle w:val="Normal"/>
        <w:widowControl w:val="false"/>
        <w:spacing w:lineRule="auto" w:line="240"/>
        <w:ind w:left="0" w:right="0" w:hanging="0"/>
        <w:jc w:val="left"/>
        <w:rPr/>
      </w:pPr>
      <w:r>
        <w:rPr>
          <w:rFonts w:ascii="Calibri" w:hAnsi="Calibri"/>
          <w:color w:val="000000"/>
          <w:sz w:val="21"/>
        </w:rPr>
        <w:t xml:space="preserve">Ca parte a consolidării rolului UE pe scena internațională, 50 % dintre olandezi consideră că abordarea conflictelor din lume este o temă importantă. Cel mai bun mod de a răspunde la conflicte este, potrivit acestora, dificil de determinat. Trecutul a arătat că intervenția militară într-o țară nu este întotdeauna benefică. De exemplu, aceasta poate duce la costuri neprevăzute ridicate și poate crea fluxuri suplimentare de refugiați. Țările ar trebui, având în vedere acest impact local, să decidă pentru ele însele dacă să participe la un război. Suntem interesați, în general, de o cooperare sporită între armatele europene: considerăm că este important ca Europa să se poată apăra bine. Dar întotdeauna preferăm să rezolvăm conflictele fără a recurge la violență. </w:t>
      </w:r>
      <w:r>
        <w:br w:type="page"/>
      </w:r>
    </w:p>
    <w:p>
      <w:pPr>
        <w:pStyle w:val="P68B1DB1Normal113"/>
        <w:widowControl w:val="false"/>
        <w:spacing w:lineRule="auto" w:line="240"/>
        <w:ind w:left="0" w:right="0" w:hanging="0"/>
        <w:jc w:val="left"/>
        <w:rPr/>
      </w:pPr>
      <w:r>
        <w:rPr/>
        <w:t xml:space="preserve">În timpul evacuării Afganistanului, fiecare țară a acționat în propriul său colț. Încă ne-am fi putut descurca mai bine, nu-i așa? </w:t>
      </w:r>
    </w:p>
    <w:p>
      <w:pPr>
        <w:pStyle w:val="P68B1DB1Normal126"/>
        <w:widowControl w:val="false"/>
        <w:spacing w:lineRule="auto" w:line="240" w:before="85" w:after="0"/>
        <w:ind w:left="0" w:right="0" w:hanging="0"/>
        <w:jc w:val="left"/>
        <w:rPr>
          <w:rFonts w:ascii="Calibri" w:hAnsi="Calibri"/>
          <w:color w:val="0070C0"/>
          <w:sz w:val="24"/>
        </w:rPr>
      </w:pPr>
      <w:r>
        <w:rPr/>
        <w:t xml:space="preserve">Discuții și idei online și la fața locului </w:t>
      </w:r>
    </w:p>
    <w:p>
      <w:pPr>
        <w:pStyle w:val="P68B1DB1Normal118"/>
        <w:widowControl w:val="false"/>
        <w:spacing w:lineRule="auto" w:line="240" w:before="78" w:after="0"/>
        <w:ind w:left="0" w:right="0" w:hanging="0"/>
        <w:jc w:val="left"/>
        <w:rPr>
          <w:rFonts w:ascii="Calibri" w:hAnsi="Calibri"/>
          <w:i/>
          <w:i/>
          <w:color w:val="000000"/>
          <w:sz w:val="21"/>
        </w:rPr>
      </w:pPr>
      <w:r>
        <w:rPr/>
        <w:t xml:space="preserve">UE trebuie mai întâi să pună ordine în treburile sale înainte de a se confrunta cu alții.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Prin cumpărarea masivă de produse chinezești ca europeni, susținem China însăși.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Statele Unite continuă să joace un rol foarte important în apărarea Europei.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A fi membru al UE înseamnă, de asemenea, să stai la masa negocierilor. Acest lucru face posibilă discutarea unor decizii importante.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UE trebuie să înceteze să se mai vadă ca o entitate izolată, pentru că nu este. Este o asociație a statelor membre europene și ar trebui să se comporte ca atare.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La fel ca în cadrul conferinței mondiale periodice privind schimbările climatice, ar trebui organizată, de asemenea, o conferință privind drepturile omului.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IDEE: </w:t>
      </w:r>
      <w:r>
        <w:rPr>
          <w:i/>
        </w:rPr>
        <w:t>„Creșterea eficienței armatelor europene, de exemplu prin utilizarea sporită a achiziționării colective de echipamente.”</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Femei olandezo-maroccane: Promovarea drepturilor omului.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Femeile pentru</w:t>
      </w:r>
      <w:r>
        <w:rPr>
          <w:rFonts w:ascii="Calibri" w:hAnsi="Calibri"/>
          <w:color w:val="000000"/>
          <w:sz w:val="21"/>
        </w:rPr>
      </w:r>
      <w:commentRangeEnd w:id="28"/>
      <w:r>
        <w:commentReference w:id="28"/>
      </w:r>
      <w:r>
        <w:rPr>
          <w:rFonts w:ascii="Calibri" w:hAnsi="Calibri"/>
          <w:color w:val="000000"/>
          <w:sz w:val="21"/>
        </w:rPr>
        <w:t xml:space="preserve">Libertate” este o fundație olandeză care luptă împotriva căsătoriilor forțate, a opresiunii sexuale și a abuzurilor financiare asupra fetelor și femeilor cu medii biculturale. În colaborare cu această fundație, a fost organizată o întâlnire cu un grup de femei olandezo-marocane. Participanții cred că UE este în prezent prea dependentă de Rusia și China. „Constatăm că, în general, UE nu îndrăznește să propună nimic, de teama sancțiunilor”, a spus unul dintre ei. Producția de droguri, care poate fi adesea mult mai ieftină, a fost citată ca un exemplu. „În cazul unui conflict, China poate închide robinetul și nu vom avea nimic”, a spus un participant. De asemenea, a fost abordată problema drepturilor omului. „Toți ne comportăm ca și cum am considera că este foarte important, dar închidem ochii asupra a ceea ce China face uigurilor”, a spus cineva.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Elevii de la Technasium din Alkmaar: Nici o armată comună.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În dialogul lor tematic, studenții de la Technasium Jan Arentz din Alkmaar au discutat avantajele și dezavantajele unei armate europene comune. Participanții au declarat că nu susțin acest lucru. Atunci când o țară din UE se ceartă cu o țară terță, ar trebui să putem participa automat la un război. Cred că țările trebuie să fie în măsură să decidă pe cont propriu", a spus cineva. S-a discutat și despre posibilitatea unui al treilea război mondial. Această posibilitate nu este considerată foarte mare de către studenți, dar ei cred că, dacă am ajunge acolo, o soluție ar putea fi totuși găsită rapid. Armatele pot, de asemenea, să colaboreze bine. Nu este nevoie, în opinia mea, să existe o armată europeană.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Metodologia utilizată în cadrul anchetei </w:t>
      </w:r>
    </w:p>
    <w:p>
      <w:pPr>
        <w:pStyle w:val="P68B1DB1Normal104"/>
        <w:widowControl w:val="false"/>
        <w:spacing w:lineRule="auto" w:line="240" w:before="150" w:after="0"/>
        <w:ind w:left="0" w:right="0" w:hanging="0"/>
        <w:jc w:val="left"/>
        <w:rPr/>
      </w:pPr>
      <w:r>
        <w:rPr/>
        <w:t xml:space="preserve">Viziunea Europei constă în diferite forme de dialoguri interconectate care adună opiniile și ideile cetățenilor olandezi cu privire la viitorul Europei și al UE. Acest capitol descrie modul în care aceste dialoguri strâns legate se desfășoară în conformitate cu orientările aplicabile grupurilor naționale de cetățeni în contextul Conferinței privind viitorul Europei. </w:t>
      </w:r>
    </w:p>
    <w:p>
      <w:pPr>
        <w:pStyle w:val="P68B1DB1Normal126"/>
        <w:widowControl w:val="false"/>
        <w:spacing w:lineRule="auto" w:line="240" w:before="43" w:after="0"/>
        <w:ind w:left="0" w:right="0" w:hanging="0"/>
        <w:jc w:val="left"/>
        <w:rPr>
          <w:rFonts w:ascii="Calibri" w:hAnsi="Calibri"/>
          <w:color w:val="0070C0"/>
          <w:sz w:val="24"/>
        </w:rPr>
      </w:pPr>
      <w:r>
        <w:rPr/>
        <w:t xml:space="preserve">Structura dialogurilor strâns legate </w:t>
      </w:r>
    </w:p>
    <w:p>
      <w:pPr>
        <w:pStyle w:val="P68B1DB1Normal104"/>
        <w:widowControl w:val="false"/>
        <w:spacing w:lineRule="auto" w:line="240" w:before="114" w:after="0"/>
        <w:ind w:left="0" w:right="0" w:hanging="0"/>
        <w:jc w:val="left"/>
        <w:rPr>
          <w:rFonts w:ascii="Calibri" w:hAnsi="Calibri"/>
          <w:color w:val="000000"/>
          <w:sz w:val="21"/>
        </w:rPr>
      </w:pPr>
      <w:r>
        <w:rPr/>
        <w:t xml:space="preserve">Sunt organizate următoarele forme de dialog: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Sondajul unui panou</w:t>
      </w:r>
    </w:p>
    <w:p>
      <w:pPr>
        <w:pStyle w:val="P68B1DB1Normal104"/>
        <w:widowControl w:val="false"/>
        <w:spacing w:lineRule="auto" w:line="240"/>
        <w:ind w:left="0" w:right="0" w:hanging="0"/>
        <w:jc w:val="left"/>
        <w:rPr>
          <w:rFonts w:ascii="Calibri" w:hAnsi="Calibri"/>
          <w:color w:val="000000"/>
          <w:sz w:val="21"/>
        </w:rPr>
      </w:pPr>
      <w:r>
        <w:rPr/>
        <w:t xml:space="preserve">Sondaj online asupra unei părți reprezentative a populației olandeze.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Dialoguri tematice online pentru aprofundare</w:t>
      </w:r>
    </w:p>
    <w:p>
      <w:pPr>
        <w:pStyle w:val="P68B1DB1Normal104"/>
        <w:widowControl w:val="false"/>
        <w:spacing w:lineRule="auto" w:line="240"/>
        <w:ind w:left="0" w:right="0" w:hanging="0"/>
        <w:jc w:val="left"/>
        <w:rPr/>
      </w:pPr>
      <w:r>
        <w:rPr/>
        <w:t xml:space="preserve">Dialoguri în cadrul cărora rezultatele primului raport intermediar „Viziunea noastră pentru Europa: avize, idei și recomandări” (8 octombrie 2021) sunt discutate în detaliu cu un grup de olandezi.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Dialoguri cu grupuri specifice</w:t>
      </w:r>
    </w:p>
    <w:p>
      <w:pPr>
        <w:pStyle w:val="P68B1DB1Normal104"/>
        <w:widowControl w:val="false"/>
        <w:spacing w:lineRule="auto" w:line="240"/>
        <w:ind w:left="0" w:right="0" w:hanging="0"/>
        <w:jc w:val="left"/>
        <w:rPr>
          <w:rFonts w:ascii="Calibri" w:hAnsi="Calibri"/>
          <w:color w:val="000000"/>
          <w:sz w:val="21"/>
        </w:rPr>
      </w:pPr>
      <w:r>
        <w:rPr/>
        <w:t xml:space="preserve">Întâlniri cu cetățeni olandezi care nu sunt obișnuiți să participe la sondaje sau la paneluri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Dialoguri cu tinerii</w:t>
      </w:r>
    </w:p>
    <w:p>
      <w:pPr>
        <w:pStyle w:val="P68B1DB1Normal104"/>
        <w:widowControl w:val="false"/>
        <w:spacing w:lineRule="auto" w:line="240"/>
        <w:ind w:left="0" w:right="0" w:hanging="0"/>
        <w:jc w:val="left"/>
        <w:rPr>
          <w:rFonts w:ascii="Calibri" w:hAnsi="Calibri"/>
          <w:color w:val="000000"/>
          <w:sz w:val="21"/>
        </w:rPr>
      </w:pPr>
      <w:r>
        <w:rPr/>
        <w:t xml:space="preserve">Reuniuni în cadrul cărora sunt discutate temele europene care sunt cele mai relevante pentru acești tineri.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Sondaj public online: Chestionar și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to the future) </w:t>
      </w:r>
    </w:p>
    <w:p>
      <w:pPr>
        <w:pStyle w:val="P68B1DB1Normal104"/>
        <w:widowControl w:val="false"/>
        <w:spacing w:lineRule="auto" w:line="240"/>
        <w:ind w:left="0" w:right="0" w:hanging="0"/>
        <w:jc w:val="left"/>
        <w:rPr/>
      </w:pPr>
      <w:r>
        <w:rPr/>
        <w:t xml:space="preserve">Chestionarul de sondaj al panelului ar putea fi completat și de toți olandezii, inclusiv de cei care locuiesc în străinătate. Acest chestionar a fost disponibil în perioada 1 septembrie 2021-14 noiembrie 2021. În plus, în aceeași perioadă, fiecare olandez a putut participa la acțiunea „Swipen naar de toekomst” (Swiper to the future), un instrument online care prezintă 20 de revendicări.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Sondajul unui panou </w:t>
      </w:r>
    </w:p>
    <w:p>
      <w:pPr>
        <w:pStyle w:val="P68B1DB1Normal104"/>
        <w:widowControl w:val="false"/>
        <w:spacing w:lineRule="auto" w:line="240" w:before="150" w:after="0"/>
        <w:ind w:left="0" w:right="0" w:hanging="0"/>
        <w:jc w:val="left"/>
        <w:rPr/>
      </w:pPr>
      <w:r>
        <w:rPr/>
        <w:t xml:space="preserve">Dialogul cu cetățenii din Țările de Jos „Viziunea Europei” a început la 1 septembrie cu un sondaj de opinie. În această descriere a metodologiei sondajului, explicăm pe scurt conceperea și punerea în aplicare a acestui sondaj unui grup de experți. </w:t>
      </w:r>
    </w:p>
    <w:p>
      <w:pPr>
        <w:pStyle w:val="P68B1DB1Normal126"/>
        <w:widowControl w:val="false"/>
        <w:spacing w:lineRule="auto" w:line="240" w:before="43" w:after="0"/>
        <w:ind w:left="0" w:right="0" w:hanging="0"/>
        <w:jc w:val="left"/>
        <w:rPr>
          <w:rFonts w:ascii="Calibri" w:hAnsi="Calibri"/>
          <w:color w:val="0070C0"/>
          <w:sz w:val="24"/>
        </w:rPr>
      </w:pPr>
      <w:r>
        <w:rPr/>
        <w:t xml:space="preserve">Populația țintă și populația țintă </w:t>
      </w:r>
    </w:p>
    <w:p>
      <w:pPr>
        <w:pStyle w:val="Normal"/>
        <w:widowControl w:val="false"/>
        <w:spacing w:lineRule="auto" w:line="240" w:before="114" w:after="0"/>
        <w:ind w:left="0" w:right="0" w:hanging="0"/>
        <w:jc w:val="left"/>
        <w:rPr/>
      </w:pPr>
      <w:r>
        <w:rPr>
          <w:rFonts w:ascii="Calibri" w:hAnsi="Calibri"/>
          <w:color w:val="000000"/>
          <w:sz w:val="21"/>
        </w:rPr>
        <w:t>Sondajul „Vision of Europe” a început cu un chestionar online privind modul în care cetățenii olandezi văd viitorul Europei. Acest chestionar a fost transmis unui grup reprezentativ și este, de asemenea, deschis tuturor Țărilor de Jos (inclusiv celor care locuiesc în străinătate). În plus, fiecare persoană a putut participa la acțiunea „Swipen naar de toekomst” (Swiper</w:t>
      </w:r>
      <w:commentRangeStart w:id="30"/>
      <w:r>
        <w:rPr>
          <w:rFonts w:ascii="Calibri" w:hAnsi="Calibri"/>
          <w:color w:val="000000"/>
          <w:sz w:val="21"/>
        </w:rPr>
        <w:t>to</w:t>
      </w:r>
      <w:r>
        <w:rPr>
          <w:rFonts w:ascii="Calibri" w:hAnsi="Calibri"/>
          <w:color w:val="000000"/>
          <w:sz w:val="21"/>
        </w:rPr>
      </w:r>
      <w:commentRangeEnd w:id="30"/>
      <w:r>
        <w:commentReference w:id="30"/>
      </w:r>
      <w:r>
        <w:rPr>
          <w:rFonts w:ascii="Calibri" w:hAnsi="Calibri"/>
          <w:color w:val="000000"/>
          <w:sz w:val="21"/>
        </w:rPr>
        <w:t xml:space="preserve"> the future), un instrument online care prezintă 20 de revendicări. Rezultatele sondajului au alimentat mai multe dialoguri tematice organizate ca urmare a procesului de dialog cu cetățenii „Viziunea Europei”.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Populația țintă a sondajului include toate persoanele olandeze în vârstă de 18 ani sau mai în vârstă care erau înregistrate ca rezidenți în registrul populației la momentul începerii activității pe teren. Potrivit Biroului Național de Statistică din Țările de Jos (Centraal Bureau voor de Statistiek – CBS), acest grup țintă avea 14.190.874 de persoane la 1 ianuarie 2021. Limita inferioară de 18 ani corespunde majorității electorale. Noi o numim populația sondajului de grup.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Muncă pe teren </w:t>
      </w:r>
    </w:p>
    <w:p>
      <w:pPr>
        <w:pStyle w:val="P68B1DB1Normal104"/>
        <w:widowControl w:val="false"/>
        <w:spacing w:lineRule="auto" w:line="240" w:before="116" w:after="0"/>
        <w:ind w:left="0" w:right="0" w:hanging="0"/>
        <w:jc w:val="left"/>
        <w:rPr/>
      </w:pPr>
      <w:r>
        <w:rPr/>
        <w:t xml:space="preserve">Un panou de peste 100.000 de participanți din întreaga țară (certificat ISO, Research Keurmerk groep, Nederlandse marktonderzoek Associatie) a fost folosit pentru a obține o imagine digitală a „Medium Dutch”. Acești participanți s-au înscris în comitetul de anchetă pentru a-și prezenta în mod regulat opiniile cu privire la o gamă largă de subiecte. Pe lângă motivația lor intrinsecă de a contribui, aceștia sunt plătiți pentru a răspunde la chestionare. Mai multe studii științifice arată că respondenții care primesc compensații pentru completarea unui chestionar nu oferă răspunsuri semnificativ diferite (sursa: </w:t>
      </w:r>
      <w:r>
        <w:rPr>
          <w:i/>
        </w:rPr>
        <w:t>Utilizarea stimulentelor pentru anchete degradează calitatea datelor?</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Lucrările pe teren au început la 11 august 2021 și s-au încheiat la 19 septembrie 2021. Pentru implementare, a fost utilizată o singură metodă de colectare a datelor, și anume sondajul pe internet. Membrii grupului de anchetă au primit un e-mail cu un link personal către chestionarul online. După două săptămâni, participanții au primit un memento. Invitațiile de participare au fost trimise în loturi și stratificate (prin asigurarea unei distribuții egale a subgrupurilor) până la atingerea numărului necesar de respondenți. </w:t>
      </w:r>
    </w:p>
    <w:p>
      <w:pPr>
        <w:pStyle w:val="P68B1DB1Normal126"/>
        <w:widowControl w:val="false"/>
        <w:spacing w:lineRule="auto" w:line="240" w:before="42" w:after="0"/>
        <w:ind w:left="0" w:right="0" w:hanging="0"/>
        <w:jc w:val="left"/>
        <w:rPr>
          <w:rFonts w:ascii="Calibri" w:hAnsi="Calibri"/>
          <w:color w:val="0070C0"/>
          <w:sz w:val="24"/>
        </w:rPr>
      </w:pPr>
      <w:r>
        <w:rPr/>
        <w:t xml:space="preserve">Prelevarea de probe și distribuția </w:t>
      </w:r>
    </w:p>
    <w:p>
      <w:pPr>
        <w:pStyle w:val="P68B1DB1Normal104"/>
        <w:widowControl w:val="false"/>
        <w:spacing w:lineRule="auto" w:line="240" w:before="114" w:after="0"/>
        <w:ind w:left="0" w:right="0" w:hanging="0"/>
        <w:jc w:val="left"/>
        <w:rPr/>
      </w:pPr>
      <w:r>
        <w:rPr/>
        <w:t xml:space="preserve">Proiectarea sondajului se bazează pe principiul conform căruia minimum 3.600 de respondenți trebuie să participe la sondaj pentru a asigura o bună fiabilitate statistică. În plus, acest număr permite o bună distribuție între diferitele caracteristici generale ale populației. Nu există doar un singur tip de olandez. Prin urmare, ne-am asigurat în prealabil că eșantionul este distribuit bine pe o serie de caracteristici. Olanda este o țară relativ mică, dar opiniile pot diferi în funcție de regiune. Poziționarea și importanța acordată temelor pot fi (în parte) determinate de regiunea în care locuiți. De exemplu, persoanele care locuiesc în zonele rurale pot înțelege un subiect precum securitatea în mod diferit față de cele din zonele urbane. Cercetările efectuate de Biroul olandez de planificare socială și culturală arată, de asemenea, că persoanele cu un nivel mai ridicat de studiu sunt mai des susținători ai UE decât cei cu un nivel mai scăzut de studiu și că tinerii sprijină mai mult UE decât persoanele în vârstă (sursa: </w:t>
      </w:r>
      <w:r>
        <w:rPr>
          <w:i/>
        </w:rPr>
        <w:t>Wat Willen Nederlanders van de Europese Unie?</w:t>
      </w:r>
      <w:r>
        <w:rPr/>
        <w:t xml:space="preserve">, Biroul olandez pentru planificare socială și culturală, Haga,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Acesta este motivul pentru care am alocat anterior următoarele trei caracteristici proporțional pentru a asigura reprezentativitatea eșantionului: (1) șederea în regiunile COROP, (2) vârsta și (3) nivelul de educație. Distribuția eșantionului a fost, de asemenea, prezentată în conformitate cu următoarele caracteristici generale: gen, origine, ocupație principală, orientare politică.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Regiunile COROP au fost dezvoltate pe baza principiului nodal (o „inimă” cu o zonă de atracție sau o funcție regională), pe baza fluxului de persoane care fac naveta. Au fost admise câteva încălcări ale principiului nodal, astfel încât regiunile să urmeze granițele provinciale. După reorganizarea municipalităților dincolo de limitele COROP, distribuția a fost ajustată (sursa: Oficiul Național de Statistică din Țările de Jos). În cadrul regiunilor COROP, am asigurat o bună repartizare între grupele de vârstă, cu următoarea defalcare: vârstele 18-34, 35-54, 55-75 și peste 75.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În cele din urmă, am asigurat o distribuție reprezentativă a nivelurilor educaționale. În eșantion, distribuția respondenților corespunde distribuției la nivel național a celui mai înalt nivel de educație, care este după cum urmează: </w:t>
      </w:r>
      <w:r>
        <w:br w:type="page"/>
      </w:r>
    </w:p>
    <w:p>
      <w:pPr>
        <w:pStyle w:val="P68B1DB1Normal120"/>
        <w:spacing w:lineRule="auto" w:line="240"/>
        <w:ind w:left="0" w:right="0" w:hanging="0"/>
        <w:rPr>
          <w:rFonts w:ascii="Calibri" w:hAnsi="Calibri"/>
          <w:b/>
          <w:b/>
          <w:color w:val="000000"/>
          <w:sz w:val="21"/>
        </w:rPr>
      </w:pPr>
      <w:r>
        <w:rPr/>
        <w:t xml:space="preserve">Cel mai înalt nivel de educație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Scăzut: învățământul primar, învățământul profesional pregătitor, clasele 1-III din învățământul secundar superior general/învățământul preuniversitar, învățământul profesional secundar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Intermediar: învățământul secundar superior general/învățământ preuniversitar, învățământul profesional secundar de la 2 la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Înălțime: învățământul profesional superior sau învățământul universitar</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Necunoscut</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Rata de răspuns </w:t>
      </w:r>
    </w:p>
    <w:p>
      <w:pPr>
        <w:pStyle w:val="P68B1DB1Normal104"/>
        <w:widowControl w:val="false"/>
        <w:spacing w:lineRule="exact" w:line="386" w:before="116" w:after="0"/>
        <w:ind w:left="0" w:right="368" w:hanging="0"/>
        <w:jc w:val="left"/>
        <w:rPr/>
      </w:pPr>
      <w:r>
        <w:rPr/>
        <w:t xml:space="preserve">Un total de 4.866 de persoane au participat la sondaj pentru fiecare grup. Prin urmare, obiectivul de 3 600 de chestionare completate integral este atins.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Răspunsuri din partea regiunilor și vârstei COROP</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Între 18 și 34 de ani</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Între 35 și 54 de ani</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Între 55 și 75 de ani</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mai mult de 75 de ani</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 de Nord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sud-est de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sud-vest de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Nordul Frieslandului</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Sud-Estul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sud-vest de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Sud-Vest din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Marele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Groningen de Est</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Restul din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Centrul orașului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Limburgul de Nord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Limburgul de Sud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Centrul Brabantul de Nord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nord-est de Brabantul de Nord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vest de Brabantul de Nord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Sud-Estul Brabantului de Nord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Aglomerarea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și împrejurimile sale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Mare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și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Vârful Olandei de Nord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Regiunea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Overijssel de Nord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 sud-vest de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Restul Zeelandei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Flandra Zeelanda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Aglomerarea Leiden și regiunea bulbilor</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Aglomerarea din Haga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și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Marele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Estul Olandei de Sud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Sud-estul Olandei de Sud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Răspunsuri în funcție de nivelul de educație</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Scăzut</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Intermediar</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Înaltă</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Necunoscut</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Fiabilitate și reprezentativitate </w:t>
      </w:r>
    </w:p>
    <w:p>
      <w:pPr>
        <w:pStyle w:val="P68B1DB1Normal104"/>
        <w:widowControl w:val="false"/>
        <w:spacing w:lineRule="auto" w:line="240" w:before="119" w:after="0"/>
        <w:ind w:left="0" w:right="0" w:hanging="0"/>
        <w:jc w:val="left"/>
        <w:rPr/>
      </w:pPr>
      <w:r>
        <w:rPr/>
        <w:t xml:space="preserve">Numărul de respondenți de 4 086 permite formularea de observații pentru întreaga populație, cu un nivel de încredere de 95 % și o marjă de eroare de 1,53 %. Nivelul de încredere și marja de eroare a rezultatelor sunt determinate de dimensiunea eșantionului. Cu cât eșantionul este mai mare, cu atât rezultatele pot fi extrapolate la întreaga populație.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Nivelul de încredere este definit ca 1 (100 %) minus nivelul de semnificație. Este obișnuit să se bazeze pe un nivel de semnificație de 5 %. Vorbim despre un nivel de încredere de 95 %. Cu alte cuvinte, dacă ancheta ar fi repetată în același mod și în aceleași condiții, rezultatele ar fi aceleași în 95 % din cazuri. </w:t>
      </w:r>
    </w:p>
    <w:p>
      <w:pPr>
        <w:pStyle w:val="P68B1DB1Normal104"/>
        <w:widowControl w:val="false"/>
        <w:spacing w:lineRule="auto" w:line="240"/>
        <w:ind w:left="0" w:right="0" w:hanging="0"/>
        <w:jc w:val="left"/>
        <w:rPr/>
      </w:pPr>
      <w:r>
        <w:rPr/>
        <w:t xml:space="preserve">Precizia (exprimată prin marjă de eroare) indică intervalul de valori în care este localizată valoarea reală a populației. Cu alte cuvinte: care ar fi diferența maximă dintre rezultatele eșantionului și rezultatele obținute de la populație în ansamblu? O marjă de eroare de 1,53 % înseamnă că valoarea reală în cadrul populației totale poate fi cu 1,53 % mai mare sau mai mică decât valoarea eșantionului. De exemplu, dacă un sondaj efectuat pe un eșantion de persoane indică faptul că 50 % dintre respondenți consideră că o anumită temă este importantă, procentul real este cu 1,53 % mai mare sau mai mic decât 50 %, adică între 48,47 și 51,53 %. O marjă maximă de eroare de 5 % este comună și general acceptată în studiile cantitative (statistici).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În plus față de fiabilitate, reprezentativitatea eșantionului este importantă. Întrucât invitațiile de participare au fost trimise în loturi și stratificate, rezultatele sunt reprezentative în ceea ce privește caracteristicile regiunii COROP și grupele de vârstă pentru fiecare regiune COROP. Răspunsurile sunt, de asemenea, reprezentative din punctul de vedere al nivelului de educație în comparație cu cel mai înalt nivel de educație realizat la nivel național.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Alte caracteristici generale </w:t>
      </w:r>
    </w:p>
    <w:p>
      <w:pPr>
        <w:pStyle w:val="P68B1DB1Normal104"/>
        <w:widowControl w:val="false"/>
        <w:spacing w:lineRule="auto" w:line="240"/>
        <w:ind w:left="0" w:right="0" w:hanging="0"/>
        <w:jc w:val="left"/>
        <w:rPr/>
      </w:pPr>
      <w:r>
        <w:rPr/>
        <w:t xml:space="preserve">O serie de întrebări contextuale suplimentare au fost adresate participanților la sondaj prin intermediul unui grup de experți. Printre acestea se numără genul, poziționarea UE, originea, ocupația principală și partidul politic pentru care persoana ar vota în cazul alegerilor.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dintre respondenți sunt bărbați, 50 % sunt femei și 1 % preferă să nu răspundă la această întrebare.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dintre respondenți consideră că este un lucru bun pentru Țările de Jos să fie membru al UE, 13 % consideră că este un lucru rău, iar 36 % sunt neutri sau nu au nicio opinie.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dintre respondenți s-au născut în Olanda. 89 % dintre respondenți au indicat că ambii părinți s-au născut în Țările de Jos. 5 % s-au născut din doi părinți născuți în străinătate.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Orientarea politică actuală a respondenților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Petrecere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(Partidul Poporului pentru Libertate și Democrație)</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(Partidul pentru Libertate)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(Partidul Socialist)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(Democrații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(Creștin Democrat Call)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(Partidul Muncii)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(Partidul Animalelor)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(Stânga Verde)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(Uniunea Creștină)</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(Mișcarea Farmer-cetățean)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(Forumul pentru Democrație)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SGP (Partidul Politic Reformat)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ROMÂNĂ</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Jocuri cu Jocul 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JOCURI CU JOCUL 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Vot alb</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Prefer să nu răspund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Nu votez</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Care este în prezent principala ta ocupație?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Ocupație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Angajat cu fracțiune de normă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Angajat cu normă întreagă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Contractant independent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Persoană acasă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Persoană aflată în căutarea unui loc de muncă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Voluntariat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Incapacitate de muncă</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Pensionar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Prefer să nu răspund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Română </w:t>
      </w:r>
    </w:p>
    <w:p>
      <w:pPr>
        <w:pStyle w:val="P68B1DB1Normal104"/>
        <w:widowControl w:val="false"/>
        <w:spacing w:lineRule="exact" w:line="339" w:before="1" w:after="0"/>
        <w:ind w:left="0" w:right="0" w:hanging="0"/>
        <w:jc w:val="left"/>
        <w:rPr/>
      </w:pPr>
      <w:r>
        <w:rPr/>
        <w:t xml:space="preserve">Chestionarul și prezentul raport au fost elaborate de o organizație externă independentă la cererea Ministerului Afacerilor Externe. Chestionarul prezintă o structură modulară și include următoarele blocuri de întrebări, în conformitate cu temele identificate pentru Conferința privind viitorul Europei: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Teme importante și rolul Europei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Schimbările climatice și mediul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Sănătate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Economie și ocuparea forței de muncă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Rolul Uniunii Europene în lume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Securitatea și statul de drept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Lumea virtuală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Democrația europeană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Migrație și refugiați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Educație/cultură/tineret/sport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În timpul pregătirii chestionarului, s-a acordat o atenție deosebită calității, fiabilității și validității întrebărilor. Din acest motiv, s-a căutat o formulare neutră și neîndrumată a întrebărilor, afirmațiilor și opțiunilor de răspuns și s-a verificat dacă întrebările au fost formulate într-un limbaj inteligibil (nivelul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Chestionarul a fost supus unor teste de calitate prin interviuri față în față cu participanții la test care aparțin grupului țintă. Acest lucru ne-a permis să studiem modul în care întrebările sunt înțelese de diferite tipuri de respondenți. Dacă o întrebare părea să reprezinte o sarcină cognitivă prea mare (prea complexă), era adecvată. </w:t>
      </w:r>
    </w:p>
    <w:p>
      <w:pPr>
        <w:pStyle w:val="P68B1DB1Normal126"/>
        <w:widowControl w:val="false"/>
        <w:spacing w:lineRule="auto" w:line="240" w:before="333" w:after="0"/>
        <w:ind w:left="0" w:right="0" w:hanging="0"/>
        <w:jc w:val="left"/>
        <w:rPr>
          <w:rFonts w:ascii="Calibri" w:hAnsi="Calibri"/>
          <w:color w:val="0070C0"/>
          <w:sz w:val="24"/>
        </w:rPr>
      </w:pPr>
      <w:r>
        <w:rPr/>
        <w:t xml:space="preserve">Metode de analiză </w:t>
      </w:r>
    </w:p>
    <w:p>
      <w:pPr>
        <w:pStyle w:val="P68B1DB1Normal104"/>
        <w:widowControl w:val="false"/>
        <w:spacing w:lineRule="auto" w:line="240" w:before="80" w:after="0"/>
        <w:ind w:left="0" w:right="0" w:hanging="0"/>
        <w:jc w:val="left"/>
        <w:rPr>
          <w:rFonts w:ascii="Calibri" w:hAnsi="Calibri"/>
          <w:color w:val="000000"/>
          <w:sz w:val="21"/>
        </w:rPr>
      </w:pPr>
      <w:r>
        <w:rPr/>
        <w:t xml:space="preserve">În cadrul acestui sondaj au fost utilizate două metode de analiză: </w:t>
      </w:r>
    </w:p>
    <w:p>
      <w:pPr>
        <w:pStyle w:val="P68B1DB1Normal111"/>
        <w:widowControl w:val="false"/>
        <w:spacing w:lineRule="auto" w:line="240" w:before="48" w:after="0"/>
        <w:ind w:left="0" w:right="0" w:hanging="0"/>
        <w:jc w:val="left"/>
        <w:rPr>
          <w:rFonts w:ascii="Calibri" w:hAnsi="Calibri"/>
          <w:b/>
          <w:b/>
          <w:color w:val="000000"/>
          <w:sz w:val="22"/>
        </w:rPr>
      </w:pPr>
      <w:r>
        <w:rPr/>
        <w:t xml:space="preserve">Analize univariate </w:t>
      </w:r>
    </w:p>
    <w:p>
      <w:pPr>
        <w:pStyle w:val="P68B1DB1Normal104"/>
        <w:widowControl w:val="false"/>
        <w:spacing w:lineRule="auto" w:line="240" w:before="6" w:after="0"/>
        <w:ind w:left="0" w:right="0" w:hanging="0"/>
        <w:jc w:val="left"/>
        <w:rPr>
          <w:rFonts w:ascii="Calibri" w:hAnsi="Calibri"/>
          <w:color w:val="000000"/>
          <w:sz w:val="21"/>
        </w:rPr>
      </w:pPr>
      <w:r>
        <w:rPr/>
        <w:t xml:space="preserve">Statisticile descriptive sunt utilizate pentru a descrie variabilele unui sondaj. Frecvențele și mediile sunt utilizate în acest sondaj. </w:t>
      </w:r>
    </w:p>
    <w:p>
      <w:pPr>
        <w:pStyle w:val="P68B1DB1Normal111"/>
        <w:widowControl w:val="false"/>
        <w:spacing w:lineRule="auto" w:line="240" w:before="48" w:after="0"/>
        <w:ind w:left="0" w:right="0" w:hanging="0"/>
        <w:jc w:val="left"/>
        <w:rPr>
          <w:rFonts w:ascii="Calibri" w:hAnsi="Calibri"/>
          <w:b/>
          <w:b/>
          <w:color w:val="000000"/>
          <w:sz w:val="22"/>
        </w:rPr>
      </w:pPr>
      <w:r>
        <w:rPr/>
        <w:t xml:space="preserve">Analize bivariate </w:t>
      </w:r>
    </w:p>
    <w:p>
      <w:pPr>
        <w:pStyle w:val="P68B1DB1Normal104"/>
        <w:widowControl w:val="false"/>
        <w:spacing w:lineRule="auto" w:line="240" w:before="6" w:after="0"/>
        <w:ind w:left="0" w:right="0" w:hanging="0"/>
        <w:jc w:val="left"/>
        <w:rPr/>
      </w:pPr>
      <w:r>
        <w:rPr/>
        <w:t xml:space="preserve">Analizele bivariate permit examinarea relației dintre două variabile, în speță relația dintre importanța diferitelor teme și întrebarea dacă UE ar trebui să intervină în acest domeniu și caracteristica generală a vârstei. S-a efectuat o revizuire pentru a se stabili dacă diferite grupe de vârstă acordă o importanță diferită unui subiect și dacă există opinii diferite cu privire la măsura în care acestea sunt aspecte în care ar trebui să fie implicată UE.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Publicarea informațiilor și caracterul complet </w:t>
      </w:r>
    </w:p>
    <w:p>
      <w:pPr>
        <w:pStyle w:val="P68B1DB1Normal76"/>
        <w:widowControl w:val="false"/>
        <w:spacing w:lineRule="auto" w:line="240" w:before="116" w:after="0"/>
        <w:ind w:left="0" w:right="0" w:hanging="0"/>
        <w:jc w:val="left"/>
        <w:rPr/>
      </w:pPr>
      <w:r>
        <w:rPr>
          <w:rFonts w:ascii="Calibri" w:hAnsi="Calibri"/>
          <w:sz w:val="21"/>
        </w:rPr>
        <w:t>Acest raport include rezultatele tuturor întrebărilor adresate respondenților din grupul de anchetă. Pentru unele întrebări, respondentului i s-a oferit posibilitatea de a oferi răspunsuri „deschise” (adică nu predeterminate). Răspunsurile deschise au fost apoi clasificate și incluse în publicație. Ideile împărtășite de respondenți în cadrul comentariilor gratuite sunt utilizate pentru a contribui la diferitele dialoguri tematice organizate ca urmare a procesului de dialog cu cetățenii „Viziunea Europei”.</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Dialoguri tematice online pentru aprofundare </w:t>
      </w:r>
    </w:p>
    <w:p>
      <w:pPr>
        <w:pStyle w:val="P68B1DB1Normal104"/>
        <w:widowControl w:val="false"/>
        <w:spacing w:lineRule="auto" w:line="240"/>
        <w:ind w:left="0" w:right="0" w:hanging="0"/>
        <w:jc w:val="left"/>
        <w:rPr/>
      </w:pPr>
      <w:r>
        <w:rPr/>
        <w:t xml:space="preserve">Temele aflate în centrul Conferinței privind viitorul Europei au fost aprofundate prin intermediul a opt dialoguri tematice online. Scopul acestor dialoguri a fost de a descoperi </w:t>
      </w:r>
      <w:r>
        <w:rPr>
          <w:i/>
        </w:rPr>
        <w:t>motivele</w:t>
      </w:r>
      <w:r>
        <w:rPr/>
        <w:t xml:space="preserve"> opiniilor exprimate, precum și motivațiile și sentimentele din spatele lor. Care sunt preocupările și oportunitățile percepute? Sesiunile de discuții au permis, de asemenea, participanților să formuleze sugestii și idei pe aceste teme, precum și să ridice probleme care nu fac parte din conferință, dar rămân importante pentru ei.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Dialogurile tematice au avut loc la 12-14 octombrie și 9-11 noiembrie. În octombrie au fost organizate patru dialoguri tematice online pe temele „Economie” și „Democrație”. </w:t>
      </w:r>
    </w:p>
    <w:p>
      <w:pPr>
        <w:pStyle w:val="Normal"/>
        <w:widowControl w:val="false"/>
        <w:spacing w:lineRule="auto" w:line="240" w:before="10" w:after="0"/>
        <w:ind w:left="0" w:right="0" w:hanging="0"/>
        <w:jc w:val="left"/>
        <w:rPr/>
      </w:pPr>
      <w:r>
        <w:rPr>
          <w:rFonts w:ascii="Calibri" w:hAnsi="Calibri"/>
          <w:color w:val="000000"/>
          <w:sz w:val="21"/>
        </w:rPr>
        <w:t xml:space="preserve">În noiembrie au avut loc patru dialoguri tematice online pe temele „Climă” și „UE în lume”. În medie, 29 de persoane au participat la fiecare sesiune de discuții (231 în total). Participanții au fost recrutați din rândul membrilor juriului (a se vedea punctul 1) și prin intermediul platformelor de comunicare socială. </w:t>
      </w:r>
      <w:r>
        <w:br w:type="page"/>
      </w:r>
    </w:p>
    <w:p>
      <w:pPr>
        <w:pStyle w:val="P68B1DB1Normal125"/>
        <w:spacing w:lineRule="auto" w:line="240"/>
        <w:ind w:left="0" w:right="0" w:hanging="0"/>
        <w:rPr>
          <w:rFonts w:ascii="Calibri" w:hAnsi="Calibri"/>
          <w:b/>
          <w:b/>
          <w:color w:val="0070C0"/>
          <w:sz w:val="32"/>
        </w:rPr>
      </w:pPr>
      <w:r>
        <w:rPr/>
        <w:t xml:space="preserve">3. Dialoguri cu grupuri specifice </w:t>
      </w:r>
    </w:p>
    <w:p>
      <w:pPr>
        <w:pStyle w:val="P68B1DB1Normal104"/>
        <w:widowControl w:val="false"/>
        <w:spacing w:lineRule="auto" w:line="240" w:before="73" w:after="0"/>
        <w:ind w:left="0" w:right="0" w:hanging="0"/>
        <w:jc w:val="left"/>
        <w:rPr/>
      </w:pPr>
      <w:r>
        <w:rPr/>
        <w:t xml:space="preserve">Unele grupuri olandeze sunt cunoscute a fi mai puțin obișnuite cu participarea la sondaje și panouri (online). Pentru a obține o imagine reprezentativă a „vocii Țărilor de Jos”, a fost important ca acești cetățeni să își poată exprima, de asemenea, ideile și opiniile. Acesta este motivul pentru care am organizat, de asemenea, o serie de dialoguri la fața locului pentru sondajul „Viziunea Europei”. Opiniile și ideile pe care le-am putut aduna au fost folosite ca bază (printre altele) pentru formularea recomandărilor. </w:t>
      </w:r>
    </w:p>
    <w:p>
      <w:pPr>
        <w:pStyle w:val="P68B1DB1Normal126"/>
        <w:widowControl w:val="false"/>
        <w:spacing w:lineRule="auto" w:line="240" w:before="94" w:after="0"/>
        <w:ind w:left="0" w:right="0" w:hanging="0"/>
        <w:jc w:val="left"/>
        <w:rPr>
          <w:rFonts w:ascii="Calibri" w:hAnsi="Calibri"/>
          <w:color w:val="0070C0"/>
          <w:sz w:val="24"/>
        </w:rPr>
      </w:pPr>
      <w:r>
        <w:rPr/>
        <w:t xml:space="preserve">Grupuri țintă </w:t>
      </w:r>
    </w:p>
    <w:p>
      <w:pPr>
        <w:pStyle w:val="P68B1DB1Normal110"/>
        <w:widowControl w:val="false"/>
        <w:spacing w:lineRule="auto" w:line="240" w:before="88" w:after="0"/>
        <w:ind w:left="0" w:right="0" w:hanging="0"/>
        <w:jc w:val="left"/>
        <w:rPr/>
      </w:pPr>
      <w:r>
        <w:rPr>
          <w:sz w:val="21"/>
        </w:rPr>
        <w:t xml:space="preserve">Grupurile țintă greu accesibile nu pot fi definite fără echivoc. Studiile și experiența ne permit să știm că olandezii cu </w:t>
      </w:r>
      <w:r>
        <w:rPr>
          <w:b/>
          <w:sz w:val="21"/>
        </w:rPr>
        <w:t>origini non-occidentale</w:t>
      </w:r>
      <w:r>
        <w:rPr>
          <w:sz w:val="21"/>
        </w:rPr>
        <w:t>participă semnificativ mai puțin la investigații și discuții. Deoarece acesta reprezintă un grup mare (14 % din olandezii</w:t>
      </w:r>
      <w:r>
        <w:rPr>
          <w:b/>
          <w:position w:val="6"/>
          <w:sz w:val="14"/>
        </w:rPr>
        <w:t>1</w:t>
      </w:r>
      <w:r>
        <w:rPr>
          <w:sz w:val="21"/>
        </w:rPr>
        <w:t xml:space="preserve">), aceștia au fost selectați pentru a participa la dialogul „Viziunea Europei”. Același raționament a fost urmat în ceea ce privește </w:t>
      </w:r>
      <w:r>
        <w:rPr>
          <w:b/>
          <w:sz w:val="21"/>
        </w:rPr>
        <w:t>persoanele cu educație redusă</w:t>
      </w:r>
      <w:r>
        <w:rPr>
          <w:sz w:val="21"/>
        </w:rPr>
        <w:t>. Este, de asemenea, un grup mare (2,5 milioane olandezi</w:t>
      </w:r>
      <w:r>
        <w:rPr>
          <w:position w:val="6"/>
          <w:sz w:val="14"/>
        </w:rPr>
        <w:t>2</w:t>
      </w:r>
      <w:r>
        <w:rPr>
          <w:sz w:val="21"/>
        </w:rPr>
        <w:t xml:space="preserve">), care se suprapune în parte cu grupul de migranți (39 %). În cele din urmă, a avut loc un dialog cu un grup de persoane care sunt rareori întâlnite în sondaje și discuții, </w:t>
      </w:r>
      <w:r>
        <w:rPr>
          <w:b/>
          <w:sz w:val="21"/>
        </w:rPr>
        <w:t>care critică Europa, dar pentru care Europa joacă un rol important în sfera profesională.</w:t>
      </w:r>
      <w:r>
        <w:rPr>
          <w:sz w:val="21"/>
        </w:rPr>
        <w:t xml:space="preserve"> Au fost selectați antreprenori din sectorul agricol.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Grupurile menționate mai sus au fost abordate prin intermediul organizațiilor din care fac parte, cum ar fi organizațiile de migranți, asociațiile de advocacy și organizațiile profesionale. Din moment ce am limitat numărul de dialoguri la opt, nu am putut fi complet „exhaustiv”. Acest lucru face ca alegerea participanților să fie oarecum arbitrară. Pentru a face această alegere, am ținut cont și de entuziasmul de a participa și de a ajuta la mobilizarea bazei lor, precum și de probleme practice, cum ar fi disponibilitatea în funcție de date și locație.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Au avut loc dialoguri la fața locului cu membrii următoarelor organizații: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Fundația Hakder, comunitatea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Fundația Asha, comunitatea hindusă, Utrecht (două sesiuni de discuții)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organizație a societății civile,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 organizație pentru persoanele cu studii scăzute,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asociația grupurilor agricole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comunitatea marocană,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Femei pentru libertate, organizație de advocacy pentru femeile care provin din familii de migranți, Haga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La aceste întâlniri au participat în total 110 persoane.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Dialoguri cu tinerii </w:t>
      </w:r>
    </w:p>
    <w:p>
      <w:pPr>
        <w:pStyle w:val="P68B1DB1Normal104"/>
        <w:widowControl w:val="false"/>
        <w:spacing w:lineRule="auto" w:line="240" w:before="145" w:after="0"/>
        <w:ind w:left="0" w:right="0" w:hanging="0"/>
        <w:jc w:val="both"/>
        <w:rPr/>
      </w:pPr>
      <w:r>
        <w:rPr/>
        <w:t xml:space="preserve">Tinerii reprezintă un grup țintă prioritar al Conferinței privind viitorul Europei. Pentru a încuraja în mod activ participarea acestora la dialogul cu cetățenii „Viziunea Europei” și pentru a face bine auzite opiniile și ideile acestui grup, au fost organizate șase reuniuni de discuții fizice, în special pentru tineri.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Reuniunile au avut loc în următoarele instituții: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Asociația Studenților la Istorie, Universitatea din Leiden </w:t>
      </w:r>
    </w:p>
    <w:p>
      <w:pPr>
        <w:pStyle w:val="P68B1DB1Normal105"/>
        <w:widowControl w:val="false"/>
        <w:spacing w:lineRule="auto" w:line="240"/>
        <w:ind w:left="0" w:right="0" w:hanging="0"/>
        <w:jc w:val="left"/>
        <w:rPr/>
      </w:pPr>
      <w:r>
        <w:rPr>
          <w:rFonts w:ascii="Verdana" w:hAnsi="Verdana"/>
        </w:rPr>
        <w:t>Colegiul</w:t>
      </w:r>
      <w:r>
        <w:rPr/>
        <w:t xml:space="preserve"> </w:t>
      </w:r>
      <w:r>
        <w:rPr>
          <w:rFonts w:ascii="Calibri" w:hAnsi="Calibri"/>
        </w:rPr>
        <w:t xml:space="preserve">Dr. Knippenberg, Liceul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Coaliție-Y, Platforma pentru tineret a Consiliului Economic și Social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Colegiul Graafschap, învățământul secundar profesional,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învățământ secundar axat pe discipline tehnologice,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Consiliul Național al Tineretului (reuniunea a avut loc în afara sediului)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La întâlnirile de discuții au participat în total 110 tineri. </w:t>
      </w:r>
      <w:r>
        <w:br w:type="page"/>
      </w:r>
    </w:p>
    <w:p>
      <w:pPr>
        <w:pStyle w:val="P68B1DB1Normal126"/>
        <w:spacing w:lineRule="auto" w:line="240"/>
        <w:ind w:left="0" w:right="0" w:hanging="0"/>
        <w:rPr>
          <w:rFonts w:ascii="Calibri" w:hAnsi="Calibri"/>
          <w:color w:val="0070C0"/>
          <w:sz w:val="24"/>
        </w:rPr>
      </w:pPr>
      <w:r>
        <w:rPr/>
        <w:t xml:space="preserve">Tehnici de întreținere utilizate </w:t>
      </w:r>
    </w:p>
    <w:p>
      <w:pPr>
        <w:pStyle w:val="P68B1DB1Normal104"/>
        <w:widowControl w:val="false"/>
        <w:spacing w:lineRule="auto" w:line="240" w:before="92" w:after="0"/>
        <w:ind w:left="0" w:right="0" w:hanging="0"/>
        <w:jc w:val="left"/>
        <w:rPr/>
      </w:pPr>
      <w:r>
        <w:rPr/>
        <w:t xml:space="preserve">Dialogurile tematice online, dialogurile cu grupuri specifice și dialogurile cu tinerii s-au desfășurat utilizând așa-numita metodă de interviu „socratic”. Această metodă a fost folosită de mulți ani de Ziua Dialogului, unde oamenii din Țările de Jos interacționează cu probleme care îi afectează. În contextul metodei de întreținere socratică, moderatorul ia în considerare următoarele principii: </w:t>
      </w:r>
    </w:p>
    <w:p>
      <w:pPr>
        <w:pStyle w:val="P68B1DB1Normal105"/>
        <w:widowControl w:val="false"/>
        <w:spacing w:lineRule="auto" w:line="240"/>
        <w:ind w:left="0" w:right="0" w:hanging="0"/>
        <w:jc w:val="left"/>
        <w:rPr/>
      </w:pPr>
      <w:r>
        <w:rPr/>
        <w:t>Să</w:t>
      </w:r>
      <w:r>
        <w:rPr>
          <w:rFonts w:ascii="Verdana" w:hAnsi="Verdana"/>
        </w:rPr>
        <w:t>-</w:t>
      </w:r>
      <w:r>
        <w:rPr/>
        <w:t xml:space="preserve"> i lăsăm pe ceilalți să-și spună povestea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Nu</w:t>
      </w:r>
      <w:r>
        <w:rPr/>
        <w:t xml:space="preserve"> </w:t>
      </w:r>
      <w:r>
        <w:rPr>
          <w:rFonts w:ascii="Calibri" w:hAnsi="Calibri"/>
        </w:rPr>
        <w:t xml:space="preserve">răspundeți imediat cu o altă poveste </w:t>
      </w:r>
    </w:p>
    <w:p>
      <w:pPr>
        <w:pStyle w:val="P68B1DB1Normal105"/>
        <w:widowControl w:val="false"/>
        <w:spacing w:lineRule="auto" w:line="240"/>
        <w:ind w:left="0" w:right="0" w:hanging="0"/>
        <w:jc w:val="left"/>
        <w:rPr/>
      </w:pPr>
      <w:r>
        <w:rPr>
          <w:rFonts w:ascii="Verdana" w:hAnsi="Verdana"/>
        </w:rPr>
        <w:t>Tratează</w:t>
      </w:r>
      <w:r>
        <w:rPr/>
        <w:t xml:space="preserve"> </w:t>
      </w:r>
      <w:r>
        <w:rPr>
          <w:rFonts w:ascii="Calibri" w:hAnsi="Calibri"/>
        </w:rPr>
        <w:t xml:space="preserve">-te cu respect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Vorbiți despre propriul punct de vedere („găsesc” mai degrabă decât „ei spun”)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Solicitați mai multe explicații în cazul în care punctele de vedere exprimate se limitează la generalități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Evitați judecățile și analizați-le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Acordați momente de tăcere în cazul în care oamenii trebuie să gândească pentru un moment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În timpul dialogurilor se utilizează următorul ritm: divergență – convergență – divergență. Principiul este că trebuie să vă divergeți mai întâi (să exprimați direct sentimentele și opiniile individuale), înainte de a putea converge (vorbește posibile căi) și apoi, în cele din urmă, diverge din nou (de exemplu, colecta recomandări individuale). Experiența și teoria arată că acest ritm asigură un flux optim de dialog.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Toate dialogurile au fost conduse de facilitatori profesioniști. </w:t>
      </w:r>
    </w:p>
    <w:p>
      <w:pPr>
        <w:pStyle w:val="Normal"/>
        <w:widowControl w:val="false"/>
        <w:spacing w:lineRule="auto" w:line="240" w:before="197" w:after="0"/>
        <w:ind w:left="0" w:right="0" w:hanging="0"/>
        <w:jc w:val="left"/>
        <w:rPr/>
      </w:pPr>
      <w:r>
        <w:rPr>
          <w:rFonts w:ascii="Calibri" w:hAnsi="Calibri"/>
          <w:b/>
          <w:color w:val="0070C0"/>
          <w:sz w:val="32"/>
        </w:rPr>
        <w:t>5. Sondaj public online: Chestionar și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to the future) </w:t>
      </w:r>
    </w:p>
    <w:p>
      <w:pPr>
        <w:pStyle w:val="P68B1DB1Normal110"/>
        <w:widowControl w:val="false"/>
        <w:spacing w:lineRule="auto" w:line="240"/>
        <w:ind w:left="0" w:right="0" w:hanging="0"/>
        <w:jc w:val="left"/>
        <w:rPr/>
      </w:pPr>
      <w:r>
        <w:rPr>
          <w:sz w:val="21"/>
        </w:rPr>
        <w:t>Chestionarul de sondaj al panelului a fost, de asemenea, deschis tuturor Țărilor de Jos, inclusiv celor care locuiesc în străinătate. Chestionarul respectiv a fost disponibil în</w:t>
      </w:r>
      <w:r>
        <w:rPr>
          <w:position w:val="6"/>
          <w:sz w:val="14"/>
        </w:rPr>
        <w:t>perioada 1</w:t>
      </w:r>
      <w:r>
        <w:rPr>
          <w:sz w:val="21"/>
        </w:rPr>
        <w:t xml:space="preserve"> septembrie 2021-14 noiembrie 2021. În plus, în aceeași perioadă, fiecare olandez a putut participa la acțiunea „Swipen naar de toekomst” (Swiper to the future), un instrument online care prezintă 20 de revendicări. </w:t>
      </w:r>
    </w:p>
    <w:p>
      <w:pPr>
        <w:pStyle w:val="P68B1DB1Normal126"/>
        <w:widowControl w:val="false"/>
        <w:spacing w:lineRule="auto" w:line="240" w:before="14" w:after="0"/>
        <w:ind w:left="0" w:right="0" w:hanging="0"/>
        <w:jc w:val="left"/>
        <w:rPr>
          <w:rFonts w:ascii="Calibri" w:hAnsi="Calibri"/>
          <w:color w:val="0070C0"/>
          <w:sz w:val="24"/>
        </w:rPr>
      </w:pPr>
      <w:r>
        <w:rPr/>
        <w:t xml:space="preserve">Răspunsuri și utilizare </w:t>
      </w:r>
    </w:p>
    <w:p>
      <w:pPr>
        <w:pStyle w:val="P68B1DB1Normal104"/>
        <w:widowControl w:val="false"/>
        <w:spacing w:lineRule="auto" w:line="240"/>
        <w:ind w:left="0" w:right="0" w:hanging="0"/>
        <w:jc w:val="left"/>
        <w:rPr/>
      </w:pPr>
      <w:r>
        <w:rPr/>
        <w:t xml:space="preserve">Un total de 1.967 de participanți au completat chestionarul și 6.968 au fost până la sfârșitul instrumentului de scanare a ecranului. Atât chestionarul, cât și instrumentul de scanare a ecranului au fost deschise tuturor: nu au existat condiții prealabile sau criterii de selecție pentru a participa. În chestionar, a fost posibil să se transmită întrebări (nu au existat întrebări obligatorii) pentru a maximiza rata de răspuns. Participanții au ales „Prefer să nu răspund” mult mai des decât în sondajul reprezentativ. </w:t>
      </w:r>
    </w:p>
    <w:p>
      <w:pPr>
        <w:pStyle w:val="P68B1DB1Normal104"/>
        <w:widowControl w:val="false"/>
        <w:spacing w:lineRule="auto" w:line="240"/>
        <w:ind w:left="0" w:right="0" w:hanging="0"/>
        <w:jc w:val="left"/>
        <w:rPr/>
      </w:pPr>
      <w:r>
        <w:rPr/>
        <w:t xml:space="preserve">Caracteristicile generale ale participanților la chestionarul deschis și la instrumentul de scanare a ecranului diferă în mai multe privințe de cele ale participanților din juriul reprezentativ. Spre deosebire de sondajul de grup, rezultatele chestionarului deschis și ale instrumentului de scanare a ecranului nu sunt reprezentative. Rezultatele sondajului deschis online au fost utilizate pentru a completa sondajul panelului. Acestea oferă o imagine de ansamblu asupra sentimentelor și ideilor care circulă în Olanda. Sugestiile de îmbunătățire menționate în câmpurile de introducere au fost utilizate în secțiunea „Discuții și idei online și pe site”. Instrumentul de scanare a ecranului a fost folosit pentru a înțelege mai bine unele dintre sentimentele care circulă în Olanda. Aceste rezultate au fost luate în considerare la elaborarea recomandărilor. Din cauza cerinței de reprezentativitate, rezultatele anchetei deschise online au fost luate în considerare în mod limitat în prezentul raport.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Acest raport este publicat de Ministerul Afacerilor Externe.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Referințe la rezultatele evenimentelor naționale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Belgia</w:t>
        </w:r>
      </w:hyperlink>
      <w:r>
        <w:rPr>
          <w:rFonts w:ascii="Times New Roman" w:hAnsi="Times New Roman"/>
          <w:color w:val="000000"/>
        </w:rPr>
        <w:t xml:space="preserve"> </w:t>
      </w:r>
    </w:p>
    <w:p>
      <w:pPr>
        <w:pStyle w:val="Normal"/>
        <w:widowControl w:val="false"/>
        <w:spacing w:lineRule="auto" w:line="240"/>
        <w:ind w:left="360" w:right="6617" w:hanging="0"/>
        <w:jc w:val="both"/>
        <w:rPr/>
      </w:pPr>
      <w:hyperlink r:id="rId122">
        <w:r>
          <w:rPr>
            <w:rStyle w:val="LienInternet"/>
            <w:rFonts w:ascii="Times New Roman" w:hAnsi="Times New Roman"/>
            <w:b/>
            <w:color w:val="0000FF"/>
          </w:rPr>
          <w:t>România</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3">
        <w:r>
          <w:rPr>
            <w:rStyle w:val="LienInternet"/>
            <w:rFonts w:ascii="Times New Roman" w:hAnsi="Times New Roman"/>
            <w:b/>
            <w:color w:val="0000FF"/>
          </w:rPr>
          <w:t>Republica Cehă</w:t>
        </w:r>
      </w:hyperlink>
      <w:hyperlink r:id="rId124">
        <w:r>
          <w:rPr>
            <w:rFonts w:ascii="Times New Roman" w:hAnsi="Times New Roman"/>
            <w:color w:val="000000"/>
          </w:rPr>
          <w:t xml:space="preserve"> </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Danemarca</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6">
        <w:r>
          <w:rPr>
            <w:rStyle w:val="LienInternet"/>
            <w:rFonts w:ascii="Times New Roman" w:hAnsi="Times New Roman"/>
            <w:b/>
            <w:color w:val="0000FF"/>
          </w:rPr>
          <w:t>În</w:t>
        </w:r>
      </w:hyperlink>
      <w:hyperlink r:id="rId127">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8">
        <w:r>
          <w:rPr>
            <w:rStyle w:val="LienInternet"/>
            <w:rFonts w:ascii="Times New Roman" w:hAnsi="Times New Roman"/>
            <w:b/>
            <w:color w:val="0000FF"/>
          </w:rPr>
          <w:t>Estonia</w:t>
        </w:r>
      </w:hyperlink>
      <w:r>
        <w:rPr>
          <w:rFonts w:ascii="Times New Roman" w:hAnsi="Times New Roman"/>
          <w:color w:val="000000"/>
        </w:rPr>
        <w:t xml:space="preserve"> </w:t>
      </w:r>
    </w:p>
    <w:p>
      <w:pPr>
        <w:pStyle w:val="Normal"/>
        <w:widowControl w:val="false"/>
        <w:spacing w:lineRule="auto" w:line="240"/>
        <w:ind w:left="360" w:right="0" w:hanging="0"/>
        <w:jc w:val="left"/>
        <w:rPr/>
      </w:pPr>
      <w:hyperlink r:id="rId129">
        <w:r>
          <w:rPr>
            <w:rStyle w:val="LienInternet"/>
            <w:rFonts w:ascii="Times New Roman" w:hAnsi="Times New Roman"/>
            <w:b/>
            <w:color w:val="0000FF"/>
          </w:rPr>
          <w:t>România</w:t>
        </w:r>
      </w:hyperlink>
      <w:r>
        <w:rPr>
          <w:rFonts w:ascii="Times New Roman" w:hAnsi="Times New Roman"/>
          <w:color w:val="000000"/>
        </w:rPr>
        <w:t xml:space="preserve"> </w:t>
      </w:r>
    </w:p>
    <w:p>
      <w:pPr>
        <w:pStyle w:val="Normal"/>
        <w:widowControl w:val="false"/>
        <w:spacing w:lineRule="auto" w:line="240"/>
        <w:ind w:left="360" w:right="0" w:hanging="0"/>
        <w:jc w:val="left"/>
        <w:rPr/>
      </w:pPr>
      <w:hyperlink r:id="rId130">
        <w:r>
          <w:rPr>
            <w:rStyle w:val="LienInternet"/>
            <w:rFonts w:ascii="Times New Roman" w:hAnsi="Times New Roman"/>
            <w:b/>
            <w:color w:val="0000FF"/>
          </w:rPr>
          <w:t>România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Spania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Franța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Croația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Italia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Cipru</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Letonia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7">
        <w:r>
          <w:rPr>
            <w:rStyle w:val="LienInternet"/>
            <w:rFonts w:ascii="Times New Roman" w:hAnsi="Times New Roman"/>
            <w:b/>
            <w:color w:val="0000FF"/>
          </w:rPr>
          <w:t>Lituania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Luxemburg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9">
        <w:r>
          <w:rPr>
            <w:rStyle w:val="LienInternet"/>
            <w:rFonts w:ascii="Times New Roman" w:hAnsi="Times New Roman"/>
            <w:b/>
            <w:color w:val="0000FF"/>
          </w:rPr>
          <w:t>Ungaria</w:t>
        </w:r>
      </w:hyperlink>
      <w:r>
        <w:rPr>
          <w:rFonts w:ascii="Times New Roman" w:hAnsi="Times New Roman"/>
          <w:color w:val="000000"/>
        </w:rPr>
        <w:t xml:space="preserve"> </w:t>
      </w:r>
    </w:p>
    <w:p>
      <w:pPr>
        <w:pStyle w:val="Normal"/>
        <w:widowControl w:val="false"/>
        <w:spacing w:lineRule="auto" w:line="240"/>
        <w:ind w:left="360" w:right="0" w:hanging="0"/>
        <w:jc w:val="left"/>
        <w:rPr/>
      </w:pPr>
      <w:hyperlink r:id="rId140">
        <w:r>
          <w:rPr>
            <w:rStyle w:val="LienInternet"/>
            <w:rFonts w:ascii="Times New Roman" w:hAnsi="Times New Roman"/>
            <w:b/>
            <w:color w:val="0000FF"/>
          </w:rPr>
          <w:t>România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Țările de Jos</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Austria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Polonia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Portugalia</w:t>
        </w:r>
      </w:hyperlink>
      <w:r>
        <w:rPr>
          <w:rFonts w:ascii="Times New Roman" w:hAnsi="Times New Roman"/>
          <w:color w:val="000000"/>
        </w:rPr>
        <w:t xml:space="preserve"> </w:t>
      </w:r>
    </w:p>
    <w:p>
      <w:pPr>
        <w:pStyle w:val="Normal"/>
        <w:widowControl w:val="false"/>
        <w:spacing w:lineRule="auto" w:line="240"/>
        <w:ind w:left="360" w:right="0" w:hanging="0"/>
        <w:jc w:val="left"/>
        <w:rPr/>
      </w:pPr>
      <w:hyperlink r:id="rId145">
        <w:r>
          <w:rPr>
            <w:rStyle w:val="LienInternet"/>
            <w:rFonts w:ascii="Times New Roman" w:hAnsi="Times New Roman"/>
            <w:b/>
            <w:color w:val="0000FF"/>
          </w:rPr>
          <w:t>România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Slovenia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Slovacia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Finlanda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9">
        <w:r>
          <w:rPr>
            <w:rStyle w:val="LienInternet"/>
            <w:rFonts w:ascii="Times New Roman" w:hAnsi="Times New Roman"/>
            <w:b/>
            <w:color w:val="0000FF"/>
          </w:rPr>
          <w:t>Suedia</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Referință la raportul platformei digitale multilingve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50">
        <w:r>
          <w:rPr>
            <w:rStyle w:val="LienInternet"/>
            <w:color w:val="0000FF"/>
            <w:sz w:val="24"/>
          </w:rPr>
          <w:t>NumărulmultilingvPL</w:t>
        </w:r>
      </w:hyperlink>
      <w:hyperlink r:id="rId151">
        <w:r>
          <w:rPr>
            <w:rStyle w:val="LienInternet"/>
            <w:color w:val="0000FF"/>
            <w:sz w:val="24"/>
          </w:rPr>
          <w:t xml:space="preserve">al Conferinței privind viitorul Europei – raportul dinfebruarie 2022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Imagini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ini48" descr=""/>
                    <pic:cNvPicPr>
                      <a:picLocks noChangeAspect="1" noChangeArrowheads="1"/>
                    </pic:cNvPicPr>
                  </pic:nvPicPr>
                  <pic:blipFill>
                    <a:blip r:embed="rId152"/>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pPr>
      <w:r>
        <w:rPr/>
        <w:t>© Uniunea Europeană, 2022 Re-utilizare permisă, cu condiția ca sursa să fie recunoscută.</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Acest termen „intereuropean” este confuz.</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grupare ciudată</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grupare ciudată</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grupare ciudată</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cu caractere cursive în raportul inițial în limba franceză</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originalul a fost „tovarăș”</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Am adăugat un „s” (plural acordat cu taxe)</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Am adăugat dash-ul.</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a fost adăugată o literă capitală</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Am eliminat un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originalul avea un tablou de bord; Nu știu ce este tabloul de bord; Prin urmare, am solicitat de la Google traducerea textului în limba engleză, care a indicat „tablou de bord”, care este ușor de înțeles în limba franceză. eTranslation indică, de asemenea, „tablou de bord”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Am pus o scrisoare de majuscule.</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Am adăugat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Am adăugat un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originalul a avut „referenda”; ca și în altă parte, există un „referendum” cu accente, pluralul trebuie să fie „referenda”, în utilizarea declinației latine.</w:t>
      </w:r>
    </w:p>
    <w:p>
      <w:r>
        <w:rPr>
          <w:rFonts w:ascii="Times New Roman" w:hAnsi="Times New Roman" w:eastAsia="Segoe UI" w:cs="Tahoma"/>
          <w:color w:val="auto"/>
          <w:kern w:val="0"/>
          <w:sz w:val="24"/>
          <w:szCs w:val="24"/>
          <w:lang w:val="en-US" w:eastAsia="en-US" w:bidi="en-US"/>
        </w:rPr>
        <w:t xml:space="preserve">vezi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și acolo a fost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Originalul avea „pe listele de mecanisme ale sertarului”? Nu înțeleg, așa că am tradus din versiunea în limba engleză.</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Originalul în limba franceză a fost „Site-ul Ombudsmanului este bine realizat, dar nu este marca europeană”. Termenul „branded” este de neînțeles. Versiunea în limba engleză este "Site-ul Ombudsmanului este bine realizat, dar nu are o imagine europeană adecvată, așa că îl înlocuiesc cu traducerea directă mai ușor de înțeles a limbii engleze.</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originalul în limba franceză a fost „public”, care nu a fost acordat cu „consultare”. A fost o consultare publică sau o consultare publică?</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au fost „anglase”</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litere cu majuscule adăugate (denumiri comerciale)</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înlocuit „la” cu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înlocuit „luare” cu „luare”</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eliminați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adăugat un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Nu înțeleg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a adăugat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titlu în 2 limbi străine: ciudat</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Recomandările cetățenilor pe care se bazează propunerea: #3, #17, #18, #19</w:t>
      </w:r>
    </w:p>
  </w:endnote>
  <w:endnote w:id="3">
    <w:p>
      <w:pPr>
        <w:pStyle w:val="Notedefin"/>
        <w:suppressLineNumbers/>
        <w:spacing w:before="57" w:after="57"/>
        <w:ind w:left="339" w:right="0" w:hanging="339"/>
        <w:rPr/>
      </w:pPr>
      <w:r>
        <w:rPr>
          <w:rStyle w:val="Caractresdenotedefin"/>
        </w:rPr>
        <w:endnoteRef/>
      </w:r>
      <w:r>
        <w:rPr/>
        <w:tab/>
      </w:r>
      <w:r>
        <w:rPr/>
        <w:t># = recomandarea grupurilor cetățenești europene.</w:t>
      </w:r>
    </w:p>
  </w:endnote>
  <w:endnote w:id="4">
    <w:p>
      <w:pPr>
        <w:pStyle w:val="Notedefin"/>
        <w:suppressLineNumbers/>
        <w:spacing w:before="57" w:after="57"/>
        <w:ind w:left="339" w:right="0" w:hanging="339"/>
        <w:rPr/>
      </w:pPr>
      <w:r>
        <w:rPr>
          <w:rStyle w:val="Caractresdenotedefin"/>
        </w:rPr>
        <w:endnoteRef/>
      </w:r>
      <w:r>
        <w:rPr/>
        <w:tab/>
      </w:r>
      <w:r>
        <w:rPr/>
        <w:t>Recomandările cetățenilor pe care se bazează propunerea: #39, #40, #41, #42, #43, NL1, NL2, #51</w:t>
      </w:r>
    </w:p>
  </w:endnote>
  <w:endnote w:id="5">
    <w:p>
      <w:pPr>
        <w:pStyle w:val="Notedefin"/>
        <w:suppressLineNumbers/>
        <w:spacing w:before="57" w:after="57"/>
        <w:ind w:left="339" w:right="0" w:hanging="339"/>
        <w:rPr/>
      </w:pPr>
      <w:r>
        <w:rPr>
          <w:rStyle w:val="Caractresdenotedefin"/>
        </w:rPr>
        <w:endnoteRef/>
      </w:r>
      <w:r>
        <w:rPr/>
        <w:tab/>
      </w:r>
      <w:r>
        <w:rPr/>
        <w:t>Recomandarea unui grup național cetățenesc</w:t>
      </w:r>
    </w:p>
  </w:endnote>
  <w:endnote w:id="6">
    <w:p>
      <w:pPr>
        <w:pStyle w:val="Notedefin"/>
        <w:suppressLineNumbers/>
        <w:spacing w:before="57" w:after="57"/>
        <w:ind w:left="339" w:right="0" w:hanging="339"/>
        <w:rPr/>
      </w:pPr>
      <w:r>
        <w:rPr>
          <w:rStyle w:val="Caractresdenotedefin"/>
        </w:rPr>
        <w:endnoteRef/>
      </w:r>
      <w:r>
        <w:rPr/>
        <w:tab/>
      </w:r>
      <w:r>
        <w:rPr/>
        <w:t>Recomandările cetățenilor pe care se bazează propunerea: #44, #45, #46, #47, #50</w:t>
      </w:r>
    </w:p>
  </w:endnote>
  <w:endnote w:id="7">
    <w:p>
      <w:pPr>
        <w:pStyle w:val="Notedefin"/>
        <w:suppressLineNumbers/>
        <w:spacing w:before="57" w:after="57"/>
        <w:ind w:left="339" w:right="0" w:hanging="339"/>
        <w:rPr/>
      </w:pPr>
      <w:r>
        <w:rPr>
          <w:rStyle w:val="Caractresdenotedefin"/>
        </w:rPr>
        <w:endnoteRef/>
      </w:r>
      <w:r>
        <w:rPr/>
        <w:tab/>
      </w:r>
      <w:r>
        <w:rPr/>
        <w:t>Recomandările cetățenilor pe care se bazează propunerea: #39, #40, #45, #48, #50, FRSwait8, FRswait11, #51</w:t>
      </w:r>
    </w:p>
  </w:endnote>
  <w:endnote w:id="8">
    <w:p>
      <w:pPr>
        <w:pStyle w:val="Notedefin"/>
        <w:suppressLineNumbers/>
        <w:spacing w:before="57" w:after="57"/>
        <w:ind w:left="339" w:right="0" w:hanging="339"/>
        <w:rPr/>
      </w:pPr>
      <w:r>
        <w:rPr>
          <w:rStyle w:val="Caractresdenotedefin"/>
        </w:rPr>
        <w:endnoteRef/>
      </w:r>
      <w:r>
        <w:rPr/>
        <w:tab/>
      </w:r>
      <w:r>
        <w:rPr/>
        <w:t>Recomandările Grupului cetățenilor olandezi diferă de recomandările Grupului cetățenilor europeni: el susține că sănătatea și asistența medicală ar trebui să fie în primul rând o responsabilitate națională [NL3].</w:t>
      </w:r>
    </w:p>
  </w:endnote>
  <w:endnote w:id="9">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1: 9, 10, 11, 12, 14; Țările de Jos: 1; Italia: 1.1; Lituania: 3, 8.</w:t>
      </w:r>
    </w:p>
  </w:endnote>
  <w:endnote w:id="10">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1: 10, 11 și 14; Germania: 2.1, 2.2; Țările de Jos: 1, 2; Franța: 3, 9; Italia: 1,2, 1.3, 1.4, 1.5, 2.1, 2.2, 2.4, 4.a.2, 6.1; Lituania: 1, 7.</w:t>
      </w:r>
    </w:p>
  </w:endnote>
  <w:endnote w:id="11">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1: 1, 2, 7, 28, 30; Germania: 4.1, 4.2; Țările de Jos: 4; Franța: 6; Italia: 5.a.1, 5.a.4, 6.1, 6.2.</w:t>
      </w:r>
    </w:p>
  </w:endnote>
  <w:endnote w:id="12">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1: 19, 20, 21, 25; Italia: 4.a.1.</w:t>
      </w:r>
    </w:p>
  </w:endnote>
  <w:endnote w:id="13">
    <w:p>
      <w:pPr>
        <w:pStyle w:val="Notedefin"/>
        <w:suppressLineNumbers/>
        <w:spacing w:before="57" w:after="57"/>
        <w:ind w:left="339" w:right="0" w:hanging="339"/>
        <w:rPr/>
      </w:pPr>
      <w:r>
        <w:rPr>
          <w:rStyle w:val="Caractresdenotedefin"/>
        </w:rPr>
        <w:endnoteRef/>
      </w:r>
      <w:r>
        <w:rPr/>
        <w:tab/>
        <w:t xml:space="preserve"> </w:t>
      </w:r>
      <w:r>
        <w:rPr/>
        <w:t>Recomandările cetățenilor pe care se bazează propunerea: Grupul cetățenilor europeni 1: 21, 22, 23, 26, 27; Italia: 5.a.1.</w:t>
      </w:r>
    </w:p>
  </w:endnote>
  <w:endnote w:id="14">
    <w:p>
      <w:pPr>
        <w:pStyle w:val="Notedefin"/>
        <w:suppressLineNumbers/>
        <w:spacing w:before="57" w:after="57"/>
        <w:ind w:left="339" w:right="0" w:hanging="339"/>
        <w:rPr/>
      </w:pPr>
      <w:r>
        <w:rPr>
          <w:rStyle w:val="Caractresdenotedefin"/>
        </w:rPr>
        <w:endnoteRef/>
      </w:r>
      <w:r>
        <w:rPr/>
        <w:tab/>
        <w:t xml:space="preserve"> </w:t>
      </w:r>
      <w:r>
        <w:rPr/>
        <w:t>Recomandările cetățenilor pe care se bazează propunerea: Grupul cetățenilor europeni 1: 13, 31; Țările de Jos: 2.3; Italia: 4.b.3, 4.b.6; Lituania: 9, 10.</w:t>
      </w:r>
    </w:p>
  </w:endnote>
  <w:endnote w:id="15">
    <w:p>
      <w:pPr>
        <w:pStyle w:val="Notedefin"/>
        <w:suppressLineNumbers/>
        <w:spacing w:before="57" w:after="57"/>
        <w:ind w:left="339" w:right="0" w:hanging="339"/>
        <w:rPr/>
      </w:pPr>
      <w:r>
        <w:rPr>
          <w:rStyle w:val="Caractresdenotedefin"/>
        </w:rPr>
        <w:endnoteRef/>
      </w:r>
      <w:r>
        <w:rPr/>
        <w:tab/>
      </w:r>
      <w:r>
        <w:rPr/>
        <w:t>Pe baza discuțiilor din cadrul grupului de lucru și al sesiunii plenare.</w:t>
      </w:r>
    </w:p>
  </w:endnote>
  <w:endnote w:id="16">
    <w:p>
      <w:pPr>
        <w:pStyle w:val="Notedefin"/>
        <w:suppressLineNumbers/>
        <w:spacing w:before="57" w:after="57"/>
        <w:ind w:left="339" w:right="0" w:hanging="339"/>
        <w:rPr/>
      </w:pPr>
      <w:r>
        <w:rPr>
          <w:rStyle w:val="Caractresdenotedefin"/>
        </w:rPr>
        <w:endnoteRef/>
      </w:r>
      <w:r>
        <w:rPr/>
        <w:tab/>
      </w:r>
      <w:r>
        <w:rPr/>
        <w:t>A se vedea Recomandarea nr. 1 a ECP4, Recomandarea nr. 2 a PNC Germania, Grupul 1 „UE în lume” și Recomandarea nr. 2 a PCN din Italia, rec. 1, elaborată în cadrul grupului de lucru.</w:t>
      </w:r>
    </w:p>
  </w:endnote>
  <w:endnote w:id="17">
    <w:p>
      <w:pPr>
        <w:pStyle w:val="Notedefin"/>
        <w:suppressLineNumbers/>
        <w:spacing w:before="57" w:after="57"/>
        <w:ind w:left="339" w:right="0" w:hanging="339"/>
        <w:rPr/>
      </w:pPr>
      <w:r>
        <w:rPr>
          <w:rStyle w:val="Caractresdenotedefin"/>
        </w:rPr>
        <w:endnoteRef/>
      </w:r>
      <w:r>
        <w:rPr/>
        <w:tab/>
      </w:r>
      <w:r>
        <w:rPr/>
        <w:t>A se vedea Recomandarea 4 din ECP4 și recomandările 5 și 6 ale PNC din Italia, Grupul 2, elaborate în cadrul grupului de lucru.</w:t>
      </w:r>
    </w:p>
  </w:endnote>
  <w:endnote w:id="18">
    <w:p>
      <w:pPr>
        <w:pStyle w:val="Notedefin"/>
        <w:suppressLineNumbers/>
        <w:spacing w:before="57" w:after="57"/>
        <w:ind w:left="339" w:right="0" w:hanging="339"/>
        <w:rPr/>
      </w:pPr>
      <w:r>
        <w:rPr>
          <w:rStyle w:val="Caractresdenotedefin"/>
        </w:rPr>
        <w:endnoteRef/>
      </w:r>
      <w:r>
        <w:rPr/>
        <w:tab/>
      </w:r>
      <w:r>
        <w:rPr/>
        <w:t xml:space="preserve">A se vedea platforma digitală și recomandările 2 și 3 ale PNC din Italia, Grupul 2, elaborate în cadrul grupului de lucru,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A se vedea Recomandarea 14 din PCE 4, elaborată în cadrul grupului de lucru.</w:t>
      </w:r>
    </w:p>
  </w:endnote>
  <w:endnote w:id="20">
    <w:p>
      <w:pPr>
        <w:pStyle w:val="Notedefin"/>
        <w:suppressLineNumbers/>
        <w:spacing w:before="57" w:after="57"/>
        <w:ind w:left="339" w:right="0" w:hanging="339"/>
        <w:rPr/>
      </w:pPr>
      <w:r>
        <w:rPr>
          <w:rStyle w:val="Caractresdenotedefin"/>
        </w:rPr>
        <w:endnoteRef/>
      </w:r>
      <w:r>
        <w:rPr/>
        <w:tab/>
      </w:r>
      <w:r>
        <w:rPr/>
        <w:t>A se vedea Recomandarea nr. 2 a ECP4 și Recomandarea nr. 4 a PNC din Italia, Grupul 2, elaborate în cadrul grupului de lucru.</w:t>
      </w:r>
    </w:p>
  </w:endnote>
  <w:endnote w:id="21">
    <w:p>
      <w:pPr>
        <w:pStyle w:val="Notedefin"/>
        <w:suppressLineNumbers/>
        <w:spacing w:before="57" w:after="57"/>
        <w:ind w:left="339" w:right="0" w:hanging="339"/>
        <w:rPr/>
      </w:pPr>
      <w:r>
        <w:rPr>
          <w:rStyle w:val="Caractresdenotedefin"/>
        </w:rPr>
        <w:endnoteRef/>
      </w:r>
      <w:r>
        <w:rPr/>
        <w:tab/>
      </w:r>
      <w:r>
        <w:rPr/>
        <w:t>A se vedea Recomandarea nr. 17 a ECP4 și Recomandarea nr. 4 a PNC din Italia, Grupul 2, elaborate în cadrul grupului de lucru.</w:t>
      </w:r>
    </w:p>
  </w:endnote>
  <w:endnote w:id="22">
    <w:p>
      <w:pPr>
        <w:pStyle w:val="Notedefin"/>
        <w:suppressLineNumbers/>
        <w:spacing w:before="57" w:after="57"/>
        <w:ind w:left="339" w:right="0" w:hanging="339"/>
        <w:rPr/>
      </w:pPr>
      <w:r>
        <w:rPr>
          <w:rStyle w:val="Caractresdenotedefin"/>
        </w:rPr>
        <w:endnoteRef/>
      </w:r>
      <w:r>
        <w:rPr/>
        <w:tab/>
      </w:r>
      <w:r>
        <w:rPr/>
        <w:t>A se vedea recomandarea 1 a NCP Germania, panelul 1 „UE în lume”, elaborat în cadrul grupului de lucru.</w:t>
      </w:r>
    </w:p>
  </w:endnote>
  <w:endnote w:id="23">
    <w:p>
      <w:pPr>
        <w:pStyle w:val="Notedefin"/>
        <w:suppressLineNumbers/>
        <w:spacing w:before="57" w:after="57"/>
        <w:ind w:left="339" w:right="0" w:hanging="339"/>
        <w:rPr/>
      </w:pPr>
      <w:r>
        <w:rPr>
          <w:rStyle w:val="Caractresdenotedefin"/>
        </w:rPr>
        <w:endnoteRef/>
      </w:r>
      <w:r>
        <w:rPr/>
        <w:tab/>
      </w:r>
      <w:r>
        <w:rPr/>
        <w:t>A se vedea Recomandarea 3 din PCE 4, elaborată în cadrul grupului de lucru.</w:t>
      </w:r>
    </w:p>
  </w:endnote>
  <w:endnote w:id="24">
    <w:p>
      <w:pPr>
        <w:pStyle w:val="Notedefin"/>
        <w:suppressLineNumbers/>
        <w:spacing w:before="57" w:after="57"/>
        <w:ind w:left="339" w:right="0" w:hanging="339"/>
        <w:rPr/>
      </w:pPr>
      <w:r>
        <w:rPr>
          <w:rStyle w:val="Caractresdenotedefin"/>
        </w:rPr>
        <w:endnoteRef/>
      </w:r>
      <w:r>
        <w:rPr/>
        <w:tab/>
      </w:r>
      <w:r>
        <w:rPr/>
        <w:t>A se vedea Recomandarea 11 din PCE 4, elaborată în cadrul grupului de lucru.</w:t>
      </w:r>
    </w:p>
  </w:endnote>
  <w:endnote w:id="25">
    <w:p>
      <w:pPr>
        <w:pStyle w:val="Notedefin"/>
        <w:suppressLineNumbers/>
        <w:spacing w:before="57" w:after="57"/>
        <w:ind w:left="339" w:right="0" w:hanging="339"/>
        <w:rPr/>
      </w:pPr>
      <w:r>
        <w:rPr>
          <w:rStyle w:val="Caractresdenotedefin"/>
        </w:rPr>
        <w:endnoteRef/>
      </w:r>
      <w:r>
        <w:rPr/>
        <w:tab/>
      </w:r>
      <w:r>
        <w:rPr/>
        <w:t>A se vedea Recomandarea 13 din PCE 4, elaborată în cadrul grupului de lucru.</w:t>
      </w:r>
    </w:p>
  </w:endnote>
  <w:endnote w:id="26">
    <w:p>
      <w:pPr>
        <w:pStyle w:val="Notedefin"/>
        <w:suppressLineNumbers/>
        <w:spacing w:before="57" w:after="57"/>
        <w:ind w:left="339" w:right="0" w:hanging="339"/>
        <w:rPr/>
      </w:pPr>
      <w:r>
        <w:rPr>
          <w:rStyle w:val="Caractresdenotedefin"/>
        </w:rPr>
        <w:endnoteRef/>
      </w:r>
      <w:r>
        <w:rPr/>
        <w:tab/>
      </w:r>
      <w:r>
        <w:rPr/>
        <w:t>A se vedea recomandarea 15 din PCE 4, elaborată în cadrul grupului de lucru.</w:t>
      </w:r>
    </w:p>
  </w:endnote>
  <w:endnote w:id="27">
    <w:p>
      <w:pPr>
        <w:pStyle w:val="Notedefin"/>
        <w:suppressLineNumbers/>
        <w:spacing w:before="57" w:after="57"/>
        <w:ind w:left="339" w:right="0" w:hanging="339"/>
        <w:rPr/>
      </w:pPr>
      <w:r>
        <w:rPr>
          <w:rStyle w:val="Caractresdenotedefin"/>
        </w:rPr>
        <w:endnoteRef/>
      </w:r>
      <w:r>
        <w:rPr/>
        <w:tab/>
      </w:r>
      <w:r>
        <w:rPr/>
        <w:t>A se vedea recomandarea 16 din PCE 4, elaborată în cadrul grupului de lucru.</w:t>
      </w:r>
    </w:p>
  </w:endnote>
  <w:endnote w:id="28">
    <w:p>
      <w:pPr>
        <w:pStyle w:val="Notedefin"/>
        <w:suppressLineNumbers/>
        <w:spacing w:before="57" w:after="57"/>
        <w:ind w:left="339" w:right="0" w:hanging="339"/>
        <w:rPr/>
      </w:pPr>
      <w:r>
        <w:rPr>
          <w:rStyle w:val="Caractresdenotedefin"/>
        </w:rPr>
        <w:endnoteRef/>
      </w:r>
      <w:r>
        <w:rPr/>
        <w:tab/>
      </w:r>
      <w:r>
        <w:rPr/>
        <w:t>A se vedea Recomandarea 12 din PCE 4, elaborată în cadrul grupului de lucru.</w:t>
      </w:r>
    </w:p>
  </w:endnote>
  <w:endnote w:id="29">
    <w:p>
      <w:pPr>
        <w:pStyle w:val="Notedefin"/>
        <w:suppressLineNumbers/>
        <w:spacing w:before="57" w:after="57"/>
        <w:ind w:left="339" w:right="0" w:hanging="339"/>
        <w:rPr/>
      </w:pPr>
      <w:r>
        <w:rPr>
          <w:rStyle w:val="Caractresdenotedefin"/>
        </w:rPr>
        <w:endnoteRef/>
      </w:r>
      <w:r>
        <w:rPr/>
        <w:tab/>
      </w:r>
      <w:r>
        <w:rPr/>
        <w:t>A se vedea Recomandarea 21 din PCE 4, elaborată în cadrul grupului de lucru.</w:t>
      </w:r>
    </w:p>
  </w:endnote>
  <w:endnote w:id="30">
    <w:p>
      <w:pPr>
        <w:pStyle w:val="Notedefin"/>
        <w:suppressLineNumbers/>
        <w:spacing w:before="57" w:after="57"/>
        <w:ind w:left="339" w:right="0" w:hanging="339"/>
        <w:rPr/>
      </w:pPr>
      <w:r>
        <w:rPr>
          <w:rStyle w:val="Caractresdenotedefin"/>
        </w:rPr>
        <w:endnoteRef/>
      </w:r>
      <w:r>
        <w:rPr/>
        <w:tab/>
      </w:r>
      <w:r>
        <w:rPr/>
        <w:t>A se vedea platforma digitală, dezvoltată în cadrul grupului de lucru.</w:t>
      </w:r>
    </w:p>
  </w:endnote>
  <w:endnote w:id="31">
    <w:p>
      <w:pPr>
        <w:pStyle w:val="Notedefin"/>
        <w:suppressLineNumbers/>
        <w:spacing w:before="57" w:after="57"/>
        <w:ind w:left="339" w:right="0" w:hanging="339"/>
        <w:rPr/>
      </w:pPr>
      <w:r>
        <w:rPr>
          <w:rStyle w:val="Caractresdenotedefin"/>
        </w:rPr>
        <w:endnoteRef/>
      </w:r>
      <w:r>
        <w:rPr/>
        <w:tab/>
      </w:r>
      <w:r>
        <w:rPr/>
        <w:t>A se vedea platforma digitală, dezvoltată în cadrul grupului de lucru.</w:t>
      </w:r>
    </w:p>
  </w:endnote>
  <w:endnote w:id="32">
    <w:p>
      <w:pPr>
        <w:pStyle w:val="Notedefin"/>
        <w:suppressLineNumbers/>
        <w:spacing w:before="57" w:after="57"/>
        <w:ind w:left="339" w:right="0" w:hanging="339"/>
        <w:rPr/>
      </w:pPr>
      <w:r>
        <w:rPr>
          <w:rStyle w:val="Caractresdenotedefin"/>
        </w:rPr>
        <w:endnoteRef/>
      </w:r>
      <w:r>
        <w:rPr/>
        <w:tab/>
      </w:r>
      <w:r>
        <w:rPr/>
        <w:t>A se vedea recomandarea 26 din PCE 4, elaborată în cadrul grupului de lucru.</w:t>
      </w:r>
    </w:p>
  </w:endnote>
  <w:endnote w:id="33">
    <w:p>
      <w:pPr>
        <w:pStyle w:val="Notedefin"/>
        <w:suppressLineNumbers/>
        <w:spacing w:before="57" w:after="57"/>
        <w:ind w:left="339" w:right="0" w:hanging="339"/>
        <w:rPr/>
      </w:pPr>
      <w:r>
        <w:rPr>
          <w:rStyle w:val="Caractresdenotedefin"/>
        </w:rPr>
        <w:endnoteRef/>
      </w:r>
      <w:r>
        <w:rPr/>
        <w:tab/>
      </w:r>
      <w:r>
        <w:rPr/>
        <w:t>A se vedea recomandarea 18 din PCE 4, elaborată în cadrul grupului de lucru.</w:t>
      </w:r>
    </w:p>
  </w:endnote>
  <w:endnote w:id="34">
    <w:p>
      <w:pPr>
        <w:pStyle w:val="Notedefin"/>
        <w:suppressLineNumbers/>
        <w:spacing w:before="57" w:after="57"/>
        <w:ind w:left="339" w:right="0" w:hanging="339"/>
        <w:rPr/>
      </w:pPr>
      <w:r>
        <w:rPr>
          <w:rStyle w:val="Caractresdenotedefin"/>
        </w:rPr>
        <w:endnoteRef/>
      </w:r>
      <w:r>
        <w:rPr/>
        <w:tab/>
      </w:r>
      <w:r>
        <w:rPr/>
        <w:t>A se vedea recomandarea 19 din PCE 4, elaborată în cadrul grupului de lucru.</w:t>
      </w:r>
    </w:p>
  </w:endnote>
  <w:endnote w:id="35">
    <w:p>
      <w:pPr>
        <w:pStyle w:val="Notedefin"/>
        <w:suppressLineNumbers/>
        <w:spacing w:before="57" w:after="57"/>
        <w:ind w:left="339" w:right="0" w:hanging="339"/>
        <w:rPr/>
      </w:pPr>
      <w:r>
        <w:rPr>
          <w:rStyle w:val="Caractresdenotedefin"/>
        </w:rPr>
        <w:endnoteRef/>
      </w:r>
      <w:r>
        <w:rPr/>
        <w:tab/>
      </w:r>
      <w:r>
        <w:rPr/>
        <w:t>A se vedea recomandarea 19 din PCE 4, elaborată în cadrul grupului de lucru.</w:t>
      </w:r>
    </w:p>
  </w:endnote>
  <w:endnote w:id="36">
    <w:p>
      <w:pPr>
        <w:pStyle w:val="Notedefin"/>
        <w:suppressLineNumbers/>
        <w:spacing w:before="57" w:after="57"/>
        <w:ind w:left="339" w:right="0" w:hanging="339"/>
        <w:rPr/>
      </w:pPr>
      <w:r>
        <w:rPr>
          <w:rStyle w:val="Caractresdenotedefin"/>
        </w:rPr>
        <w:endnoteRef/>
      </w:r>
      <w:r>
        <w:rPr/>
        <w:tab/>
      </w:r>
      <w:r>
        <w:rPr/>
        <w:t>A se vedea recomandarea 25 din PCE 4.</w:t>
      </w:r>
    </w:p>
  </w:endnote>
  <w:endnote w:id="37">
    <w:p>
      <w:pPr>
        <w:pStyle w:val="Notedefin"/>
        <w:suppressLineNumbers/>
        <w:spacing w:before="57" w:after="57"/>
        <w:ind w:left="339" w:right="0" w:hanging="339"/>
        <w:rPr/>
      </w:pPr>
      <w:r>
        <w:rPr>
          <w:rStyle w:val="Caractresdenotedefin"/>
        </w:rPr>
        <w:endnoteRef/>
      </w:r>
      <w:r>
        <w:rPr/>
        <w:tab/>
      </w:r>
      <w:r>
        <w:rPr/>
        <w:t>Pe baza discuțiilor din cadrul grupului de lucru și al sesiunii plenare.</w:t>
      </w:r>
    </w:p>
  </w:endnote>
  <w:endnote w:id="38">
    <w:p>
      <w:pPr>
        <w:pStyle w:val="Notedefin"/>
        <w:suppressLineNumbers/>
        <w:spacing w:before="57" w:after="57"/>
        <w:ind w:left="339" w:right="0" w:hanging="339"/>
        <w:rPr/>
      </w:pPr>
      <w:r>
        <w:rPr>
          <w:rStyle w:val="Caractresdenotedefin"/>
        </w:rPr>
        <w:endnoteRef/>
      </w:r>
      <w:r>
        <w:rPr/>
        <w:tab/>
      </w:r>
      <w:r>
        <w:rPr/>
        <w:t>A se vedea modificarea 2 a juriului/evenimentelor naționale franceze.</w:t>
      </w:r>
    </w:p>
  </w:endnote>
  <w:endnote w:id="39">
    <w:p>
      <w:pPr>
        <w:pStyle w:val="Notedefin"/>
        <w:suppressLineNumbers/>
        <w:spacing w:before="57" w:after="57"/>
        <w:ind w:left="339" w:right="0" w:hanging="339"/>
        <w:rPr/>
      </w:pPr>
      <w:r>
        <w:rPr>
          <w:rStyle w:val="Caractresdenotedefin"/>
        </w:rPr>
        <w:endnoteRef/>
      </w:r>
      <w:r>
        <w:rPr/>
        <w:tab/>
      </w:r>
      <w:r>
        <w:rPr/>
        <w:t>A se vedea Recomandarea 20 a ECP4 și Recomandarea 7 a Italiei, Grupul 2 NCP, elaborate în cadrul grupului de lucru.</w:t>
      </w:r>
    </w:p>
  </w:endnote>
  <w:endnote w:id="40">
    <w:p>
      <w:pPr>
        <w:pStyle w:val="Notedefin"/>
        <w:suppressLineNumbers/>
        <w:spacing w:before="57" w:after="57"/>
        <w:ind w:left="339" w:right="0" w:hanging="339"/>
        <w:rPr/>
      </w:pPr>
      <w:r>
        <w:rPr>
          <w:rStyle w:val="Caractresdenotedefin"/>
        </w:rPr>
        <w:endnoteRef/>
      </w:r>
      <w:r>
        <w:rPr/>
        <w:tab/>
      </w:r>
      <w:r>
        <w:rPr/>
        <w:t>A se vedea modificarea 2 a juriului cetățenilor naționali francezi.</w:t>
      </w:r>
    </w:p>
  </w:endnote>
  <w:endnote w:id="41">
    <w:p>
      <w:pPr>
        <w:pStyle w:val="Notedefin"/>
        <w:suppressLineNumbers/>
        <w:spacing w:before="57" w:after="57"/>
        <w:ind w:left="339" w:right="0" w:hanging="339"/>
        <w:rPr/>
      </w:pPr>
      <w:r>
        <w:rPr>
          <w:rStyle w:val="Caractresdenotedefin"/>
        </w:rPr>
        <w:endnoteRef/>
      </w:r>
      <w:r>
        <w:rPr/>
        <w:tab/>
      </w:r>
      <w:r>
        <w:rPr/>
        <w:t>A se vedea Recomandarea 24 din ECP4 și Recomandarea 7 a Italiei, Grupul 2 NCP, elaborate în cadrul grupului de lucru.</w:t>
      </w:r>
    </w:p>
  </w:endnote>
  <w:endnote w:id="42">
    <w:p>
      <w:pPr>
        <w:pStyle w:val="Notedefin"/>
        <w:suppressLineNumbers/>
        <w:spacing w:before="57" w:after="57"/>
        <w:ind w:left="339" w:right="0" w:hanging="339"/>
        <w:rPr/>
      </w:pPr>
      <w:r>
        <w:rPr>
          <w:rStyle w:val="Caractresdenotedefin"/>
        </w:rPr>
        <w:endnoteRef/>
      </w:r>
      <w:r>
        <w:rPr/>
        <w:tab/>
      </w:r>
      <w:r>
        <w:rPr/>
        <w:t>A se vedea Recomandarea 22 din PCE 4, elaborată în cadrul grupului de lucru.</w:t>
      </w:r>
    </w:p>
  </w:endnote>
  <w:endnote w:id="43">
    <w:p>
      <w:pPr>
        <w:pStyle w:val="Notedefin"/>
        <w:suppressLineNumbers/>
        <w:spacing w:before="57" w:after="57"/>
        <w:ind w:left="339" w:right="0" w:hanging="339"/>
        <w:rPr/>
      </w:pPr>
      <w:r>
        <w:rPr>
          <w:rStyle w:val="Caractresdenotedefin"/>
        </w:rPr>
        <w:endnoteRef/>
      </w:r>
      <w:r>
        <w:rPr/>
        <w:tab/>
      </w:r>
      <w:r>
        <w:rPr/>
        <w:t>A se vedea Recomandarea 1 privind „UE în lume” a Grupului național olandez pentru cetățeni, elaborată în cadrul grupului de lucru.</w:t>
      </w:r>
    </w:p>
  </w:endnote>
  <w:endnote w:id="44">
    <w:p>
      <w:pPr>
        <w:pStyle w:val="Notedefin"/>
        <w:suppressLineNumbers/>
        <w:spacing w:before="57" w:after="57"/>
        <w:ind w:left="339" w:right="0" w:hanging="339"/>
        <w:rPr/>
      </w:pPr>
      <w:r>
        <w:rPr>
          <w:rStyle w:val="Caractresdenotedefin"/>
        </w:rPr>
        <w:endnoteRef/>
      </w:r>
      <w:r>
        <w:rPr/>
        <w:tab/>
      </w:r>
      <w:r>
        <w:rPr/>
        <w:t>A se vedea platforma digitală și dezbaterile în plen, dezvoltate în cadrul grupului de lucru.</w:t>
      </w:r>
    </w:p>
  </w:endnote>
  <w:endnote w:id="45">
    <w:p>
      <w:pPr>
        <w:pStyle w:val="Notedefin"/>
        <w:suppressLineNumbers/>
        <w:spacing w:before="57" w:after="57"/>
        <w:ind w:left="339" w:right="0" w:hanging="339"/>
        <w:rPr/>
      </w:pPr>
      <w:r>
        <w:rPr>
          <w:rStyle w:val="Caractresdenotedefin"/>
        </w:rPr>
        <w:endnoteRef/>
      </w:r>
      <w:r>
        <w:rPr/>
        <w:tab/>
      </w:r>
      <w:r>
        <w:rPr/>
        <w:t>A se vedea platforma digitală, dezvoltată în cadrul grupului de lucru.</w:t>
      </w:r>
    </w:p>
  </w:endnote>
  <w:endnote w:id="46">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2 (CEP 2) 10, 11, 14, 30; Grupul național belgian al cetățenilor (PCN): 1.3.1, 1.4.2, 1.4.3; PNC din Germania: 5.1, 5.2; PNC din Țările de Jos: 1.2.</w:t>
      </w:r>
    </w:p>
  </w:endnote>
  <w:endnote w:id="47">
    <w:p>
      <w:pPr>
        <w:pStyle w:val="Notedefin"/>
        <w:suppressLineNumbers/>
        <w:spacing w:before="57" w:after="57"/>
        <w:ind w:left="339" w:right="0" w:hanging="339"/>
        <w:rPr/>
      </w:pPr>
      <w:r>
        <w:rPr>
          <w:rStyle w:val="Caractresdenotedefin"/>
        </w:rPr>
        <w:endnoteRef/>
      </w:r>
      <w:r>
        <w:rPr/>
        <w:tab/>
      </w:r>
      <w:r>
        <w:rPr/>
        <w:t>Recomandarea 14 din PCE2. Recomandările 1.3.1, 1.4.2 și 1.4.3 ale PNC belgian și 1.2 ale PNC olandez.</w:t>
      </w:r>
    </w:p>
  </w:endnote>
  <w:endnote w:id="48">
    <w:p>
      <w:pPr>
        <w:pStyle w:val="Notedefin"/>
        <w:suppressLineNumbers/>
        <w:spacing w:before="57" w:after="57"/>
        <w:ind w:left="339" w:right="0" w:hanging="339"/>
        <w:rPr/>
      </w:pPr>
      <w:r>
        <w:rPr>
          <w:rStyle w:val="Caractresdenotedefin"/>
        </w:rPr>
        <w:endnoteRef/>
      </w:r>
      <w:r>
        <w:rPr/>
        <w:tab/>
      </w:r>
      <w:r>
        <w:rPr/>
        <w:t>Recomandarea nr. 112 a PCE. Recomandările 5.1 și 5.2 ale PNC german. Dezbatere în cadrul GL.</w:t>
      </w:r>
    </w:p>
  </w:endnote>
  <w:endnote w:id="49">
    <w:p>
      <w:pPr>
        <w:pStyle w:val="Notedefin"/>
        <w:suppressLineNumbers/>
        <w:spacing w:before="57" w:after="57"/>
        <w:ind w:left="339" w:right="0" w:hanging="339"/>
        <w:rPr/>
      </w:pPr>
      <w:r>
        <w:rPr>
          <w:rStyle w:val="Caractresdenotedefin"/>
        </w:rPr>
        <w:endnoteRef/>
      </w:r>
      <w:r>
        <w:rPr/>
        <w:tab/>
      </w:r>
      <w:r>
        <w:rPr/>
        <w:t>Recomandarea nr. 112 a PCE. Dezbatere în cadrul GL. Dezbatere în plen.</w:t>
      </w:r>
    </w:p>
  </w:endnote>
  <w:endnote w:id="50">
    <w:p>
      <w:pPr>
        <w:pStyle w:val="Notedefin"/>
        <w:suppressLineNumbers/>
        <w:spacing w:before="57" w:after="57"/>
        <w:ind w:left="339" w:right="0" w:hanging="339"/>
        <w:rPr/>
      </w:pPr>
      <w:r>
        <w:rPr>
          <w:rStyle w:val="Caractresdenotedefin"/>
        </w:rPr>
        <w:endnoteRef/>
      </w:r>
      <w:r>
        <w:rPr/>
        <w:tab/>
      </w:r>
      <w:r>
        <w:rPr/>
        <w:t>Recomandarea 10 din PCE2.</w:t>
      </w:r>
    </w:p>
  </w:endnote>
  <w:endnote w:id="51">
    <w:p>
      <w:pPr>
        <w:pStyle w:val="Notedefin"/>
        <w:suppressLineNumbers/>
        <w:spacing w:before="57" w:after="57"/>
        <w:ind w:left="339" w:right="0" w:hanging="339"/>
        <w:rPr/>
      </w:pPr>
      <w:r>
        <w:rPr>
          <w:rStyle w:val="Caractresdenotedefin"/>
        </w:rPr>
        <w:endnoteRef/>
      </w:r>
      <w:r>
        <w:rPr/>
        <w:tab/>
      </w:r>
      <w:r>
        <w:rPr/>
        <w:t>Recomandarea nr. 302 a PCE.</w:t>
      </w:r>
    </w:p>
  </w:endnote>
  <w:endnote w:id="52">
    <w:p>
      <w:pPr>
        <w:pStyle w:val="Notedefin"/>
        <w:suppressLineNumbers/>
        <w:spacing w:before="57" w:after="57"/>
        <w:ind w:left="339" w:right="0" w:hanging="339"/>
        <w:rPr/>
      </w:pPr>
      <w:r>
        <w:rPr>
          <w:rStyle w:val="Caractresdenotedefin"/>
        </w:rPr>
        <w:endnoteRef/>
      </w:r>
      <w:r>
        <w:rPr/>
        <w:tab/>
      </w:r>
      <w:r>
        <w:rPr/>
        <w:t>Recomandările cetățenilor pe care se bazează propunerea: PCE2: 7, 8, 9; PNC din Țările de Jos: 1.3, 4.3.</w:t>
      </w:r>
    </w:p>
  </w:endnote>
  <w:endnote w:id="53">
    <w:p>
      <w:pPr>
        <w:pStyle w:val="Notedefin"/>
        <w:suppressLineNumbers/>
        <w:spacing w:before="57" w:after="57"/>
        <w:ind w:left="339" w:right="0" w:hanging="339"/>
        <w:rPr/>
      </w:pPr>
      <w:r>
        <w:rPr>
          <w:rStyle w:val="Caractresdenotedefin"/>
        </w:rPr>
        <w:endnoteRef/>
      </w:r>
      <w:r>
        <w:rPr/>
        <w:tab/>
      </w:r>
      <w:r>
        <w:rPr/>
        <w:t>Recomandarea 7 din PCE2. Dezbatere în cadrul GL.</w:t>
      </w:r>
    </w:p>
  </w:endnote>
  <w:endnote w:id="54">
    <w:p>
      <w:pPr>
        <w:pStyle w:val="Notedefin"/>
        <w:suppressLineNumbers/>
        <w:spacing w:before="57" w:after="57"/>
        <w:ind w:left="339" w:right="0" w:hanging="339"/>
        <w:rPr/>
      </w:pPr>
      <w:r>
        <w:rPr>
          <w:rStyle w:val="Caractresdenotedefin"/>
        </w:rPr>
        <w:endnoteRef/>
      </w:r>
      <w:r>
        <w:rPr/>
        <w:tab/>
      </w:r>
      <w:r>
        <w:rPr/>
        <w:t>Subiect discutat, de asemenea, de Grupul de lucru pentru transformarea digitală.</w:t>
      </w:r>
    </w:p>
  </w:endnote>
  <w:endnote w:id="55">
    <w:p>
      <w:pPr>
        <w:pStyle w:val="Notedefin"/>
        <w:suppressLineNumbers/>
        <w:spacing w:before="57" w:after="57"/>
        <w:ind w:left="339" w:right="0" w:hanging="339"/>
        <w:rPr/>
      </w:pPr>
      <w:r>
        <w:rPr>
          <w:rStyle w:val="Caractresdenotedefin"/>
        </w:rPr>
        <w:endnoteRef/>
      </w:r>
      <w:r>
        <w:rPr/>
        <w:tab/>
      </w:r>
      <w:r>
        <w:rPr/>
        <w:t>Recomandarea 9 din PCE2.</w:t>
      </w:r>
    </w:p>
  </w:endnote>
  <w:endnote w:id="56">
    <w:p>
      <w:pPr>
        <w:pStyle w:val="Notedefin"/>
        <w:suppressLineNumbers/>
        <w:spacing w:before="57" w:after="57"/>
        <w:ind w:left="339" w:right="0" w:hanging="339"/>
        <w:rPr/>
      </w:pPr>
      <w:r>
        <w:rPr>
          <w:rStyle w:val="Caractresdenotedefin"/>
        </w:rPr>
        <w:endnoteRef/>
      </w:r>
      <w:r>
        <w:rPr/>
        <w:tab/>
      </w:r>
      <w:r>
        <w:rPr/>
        <w:t>Subiect discutat, de asemenea, de Grupul de lucru pentru transformarea digitală.</w:t>
      </w:r>
    </w:p>
  </w:endnote>
  <w:endnote w:id="57">
    <w:p>
      <w:pPr>
        <w:pStyle w:val="Notedefin"/>
        <w:suppressLineNumbers/>
        <w:spacing w:before="57" w:after="57"/>
        <w:ind w:left="339" w:right="0" w:hanging="339"/>
        <w:rPr/>
      </w:pPr>
      <w:r>
        <w:rPr>
          <w:rStyle w:val="Caractresdenotedefin"/>
        </w:rPr>
        <w:endnoteRef/>
      </w:r>
      <w:r>
        <w:rPr/>
        <w:tab/>
      </w:r>
      <w:r>
        <w:rPr/>
        <w:t>Recomandarea 8 din PCE2. Recomandările 1.3 și 4.3 ale PNC din Țările de Jos.</w:t>
      </w:r>
    </w:p>
  </w:endnote>
  <w:endnote w:id="58">
    <w:p>
      <w:pPr>
        <w:pStyle w:val="Notedefin"/>
        <w:suppressLineNumbers/>
        <w:spacing w:before="57" w:after="57"/>
        <w:ind w:left="339" w:right="0" w:hanging="339"/>
        <w:rPr/>
      </w:pPr>
      <w:r>
        <w:rPr>
          <w:rStyle w:val="Caractresdenotedefin"/>
        </w:rPr>
        <w:endnoteRef/>
      </w:r>
      <w:r>
        <w:rPr/>
        <w:tab/>
      </w:r>
      <w:r>
        <w:rPr/>
        <w:t>Recomandările nr. 7 și 8 ale PCE2.</w:t>
      </w:r>
    </w:p>
  </w:endnote>
  <w:endnote w:id="59">
    <w:p>
      <w:pPr>
        <w:pStyle w:val="Notedefin"/>
        <w:suppressLineNumbers/>
        <w:spacing w:before="57" w:after="57"/>
        <w:ind w:left="339" w:right="0" w:hanging="339"/>
        <w:rPr/>
      </w:pPr>
      <w:r>
        <w:rPr>
          <w:rStyle w:val="Caractresdenotedefin"/>
        </w:rPr>
        <w:endnoteRef/>
      </w:r>
      <w:r>
        <w:rPr/>
        <w:tab/>
      </w:r>
      <w:r>
        <w:rPr/>
        <w:t>Subiect discutat, de asemenea, de Grupul de lucru pentru transformarea digitală.</w:t>
      </w:r>
    </w:p>
  </w:endnote>
  <w:endnote w:id="60">
    <w:p>
      <w:pPr>
        <w:pStyle w:val="Notedefin"/>
        <w:suppressLineNumbers/>
        <w:spacing w:before="57" w:after="57"/>
        <w:ind w:left="339" w:right="0" w:hanging="339"/>
        <w:rPr/>
      </w:pPr>
      <w:r>
        <w:rPr>
          <w:rStyle w:val="Caractresdenotedefin"/>
        </w:rPr>
        <w:endnoteRef/>
      </w:r>
      <w:r>
        <w:rPr/>
        <w:tab/>
      </w:r>
      <w:r>
        <w:rPr/>
        <w:t>Recomandările cetățenilor pe care se bazează propunerea: PCE2: 5, 12, 13, 17, 28; PNC belgian: 1.5.1, 2.1.1-2.4.3; PNC din Țările de Jos: 3.1.</w:t>
      </w:r>
    </w:p>
  </w:endnote>
  <w:endnote w:id="61">
    <w:p>
      <w:pPr>
        <w:pStyle w:val="Notedefin"/>
        <w:suppressLineNumbers/>
        <w:spacing w:before="57" w:after="57"/>
        <w:ind w:left="339" w:right="0" w:hanging="339"/>
        <w:rPr/>
      </w:pPr>
      <w:r>
        <w:rPr>
          <w:rStyle w:val="Caractresdenotedefin"/>
        </w:rPr>
        <w:endnoteRef/>
      </w:r>
      <w:r>
        <w:rPr/>
        <w:tab/>
      </w:r>
      <w:r>
        <w:rPr/>
        <w:t>Recomandarea 5 din PCE2. Recomandarea 2.1.1 a PNC belgian. Recomandarea 3.1 a PNC din Țările de Jos.</w:t>
      </w:r>
    </w:p>
  </w:endnote>
  <w:endnote w:id="62">
    <w:p>
      <w:pPr>
        <w:pStyle w:val="Notedefin"/>
        <w:suppressLineNumbers/>
        <w:spacing w:before="57" w:after="57"/>
        <w:ind w:left="339" w:right="0" w:hanging="339"/>
        <w:rPr/>
      </w:pPr>
      <w:r>
        <w:rPr>
          <w:rStyle w:val="Caractresdenotedefin"/>
        </w:rPr>
        <w:endnoteRef/>
      </w:r>
      <w:r>
        <w:rPr/>
        <w:tab/>
      </w:r>
      <w:r>
        <w:rPr/>
        <w:t>Recomandarea nr. 122 a PCE. Recomandarea 2.1.4 a PNC belgian.</w:t>
      </w:r>
    </w:p>
  </w:endnote>
  <w:endnote w:id="63">
    <w:p>
      <w:pPr>
        <w:pStyle w:val="Notedefin"/>
        <w:suppressLineNumbers/>
        <w:spacing w:before="57" w:after="57"/>
        <w:ind w:left="339" w:right="0" w:hanging="339"/>
        <w:rPr/>
      </w:pPr>
      <w:r>
        <w:rPr>
          <w:rStyle w:val="Caractresdenotedefin"/>
        </w:rPr>
        <w:endnoteRef/>
      </w:r>
      <w:r>
        <w:rPr/>
        <w:tab/>
      </w:r>
      <w:r>
        <w:rPr/>
        <w:t>Recomandările PCE2 nr. 17 și 28. Recomandările 1.5.1, 2.1.3, 2.2.1 și 2.2.2 ale PNC belgian.</w:t>
      </w:r>
    </w:p>
  </w:endnote>
  <w:endnote w:id="64">
    <w:p>
      <w:pPr>
        <w:pStyle w:val="Notedefin"/>
        <w:suppressLineNumbers/>
        <w:spacing w:before="57" w:after="57"/>
        <w:ind w:left="339" w:right="0" w:hanging="339"/>
        <w:rPr/>
      </w:pPr>
      <w:r>
        <w:rPr>
          <w:rStyle w:val="Caractresdenotedefin"/>
        </w:rPr>
        <w:endnoteRef/>
      </w:r>
      <w:r>
        <w:rPr/>
        <w:tab/>
      </w:r>
      <w:r>
        <w:rPr/>
        <w:t>Subiect discutat, de asemenea, de Grupul de lucru pentru transformarea digitală.</w:t>
      </w:r>
    </w:p>
  </w:endnote>
  <w:endnote w:id="65">
    <w:p>
      <w:pPr>
        <w:pStyle w:val="Notedefin"/>
        <w:suppressLineNumbers/>
        <w:spacing w:before="57" w:after="57"/>
        <w:ind w:left="339" w:right="0" w:hanging="339"/>
        <w:rPr/>
      </w:pPr>
      <w:r>
        <w:rPr>
          <w:rStyle w:val="Caractresdenotedefin"/>
        </w:rPr>
        <w:endnoteRef/>
      </w:r>
      <w:r>
        <w:rPr/>
        <w:tab/>
      </w:r>
      <w:r>
        <w:rPr/>
        <w:t>Recomandările PCE2 nr. 5 și 28. Recomandările 2.3.2 și 2.3.3 ale PNC belgian.</w:t>
      </w:r>
    </w:p>
  </w:endnote>
  <w:endnote w:id="66">
    <w:p>
      <w:pPr>
        <w:pStyle w:val="Notedefin"/>
        <w:suppressLineNumbers/>
        <w:spacing w:before="57" w:after="57"/>
        <w:ind w:left="339" w:right="0" w:hanging="339"/>
        <w:rPr/>
      </w:pPr>
      <w:r>
        <w:rPr>
          <w:rStyle w:val="Caractresdenotedefin"/>
        </w:rPr>
        <w:endnoteRef/>
      </w:r>
      <w:r>
        <w:rPr/>
        <w:tab/>
      </w:r>
      <w:r>
        <w:rPr/>
        <w:t>Recomandarea nr. 282 a PCE. Recomandările 2.3.1, 2.4.1 și 2.4.2 ale PNC belgian.</w:t>
      </w:r>
    </w:p>
  </w:endnote>
  <w:endnote w:id="67">
    <w:p>
      <w:pPr>
        <w:pStyle w:val="Notedefin"/>
        <w:suppressLineNumbers/>
        <w:spacing w:before="57" w:after="57"/>
        <w:ind w:left="339" w:right="0" w:hanging="339"/>
        <w:rPr/>
      </w:pPr>
      <w:r>
        <w:rPr>
          <w:rStyle w:val="Caractresdenotedefin"/>
        </w:rPr>
        <w:endnoteRef/>
      </w:r>
      <w:r>
        <w:rPr/>
        <w:tab/>
      </w:r>
      <w:r>
        <w:rPr/>
        <w:t>Subiect discutat, de asemenea, de Grupul de lucru pentru transformarea digitală.</w:t>
      </w:r>
    </w:p>
  </w:endnote>
  <w:endnote w:id="68">
    <w:p>
      <w:pPr>
        <w:pStyle w:val="Notedefin"/>
        <w:suppressLineNumbers/>
        <w:spacing w:before="57" w:after="57"/>
        <w:ind w:left="339" w:right="0" w:hanging="339"/>
        <w:rPr/>
      </w:pPr>
      <w:r>
        <w:rPr>
          <w:rStyle w:val="Caractresdenotedefin"/>
        </w:rPr>
        <w:endnoteRef/>
      </w:r>
      <w:r>
        <w:rPr/>
        <w:tab/>
      </w:r>
      <w:r>
        <w:rPr/>
        <w:t>Recomandarea nr. 132 a PCE.</w:t>
      </w:r>
    </w:p>
  </w:endnote>
  <w:endnote w:id="69">
    <w:p>
      <w:pPr>
        <w:pStyle w:val="Notedefin"/>
        <w:suppressLineNumbers/>
        <w:spacing w:before="57" w:after="57"/>
        <w:ind w:left="339" w:right="0" w:hanging="339"/>
        <w:rPr/>
      </w:pPr>
      <w:r>
        <w:rPr>
          <w:rStyle w:val="Caractresdenotedefin"/>
        </w:rPr>
        <w:endnoteRef/>
      </w:r>
      <w:r>
        <w:rPr/>
        <w:tab/>
      </w:r>
      <w:r>
        <w:rPr/>
        <w:t>Subiect discutat, de asemenea, de Grupul de lucru pentru transformarea digitală.</w:t>
      </w:r>
    </w:p>
  </w:endnote>
  <w:endnote w:id="70">
    <w:p>
      <w:pPr>
        <w:pStyle w:val="Notedefin"/>
        <w:suppressLineNumbers/>
        <w:spacing w:before="57" w:after="57"/>
        <w:ind w:left="339" w:right="0" w:hanging="339"/>
        <w:rPr/>
      </w:pPr>
      <w:r>
        <w:rPr>
          <w:rStyle w:val="Caractresdenotedefin"/>
        </w:rPr>
        <w:endnoteRef/>
      </w:r>
      <w:r>
        <w:rPr/>
        <w:tab/>
      </w:r>
      <w:r>
        <w:rPr/>
        <w:t>Recomandarea nr. 132 a PCE.</w:t>
      </w:r>
    </w:p>
  </w:endnote>
  <w:endnote w:id="71">
    <w:p>
      <w:pPr>
        <w:pStyle w:val="Notedefin"/>
        <w:suppressLineNumbers/>
        <w:spacing w:before="57" w:after="57"/>
        <w:ind w:left="339" w:right="0" w:hanging="339"/>
        <w:rPr/>
      </w:pPr>
      <w:r>
        <w:rPr>
          <w:rStyle w:val="Caractresdenotedefin"/>
        </w:rPr>
        <w:endnoteRef/>
      </w:r>
      <w:r>
        <w:rPr/>
        <w:tab/>
      </w:r>
      <w:r>
        <w:rPr/>
        <w:t>Subiect discutat, de asemenea, de Grupul de lucru pentru transformarea digitală.</w:t>
      </w:r>
    </w:p>
  </w:endnote>
  <w:endnote w:id="72">
    <w:p>
      <w:pPr>
        <w:pStyle w:val="Notedefin"/>
        <w:suppressLineNumbers/>
        <w:spacing w:before="57" w:after="57"/>
        <w:ind w:left="339" w:right="0" w:hanging="339"/>
        <w:rPr/>
      </w:pPr>
      <w:r>
        <w:rPr>
          <w:rStyle w:val="Caractresdenotedefin"/>
        </w:rPr>
        <w:endnoteRef/>
      </w:r>
      <w:r>
        <w:rPr/>
        <w:tab/>
      </w:r>
      <w:r>
        <w:rPr/>
        <w:t>Recomandările cetățenilor pe care se bazează propunerea: PCE2: 1, 2, 21, 22, 23; PNC din Țările de Jos: 1.1.</w:t>
      </w:r>
    </w:p>
  </w:endnote>
  <w:endnote w:id="73">
    <w:p>
      <w:pPr>
        <w:pStyle w:val="Notedefin"/>
        <w:suppressLineNumbers/>
        <w:spacing w:before="57" w:after="57"/>
        <w:ind w:left="339" w:right="0" w:hanging="339"/>
        <w:rPr/>
      </w:pPr>
      <w:r>
        <w:rPr>
          <w:rStyle w:val="Caractresdenotedefin"/>
        </w:rPr>
        <w:endnoteRef/>
      </w:r>
      <w:r>
        <w:rPr/>
        <w:tab/>
      </w:r>
      <w:r>
        <w:rPr/>
        <w:t>Recomandarea nr. 222 a PCE. Dezbatere în cadrul GL.</w:t>
      </w:r>
    </w:p>
  </w:endnote>
  <w:endnote w:id="74">
    <w:p>
      <w:pPr>
        <w:pStyle w:val="Notedefin"/>
        <w:suppressLineNumbers/>
        <w:spacing w:before="57" w:after="57"/>
        <w:ind w:left="339" w:right="0" w:hanging="339"/>
        <w:rPr/>
      </w:pPr>
      <w:r>
        <w:rPr>
          <w:rStyle w:val="Caractresdenotedefin"/>
        </w:rPr>
        <w:endnoteRef/>
      </w:r>
      <w:r>
        <w:rPr/>
        <w:tab/>
      </w:r>
      <w:r>
        <w:rPr/>
        <w:t>Întrebare discutată, de asemenea, de Grupul de lucru pentru o economie mai puternică, justiție socială și ocuparea forței de muncă.</w:t>
      </w:r>
    </w:p>
  </w:endnote>
  <w:endnote w:id="75">
    <w:p>
      <w:pPr>
        <w:pStyle w:val="Notedefin"/>
        <w:suppressLineNumbers/>
        <w:spacing w:before="57" w:after="57"/>
        <w:ind w:left="339" w:right="0" w:hanging="339"/>
        <w:rPr/>
      </w:pPr>
      <w:r>
        <w:rPr>
          <w:rStyle w:val="Caractresdenotedefin"/>
        </w:rPr>
        <w:endnoteRef/>
      </w:r>
      <w:r>
        <w:rPr/>
        <w:tab/>
      </w:r>
      <w:r>
        <w:rPr/>
        <w:t>Recomandarea nr. 212 a PCE. Recomandarea 1.1 a PNC din Țările de Jos.</w:t>
      </w:r>
    </w:p>
  </w:endnote>
  <w:endnote w:id="76">
    <w:p>
      <w:pPr>
        <w:pStyle w:val="Notedefin"/>
        <w:suppressLineNumbers/>
        <w:spacing w:before="57" w:after="57"/>
        <w:ind w:left="339" w:right="0" w:hanging="339"/>
        <w:rPr/>
      </w:pPr>
      <w:r>
        <w:rPr>
          <w:rStyle w:val="Caractresdenotedefin"/>
        </w:rPr>
        <w:endnoteRef/>
      </w:r>
      <w:r>
        <w:rPr/>
        <w:tab/>
      </w:r>
      <w:r>
        <w:rPr/>
        <w:t>Recomandarea nr. 232 a PCE.</w:t>
      </w:r>
    </w:p>
  </w:endnote>
  <w:endnote w:id="77">
    <w:p>
      <w:pPr>
        <w:pStyle w:val="Notedefin"/>
        <w:suppressLineNumbers/>
        <w:spacing w:before="57" w:after="57"/>
        <w:ind w:left="339" w:right="0" w:hanging="339"/>
        <w:rPr/>
      </w:pPr>
      <w:r>
        <w:rPr>
          <w:rStyle w:val="Caractresdenotedefin"/>
        </w:rPr>
        <w:endnoteRef/>
      </w:r>
      <w:r>
        <w:rPr/>
        <w:tab/>
      </w:r>
      <w:r>
        <w:rPr/>
        <w:t>Întrebare discutată, de asemenea, de Grupul de lucru pentru o economie mai puternică, justiție socială și ocuparea forței de muncă.</w:t>
      </w:r>
    </w:p>
  </w:endnote>
  <w:endnote w:id="78">
    <w:p>
      <w:pPr>
        <w:pStyle w:val="Notedefin"/>
        <w:suppressLineNumbers/>
        <w:spacing w:before="57" w:after="57"/>
        <w:ind w:left="339" w:right="0" w:hanging="339"/>
        <w:rPr/>
      </w:pPr>
      <w:r>
        <w:rPr>
          <w:rStyle w:val="Caractresdenotedefin"/>
        </w:rPr>
        <w:endnoteRef/>
      </w:r>
      <w:r>
        <w:rPr/>
        <w:tab/>
      </w:r>
      <w:r>
        <w:rPr/>
        <w:t>Recomandarea 1 din PCE2. Dezbatere în cadrul GL.</w:t>
      </w:r>
    </w:p>
  </w:endnote>
  <w:endnote w:id="79">
    <w:p>
      <w:pPr>
        <w:pStyle w:val="Notedefin"/>
        <w:suppressLineNumbers/>
        <w:spacing w:before="57" w:after="57"/>
        <w:ind w:left="339" w:right="0" w:hanging="339"/>
        <w:rPr/>
      </w:pPr>
      <w:r>
        <w:rPr>
          <w:rStyle w:val="Caractresdenotedefin"/>
        </w:rPr>
        <w:endnoteRef/>
      </w:r>
      <w:r>
        <w:rPr/>
        <w:tab/>
      </w:r>
      <w:r>
        <w:rPr/>
        <w:t>Recomandarea 2 din PCE2. Dezbatere în cadrul GL.</w:t>
      </w:r>
    </w:p>
  </w:endnote>
  <w:endnote w:id="80">
    <w:p>
      <w:pPr>
        <w:pStyle w:val="Notedefin"/>
        <w:suppressLineNumbers/>
        <w:spacing w:before="57" w:after="57"/>
        <w:ind w:left="339" w:right="0" w:hanging="339"/>
        <w:rPr/>
      </w:pPr>
      <w:r>
        <w:rPr>
          <w:rStyle w:val="Caractresdenotedefin"/>
        </w:rPr>
        <w:endnoteRef/>
      </w:r>
      <w:r>
        <w:rPr/>
        <w:tab/>
      </w:r>
      <w:r>
        <w:rPr/>
        <w:t>Recomandările cetățenilor pe care se bazează propunerea: PCE2: 3, 4, 6.</w:t>
      </w:r>
    </w:p>
  </w:endnote>
  <w:endnote w:id="81">
    <w:p>
      <w:pPr>
        <w:pStyle w:val="Notedefin"/>
        <w:suppressLineNumbers/>
        <w:spacing w:before="57" w:after="57"/>
        <w:ind w:left="339" w:right="0" w:hanging="339"/>
        <w:rPr/>
      </w:pPr>
      <w:r>
        <w:rPr>
          <w:rStyle w:val="Caractresdenotedefin"/>
        </w:rPr>
        <w:endnoteRef/>
      </w:r>
      <w:r>
        <w:rPr/>
        <w:tab/>
      </w:r>
      <w:r>
        <w:rPr/>
        <w:t>Recomandarea 3 din PCE2.</w:t>
      </w:r>
    </w:p>
  </w:endnote>
  <w:endnote w:id="82">
    <w:p>
      <w:pPr>
        <w:pStyle w:val="Notedefin"/>
        <w:suppressLineNumbers/>
        <w:spacing w:before="57" w:after="57"/>
        <w:ind w:left="339" w:right="0" w:hanging="339"/>
        <w:rPr/>
      </w:pPr>
      <w:r>
        <w:rPr>
          <w:rStyle w:val="Caractresdenotedefin"/>
        </w:rPr>
        <w:endnoteRef/>
      </w:r>
      <w:r>
        <w:rPr/>
        <w:tab/>
      </w:r>
      <w:r>
        <w:rPr/>
        <w:t>Subiect discutat, de asemenea, de Grupul de lucru pentru schimbări climatice și mediu.</w:t>
      </w:r>
    </w:p>
  </w:endnote>
  <w:endnote w:id="83">
    <w:p>
      <w:pPr>
        <w:pStyle w:val="Notedefin"/>
        <w:suppressLineNumbers/>
        <w:spacing w:before="57" w:after="57"/>
        <w:ind w:left="339" w:right="0" w:hanging="339"/>
        <w:rPr/>
      </w:pPr>
      <w:r>
        <w:rPr>
          <w:rStyle w:val="Caractresdenotedefin"/>
        </w:rPr>
        <w:endnoteRef/>
      </w:r>
      <w:r>
        <w:rPr/>
        <w:tab/>
      </w:r>
      <w:r>
        <w:rPr/>
        <w:t>Recomandarea 4 din PCE2.</w:t>
      </w:r>
    </w:p>
  </w:endnote>
  <w:endnote w:id="84">
    <w:p>
      <w:pPr>
        <w:pStyle w:val="Notedefin"/>
        <w:suppressLineNumbers/>
        <w:spacing w:before="57" w:after="57"/>
        <w:ind w:left="339" w:right="0" w:hanging="339"/>
        <w:rPr/>
      </w:pPr>
      <w:r>
        <w:rPr>
          <w:rStyle w:val="Caractresdenotedefin"/>
        </w:rPr>
        <w:endnoteRef/>
      </w:r>
      <w:r>
        <w:rPr/>
        <w:tab/>
      </w:r>
      <w:r>
        <w:rPr/>
        <w:t>Recomandarea 6 din PCE2.</w:t>
      </w:r>
    </w:p>
  </w:endnote>
  <w:endnote w:id="85">
    <w:p>
      <w:pPr>
        <w:pStyle w:val="Notedefin"/>
        <w:suppressLineNumbers/>
        <w:spacing w:before="57" w:after="57"/>
        <w:ind w:left="339" w:right="0" w:hanging="339"/>
        <w:rPr/>
      </w:pPr>
      <w:r>
        <w:rPr>
          <w:rStyle w:val="Caractresdenotedefin"/>
        </w:rPr>
        <w:endnoteRef/>
      </w:r>
      <w:r>
        <w:rPr/>
        <w:tab/>
      </w:r>
      <w:r>
        <w:rPr/>
        <w:t>Subiect discutat, de asemenea, de Grupul de lucru pentru schimbări climatice și mediu.</w:t>
      </w:r>
    </w:p>
  </w:endnote>
  <w:endnote w:id="86">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1 (PCE 1): 17, 40, 47; Grupul național olandez al cetățenilor (PCN) nr. 1.</w:t>
      </w:r>
    </w:p>
  </w:endnote>
  <w:endnote w:id="87">
    <w:p>
      <w:pPr>
        <w:pStyle w:val="Notedefin"/>
        <w:suppressLineNumbers/>
        <w:spacing w:before="57" w:after="57"/>
        <w:ind w:left="339" w:right="0" w:hanging="339"/>
        <w:rPr/>
      </w:pPr>
      <w:r>
        <w:rPr>
          <w:rStyle w:val="Caractresdenotedefin"/>
        </w:rPr>
        <w:endnoteRef/>
      </w:r>
      <w:r>
        <w:rPr/>
        <w:tab/>
      </w:r>
      <w:r>
        <w:rPr/>
        <w:t>A se vedea linkul către Recomandarea 38 a ECP 3 privind infrastructura pentru vehiculele electrice.</w:t>
      </w:r>
    </w:p>
  </w:endnote>
  <w:endnote w:id="88">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1 (PCE 1): 8, 34 și 47; Grupul național al cetățenilor (PCN) din Italia 5.2.</w:t>
      </w:r>
    </w:p>
  </w:endnote>
  <w:endnote w:id="89">
    <w:p>
      <w:pPr>
        <w:pStyle w:val="Notedefin"/>
        <w:suppressLineNumbers/>
        <w:spacing w:before="57" w:after="57"/>
        <w:ind w:left="339" w:right="0" w:hanging="339"/>
        <w:rPr/>
      </w:pPr>
      <w:r>
        <w:rPr>
          <w:rStyle w:val="Caractresdenotedefin"/>
        </w:rPr>
        <w:endnoteRef/>
      </w:r>
      <w:r>
        <w:rPr/>
        <w:tab/>
      </w:r>
      <w:r>
        <w:rPr/>
        <w:t>Recomandările cetățenilor pe care se bazează propunerea: recomandările 39 și 46 ale Grupului cetățenilor europeni 1 (CEP 1) și recomandările 2.6 ale Grupului național al cetățenilor lituanieni (PCN) și ale PNC din Țările de Jos.</w:t>
      </w:r>
    </w:p>
  </w:endnote>
  <w:endnote w:id="90">
    <w:p>
      <w:pPr>
        <w:pStyle w:val="Notedefin"/>
        <w:suppressLineNumbers/>
        <w:spacing w:before="57" w:after="57"/>
        <w:ind w:left="339" w:right="0" w:hanging="339"/>
        <w:rPr/>
      </w:pPr>
      <w:r>
        <w:rPr>
          <w:rStyle w:val="Caractresdenotedefin"/>
        </w:rPr>
        <w:endnoteRef/>
      </w:r>
      <w:r>
        <w:rPr/>
        <w:tab/>
      </w:r>
      <w:r>
        <w:rPr/>
        <w:t>Recomandările cetățenilor pe care se bazează propunerea: recomandările 42, 43, 44 și 45 ale Grupului cetățenilor europeni nr. 1 (PCE 1) și Recomandarea nr. 2 a Grupului național al cetățenilor neerlandezi (PCN).</w:t>
      </w:r>
    </w:p>
  </w:endnote>
  <w:endnote w:id="91">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nr. 1 (PCE 1) nr. 7, 16 și 17 și grupurile naționale ale cetățenilor (PCN) din Germania și Italia 1.3.</w:t>
      </w:r>
    </w:p>
  </w:endnote>
  <w:endnote w:id="92">
    <w:p>
      <w:pPr>
        <w:pStyle w:val="Notedefin"/>
        <w:suppressLineNumbers/>
        <w:spacing w:before="57" w:after="57"/>
        <w:ind w:left="339" w:right="0" w:hanging="339"/>
        <w:rPr/>
      </w:pPr>
      <w:r>
        <w:rPr>
          <w:rStyle w:val="Caractresdenotedefin"/>
        </w:rPr>
        <w:endnoteRef/>
      </w:r>
      <w:r>
        <w:rPr/>
        <w:tab/>
      </w:r>
      <w:r>
        <w:rPr/>
        <w:t>A se analiza în legătură cu propunerile Grupului de lucru pentru o economie mai puternică.</w:t>
      </w:r>
    </w:p>
  </w:endnote>
  <w:endnote w:id="93">
    <w:p>
      <w:pPr>
        <w:pStyle w:val="Notedefin"/>
        <w:suppressLineNumbers/>
        <w:spacing w:before="57" w:after="57"/>
        <w:ind w:left="339" w:right="0" w:hanging="339"/>
        <w:rPr/>
      </w:pPr>
      <w:r>
        <w:rPr>
          <w:rStyle w:val="Caractresdenotedefin"/>
        </w:rPr>
        <w:endnoteRef/>
      </w:r>
      <w:r>
        <w:rPr/>
        <w:tab/>
      </w:r>
      <w:r>
        <w:rPr/>
        <w:t>Amendamentele nr. 3A și 3B ale Grupului de lucru (GL).</w:t>
      </w:r>
    </w:p>
  </w:endnote>
  <w:endnote w:id="94">
    <w:p>
      <w:pPr>
        <w:pStyle w:val="Notedefin"/>
        <w:suppressLineNumbers/>
        <w:spacing w:before="57" w:after="57"/>
        <w:ind w:left="339" w:right="0" w:hanging="339"/>
        <w:rPr/>
      </w:pPr>
      <w:r>
        <w:rPr>
          <w:rStyle w:val="Caractresdenotedefin"/>
        </w:rPr>
        <w:endnoteRef/>
      </w:r>
      <w:r>
        <w:rPr/>
        <w:tab/>
      </w:r>
      <w:r>
        <w:rPr/>
        <w:t>Recomandările 32 și 37 ale Grupului cetățenilor europeni 2 (PCE 2); grupurile naționale BE, FR și NL.</w:t>
      </w:r>
    </w:p>
  </w:endnote>
  <w:endnote w:id="95">
    <w:p>
      <w:pPr>
        <w:pStyle w:val="Notedefin"/>
        <w:suppressLineNumbers/>
        <w:spacing w:before="57" w:after="57"/>
        <w:ind w:left="339" w:right="0" w:hanging="339"/>
        <w:rPr/>
      </w:pPr>
      <w:r>
        <w:rPr>
          <w:rStyle w:val="Caractresdenotedefin"/>
        </w:rPr>
        <w:endnoteRef/>
      </w:r>
      <w:r>
        <w:rPr/>
        <w:tab/>
      </w:r>
      <w:r>
        <w:rPr/>
        <w:t>Grupul național FR.</w:t>
      </w:r>
    </w:p>
  </w:endnote>
  <w:endnote w:id="96">
    <w:p>
      <w:pPr>
        <w:pStyle w:val="Notedefin"/>
        <w:suppressLineNumbers/>
        <w:spacing w:before="57" w:after="57"/>
        <w:ind w:left="339" w:right="0" w:hanging="339"/>
        <w:rPr/>
      </w:pPr>
      <w:r>
        <w:rPr>
          <w:rStyle w:val="Caractresdenotedefin"/>
        </w:rPr>
        <w:endnoteRef/>
      </w:r>
      <w:r>
        <w:rPr/>
        <w:tab/>
      </w:r>
      <w:r>
        <w:rPr/>
        <w:t>Amendamentul nr. 8 al GL, o formulare mai concisă.</w:t>
      </w:r>
    </w:p>
  </w:endnote>
  <w:endnote w:id="97">
    <w:p>
      <w:pPr>
        <w:pStyle w:val="Notedefin"/>
        <w:suppressLineNumbers/>
        <w:spacing w:before="57" w:after="57"/>
        <w:ind w:left="339" w:right="0" w:hanging="339"/>
        <w:rPr/>
      </w:pPr>
      <w:r>
        <w:rPr>
          <w:rStyle w:val="Caractresdenotedefin"/>
        </w:rPr>
        <w:endnoteRef/>
      </w:r>
      <w:r>
        <w:rPr/>
        <w:tab/>
      </w:r>
      <w:r>
        <w:rPr/>
        <w:t>Recomandarea nr. 29 a ECP 2.</w:t>
      </w:r>
    </w:p>
  </w:endnote>
  <w:endnote w:id="98">
    <w:p>
      <w:pPr>
        <w:pStyle w:val="Notedefin"/>
        <w:suppressLineNumbers/>
        <w:spacing w:before="57" w:after="57"/>
        <w:ind w:left="339" w:right="0" w:hanging="339"/>
        <w:rPr/>
      </w:pPr>
      <w:r>
        <w:rPr>
          <w:rStyle w:val="Caractresdenotedefin"/>
        </w:rPr>
        <w:endnoteRef/>
      </w:r>
      <w:r>
        <w:rPr/>
        <w:tab/>
      </w:r>
      <w:r>
        <w:rPr/>
        <w:t>ECP 2 Recomandările 19 și 32; grupurile naționale BE și FR și reprezentantul DK al evenimentelor naționale.</w:t>
      </w:r>
    </w:p>
  </w:endnote>
  <w:endnote w:id="99">
    <w:p>
      <w:pPr>
        <w:pStyle w:val="Notedefin"/>
        <w:suppressLineNumbers/>
        <w:spacing w:before="57" w:after="57"/>
        <w:ind w:left="339" w:right="0" w:hanging="339"/>
        <w:rPr/>
      </w:pPr>
      <w:r>
        <w:rPr>
          <w:rStyle w:val="Caractresdenotedefin"/>
        </w:rPr>
        <w:endnoteRef/>
      </w:r>
      <w:r>
        <w:rPr/>
        <w:tab/>
      </w:r>
      <w:r>
        <w:rPr/>
        <w:t>Juriul național BE.</w:t>
      </w:r>
    </w:p>
  </w:endnote>
  <w:endnote w:id="100">
    <w:p>
      <w:pPr>
        <w:pStyle w:val="Notedefin"/>
        <w:suppressLineNumbers/>
        <w:spacing w:before="57" w:after="57"/>
        <w:ind w:left="339" w:right="0" w:hanging="339"/>
        <w:rPr/>
      </w:pPr>
      <w:r>
        <w:rPr>
          <w:rStyle w:val="Caractresdenotedefin"/>
        </w:rPr>
        <w:endnoteRef/>
      </w:r>
      <w:r>
        <w:rPr/>
        <w:tab/>
      </w:r>
      <w:r>
        <w:rPr/>
        <w:t>Amendamentul nr. 7B al GL.</w:t>
      </w:r>
    </w:p>
  </w:endnote>
  <w:endnote w:id="101">
    <w:p>
      <w:pPr>
        <w:pStyle w:val="Notedefin"/>
        <w:suppressLineNumbers/>
        <w:spacing w:before="57" w:after="57"/>
        <w:ind w:left="339" w:right="0" w:hanging="339"/>
        <w:rPr/>
      </w:pPr>
      <w:r>
        <w:rPr>
          <w:rStyle w:val="Caractresdenotedefin"/>
        </w:rPr>
        <w:endnoteRef/>
      </w:r>
      <w:r>
        <w:rPr/>
        <w:tab/>
      </w:r>
      <w:r>
        <w:rPr/>
        <w:t>Juriul național BE.</w:t>
      </w:r>
    </w:p>
  </w:endnote>
  <w:endnote w:id="102">
    <w:p>
      <w:pPr>
        <w:pStyle w:val="Notedefin"/>
        <w:suppressLineNumbers/>
        <w:spacing w:before="57" w:after="57"/>
        <w:ind w:left="339" w:right="0" w:hanging="339"/>
        <w:rPr/>
      </w:pPr>
      <w:r>
        <w:rPr>
          <w:rStyle w:val="Caractresdenotedefin"/>
        </w:rPr>
        <w:endnoteRef/>
      </w:r>
      <w:r>
        <w:rPr/>
        <w:tab/>
      </w:r>
      <w:r>
        <w:rPr/>
        <w:t>Raportul final Kantar, p. 85.</w:t>
      </w:r>
    </w:p>
  </w:endnote>
  <w:endnote w:id="103">
    <w:p>
      <w:pPr>
        <w:pStyle w:val="Notedefin"/>
        <w:suppressLineNumbers/>
        <w:spacing w:before="57" w:after="57"/>
        <w:ind w:left="339" w:right="0" w:hanging="339"/>
        <w:rPr/>
      </w:pPr>
      <w:r>
        <w:rPr>
          <w:rStyle w:val="Caractresdenotedefin"/>
        </w:rPr>
        <w:endnoteRef/>
      </w:r>
      <w:r>
        <w:rPr/>
        <w:tab/>
      </w:r>
      <w:r>
        <w:rPr/>
        <w:t>Recomandarea 39 din PCE 2; juriul național nr. 3 BE.</w:t>
      </w:r>
    </w:p>
  </w:endnote>
  <w:endnote w:id="104">
    <w:p>
      <w:pPr>
        <w:pStyle w:val="Notedefin"/>
        <w:suppressLineNumbers/>
        <w:spacing w:before="57" w:after="57"/>
        <w:ind w:left="339" w:right="0" w:hanging="339"/>
        <w:rPr/>
      </w:pPr>
      <w:r>
        <w:rPr>
          <w:rStyle w:val="Caractresdenotedefin"/>
        </w:rPr>
        <w:endnoteRef/>
      </w:r>
      <w:r>
        <w:rPr/>
        <w:tab/>
      </w:r>
      <w:r>
        <w:rPr/>
        <w:t>Amendamentul 10A al Grupului de lucru, o formulare mai concisă.</w:t>
      </w:r>
    </w:p>
  </w:endnote>
  <w:endnote w:id="105">
    <w:p>
      <w:pPr>
        <w:pStyle w:val="Notedefin"/>
        <w:suppressLineNumbers/>
        <w:spacing w:before="57" w:after="57"/>
        <w:ind w:left="339" w:right="0" w:hanging="339"/>
        <w:rPr/>
      </w:pPr>
      <w:r>
        <w:rPr>
          <w:rStyle w:val="Caractresdenotedefin"/>
        </w:rPr>
        <w:endnoteRef/>
      </w:r>
      <w:r>
        <w:rPr/>
        <w:tab/>
      </w:r>
      <w:r>
        <w:rPr/>
        <w:t>Reprezentantul DK al evenimentelor naționale.</w:t>
      </w:r>
    </w:p>
  </w:endnote>
  <w:endnote w:id="106">
    <w:p>
      <w:pPr>
        <w:pStyle w:val="Notedefin"/>
        <w:suppressLineNumbers/>
        <w:spacing w:before="57" w:after="57"/>
        <w:ind w:left="339" w:right="0" w:hanging="339"/>
        <w:rPr/>
      </w:pPr>
      <w:r>
        <w:rPr>
          <w:rStyle w:val="Caractresdenotedefin"/>
        </w:rPr>
        <w:endnoteRef/>
      </w:r>
      <w:r>
        <w:rPr/>
        <w:tab/>
      </w:r>
      <w:r>
        <w:rPr/>
        <w:t>Amendamentul nr. 54C al GL.</w:t>
      </w:r>
    </w:p>
  </w:endnote>
  <w:endnote w:id="107">
    <w:p>
      <w:pPr>
        <w:pStyle w:val="Notedefin"/>
        <w:suppressLineNumbers/>
        <w:spacing w:before="57" w:after="57"/>
        <w:ind w:left="339" w:right="0" w:hanging="339"/>
        <w:rPr/>
      </w:pPr>
      <w:r>
        <w:rPr>
          <w:rStyle w:val="Caractresdenotedefin"/>
        </w:rPr>
        <w:endnoteRef/>
      </w:r>
      <w:r>
        <w:rPr/>
        <w:tab/>
      </w:r>
      <w:r>
        <w:rPr/>
        <w:t>Reprezentantul DK al evenimentelor naționale.</w:t>
      </w:r>
    </w:p>
  </w:endnote>
  <w:endnote w:id="108">
    <w:p>
      <w:pPr>
        <w:pStyle w:val="Notedefin"/>
        <w:suppressLineNumbers/>
        <w:spacing w:before="57" w:after="57"/>
        <w:ind w:left="339" w:right="0" w:hanging="339"/>
        <w:rPr/>
      </w:pPr>
      <w:r>
        <w:rPr>
          <w:rStyle w:val="Caractresdenotedefin"/>
        </w:rPr>
        <w:endnoteRef/>
      </w:r>
      <w:r>
        <w:rPr/>
        <w:tab/>
      </w:r>
      <w:r>
        <w:rPr/>
        <w:t>Reprezentantul DK al evenimentelor naționale.</w:t>
      </w:r>
    </w:p>
  </w:endnote>
  <w:endnote w:id="109">
    <w:p>
      <w:pPr>
        <w:pStyle w:val="Notedefin"/>
        <w:suppressLineNumbers/>
        <w:spacing w:before="57" w:after="57"/>
        <w:ind w:left="339" w:right="0" w:hanging="339"/>
        <w:rPr/>
      </w:pPr>
      <w:r>
        <w:rPr>
          <w:rStyle w:val="Caractresdenotedefin"/>
        </w:rPr>
        <w:endnoteRef/>
      </w:r>
      <w:r>
        <w:rPr/>
        <w:tab/>
      </w:r>
      <w:r>
        <w:rPr/>
        <w:t>Amendamentul nr. 15A la GL, formulare de compromis.</w:t>
      </w:r>
    </w:p>
  </w:endnote>
  <w:endnote w:id="110">
    <w:p>
      <w:pPr>
        <w:pStyle w:val="Notedefin"/>
        <w:suppressLineNumbers/>
        <w:spacing w:before="57" w:after="57"/>
        <w:ind w:left="339" w:right="0" w:hanging="339"/>
        <w:rPr/>
      </w:pPr>
      <w:r>
        <w:rPr>
          <w:rStyle w:val="Caractresdenotedefin"/>
        </w:rPr>
        <w:endnoteRef/>
      </w:r>
      <w:r>
        <w:rPr/>
        <w:tab/>
      </w:r>
      <w:r>
        <w:rPr/>
        <w:t>Recomandările PCE 2 24, 36 și 38; juriul național BE.</w:t>
      </w:r>
    </w:p>
  </w:endnote>
  <w:endnote w:id="111">
    <w:p>
      <w:pPr>
        <w:pStyle w:val="Notedefin"/>
        <w:suppressLineNumbers/>
        <w:spacing w:before="57" w:after="57"/>
        <w:ind w:left="339" w:right="0" w:hanging="339"/>
        <w:rPr/>
      </w:pPr>
      <w:r>
        <w:rPr>
          <w:rStyle w:val="Caractresdenotedefin"/>
        </w:rPr>
        <w:endnoteRef/>
      </w:r>
      <w:r>
        <w:rPr/>
        <w:tab/>
      </w:r>
      <w:r>
        <w:rPr/>
        <w:t>Amendamentul nr. 16C la GL.</w:t>
      </w:r>
    </w:p>
  </w:endnote>
  <w:endnote w:id="112">
    <w:p>
      <w:pPr>
        <w:pStyle w:val="Notedefin"/>
        <w:suppressLineNumbers/>
        <w:spacing w:before="57" w:after="57"/>
        <w:ind w:left="339" w:right="0" w:hanging="339"/>
        <w:rPr/>
      </w:pPr>
      <w:r>
        <w:rPr>
          <w:rStyle w:val="Caractresdenotedefin"/>
        </w:rPr>
        <w:endnoteRef/>
      </w:r>
      <w:r>
        <w:rPr/>
        <w:tab/>
      </w:r>
      <w:r>
        <w:rPr/>
        <w:t>Recomandarea 33 din PCE 2; grupurile naționale BE, FR și NL.</w:t>
      </w:r>
    </w:p>
  </w:endnote>
  <w:endnote w:id="113">
    <w:p>
      <w:pPr>
        <w:pStyle w:val="Notedefin"/>
        <w:suppressLineNumbers/>
        <w:spacing w:before="57" w:after="57"/>
        <w:ind w:left="339" w:right="0" w:hanging="339"/>
        <w:rPr/>
      </w:pPr>
      <w:r>
        <w:rPr>
          <w:rStyle w:val="Caractresdenotedefin"/>
        </w:rPr>
        <w:endnoteRef/>
      </w:r>
      <w:r>
        <w:rPr/>
        <w:tab/>
      </w:r>
      <w:r>
        <w:rPr/>
        <w:t>Recomandarea nr. 26 a ECP 2.</w:t>
      </w:r>
    </w:p>
  </w:endnote>
  <w:endnote w:id="114">
    <w:p>
      <w:pPr>
        <w:pStyle w:val="Notedefin"/>
        <w:suppressLineNumbers/>
        <w:spacing w:before="57" w:after="57"/>
        <w:ind w:left="339" w:right="0" w:hanging="339"/>
        <w:rPr/>
      </w:pPr>
      <w:r>
        <w:rPr>
          <w:rStyle w:val="Caractresdenotedefin"/>
        </w:rPr>
        <w:endnoteRef/>
      </w:r>
      <w:r>
        <w:rPr/>
        <w:tab/>
      </w:r>
      <w:r>
        <w:rPr/>
        <w:t>Amendamentul nr. 17 din GL.</w:t>
      </w:r>
    </w:p>
  </w:endnote>
  <w:endnote w:id="115">
    <w:p>
      <w:pPr>
        <w:pStyle w:val="Notedefin"/>
        <w:suppressLineNumbers/>
        <w:spacing w:before="57" w:after="57"/>
        <w:ind w:left="339" w:right="0" w:hanging="339"/>
        <w:rPr/>
      </w:pPr>
      <w:r>
        <w:rPr>
          <w:rStyle w:val="Caractresdenotedefin"/>
        </w:rPr>
        <w:endnoteRef/>
      </w:r>
      <w:r>
        <w:rPr/>
        <w:tab/>
      </w:r>
      <w:r>
        <w:rPr/>
        <w:t>Juriul național BE.</w:t>
      </w:r>
    </w:p>
  </w:endnote>
  <w:endnote w:id="116">
    <w:p>
      <w:pPr>
        <w:pStyle w:val="Notedefin"/>
        <w:suppressLineNumbers/>
        <w:spacing w:before="57" w:after="57"/>
        <w:ind w:left="339" w:right="0" w:hanging="339"/>
        <w:rPr/>
      </w:pPr>
      <w:r>
        <w:rPr>
          <w:rStyle w:val="Caractresdenotedefin"/>
        </w:rPr>
        <w:endnoteRef/>
      </w:r>
      <w:r>
        <w:rPr/>
        <w:tab/>
      </w:r>
      <w:r>
        <w:rPr/>
        <w:t>Amendamentul GL nr. 18A.</w:t>
      </w:r>
    </w:p>
  </w:endnote>
  <w:endnote w:id="117">
    <w:p>
      <w:pPr>
        <w:pStyle w:val="Notedefin"/>
        <w:suppressLineNumbers/>
        <w:spacing w:before="57" w:after="57"/>
        <w:ind w:left="339" w:right="0" w:hanging="339"/>
        <w:rPr/>
      </w:pPr>
      <w:r>
        <w:rPr>
          <w:rStyle w:val="Caractresdenotedefin"/>
        </w:rPr>
        <w:endnoteRef/>
      </w:r>
      <w:r>
        <w:rPr/>
        <w:tab/>
      </w:r>
      <w:r>
        <w:rPr/>
        <w:t>Recomandarea nr. 252 a PCE.</w:t>
      </w:r>
    </w:p>
  </w:endnote>
  <w:endnote w:id="118">
    <w:p>
      <w:pPr>
        <w:pStyle w:val="Notedefin"/>
        <w:suppressLineNumbers/>
        <w:spacing w:before="57" w:after="57"/>
        <w:ind w:left="339" w:right="0" w:hanging="339"/>
        <w:rPr/>
      </w:pPr>
      <w:r>
        <w:rPr>
          <w:rStyle w:val="Caractresdenotedefin"/>
        </w:rPr>
        <w:endnoteRef/>
      </w:r>
      <w:r>
        <w:rPr/>
        <w:tab/>
      </w:r>
      <w:r>
        <w:rPr/>
        <w:t>Amendamentul nr. 18B al GL.</w:t>
      </w:r>
    </w:p>
  </w:endnote>
  <w:endnote w:id="119">
    <w:p>
      <w:pPr>
        <w:pStyle w:val="Notedefin"/>
        <w:suppressLineNumbers/>
        <w:spacing w:before="57" w:after="57"/>
        <w:ind w:left="339" w:right="0" w:hanging="339"/>
        <w:rPr/>
      </w:pPr>
      <w:r>
        <w:rPr>
          <w:rStyle w:val="Caractresdenotedefin"/>
        </w:rPr>
        <w:endnoteRef/>
      </w:r>
      <w:r>
        <w:rPr/>
        <w:tab/>
      </w:r>
      <w:r>
        <w:rPr/>
        <w:t>Recomandarea 31 din PCE 2; grupurile naționale BE și NL.</w:t>
      </w:r>
    </w:p>
  </w:endnote>
  <w:endnote w:id="120">
    <w:p>
      <w:pPr>
        <w:pStyle w:val="Notedefin"/>
        <w:suppressLineNumbers/>
        <w:spacing w:before="57" w:after="57"/>
        <w:ind w:left="339" w:right="0" w:hanging="339"/>
        <w:rPr/>
      </w:pPr>
      <w:r>
        <w:rPr>
          <w:rStyle w:val="Caractresdenotedefin"/>
        </w:rPr>
        <w:endnoteRef/>
      </w:r>
      <w:r>
        <w:rPr/>
        <w:tab/>
      </w:r>
      <w:r>
        <w:rPr/>
        <w:t>Amendamentele nr. 19A ale GL, reformulând pentru a produce un text mai adecvat.</w:t>
      </w:r>
    </w:p>
  </w:endnote>
  <w:endnote w:id="121">
    <w:p>
      <w:pPr>
        <w:pStyle w:val="Notedefin"/>
        <w:suppressLineNumbers/>
        <w:spacing w:before="57" w:after="57"/>
        <w:ind w:left="339" w:right="0" w:hanging="339"/>
        <w:rPr/>
      </w:pPr>
      <w:r>
        <w:rPr>
          <w:rStyle w:val="Caractresdenotedefin"/>
        </w:rPr>
        <w:endnoteRef/>
      </w:r>
      <w:r>
        <w:rPr/>
        <w:tab/>
      </w:r>
      <w:r>
        <w:rPr/>
        <w:t>Amendamentul nr. 21 la GL, compromis.</w:t>
      </w:r>
    </w:p>
  </w:endnote>
  <w:endnote w:id="122">
    <w:p>
      <w:pPr>
        <w:pStyle w:val="Notedefin"/>
        <w:suppressLineNumbers/>
        <w:spacing w:before="57" w:after="57"/>
        <w:ind w:left="339" w:right="0" w:hanging="339"/>
        <w:rPr/>
      </w:pPr>
      <w:r>
        <w:rPr>
          <w:rStyle w:val="Caractresdenotedefin"/>
        </w:rPr>
        <w:endnoteRef/>
      </w:r>
      <w:r>
        <w:rPr/>
        <w:tab/>
      </w:r>
      <w:r>
        <w:rPr/>
        <w:t>Grupurile naționale BE și FR.</w:t>
      </w:r>
    </w:p>
  </w:endnote>
  <w:endnote w:id="123">
    <w:p>
      <w:pPr>
        <w:pStyle w:val="Notedefin"/>
        <w:suppressLineNumbers/>
        <w:spacing w:before="57" w:after="57"/>
        <w:ind w:left="339" w:right="0" w:hanging="339"/>
        <w:rPr/>
      </w:pPr>
      <w:r>
        <w:rPr>
          <w:rStyle w:val="Caractresdenotedefin"/>
        </w:rPr>
        <w:endnoteRef/>
      </w:r>
      <w:r>
        <w:rPr/>
        <w:tab/>
      </w:r>
      <w:r>
        <w:rPr/>
        <w:t>Amendamentul nr. 23B la GL.</w:t>
      </w:r>
    </w:p>
  </w:endnote>
  <w:endnote w:id="124">
    <w:p>
      <w:pPr>
        <w:pStyle w:val="Notedefin"/>
        <w:suppressLineNumbers/>
        <w:spacing w:before="57" w:after="57"/>
        <w:ind w:left="339" w:right="0" w:hanging="339"/>
        <w:rPr/>
      </w:pPr>
      <w:r>
        <w:rPr>
          <w:rStyle w:val="Caractresdenotedefin"/>
        </w:rPr>
        <w:endnoteRef/>
      </w:r>
      <w:r>
        <w:rPr/>
        <w:tab/>
      </w:r>
      <w:r>
        <w:rPr/>
        <w:t>Recomandarea 27 din PCE 2; juriul național BE.</w:t>
      </w:r>
    </w:p>
  </w:endnote>
  <w:endnote w:id="125">
    <w:p>
      <w:pPr>
        <w:pStyle w:val="Notedefin"/>
        <w:suppressLineNumbers/>
        <w:spacing w:before="57" w:after="57"/>
        <w:ind w:left="339" w:right="0" w:hanging="339"/>
        <w:rPr/>
      </w:pPr>
      <w:r>
        <w:rPr>
          <w:rStyle w:val="Caractresdenotedefin"/>
        </w:rPr>
        <w:endnoteRef/>
      </w:r>
      <w:r>
        <w:rPr/>
        <w:tab/>
      </w:r>
      <w:r>
        <w:rPr/>
        <w:t>Amendamentul nr. 25C al GL.</w:t>
      </w:r>
    </w:p>
  </w:endnote>
  <w:endnote w:id="126">
    <w:p>
      <w:pPr>
        <w:pStyle w:val="Notedefin"/>
        <w:suppressLineNumbers/>
        <w:spacing w:before="57" w:after="57"/>
        <w:ind w:left="339" w:right="0" w:hanging="339"/>
        <w:rPr/>
      </w:pPr>
      <w:r>
        <w:rPr>
          <w:rStyle w:val="Caractresdenotedefin"/>
        </w:rPr>
        <w:endnoteRef/>
      </w:r>
      <w:r>
        <w:rPr/>
        <w:tab/>
      </w:r>
      <w:r>
        <w:rPr/>
        <w:t>Recomandarea 14 din PCE.</w:t>
      </w:r>
    </w:p>
  </w:endnote>
  <w:endnote w:id="127">
    <w:p>
      <w:pPr>
        <w:pStyle w:val="Notedefin"/>
        <w:suppressLineNumbers/>
        <w:spacing w:before="57" w:after="57"/>
        <w:ind w:left="339" w:right="0" w:hanging="339"/>
        <w:rPr/>
      </w:pPr>
      <w:r>
        <w:rPr>
          <w:rStyle w:val="Caractresdenotedefin"/>
        </w:rPr>
        <w:endnoteRef/>
      </w:r>
      <w:r>
        <w:rPr/>
        <w:tab/>
      </w:r>
      <w:r>
        <w:rPr/>
        <w:t>Recomandarea nr. 18 a PCE. NB: Reprezentanții cetățenilor au explicat că acest mecanism ar trebui conceput și utilizat cu prudență.</w:t>
      </w:r>
    </w:p>
  </w:endnote>
  <w:endnote w:id="128">
    <w:p>
      <w:pPr>
        <w:pStyle w:val="Notedefin"/>
        <w:suppressLineNumbers/>
        <w:spacing w:before="57" w:after="57"/>
        <w:ind w:left="339" w:right="0" w:hanging="339"/>
        <w:rPr/>
      </w:pPr>
      <w:r>
        <w:rPr>
          <w:rStyle w:val="Caractresdenotedefin"/>
        </w:rPr>
        <w:endnoteRef/>
      </w:r>
      <w:r>
        <w:rPr/>
        <w:tab/>
      </w:r>
      <w:r>
        <w:rPr/>
        <w:t>Amendamentele nr. 28E, 28G și 28H ale GL.</w:t>
      </w:r>
    </w:p>
  </w:endnote>
  <w:endnote w:id="129">
    <w:p>
      <w:pPr>
        <w:pStyle w:val="Notedefin"/>
        <w:suppressLineNumbers/>
        <w:spacing w:before="57" w:after="57"/>
        <w:ind w:left="339" w:right="0" w:hanging="339"/>
        <w:rPr/>
      </w:pPr>
      <w:r>
        <w:rPr>
          <w:rStyle w:val="Caractresdenotedefin"/>
        </w:rPr>
        <w:endnoteRef/>
      </w:r>
      <w:r>
        <w:rPr/>
        <w:tab/>
      </w:r>
      <w:r>
        <w:rPr/>
        <w:t>Recomandarea 16 din PCE 2; Grupul național al NL nr. 20, împărțit pe liste transnaționale.</w:t>
      </w:r>
    </w:p>
  </w:endnote>
  <w:endnote w:id="130">
    <w:p>
      <w:pPr>
        <w:pStyle w:val="Notedefin"/>
        <w:suppressLineNumbers/>
        <w:spacing w:before="57" w:after="57"/>
        <w:ind w:left="339" w:right="0" w:hanging="339"/>
        <w:rPr/>
      </w:pPr>
      <w:r>
        <w:rPr>
          <w:rStyle w:val="Caractresdenotedefin"/>
        </w:rPr>
        <w:endnoteRef/>
      </w:r>
      <w:r>
        <w:rPr/>
        <w:tab/>
      </w:r>
      <w:r>
        <w:rPr/>
        <w:t>Pe baza Recomandării 16 din PCE 2; discuție în GT.</w:t>
      </w:r>
    </w:p>
  </w:endnote>
  <w:endnote w:id="131">
    <w:p>
      <w:pPr>
        <w:pStyle w:val="Notedefin"/>
        <w:suppressLineNumbers/>
        <w:spacing w:before="57" w:after="57"/>
        <w:ind w:left="339" w:right="0" w:hanging="339"/>
        <w:rPr/>
      </w:pPr>
      <w:r>
        <w:rPr>
          <w:rStyle w:val="Caractresdenotedefin"/>
        </w:rPr>
        <w:endnoteRef/>
      </w:r>
      <w:r>
        <w:rPr/>
        <w:tab/>
      </w:r>
      <w:r>
        <w:rPr/>
        <w:t>Recomandarea 19 a ECP 2 și Platforma digitală multilingvă (MNP).</w:t>
      </w:r>
    </w:p>
  </w:endnote>
  <w:endnote w:id="132">
    <w:p>
      <w:pPr>
        <w:pStyle w:val="Notedefin"/>
        <w:suppressLineNumbers/>
        <w:spacing w:before="57" w:after="57"/>
        <w:ind w:left="339" w:right="0" w:hanging="339"/>
        <w:rPr/>
      </w:pPr>
      <w:r>
        <w:rPr>
          <w:rStyle w:val="Caractresdenotedefin"/>
        </w:rPr>
        <w:endnoteRef/>
      </w:r>
      <w:r>
        <w:rPr/>
        <w:tab/>
      </w:r>
      <w:r>
        <w:rPr/>
        <w:t>CESE.</w:t>
      </w:r>
    </w:p>
  </w:endnote>
  <w:endnote w:id="133">
    <w:p>
      <w:pPr>
        <w:pStyle w:val="Notedefin"/>
        <w:suppressLineNumbers/>
        <w:spacing w:before="57" w:after="57"/>
        <w:ind w:left="339" w:right="0" w:hanging="339"/>
        <w:rPr/>
      </w:pPr>
      <w:r>
        <w:rPr>
          <w:rStyle w:val="Caractresdenotedefin"/>
        </w:rPr>
        <w:endnoteRef/>
      </w:r>
      <w:r>
        <w:rPr/>
        <w:tab/>
      </w:r>
      <w:r>
        <w:rPr/>
        <w:t>Amendamentul nr. 32B al GL.</w:t>
      </w:r>
    </w:p>
  </w:endnote>
  <w:endnote w:id="134">
    <w:p>
      <w:pPr>
        <w:pStyle w:val="Notedefin"/>
        <w:suppressLineNumbers/>
        <w:spacing w:before="57" w:after="57"/>
        <w:ind w:left="339" w:right="0" w:hanging="339"/>
        <w:rPr/>
      </w:pPr>
      <w:r>
        <w:rPr>
          <w:rStyle w:val="Caractresdenotedefin"/>
        </w:rPr>
        <w:endnoteRef/>
      </w:r>
      <w:r>
        <w:rPr/>
        <w:tab/>
      </w:r>
      <w:r>
        <w:rPr/>
        <w:t>Recomandarea 36 din PCE 2; grupurile naționale BE și FR.</w:t>
      </w:r>
    </w:p>
  </w:endnote>
  <w:endnote w:id="135">
    <w:p>
      <w:pPr>
        <w:pStyle w:val="Notedefin"/>
        <w:suppressLineNumbers/>
        <w:spacing w:before="57" w:after="57"/>
        <w:ind w:left="339" w:right="0" w:hanging="339"/>
        <w:rPr/>
      </w:pPr>
      <w:r>
        <w:rPr>
          <w:rStyle w:val="Caractresdenotedefin"/>
        </w:rPr>
        <w:endnoteRef/>
      </w:r>
      <w:r>
        <w:rPr/>
        <w:tab/>
      </w:r>
      <w:r>
        <w:rPr/>
        <w:t>Juriul național FR („alegerea președintelui Comisiei Europene prin vot universal”); PNM (Raport final Kantar: un grup de contribuții se referă la alegerea directă a președintelui Comisiei de către cetățeni).</w:t>
      </w:r>
    </w:p>
  </w:endnote>
  <w:endnote w:id="136">
    <w:p>
      <w:pPr>
        <w:pStyle w:val="Notedefin"/>
        <w:suppressLineNumbers/>
        <w:spacing w:before="57" w:after="57"/>
        <w:ind w:left="339" w:right="0" w:hanging="339"/>
        <w:rPr/>
      </w:pPr>
      <w:r>
        <w:rPr>
          <w:rStyle w:val="Caractresdenotedefin"/>
        </w:rPr>
        <w:endnoteRef/>
      </w:r>
      <w:r>
        <w:rPr/>
        <w:tab/>
      </w:r>
      <w:r>
        <w:rPr/>
        <w:t>Amendamentul nr. 34C la GL.</w:t>
      </w:r>
    </w:p>
  </w:endnote>
  <w:endnote w:id="137">
    <w:p>
      <w:pPr>
        <w:pStyle w:val="Notedefin"/>
        <w:suppressLineNumbers/>
        <w:spacing w:before="57" w:after="57"/>
        <w:ind w:left="339" w:right="0" w:hanging="339"/>
        <w:rPr/>
      </w:pPr>
      <w:r>
        <w:rPr>
          <w:rStyle w:val="Caractresdenotedefin"/>
        </w:rPr>
        <w:endnoteRef/>
      </w:r>
      <w:r>
        <w:rPr/>
        <w:tab/>
      </w:r>
      <w:r>
        <w:rPr/>
        <w:t>Grupul național BE (3.2), grupul național FR (11) PNM (raport final Kantar: „În ceea ce privește Parlamentul European, contribuitorii solicită cel mai adesea ca acestuia să i se confere o putere reală de inițiativă legislativă”.</w:t>
      </w:r>
    </w:p>
  </w:endnote>
  <w:endnote w:id="138">
    <w:p>
      <w:pPr>
        <w:pStyle w:val="Notedefin"/>
        <w:suppressLineNumbers/>
        <w:spacing w:before="57" w:after="57"/>
        <w:ind w:left="339" w:right="0" w:hanging="339"/>
        <w:rPr/>
      </w:pPr>
      <w:r>
        <w:rPr>
          <w:rStyle w:val="Caractresdenotedefin"/>
        </w:rPr>
        <w:endnoteRef/>
      </w:r>
      <w:r>
        <w:rPr/>
        <w:tab/>
      </w:r>
      <w:r>
        <w:rPr/>
        <w:t>PNM (Raport final Kantar: „În ceea ce privește Parlamentul European, (...) există, de asemenea, cereri de a-i acorda competențe bugetare”).</w:t>
      </w:r>
    </w:p>
  </w:endnote>
  <w:endnote w:id="139">
    <w:p>
      <w:pPr>
        <w:pStyle w:val="Notedefin"/>
        <w:suppressLineNumbers/>
        <w:spacing w:before="57" w:after="57"/>
        <w:ind w:left="339" w:right="0" w:hanging="339"/>
        <w:rPr/>
      </w:pPr>
      <w:r>
        <w:rPr>
          <w:rStyle w:val="Caractresdenotedefin"/>
        </w:rPr>
        <w:endnoteRef/>
      </w:r>
      <w:r>
        <w:rPr/>
        <w:tab/>
      </w:r>
      <w:r>
        <w:rPr/>
        <w:t>PNM (Raport final Kantar: Potrivit unei alte contribuții, părțile ar trebui să devină mai accesibile persoanelor care provin din medii culturale sau socioeconomice diferite.</w:t>
      </w:r>
    </w:p>
  </w:endnote>
  <w:endnote w:id="140">
    <w:p>
      <w:pPr>
        <w:pStyle w:val="Notedefin"/>
        <w:suppressLineNumbers/>
        <w:spacing w:before="57" w:after="57"/>
        <w:ind w:left="339" w:right="0" w:hanging="339"/>
        <w:rPr/>
      </w:pPr>
      <w:r>
        <w:rPr>
          <w:rStyle w:val="Caractresdenotedefin"/>
        </w:rPr>
        <w:endnoteRef/>
      </w:r>
      <w:r>
        <w:rPr/>
        <w:tab/>
      </w:r>
      <w:r>
        <w:rPr/>
        <w:t>CoR în GL.</w:t>
      </w:r>
    </w:p>
  </w:endnote>
  <w:endnote w:id="141">
    <w:p>
      <w:pPr>
        <w:pStyle w:val="Notedefin"/>
        <w:suppressLineNumbers/>
        <w:spacing w:before="57" w:after="57"/>
        <w:ind w:left="339" w:right="0" w:hanging="339"/>
        <w:rPr/>
      </w:pPr>
      <w:r>
        <w:rPr>
          <w:rStyle w:val="Caractresdenotedefin"/>
        </w:rPr>
        <w:endnoteRef/>
      </w:r>
      <w:r>
        <w:rPr/>
        <w:tab/>
      </w:r>
      <w:r>
        <w:rPr/>
        <w:t>Amendamentul 38 la GL, formulare de compromis.</w:t>
      </w:r>
    </w:p>
  </w:endnote>
  <w:endnote w:id="142">
    <w:p>
      <w:pPr>
        <w:pStyle w:val="Notedefin"/>
        <w:suppressLineNumbers/>
        <w:spacing w:before="57" w:after="57"/>
        <w:ind w:left="339" w:right="0" w:hanging="339"/>
        <w:rPr/>
      </w:pPr>
      <w:r>
        <w:rPr>
          <w:rStyle w:val="Caractresdenotedefin"/>
        </w:rPr>
        <w:endnoteRef/>
      </w:r>
      <w:r>
        <w:rPr/>
        <w:tab/>
      </w:r>
      <w:r>
        <w:rPr/>
        <w:t>Recomandarea nr. 20 a ECP 2.</w:t>
      </w:r>
    </w:p>
  </w:endnote>
  <w:endnote w:id="143">
    <w:p>
      <w:pPr>
        <w:pStyle w:val="Notedefin"/>
        <w:suppressLineNumbers/>
        <w:spacing w:before="57" w:after="57"/>
        <w:ind w:left="339" w:right="0" w:hanging="339"/>
        <w:rPr/>
      </w:pPr>
      <w:r>
        <w:rPr>
          <w:rStyle w:val="Caractresdenotedefin"/>
        </w:rPr>
        <w:endnoteRef/>
      </w:r>
      <w:r>
        <w:rPr/>
        <w:tab/>
      </w:r>
      <w:r>
        <w:rPr/>
        <w:t>Recomandarea nr. 21 4.</w:t>
      </w:r>
    </w:p>
  </w:endnote>
  <w:endnote w:id="144">
    <w:p>
      <w:pPr>
        <w:pStyle w:val="Notedefin"/>
        <w:suppressLineNumbers/>
        <w:spacing w:before="57" w:after="57"/>
        <w:ind w:left="339" w:right="0" w:hanging="339"/>
        <w:rPr/>
      </w:pPr>
      <w:r>
        <w:rPr>
          <w:rStyle w:val="Caractresdenotedefin"/>
        </w:rPr>
        <w:endnoteRef/>
      </w:r>
      <w:r>
        <w:rPr/>
        <w:tab/>
      </w:r>
      <w:r>
        <w:rPr/>
        <w:t>Amendamentul nr. 43 din GL.</w:t>
      </w:r>
    </w:p>
  </w:endnote>
  <w:endnote w:id="145">
    <w:p>
      <w:pPr>
        <w:pStyle w:val="Notedefin"/>
        <w:suppressLineNumbers/>
        <w:spacing w:before="57" w:after="57"/>
        <w:ind w:left="339" w:right="0" w:hanging="339"/>
        <w:rPr/>
      </w:pPr>
      <w:r>
        <w:rPr>
          <w:rStyle w:val="Caractresdenotedefin"/>
        </w:rPr>
        <w:endnoteRef/>
      </w:r>
      <w:r>
        <w:rPr/>
        <w:tab/>
      </w:r>
      <w:r>
        <w:rPr/>
        <w:t>Recomandarea 34 din PCE 2; grupul național NL.</w:t>
      </w:r>
    </w:p>
  </w:endnote>
  <w:endnote w:id="146">
    <w:p>
      <w:pPr>
        <w:pStyle w:val="Notedefin"/>
        <w:suppressLineNumbers/>
        <w:spacing w:before="57" w:after="57"/>
        <w:ind w:left="339" w:right="0" w:hanging="339"/>
        <w:rPr/>
      </w:pPr>
      <w:r>
        <w:rPr>
          <w:rStyle w:val="Caractresdenotedefin"/>
        </w:rPr>
        <w:endnoteRef/>
      </w:r>
      <w:r>
        <w:rPr/>
        <w:tab/>
      </w:r>
      <w:r>
        <w:rPr/>
        <w:t>Dezbatere la nivel de grup de lucru pe baza recomandării 34 din PCE 2; grupul național NL; PNM (Raport final Kantar: „Sunt sprijinite, de asemenea, creșterea transparenței și o mai mare participare a cetățenilor la procesul decizional al UE”.</w:t>
      </w:r>
    </w:p>
  </w:endnote>
  <w:endnote w:id="147">
    <w:p>
      <w:pPr>
        <w:pStyle w:val="Notedefin"/>
        <w:suppressLineNumbers/>
        <w:spacing w:before="57" w:after="57"/>
        <w:ind w:left="339" w:right="0" w:hanging="339"/>
        <w:rPr/>
      </w:pPr>
      <w:r>
        <w:rPr>
          <w:rStyle w:val="Caractresdenotedefin"/>
        </w:rPr>
        <w:endnoteRef/>
      </w:r>
      <w:r>
        <w:rPr/>
        <w:tab/>
      </w:r>
      <w:r>
        <w:rPr/>
        <w:t>Amendamentul nr. 44A din GL.</w:t>
      </w:r>
    </w:p>
  </w:endnote>
  <w:endnote w:id="148">
    <w:p>
      <w:pPr>
        <w:pStyle w:val="Notedefin"/>
        <w:suppressLineNumbers/>
        <w:spacing w:before="57" w:after="57"/>
        <w:ind w:left="339" w:right="0" w:hanging="339"/>
        <w:rPr/>
      </w:pPr>
      <w:r>
        <w:rPr>
          <w:rStyle w:val="Caractresdenotedefin"/>
        </w:rPr>
        <w:endnoteRef/>
      </w:r>
      <w:r>
        <w:rPr/>
        <w:tab/>
      </w:r>
      <w:r>
        <w:rPr/>
        <w:t>Dezbatere la nivel de grup de lucru (prezentare de către parlamentele naționale și CoR).</w:t>
      </w:r>
    </w:p>
  </w:endnote>
  <w:endnote w:id="149">
    <w:p>
      <w:pPr>
        <w:pStyle w:val="Notedefin"/>
        <w:suppressLineNumbers/>
        <w:spacing w:before="57" w:after="57"/>
        <w:ind w:left="339" w:right="0" w:hanging="339"/>
        <w:rPr/>
      </w:pPr>
      <w:r>
        <w:rPr>
          <w:rStyle w:val="Caractresdenotedefin"/>
        </w:rPr>
        <w:endnoteRef/>
      </w:r>
      <w:r>
        <w:rPr/>
        <w:tab/>
      </w:r>
      <w:r>
        <w:rPr/>
        <w:t>Amendamentul nr. 45C la GL.</w:t>
      </w:r>
    </w:p>
  </w:endnote>
  <w:endnote w:id="150">
    <w:p>
      <w:pPr>
        <w:pStyle w:val="Notedefin"/>
        <w:suppressLineNumbers/>
        <w:spacing w:before="57" w:after="57"/>
        <w:ind w:left="339" w:right="0" w:hanging="339"/>
        <w:rPr/>
      </w:pPr>
      <w:r>
        <w:rPr>
          <w:rStyle w:val="Caractresdenotedefin"/>
        </w:rPr>
        <w:endnoteRef/>
      </w:r>
      <w:r>
        <w:rPr/>
        <w:tab/>
      </w:r>
      <w:r>
        <w:rPr/>
        <w:t>Amendamentul nr. 46B al GL.</w:t>
      </w:r>
    </w:p>
  </w:endnote>
  <w:endnote w:id="151">
    <w:p>
      <w:pPr>
        <w:pStyle w:val="Notedefin"/>
        <w:suppressLineNumbers/>
        <w:spacing w:before="57" w:after="57"/>
        <w:ind w:left="339" w:right="0" w:hanging="339"/>
        <w:rPr/>
      </w:pPr>
      <w:r>
        <w:rPr>
          <w:rStyle w:val="Caractresdenotedefin"/>
        </w:rPr>
        <w:endnoteRef/>
      </w:r>
      <w:r>
        <w:rPr/>
        <w:tab/>
      </w:r>
      <w:r>
        <w:rPr/>
        <w:t>Recomandarea nr. 15 2.</w:t>
      </w:r>
    </w:p>
  </w:endnote>
  <w:endnote w:id="152">
    <w:p>
      <w:pPr>
        <w:pStyle w:val="Notedefin"/>
        <w:suppressLineNumbers/>
        <w:spacing w:before="57" w:after="57"/>
        <w:ind w:left="339" w:right="0" w:hanging="339"/>
        <w:rPr/>
      </w:pPr>
      <w:r>
        <w:rPr>
          <w:rStyle w:val="Caractresdenotedefin"/>
        </w:rPr>
        <w:endnoteRef/>
      </w:r>
      <w:r>
        <w:rPr/>
        <w:tab/>
      </w:r>
      <w:r>
        <w:rPr/>
        <w:t>Dezbatere la nivel de grup de lucru bazată pe necesitatea exprimată în Recomandarea 15 a PCE 2 de a „clarifica funcțiile instituțiilor europene”; PNM (Raport final Kantar: „Există, de asemenea, sugestii de aprofundare a puterii legislative bicamerale în UE.”)</w:t>
      </w:r>
    </w:p>
  </w:endnote>
  <w:endnote w:id="153">
    <w:p>
      <w:pPr>
        <w:pStyle w:val="Notedefin"/>
        <w:suppressLineNumbers/>
        <w:spacing w:before="57" w:after="57"/>
        <w:ind w:left="339" w:right="0" w:hanging="339"/>
        <w:rPr/>
      </w:pPr>
      <w:r>
        <w:rPr>
          <w:rStyle w:val="Caractresdenotedefin"/>
        </w:rPr>
        <w:endnoteRef/>
      </w:r>
      <w:r>
        <w:rPr/>
        <w:tab/>
      </w:r>
      <w:r>
        <w:rPr/>
        <w:t>Amendamentul nr. 48B al GL.</w:t>
      </w:r>
    </w:p>
  </w:endnote>
  <w:endnote w:id="154">
    <w:p>
      <w:pPr>
        <w:pStyle w:val="Notedefin"/>
        <w:suppressLineNumbers/>
        <w:spacing w:before="57" w:after="57"/>
        <w:ind w:left="339" w:right="0" w:hanging="339"/>
        <w:rPr/>
      </w:pPr>
      <w:r>
        <w:rPr>
          <w:rStyle w:val="Caractresdenotedefin"/>
        </w:rPr>
        <w:endnoteRef/>
      </w:r>
      <w:r>
        <w:rPr/>
        <w:tab/>
      </w:r>
      <w:r>
        <w:rPr/>
        <w:t>Recomandarea nr. 15 2.</w:t>
      </w:r>
    </w:p>
  </w:endnote>
  <w:endnote w:id="155">
    <w:p>
      <w:pPr>
        <w:pStyle w:val="Notedefin"/>
        <w:suppressLineNumbers/>
        <w:spacing w:before="57" w:after="57"/>
        <w:ind w:left="339" w:right="0" w:hanging="339"/>
        <w:rPr/>
      </w:pPr>
      <w:r>
        <w:rPr>
          <w:rStyle w:val="Caractresdenotedefin"/>
        </w:rPr>
        <w:endnoteRef/>
      </w:r>
      <w:r>
        <w:rPr/>
        <w:tab/>
      </w:r>
      <w:r>
        <w:rPr/>
        <w:t>Discuții în cadrul GL.</w:t>
      </w:r>
    </w:p>
  </w:endnote>
  <w:endnote w:id="156">
    <w:p>
      <w:pPr>
        <w:pStyle w:val="Notedefin"/>
        <w:suppressLineNumbers/>
        <w:spacing w:before="57" w:after="57"/>
        <w:ind w:left="339" w:right="0" w:hanging="339"/>
        <w:rPr/>
      </w:pPr>
      <w:r>
        <w:rPr>
          <w:rStyle w:val="Caractresdenotedefin"/>
        </w:rPr>
        <w:endnoteRef/>
      </w:r>
      <w:r>
        <w:rPr/>
        <w:tab/>
      </w:r>
      <w:r>
        <w:rPr/>
        <w:t>Amendamentul nr. 52A la GL.</w:t>
      </w:r>
    </w:p>
  </w:endnote>
  <w:endnote w:id="157">
    <w:p>
      <w:pPr>
        <w:pStyle w:val="Notedefin"/>
        <w:suppressLineNumbers/>
        <w:spacing w:before="57" w:after="57"/>
        <w:ind w:left="339" w:right="0" w:hanging="339"/>
        <w:rPr/>
      </w:pPr>
      <w:r>
        <w:rPr>
          <w:rStyle w:val="Caractresdenotedefin"/>
        </w:rPr>
        <w:endnoteRef/>
      </w:r>
      <w:r>
        <w:rPr/>
        <w:tab/>
      </w:r>
      <w:r>
        <w:rPr/>
        <w:t>CESE, formulare de compromis.</w:t>
      </w:r>
    </w:p>
  </w:endnote>
  <w:endnote w:id="158">
    <w:p>
      <w:pPr>
        <w:pStyle w:val="Notedefin"/>
        <w:suppressLineNumbers/>
        <w:spacing w:before="57" w:after="57"/>
        <w:ind w:left="339" w:right="0" w:hanging="339"/>
        <w:rPr/>
      </w:pPr>
      <w:r>
        <w:rPr>
          <w:rStyle w:val="Caractresdenotedefin"/>
        </w:rPr>
        <w:endnoteRef/>
      </w:r>
      <w:r>
        <w:rPr/>
        <w:tab/>
      </w:r>
      <w:r>
        <w:rPr/>
        <w:t>Recomandarea 35 a ECP, Grupul național FR și modificările combinate ale GL 51C și 51D.</w:t>
      </w:r>
    </w:p>
  </w:endnote>
  <w:endnote w:id="159">
    <w:p>
      <w:pPr>
        <w:pStyle w:val="Notedefin"/>
        <w:suppressLineNumbers/>
        <w:spacing w:before="57" w:after="57"/>
        <w:ind w:left="339" w:right="0" w:hanging="339"/>
        <w:rPr/>
      </w:pPr>
      <w:r>
        <w:rPr>
          <w:rStyle w:val="Caractresdenotedefin"/>
        </w:rPr>
        <w:endnoteRef/>
      </w:r>
      <w:r>
        <w:rPr/>
        <w:tab/>
      </w:r>
      <w:r>
        <w:rPr/>
        <w:t>Amendamentul nr. 53D la GL.</w:t>
      </w:r>
    </w:p>
  </w:endnote>
  <w:endnote w:id="160">
    <w:p>
      <w:pPr>
        <w:pStyle w:val="Notedefin"/>
        <w:suppressLineNumbers/>
        <w:spacing w:before="57" w:after="57"/>
        <w:ind w:left="339" w:right="0" w:hanging="339"/>
        <w:rPr/>
      </w:pPr>
      <w:r>
        <w:rPr>
          <w:rStyle w:val="Caractresdenotedefin"/>
        </w:rPr>
        <w:endnoteRef/>
      </w:r>
      <w:r>
        <w:rPr/>
        <w:tab/>
      </w:r>
      <w:r>
        <w:rPr/>
        <w:t>Discuții în cadrul GL; parlamentele naționale.</w:t>
      </w:r>
    </w:p>
  </w:endnote>
  <w:endnote w:id="161">
    <w:p>
      <w:pPr>
        <w:pStyle w:val="Notedefin"/>
        <w:spacing w:before="57" w:after="57"/>
        <w:rPr/>
      </w:pPr>
      <w:r>
        <w:rPr>
          <w:rStyle w:val="Caractresdenotedefin"/>
        </w:rPr>
        <w:endnoteRef/>
      </w:r>
      <w:r>
        <w:rPr/>
        <w:tab/>
      </w:r>
      <w:r>
        <w:rPr/>
        <w:t>Discuții în cadrul GL; CoR și CESE; Raportul final Kantar, p. 85.</w:t>
      </w:r>
    </w:p>
  </w:endnote>
  <w:endnote w:id="162">
    <w:p>
      <w:pPr>
        <w:pStyle w:val="Notedefin"/>
        <w:suppressLineNumbers/>
        <w:spacing w:before="57" w:after="57"/>
        <w:ind w:left="339" w:right="0" w:hanging="339"/>
        <w:rPr/>
      </w:pPr>
      <w:r>
        <w:rPr>
          <w:rStyle w:val="Caractresdenotedefin"/>
        </w:rPr>
        <w:endnoteRef/>
      </w:r>
      <w:r>
        <w:rPr/>
        <w:tab/>
      </w:r>
      <w:r>
        <w:rPr/>
        <w:t>Amendamentul nr. 58B al GL.</w:t>
      </w:r>
    </w:p>
  </w:endnote>
  <w:endnote w:id="163">
    <w:p>
      <w:pPr>
        <w:pStyle w:val="Notedefin"/>
        <w:suppressLineNumbers/>
        <w:spacing w:before="57" w:after="57"/>
        <w:ind w:left="339" w:right="0" w:hanging="339"/>
        <w:rPr/>
      </w:pPr>
      <w:r>
        <w:rPr>
          <w:rStyle w:val="Caractresdenotedefin"/>
        </w:rPr>
        <w:endnoteRef/>
      </w:r>
      <w:r>
        <w:rPr/>
        <w:tab/>
      </w:r>
      <w:r>
        <w:rPr/>
        <w:t>Amendamentul nr. 59B al GL.</w:t>
      </w:r>
    </w:p>
  </w:endnote>
  <w:endnote w:id="164">
    <w:p>
      <w:pPr>
        <w:pStyle w:val="Notedefin"/>
        <w:suppressLineNumbers/>
        <w:spacing w:before="57" w:after="57"/>
        <w:ind w:left="339" w:right="0" w:hanging="339"/>
        <w:rPr/>
      </w:pPr>
      <w:r>
        <w:rPr>
          <w:rStyle w:val="Caractresdenotedefin"/>
        </w:rPr>
        <w:endnoteRef/>
      </w:r>
      <w:r>
        <w:rPr/>
        <w:tab/>
      </w:r>
      <w:r>
        <w:rPr/>
        <w:t>Discuții în cadrul GL; partenerii sociali și alți membri.</w:t>
      </w:r>
    </w:p>
  </w:endnote>
  <w:endnote w:id="165">
    <w:p>
      <w:pPr>
        <w:pStyle w:val="Notedefin"/>
        <w:suppressLineNumbers/>
        <w:spacing w:before="57" w:after="57"/>
        <w:ind w:left="339" w:right="0" w:hanging="339"/>
        <w:rPr/>
      </w:pPr>
      <w:r>
        <w:rPr>
          <w:rStyle w:val="Caractresdenotedefin"/>
        </w:rPr>
        <w:endnoteRef/>
      </w:r>
      <w:r>
        <w:rPr/>
        <w:tab/>
      </w:r>
      <w:r>
        <w:rPr/>
        <w:t>Amendamentul 63A la GL, formulare de compromis.</w:t>
      </w:r>
    </w:p>
  </w:endnote>
  <w:endnote w:id="166">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nr. 4 (ECP 4) nr.</w:t>
      </w:r>
      <w:r>
        <w:rPr>
          <w:vertAlign w:val="superscript"/>
        </w:rPr>
        <w:t>6</w:t>
      </w:r>
      <w:r>
        <w:rPr/>
        <w:t>, 7, 9, 28 și 30, Lituania nr. 9.</w:t>
      </w:r>
    </w:p>
  </w:endnote>
  <w:endnote w:id="167">
    <w:p>
      <w:pPr>
        <w:pStyle w:val="Notedefin"/>
        <w:suppressLineNumbers/>
        <w:spacing w:before="57" w:after="57"/>
        <w:ind w:left="339" w:right="0" w:hanging="339"/>
        <w:rPr/>
      </w:pPr>
      <w:r>
        <w:rPr>
          <w:rStyle w:val="Caractresdenotedefin"/>
        </w:rPr>
        <w:endnoteRef/>
      </w:r>
      <w:r>
        <w:rPr/>
        <w:tab/>
      </w:r>
      <w:r>
        <w:rPr/>
        <w:t>Recomandările cetățenilor pe care se bazează propunerea: Grupul cetățenilor europeni nr. 4 (ECP 4) nr.</w:t>
      </w:r>
      <w:r>
        <w:rPr>
          <w:vertAlign w:val="superscript"/>
        </w:rPr>
        <w:t>8</w:t>
      </w:r>
      <w:r>
        <w:rPr/>
        <w:t xml:space="preserve"> și 27, Lituania nr. 10, Țările de Jos nr. 3.</w:t>
      </w:r>
    </w:p>
  </w:endnote>
  <w:endnote w:id="168">
    <w:p>
      <w:pPr>
        <w:pStyle w:val="Notedefin"/>
        <w:suppressLineNumbers/>
        <w:spacing w:before="57" w:after="57"/>
        <w:ind w:left="339" w:right="0" w:hanging="339"/>
        <w:rPr/>
      </w:pPr>
      <w:r>
        <w:rPr>
          <w:rStyle w:val="Caractresdenotedefin"/>
        </w:rPr>
        <w:endnoteRef/>
      </w:r>
      <w:r>
        <w:rPr/>
        <w:tab/>
        <w:t xml:space="preserve"> </w:t>
      </w:r>
      <w:r>
        <w:rPr/>
        <w:t>Recomandările cetățenilor pe care se bazează propunerea: Grupul cetățenilor europeni nr. 4 (PCE 4)</w:t>
      </w:r>
      <w:r>
        <w:rPr>
          <w:vertAlign w:val="superscript"/>
        </w:rPr>
        <w:t>nr.</w:t>
      </w:r>
      <w:r>
        <w:rPr/>
        <w:t xml:space="preserve"> 10, 35 și 38.</w:t>
      </w:r>
    </w:p>
  </w:endnote>
  <w:endnote w:id="169">
    <w:p>
      <w:pPr>
        <w:pStyle w:val="Notedefin"/>
        <w:suppressLineNumbers/>
        <w:spacing w:before="57" w:after="57"/>
        <w:ind w:left="339" w:right="0" w:hanging="339"/>
        <w:rPr/>
      </w:pPr>
      <w:r>
        <w:rPr>
          <w:rStyle w:val="Caractresdenotedefin"/>
        </w:rPr>
        <w:endnoteRef/>
      </w:r>
      <w:r>
        <w:rPr/>
        <w:tab/>
        <w:t xml:space="preserve"> </w:t>
      </w:r>
      <w:r>
        <w:rPr/>
        <w:t>Recomandările cetățenilor pe care se bazează propunerea: Grupul cetățenilor europeni nr. 4 (ECP 4) nr.</w:t>
      </w:r>
      <w:r>
        <w:rPr>
          <w:vertAlign w:val="superscript"/>
        </w:rPr>
        <w:t>29</w:t>
      </w:r>
      <w:r>
        <w:rPr/>
        <w:t>, 31, 33, 36, 37, 38, 39 și 40, Italia nr. 3.8</w:t>
      </w:r>
      <w:r>
        <w:rPr>
          <w:vertAlign w:val="superscript"/>
        </w:rPr>
        <w:t>,</w:t>
      </w:r>
      <w:r>
        <w:rPr/>
        <w:t xml:space="preserve"> 4.4 (p. 15) și 5.6 (p. 11), Lituania nr. 2</w:t>
      </w:r>
      <w:r>
        <w:rPr>
          <w:vertAlign w:val="superscript"/>
        </w:rPr>
        <w:t>și</w:t>
      </w:r>
      <w:r>
        <w:rPr/>
        <w:t xml:space="preserve"> 3, Țările de Jos nr. 1 și 2.</w:t>
      </w:r>
    </w:p>
  </w:endnote>
  <w:endnote w:id="170">
    <w:p>
      <w:pPr>
        <w:pStyle w:val="Notedefin"/>
        <w:spacing w:before="57" w:after="57"/>
        <w:rPr/>
      </w:pPr>
      <w:r>
        <w:rPr>
          <w:rStyle w:val="Caractresdenotedefin"/>
        </w:rPr>
        <w:endnoteRef/>
      </w:r>
      <w:r>
        <w:rPr/>
        <w:tab/>
        <w:t xml:space="preserve"> </w:t>
      </w:r>
      <w:r>
        <w:rPr/>
        <w:t>Recomandările cetățenilor pe care se bazează propunerea: Grupul cetățenilor europeni nr. 4 (PCE 4)</w:t>
      </w:r>
      <w:r>
        <w:rPr>
          <w:vertAlign w:val="superscript"/>
        </w:rPr>
        <w:t>nr.</w:t>
      </w:r>
      <w:r>
        <w:rPr/>
        <w:t xml:space="preserve"> 7 și 32, Franța nr. 13.</w:t>
      </w:r>
    </w:p>
  </w:endnote>
  <w:endnote w:id="171">
    <w:p>
      <w:pPr>
        <w:pStyle w:val="Notedefin"/>
        <w:suppressLineNumbers/>
        <w:spacing w:before="57" w:after="57"/>
        <w:ind w:left="339" w:right="0" w:hanging="339"/>
        <w:rPr/>
      </w:pPr>
      <w:r>
        <w:rPr>
          <w:rStyle w:val="Caractresdenotedefin"/>
        </w:rPr>
        <w:endnoteRef/>
      </w:r>
      <w:r>
        <w:rPr/>
        <w:tab/>
        <w:t xml:space="preserve"> </w:t>
      </w:r>
      <w:r>
        <w:rPr/>
        <w:t>PCN francez, schimbarea 6.</w:t>
      </w:r>
    </w:p>
  </w:endnote>
  <w:endnote w:id="172">
    <w:p>
      <w:pPr>
        <w:pStyle w:val="Notedefin"/>
        <w:suppressLineNumbers/>
        <w:spacing w:before="57" w:after="57"/>
        <w:ind w:left="339" w:right="0" w:hanging="339"/>
        <w:rPr/>
      </w:pPr>
      <w:r>
        <w:rPr>
          <w:rStyle w:val="Caractresdenotedefin"/>
        </w:rPr>
        <w:endnoteRef/>
      </w:r>
      <w:r>
        <w:rPr/>
        <w:tab/>
      </w:r>
      <w:r>
        <w:rPr/>
        <w:t>Recomandarea CEC 37 1.</w:t>
      </w:r>
    </w:p>
  </w:endnote>
  <w:endnote w:id="173">
    <w:p>
      <w:pPr>
        <w:pStyle w:val="Notedefin"/>
        <w:suppressLineNumbers/>
        <w:spacing w:before="57" w:after="57"/>
        <w:ind w:left="339" w:right="0" w:hanging="339"/>
        <w:rPr/>
      </w:pPr>
      <w:r>
        <w:rPr>
          <w:rStyle w:val="Caractresdenotedefin"/>
        </w:rPr>
        <w:endnoteRef/>
      </w:r>
      <w:r>
        <w:rPr/>
        <w:tab/>
      </w:r>
      <w:r>
        <w:rPr/>
        <w:t>Recomandarea 3 din PCE. PCN francez, schimbarea 6.</w:t>
      </w:r>
    </w:p>
  </w:endnote>
  <w:endnote w:id="174">
    <w:p>
      <w:pPr>
        <w:pStyle w:val="Notedefin"/>
        <w:suppressLineNumbers/>
        <w:spacing w:before="57" w:after="57"/>
        <w:ind w:left="339" w:right="0" w:hanging="339"/>
        <w:rPr/>
      </w:pPr>
      <w:r>
        <w:rPr>
          <w:rStyle w:val="Caractresdenotedefin"/>
        </w:rPr>
        <w:endnoteRef/>
      </w:r>
      <w:r>
        <w:rPr/>
        <w:tab/>
        <w:t xml:space="preserve"> </w:t>
      </w:r>
      <w:r>
        <w:rPr/>
        <w:t>Recomandarea 41 a ECP 1.</w:t>
      </w:r>
    </w:p>
  </w:endnote>
  <w:endnote w:id="175">
    <w:p>
      <w:pPr>
        <w:pStyle w:val="Notedefin"/>
        <w:suppressLineNumbers/>
        <w:spacing w:before="57" w:after="57"/>
        <w:ind w:left="339" w:right="0" w:hanging="339"/>
        <w:rPr/>
      </w:pPr>
      <w:r>
        <w:rPr>
          <w:rStyle w:val="Caractresdenotedefin"/>
        </w:rPr>
        <w:endnoteRef/>
      </w:r>
      <w:r>
        <w:rPr/>
        <w:tab/>
        <w:t xml:space="preserve"> </w:t>
      </w:r>
      <w:r>
        <w:rPr/>
        <w:t>Acest aspect este discutat mai detaliat de Grupul de lucru pentru democrația europeană. A se vedea Recomandarea nr. 24 din PCE 2, Recomandările 1.1, 1.2 și 2.12 ale PNC belgian și Recomandarea italiană a PNC privind „Politicile de incluziune”.</w:t>
      </w:r>
    </w:p>
  </w:endnote>
  <w:endnote w:id="176">
    <w:p>
      <w:pPr>
        <w:pStyle w:val="Notedefin"/>
        <w:suppressLineNumbers/>
        <w:spacing w:before="57" w:after="57"/>
        <w:ind w:left="339" w:right="0" w:hanging="339"/>
        <w:rPr/>
      </w:pPr>
      <w:r>
        <w:rPr>
          <w:rStyle w:val="Caractresdenotedefin"/>
        </w:rPr>
        <w:endnoteRef/>
      </w:r>
      <w:r>
        <w:rPr/>
        <w:tab/>
      </w:r>
      <w:r>
        <w:rPr/>
        <w:t>Recomandarea PCN din Italia privind „politicile de incluziune”.</w:t>
      </w:r>
    </w:p>
  </w:endnote>
  <w:endnote w:id="177">
    <w:p>
      <w:pPr>
        <w:pStyle w:val="Notedefin"/>
        <w:suppressLineNumbers/>
        <w:spacing w:before="57" w:after="57"/>
        <w:ind w:left="339" w:right="0" w:hanging="339"/>
        <w:rPr/>
      </w:pPr>
      <w:r>
        <w:rPr>
          <w:rStyle w:val="Caractresdenotedefin"/>
        </w:rPr>
        <w:endnoteRef/>
      </w:r>
      <w:r>
        <w:rPr/>
        <w:tab/>
      </w:r>
      <w:r>
        <w:rPr/>
        <w:t>Acest aspect este discutat mai detaliat de Grupul de lucru pentru transformarea digitală. A se vedea recomandările nr. 8 și 34 din PCE 1.</w:t>
      </w:r>
    </w:p>
  </w:endnote>
  <w:endnote w:id="178">
    <w:p>
      <w:pPr>
        <w:pStyle w:val="Notedefin"/>
        <w:suppressLineNumbers/>
        <w:spacing w:before="57" w:after="57"/>
        <w:ind w:left="339" w:right="0" w:hanging="339"/>
        <w:rPr/>
      </w:pPr>
      <w:r>
        <w:rPr>
          <w:rStyle w:val="Caractresdenotedefin"/>
        </w:rPr>
        <w:endnoteRef/>
      </w:r>
      <w:r>
        <w:rPr/>
        <w:tab/>
      </w:r>
      <w:r>
        <w:rPr/>
        <w:t>Recomandarea PNC din Italia „Încurajarea tinerilor să studieze subiecte științifice”.</w:t>
      </w:r>
    </w:p>
  </w:endnote>
  <w:endnote w:id="179">
    <w:p>
      <w:pPr>
        <w:pStyle w:val="Notedefin"/>
        <w:suppressLineNumbers/>
        <w:spacing w:before="57" w:after="57"/>
        <w:ind w:left="339" w:right="0" w:hanging="339"/>
        <w:rPr/>
      </w:pPr>
      <w:r>
        <w:rPr>
          <w:rStyle w:val="Caractresdenotedefin"/>
        </w:rPr>
        <w:endnoteRef/>
      </w:r>
      <w:r>
        <w:rPr/>
        <w:tab/>
      </w:r>
      <w:r>
        <w:rPr/>
        <w:t>Recomandările PCE 33 și 48 1. De asemenea, a fost abordată de Grupul de lucru pentru transformarea digitală. A se vedea Recomandarea 47 din ECP 1 privind utilizarea sănătoasă a internetului.</w:t>
      </w:r>
    </w:p>
  </w:endnote>
  <w:endnote w:id="180">
    <w:p>
      <w:pPr>
        <w:pStyle w:val="Notedefin"/>
        <w:suppressLineNumbers/>
        <w:spacing w:before="57" w:after="57"/>
        <w:ind w:left="339" w:right="0" w:hanging="339"/>
        <w:rPr/>
      </w:pPr>
      <w:r>
        <w:rPr>
          <w:rStyle w:val="Caractresdenotedefin"/>
        </w:rPr>
        <w:endnoteRef/>
      </w:r>
      <w:r>
        <w:rPr/>
        <w:tab/>
      </w:r>
      <w:r>
        <w:rPr/>
        <w:t>Recomandarea 5 din PCE 1.</w:t>
      </w:r>
    </w:p>
  </w:endnote>
  <w:endnote w:id="181">
    <w:p>
      <w:pPr>
        <w:pStyle w:val="Notedefin"/>
        <w:suppressLineNumbers/>
        <w:spacing w:before="57" w:after="57"/>
        <w:ind w:left="339" w:right="0" w:hanging="339"/>
        <w:rPr/>
      </w:pPr>
      <w:r>
        <w:rPr>
          <w:rStyle w:val="Caractresdenotedefin"/>
        </w:rPr>
        <w:endnoteRef/>
      </w:r>
      <w:r>
        <w:rPr/>
        <w:tab/>
      </w:r>
      <w:r>
        <w:rPr/>
        <w:t>Recomandările nr. 15 și 18 ale PCE 1.</w:t>
      </w:r>
    </w:p>
  </w:endnote>
  <w:endnote w:id="182">
    <w:p>
      <w:pPr>
        <w:pStyle w:val="Notedefin"/>
        <w:suppressLineNumbers/>
        <w:spacing w:before="57" w:after="57"/>
        <w:ind w:left="339" w:right="0" w:hanging="339"/>
        <w:rPr/>
      </w:pPr>
      <w:r>
        <w:rPr>
          <w:rStyle w:val="Caractresdenotedefin"/>
        </w:rPr>
        <w:endnoteRef/>
      </w:r>
      <w:r>
        <w:rPr/>
        <w:tab/>
        <w:t xml:space="preserve"> </w:t>
      </w:r>
      <w:r>
        <w:rPr/>
        <w:t>Recomandarea PCN din Italia privind „Europa în lume”</w:t>
      </w:r>
    </w:p>
  </w:endnote>
  <w:endnote w:id="183">
    <w:p>
      <w:pPr>
        <w:pStyle w:val="Notedefin"/>
        <w:suppressLineNumbers/>
        <w:spacing w:before="57" w:after="57"/>
        <w:ind w:left="339" w:right="0" w:hanging="339"/>
        <w:rPr/>
      </w:pPr>
      <w:r>
        <w:rPr>
          <w:rStyle w:val="Caractresdenotedefin"/>
        </w:rPr>
        <w:endnoteRef/>
      </w:r>
      <w:r>
        <w:rPr/>
        <w:tab/>
      </w:r>
      <w:r>
        <w:rPr/>
        <w:t>Recomandările nr.</w:t>
      </w:r>
      <w:r>
        <w:rPr>
          <w:vertAlign w:val="superscript"/>
        </w:rPr>
        <w:t>18</w:t>
      </w:r>
      <w:r>
        <w:rPr/>
        <w:t xml:space="preserve"> și 41 ale PCE 1 și recomandarea PCN din Italia privind „Investiția în formarea formatorilor”.</w:t>
      </w:r>
    </w:p>
  </w:endnote>
  <w:endnote w:id="184">
    <w:p>
      <w:pPr>
        <w:pStyle w:val="Notedefin"/>
        <w:suppressLineNumbers/>
        <w:spacing w:before="57" w:after="57"/>
        <w:ind w:left="339" w:right="0" w:hanging="339"/>
        <w:rPr/>
      </w:pPr>
      <w:r>
        <w:rPr>
          <w:rStyle w:val="Caractresdenotedefin"/>
        </w:rPr>
        <w:endnoteRef/>
      </w:r>
      <w:r>
        <w:rPr/>
        <w:tab/>
      </w:r>
      <w:r>
        <w:rPr/>
        <w:t>Recomandarea nr. 17 a PCE 1 adresată integral Grupului de lucru pentru sectorul digital.</w:t>
      </w:r>
    </w:p>
  </w:endnote>
  <w:endnote w:id="185">
    <w:p>
      <w:pPr>
        <w:pStyle w:val="Notedefin"/>
        <w:suppressLineNumbers/>
        <w:spacing w:before="57" w:after="57"/>
        <w:ind w:left="339" w:right="0" w:hanging="339"/>
        <w:rPr/>
      </w:pPr>
      <w:r>
        <w:rPr>
          <w:rStyle w:val="Caractresdenotedefin"/>
        </w:rPr>
        <w:endnoteRef/>
      </w:r>
      <w:r>
        <w:rPr/>
        <w:tab/>
        <w:t xml:space="preserve"> </w:t>
      </w:r>
      <w:r>
        <w:rPr/>
        <w:t>Recomandarea nr. 15 a ECP 1. Recomandarea PNC german privind o „platformă de informare pentru schimbul de cunoștințe și de experiență la nivelul UE”.</w:t>
      </w:r>
    </w:p>
  </w:endnote>
  <w:endnote w:id="186">
    <w:p>
      <w:pPr>
        <w:pStyle w:val="Notedefin"/>
        <w:suppressLineNumbers/>
        <w:spacing w:before="57" w:after="57"/>
        <w:ind w:left="339" w:right="0" w:hanging="339"/>
        <w:rPr/>
      </w:pPr>
      <w:r>
        <w:rPr>
          <w:rStyle w:val="Caractresdenotedefin"/>
        </w:rPr>
        <w:endnoteRef/>
      </w:r>
      <w:r>
        <w:rPr/>
        <w:tab/>
      </w:r>
      <w:r>
        <w:rPr/>
        <w:t>Recomandarea 6.1 a PNC belgian. PCN francez, schimbarea 7.</w:t>
      </w:r>
    </w:p>
  </w:endnote>
  <w:endnote w:id="187">
    <w:p>
      <w:pPr>
        <w:pStyle w:val="Notedefin"/>
        <w:suppressLineNumbers/>
        <w:spacing w:before="57" w:after="57"/>
        <w:ind w:left="339" w:right="0" w:hanging="339"/>
        <w:rPr/>
      </w:pPr>
      <w:r>
        <w:rPr>
          <w:rStyle w:val="Caractresdenotedefin"/>
        </w:rPr>
        <w:endnoteRef/>
      </w:r>
      <w:r>
        <w:rPr/>
        <w:tab/>
        <w:t xml:space="preserve"> </w:t>
      </w:r>
      <w:r>
        <w:rPr/>
        <w:t>Recomandarea 7.2 a PNC belgian.</w:t>
      </w:r>
    </w:p>
  </w:endnote>
  <w:endnote w:id="188">
    <w:p>
      <w:pPr>
        <w:pStyle w:val="Notedefin"/>
        <w:suppressLineNumbers/>
        <w:spacing w:before="57" w:after="57"/>
        <w:ind w:left="339" w:right="0" w:hanging="339"/>
        <w:rPr/>
      </w:pPr>
      <w:r>
        <w:rPr>
          <w:rStyle w:val="Caractresdenotedefin"/>
        </w:rPr>
        <w:endnoteRef/>
      </w:r>
      <w:r>
        <w:rPr/>
        <w:tab/>
      </w:r>
      <w:r>
        <w:rPr/>
        <w:t>Recomandarea 4 din PCE 1.</w:t>
      </w:r>
    </w:p>
  </w:endnote>
  <w:endnote w:id="189">
    <w:p>
      <w:pPr>
        <w:pStyle w:val="Notedefin"/>
        <w:suppressLineNumbers/>
        <w:spacing w:before="57" w:after="57"/>
        <w:ind w:left="339" w:right="0" w:hanging="339"/>
        <w:rPr/>
      </w:pPr>
      <w:r>
        <w:rPr>
          <w:rStyle w:val="Caractresdenotedefin"/>
        </w:rPr>
        <w:endnoteRef/>
      </w:r>
      <w:r>
        <w:rPr/>
        <w:tab/>
      </w:r>
      <w:r>
        <w:rPr/>
        <w:t>Propunere de completare a recomandărilor</w:t>
      </w:r>
      <w:r>
        <w:rPr>
          <w:vertAlign w:val="superscript"/>
        </w:rPr>
        <w:t>nr.</w:t>
      </w:r>
      <w:r>
        <w:rPr/>
        <w:t xml:space="preserve"> 1 și 30 ale PCE 1 care fac obiectul Grupului de lucru pentru o economie mai puternică, justiție socială și ocuparea forței de muncă.</w:t>
      </w:r>
    </w:p>
  </w:endnote>
  <w:endnote w:id="190">
    <w:p>
      <w:pPr>
        <w:pStyle w:val="Notedefin"/>
        <w:suppressLineNumbers/>
        <w:spacing w:before="57" w:after="57"/>
        <w:ind w:left="339" w:right="0" w:hanging="339"/>
        <w:rPr/>
      </w:pPr>
      <w:r>
        <w:rPr>
          <w:rStyle w:val="Caractresdenotedefin"/>
        </w:rPr>
        <w:endnoteRef/>
      </w:r>
      <w:r>
        <w:rPr/>
        <w:tab/>
        <w:t xml:space="preserve"> </w:t>
      </w:r>
      <w:r>
        <w:rPr/>
        <w:t>Propunere de completare a Recomandării 25 a PCE 1 care face obiectul Grupului de lucru pentru o economie mai puternică, justiție socială și ocuparea forței de muncă.</w:t>
      </w:r>
    </w:p>
  </w:endnote>
  <w:endnote w:id="191">
    <w:p>
      <w:pPr>
        <w:pStyle w:val="Notedefin"/>
        <w:suppressLineNumbers/>
        <w:spacing w:before="57" w:after="57"/>
        <w:ind w:left="339" w:right="0" w:hanging="339"/>
        <w:rPr/>
      </w:pPr>
      <w:r>
        <w:rPr>
          <w:rStyle w:val="Caractresdenotedefin"/>
        </w:rPr>
        <w:endnoteRef/>
      </w:r>
      <w:r>
        <w:rPr/>
        <w:tab/>
        <w:t xml:space="preserve"> </w:t>
      </w:r>
      <w:r>
        <w:rPr/>
        <w:t>Recomandarea nr. 28 4. PNC din Țările de Jos („Viziunea noastră pentru cultură, tineret și sport”), Recomandarea 1. PCN francez, schimbarea 6.</w:t>
      </w:r>
    </w:p>
  </w:endnote>
  <w:endnote w:id="192">
    <w:p>
      <w:pPr>
        <w:pStyle w:val="Notedefin"/>
        <w:suppressLineNumbers/>
        <w:spacing w:before="57" w:after="57"/>
        <w:ind w:left="339" w:right="0" w:hanging="339"/>
        <w:rPr/>
      </w:pPr>
      <w:r>
        <w:rPr>
          <w:rStyle w:val="Caractresdenotedefin"/>
        </w:rPr>
        <w:endnoteRef/>
      </w:r>
      <w:r>
        <w:rPr/>
        <w:tab/>
        <w:t xml:space="preserve"> </w:t>
      </w:r>
      <w:r>
        <w:rPr/>
        <w:t>Recomandarea 6 din PCE 1.</w:t>
      </w:r>
    </w:p>
  </w:endnote>
  <w:endnote w:id="193">
    <w:p>
      <w:pPr>
        <w:pStyle w:val="Notedefin"/>
        <w:suppressLineNumbers/>
        <w:spacing w:before="57" w:after="57"/>
        <w:ind w:left="339" w:right="0" w:hanging="339"/>
        <w:rPr/>
      </w:pPr>
      <w:r>
        <w:rPr>
          <w:rStyle w:val="Caractresdenotedefin"/>
        </w:rPr>
        <w:endnoteRef/>
      </w:r>
      <w:r>
        <w:rPr/>
        <w:tab/>
      </w:r>
      <w:r>
        <w:rPr/>
        <w:t>NCP olandez („Viziunea noastră pentru cultură, tineret și sport”), Recomandarea nr. 2.</w:t>
      </w:r>
    </w:p>
  </w:endnote>
  <w:endnote w:id="194">
    <w:p>
      <w:pPr>
        <w:pStyle w:val="Notedefin"/>
        <w:suppressLineNumbers/>
        <w:spacing w:before="57" w:after="57"/>
        <w:ind w:left="339" w:right="0" w:hanging="339"/>
        <w:rPr/>
      </w:pPr>
      <w:r>
        <w:rPr>
          <w:rStyle w:val="Caractresdenotedefin"/>
        </w:rPr>
        <w:endnoteRef/>
      </w:r>
      <w:r>
        <w:rPr/>
        <w:tab/>
      </w:r>
      <w:r>
        <w:rPr/>
        <w:t>Recomandarea ECP 36 1. PCN francez, schimbarea 6. Recomandările nr. 2.10 și 2.11 ale PNC belgian. NCP german, „Crearea mai multor oportunități de schimb pentru studenții din Europa”. PNC din Țările de Jos („Viziunea noastră pentru cultură, tineret și sport”), recomandările</w:t>
      </w:r>
      <w:r>
        <w:rPr>
          <w:vertAlign w:val="superscript"/>
        </w:rPr>
        <w:t>1</w:t>
      </w:r>
      <w:r>
        <w:rPr/>
        <w:t xml:space="preserve"> și 3. NCP italian, recomandarea de a „face un birou de confluență între Est sau Vest, promovarea schimburilor culturale și a inițiativelor culturale comune”.</w:t>
      </w:r>
    </w:p>
  </w:endnote>
  <w:endnote w:id="195">
    <w:p>
      <w:pPr>
        <w:pStyle w:val="Notedefin"/>
        <w:suppressLineNumbers/>
        <w:spacing w:before="57" w:after="57"/>
        <w:ind w:left="339" w:right="0" w:hanging="339"/>
        <w:rPr/>
      </w:pPr>
      <w:r>
        <w:rPr>
          <w:rStyle w:val="Caractresdenotedefin"/>
        </w:rPr>
        <w:endnoteRef/>
      </w:r>
      <w:r>
        <w:rPr/>
        <w:tab/>
        <w:t xml:space="preserve"> </w:t>
      </w:r>
      <w:r>
        <w:rPr>
          <w:vertAlign w:val="superscript"/>
        </w:rPr>
        <w:t>Recomandările</w:t>
      </w:r>
      <w:r>
        <w:rPr/>
        <w:t xml:space="preserve"> 32 și 38 1. PNC din Țările de Jos („Viziunea noastră pentru cultură, tineret și sport”), Recomandarea 3.</w:t>
      </w:r>
    </w:p>
  </w:endnote>
  <w:endnote w:id="196">
    <w:p>
      <w:pPr>
        <w:pStyle w:val="Notedefin"/>
        <w:suppressLineNumbers/>
        <w:spacing w:before="57" w:after="57"/>
        <w:ind w:left="339" w:right="0" w:hanging="339"/>
        <w:rPr/>
      </w:pPr>
      <w:r>
        <w:rPr>
          <w:rStyle w:val="Caractresdenotedefin"/>
        </w:rPr>
        <w:endnoteRef/>
      </w:r>
      <w:r>
        <w:rPr/>
        <w:tab/>
      </w:r>
      <w:r>
        <w:rPr/>
        <w:t>Recomandarea PCN din Italia privind „Europa în lume”</w:t>
      </w:r>
    </w:p>
  </w:endnote>
  <w:endnote w:id="197">
    <w:p>
      <w:pPr>
        <w:pStyle w:val="Notedefin"/>
        <w:suppressLineNumbers/>
        <w:spacing w:before="57" w:after="57"/>
        <w:ind w:left="339" w:right="0" w:hanging="339"/>
        <w:rPr/>
      </w:pPr>
      <w:r>
        <w:rPr>
          <w:rStyle w:val="Caractresdenotedefin"/>
        </w:rPr>
        <w:endnoteRef/>
      </w:r>
      <w:r>
        <w:rPr/>
        <w:tab/>
      </w:r>
      <w:r>
        <w:rPr/>
        <w:t>PCN francez, schimbarea 7. Recomandările</w:t>
      </w:r>
      <w:r>
        <w:rPr>
          <w:vertAlign w:val="superscript"/>
        </w:rPr>
        <w:t>2.5</w:t>
      </w:r>
      <w:r>
        <w:rPr/>
        <w:t>, 6.1 și 8.7 ale PNC belgian. PNC italian, Recomandarea privind „Consolidarea valorilor și caracteristicilor culturale europene, precum și a particularităților regionale”.</w:t>
      </w:r>
    </w:p>
  </w:endnote>
  <w:endnote w:id="198">
    <w:p>
      <w:pPr>
        <w:pStyle w:val="Notedefin"/>
        <w:suppressLineNumbers/>
        <w:spacing w:before="57" w:after="57"/>
        <w:ind w:left="339" w:right="0" w:hanging="339"/>
        <w:rPr/>
      </w:pPr>
      <w:r>
        <w:rPr>
          <w:rStyle w:val="Caractresdenotedefin"/>
        </w:rPr>
        <w:endnoteRef/>
      </w:r>
      <w:r>
        <w:rPr/>
        <w:tab/>
      </w:r>
      <w:r>
        <w:rPr/>
        <w:t>NCP olandez („Viziunea noastră pentru cultură, tineret și sport”), Recomandarea nr. 2.</w:t>
      </w:r>
    </w:p>
  </w:endnote>
  <w:endnote w:id="199">
    <w:p>
      <w:pPr>
        <w:pStyle w:val="Notedefin"/>
        <w:suppressLineNumbers/>
        <w:spacing w:before="57" w:after="57"/>
        <w:ind w:left="339" w:right="0" w:hanging="339"/>
        <w:rPr/>
      </w:pPr>
      <w:r>
        <w:rPr>
          <w:rStyle w:val="Caractresdenotedefin"/>
        </w:rPr>
        <w:endnoteRef/>
      </w:r>
      <w:r>
        <w:rPr/>
        <w:tab/>
        <w:t xml:space="preserve"> </w:t>
      </w:r>
      <w:r>
        <w:rPr/>
        <w:t>Recomandarea PCN italian de a „Depăși modelul de producție al secolului trecut”</w:t>
      </w:r>
    </w:p>
  </w:endnote>
  <w:endnote w:id="200">
    <w:p>
      <w:pPr>
        <w:pStyle w:val="Notedefin"/>
        <w:suppressLineNumbers/>
        <w:spacing w:before="57" w:after="57"/>
        <w:ind w:left="339" w:right="0" w:hanging="339"/>
        <w:rPr/>
      </w:pPr>
      <w:r>
        <w:rPr>
          <w:rStyle w:val="Caractresdenotedefin"/>
        </w:rPr>
        <w:endnoteRef/>
      </w:r>
      <w:r>
        <w:rPr/>
        <w:tab/>
      </w:r>
      <w:r>
        <w:rPr/>
        <w:t>Recomandarea nr. 29 a ECP 1.</w:t>
      </w:r>
    </w:p>
  </w:endnote>
  <w:endnote w:id="201">
    <w:p>
      <w:pPr>
        <w:pStyle w:val="Notedefin"/>
        <w:suppressLineNumbers/>
        <w:spacing w:before="57" w:after="57"/>
        <w:ind w:left="339" w:right="0" w:hanging="339"/>
        <w:rPr/>
      </w:pPr>
      <w:r>
        <w:rPr>
          <w:rStyle w:val="Caractresdenotedefin"/>
        </w:rPr>
        <w:endnoteRef/>
      </w:r>
      <w:r>
        <w:rPr/>
        <w:tab/>
      </w:r>
      <w:r>
        <w:rPr/>
        <w:t>Recomandarea ECP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4</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5</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OCDE, Innovative Citizen Participation and New Democratic Institutions,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OCDE, Innovative Citizen Participation and New Democratic Institutions,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Vizitați platforma digitală multilingvă pentru a accesa toate informațiile despre aceste evenimente.</w:t>
      </w:r>
    </w:p>
  </w:footnote>
  <w:footnote w:id="7">
    <w:p>
      <w:pPr>
        <w:pStyle w:val="Notedebasdepage"/>
        <w:suppressLineNumbers/>
        <w:spacing w:before="57" w:after="57"/>
        <w:ind w:left="339" w:right="0" w:hanging="339"/>
        <w:rPr/>
      </w:pPr>
      <w:r>
        <w:rPr>
          <w:rStyle w:val="Caractresdenotedebasdepage"/>
        </w:rPr>
        <w:footnoteRef/>
      </w:r>
      <w:r>
        <w:rPr/>
        <w:tab/>
      </w:r>
      <w:r>
        <w:rPr/>
        <w:t>Trebuia să se ajungă la un consens, cel puțin, între reprezentanții Parlamentului European, ai Consiliului, ai Comisiei Europene și ai parlamentelor naționale, pe picior de egalitate. În cazul în care poziția reprezentanților cetățenilor în cadrul evenimentelor naționale și/sau al grupurilor de dezbatere ale cetățenilor europeni sau naționali a fost în mod evident divergentă, această poziție ar trebui inclusă în prezentul raport.</w:t>
      </w:r>
    </w:p>
  </w:footnote>
  <w:footnote w:id="8">
    <w:p>
      <w:pPr>
        <w:pStyle w:val="Notedebasdepage"/>
        <w:suppressLineNumbers/>
        <w:spacing w:before="57" w:after="57"/>
        <w:ind w:left="339" w:right="0" w:hanging="339"/>
        <w:rPr/>
      </w:pPr>
      <w:r>
        <w:rPr>
          <w:rStyle w:val="Caractresdenotedebasdepage"/>
        </w:rPr>
        <w:footnoteRef/>
      </w:r>
      <w:r>
        <w:rPr/>
        <w:tab/>
      </w:r>
      <w:r>
        <w:rPr/>
        <w:t>Alți membri ai Comisiei Europene au fost invitați la sesiunea plenară, în special atunci când au fost discutate aspecte din portofoliile lor.</w:t>
      </w:r>
    </w:p>
  </w:footnote>
  <w:footnote w:id="9">
    <w:p>
      <w:pPr>
        <w:pStyle w:val="Notedebasdepage"/>
        <w:suppressLineNumbers/>
        <w:spacing w:before="57" w:after="57"/>
        <w:ind w:left="339" w:right="0" w:hanging="339"/>
        <w:rPr/>
      </w:pPr>
      <w:r>
        <w:rPr>
          <w:rStyle w:val="Caractresdenotedebasdepage"/>
        </w:rPr>
        <w:footnoteRef/>
      </w:r>
      <w:r>
        <w:rPr/>
        <w:tab/>
      </w:r>
      <w:r>
        <w:rPr/>
        <w:t>Una pentru fiecare stat membru.</w:t>
      </w:r>
    </w:p>
  </w:footnote>
  <w:footnote w:id="10">
    <w:p>
      <w:pPr>
        <w:pStyle w:val="Notedebasdepage"/>
        <w:suppressLineNumbers/>
        <w:spacing w:before="57" w:after="57"/>
        <w:ind w:left="339" w:right="0" w:hanging="339"/>
        <w:rPr/>
      </w:pPr>
      <w:r>
        <w:rPr>
          <w:rStyle w:val="Caractresdenotedebasdepage"/>
        </w:rPr>
        <w:footnoteRef/>
      </w:r>
      <w:r>
        <w:rPr/>
        <w:tab/>
      </w:r>
      <w:r>
        <w:rPr/>
        <w:t>Un prim eveniment dedicat cetățenilor europeni a avut loc la 17 iunie 2021, la Lisabona, în format hibrid, înaintea sesiunii plenare inaugurale din 19 iunie, pentru a lansa participarea cetățenilor la conferință.</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Reprezentanții Comisiei Europene au explicat că ar fi necesar să treacă printr-o perioadă de tranziție pentru a evita evoluțiile prea abrupte.</w:t>
      </w:r>
    </w:p>
  </w:footnote>
  <w:footnote w:id="12">
    <w:p>
      <w:pPr>
        <w:pStyle w:val="Notedebasdepage"/>
        <w:suppressLineNumbers/>
        <w:spacing w:before="57" w:after="57"/>
        <w:ind w:left="339" w:right="0" w:hanging="339"/>
        <w:rPr/>
      </w:pPr>
      <w:r>
        <w:rPr>
          <w:rStyle w:val="Caractresdenotedebasdepage"/>
        </w:rPr>
        <w:footnoteRef/>
      </w:r>
      <w:r>
        <w:rPr/>
        <w:tab/>
      </w:r>
      <w:r>
        <w:rPr/>
        <w:t xml:space="preserve">Poziția Parlamentului: lista de sus a partidului politic european cu cel mai mare număr de voturi la alegerile europene și sprijinul majorității deputaților în Parlamentul European ar trebui să fie alese în funcția de președinte al Comisiei Europene. În cazul în care nu apare o majoritate bazată pe coaliție, postul ar trebui să revină în următorul vârf al listei. în acest scop, partidele politice europene ar putea nominaliza candidați pentru a candida la președinția Comisiei. Paulo Rangel: pentru a consolida procesul candidaților principali, rolurile Parlamentului European și ale Consiliului European ar trebui inversate, ceea ce implică modificarea tratatelor: președintele Comisiei va fi propus de Parlament și aprobat de Consiliul European. PNM (Raport final Kantar: „un grup de contribuții acoperă alegerea președintelui Comisiei și numirea comisarilor, inclusiv sistemul de candidați pe primul loc.”) EYE, p. 23: Candidații la funcția de președinte al Comisiei nu ar trebui să fie aleși în negocierile din spatele scenei dintre partidele câștigătoare. Ar trebui să aplicăm sistemul candidaților principali, în cazul în care fiecare partid anunță înainte de campania electorală candidatul care va fi președinte al Comisiei în cazul în care partidul respectiv câștigă o majoritate. Prin participarea activă la campanie și interacțiunea directă cu cetățenii europeni, viitorul președinte ar putea fi mai aproape de aceștia.” discuție în GT. </w:t>
      </w:r>
    </w:p>
  </w:footnote>
  <w:footnote w:id="13">
    <w:p>
      <w:pPr>
        <w:pStyle w:val="Notedebasdepage"/>
        <w:suppressLineNumbers/>
        <w:spacing w:before="57" w:after="57"/>
        <w:ind w:left="339" w:right="0" w:hanging="339"/>
        <w:rPr/>
      </w:pPr>
      <w:r>
        <w:rPr>
          <w:rStyle w:val="Caractresdenotedebasdepage"/>
        </w:rPr>
        <w:footnoteRef/>
      </w:r>
      <w:r>
        <w:rPr/>
        <w:tab/>
      </w:r>
      <w:r>
        <w:rPr/>
        <w:t>Consiliul consideră că această propunere nu se bazează pe o recomandare a cetățenilor. Prin urmare, aceasta nu este în conformitate cu metodologia convenită. A se vedea, de asemenea, poziția componentei cetățenești exprimată la pagina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Eșantion de cetățeni reprezentând Vilnius, Kaunas, Klaipėda, Šiauliai și Panevėžys și districtele (apskritis) Vilnius, Kaunas, Klaipėda, Šiauliai, Panevėžys, Alytus, Marijampolė, Tauragė, Telšiai și Utena, pe baza datelor furnizate de Departamentul lituanian de statistică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Conferința privind viitorul Europei | RAPORT PRIVIND REZULTATELE FINALE</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ro"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ro"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ro"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ro"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ro"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ro"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ro"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ro"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ro"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ro"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ro"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ro"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ro"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ro"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ro"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ro"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2" Type="http://schemas.openxmlformats.org/officeDocument/2006/relationships/hyperlink" Target="https://cor.europa.eu/en/summits/2022" TargetMode="External"/><Relationship Id="rId63" Type="http://schemas.openxmlformats.org/officeDocument/2006/relationships/hyperlink" Target="https://cor.europa.eu/en/engage/brochures/Documents/Citizens, local politicians and the future of Europe/4666-final report lowres FIN.pdf" TargetMode="External"/><Relationship Id="rId64"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5"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6"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7"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8" Type="http://schemas.openxmlformats.org/officeDocument/2006/relationships/hyperlink" Target="https://urldefense.com/v3/__https:/europeanmovement.eu/__;!!DOxrgLBm!USrgw0ykk4Rr_7OEucFYoNO-h98D1sH5xfD-7Qmm48-t_TKrps6LcRBXC7_VkAjjVVGY7-cLezPKmw$" TargetMode="External"/><Relationship Id="rId69"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0"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1"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2" Type="http://schemas.openxmlformats.org/officeDocument/2006/relationships/hyperlink" Target="https://urldefense.com/v3/__https:/europeanmovement.eu/conference-on-the-future-of-europe/__;!!DOxrgLBm!USrgw0ykk4Rr_7OEucFYoNO-h98D1sH5xfD-7Qmm48-t_TKrps6LcRBXC7_VkAjjVVGY7-coTvKNzA$" TargetMode="External"/><Relationship Id="rId73" Type="http://schemas.openxmlformats.org/officeDocument/2006/relationships/image" Target="media/image21.png"/><Relationship Id="rId74" Type="http://schemas.openxmlformats.org/officeDocument/2006/relationships/image" Target="media/image22.png"/><Relationship Id="rId75" Type="http://schemas.openxmlformats.org/officeDocument/2006/relationships/image" Target="media/image23.png"/><Relationship Id="rId76" Type="http://schemas.openxmlformats.org/officeDocument/2006/relationships/image" Target="media/image24.png"/><Relationship Id="rId77" Type="http://schemas.openxmlformats.org/officeDocument/2006/relationships/image" Target="media/image25.png"/><Relationship Id="rId78" Type="http://schemas.openxmlformats.org/officeDocument/2006/relationships/image" Target="media/image26.png"/><Relationship Id="rId79" Type="http://schemas.openxmlformats.org/officeDocument/2006/relationships/image" Target="media/image27.png"/><Relationship Id="rId80" Type="http://schemas.openxmlformats.org/officeDocument/2006/relationships/image" Target="media/image28.png"/><Relationship Id="rId81" Type="http://schemas.openxmlformats.org/officeDocument/2006/relationships/image" Target="media/image29.png"/><Relationship Id="rId82" Type="http://schemas.openxmlformats.org/officeDocument/2006/relationships/image" Target="media/image30.png"/><Relationship Id="rId83" Type="http://schemas.openxmlformats.org/officeDocument/2006/relationships/image" Target="media/image31.png"/><Relationship Id="rId84" Type="http://schemas.openxmlformats.org/officeDocument/2006/relationships/image" Target="media/image32.png"/><Relationship Id="rId85" Type="http://schemas.openxmlformats.org/officeDocument/2006/relationships/image" Target="media/image33.png"/><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image" Target="media/image34.png"/><Relationship Id="rId89" Type="http://schemas.openxmlformats.org/officeDocument/2006/relationships/image" Target="media/image35.png"/><Relationship Id="rId90" Type="http://schemas.openxmlformats.org/officeDocument/2006/relationships/image" Target="media/image36.png"/><Relationship Id="rId91" Type="http://schemas.openxmlformats.org/officeDocument/2006/relationships/image" Target="media/image37.png"/><Relationship Id="rId92" Type="http://schemas.openxmlformats.org/officeDocument/2006/relationships/image" Target="media/image38.png"/><Relationship Id="rId93" Type="http://schemas.openxmlformats.org/officeDocument/2006/relationships/image" Target="media/image39.png"/><Relationship Id="rId94" Type="http://schemas.openxmlformats.org/officeDocument/2006/relationships/image" Target="media/image40.png"/><Relationship Id="rId95" Type="http://schemas.openxmlformats.org/officeDocument/2006/relationships/image" Target="media/image41.png"/><Relationship Id="rId96" Type="http://schemas.openxmlformats.org/officeDocument/2006/relationships/image" Target="media/image42.png"/><Relationship Id="rId97" Type="http://schemas.openxmlformats.org/officeDocument/2006/relationships/image" Target="media/image43.png"/><Relationship Id="rId98" Type="http://schemas.openxmlformats.org/officeDocument/2006/relationships/image" Target="media/image44.png"/><Relationship Id="rId99" Type="http://schemas.openxmlformats.org/officeDocument/2006/relationships/image" Target="media/image45.wmf"/><Relationship Id="rId100" Type="http://schemas.openxmlformats.org/officeDocument/2006/relationships/image" Target="media/image46.png"/><Relationship Id="rId101" Type="http://schemas.openxmlformats.org/officeDocument/2006/relationships/image" Target="media/image47.png"/><Relationship Id="rId102" Type="http://schemas.openxmlformats.org/officeDocument/2006/relationships/image" Target="media/image48.png"/><Relationship Id="rId103" Type="http://schemas.openxmlformats.org/officeDocument/2006/relationships/image" Target="media/image49.png"/><Relationship Id="rId104" Type="http://schemas.openxmlformats.org/officeDocument/2006/relationships/image" Target="media/image50.png"/><Relationship Id="rId105" Type="http://schemas.openxmlformats.org/officeDocument/2006/relationships/image" Target="media/image51.png"/><Relationship Id="rId106" Type="http://schemas.openxmlformats.org/officeDocument/2006/relationships/image" Target="media/image52.png"/><Relationship Id="rId107" Type="http://schemas.openxmlformats.org/officeDocument/2006/relationships/image" Target="media/image53.png"/><Relationship Id="rId108" Type="http://schemas.openxmlformats.org/officeDocument/2006/relationships/image" Target="media/image54.png"/><Relationship Id="rId109" Type="http://schemas.openxmlformats.org/officeDocument/2006/relationships/image" Target="media/image55.png"/><Relationship Id="rId110" Type="http://schemas.openxmlformats.org/officeDocument/2006/relationships/image" Target="media/image56.png"/><Relationship Id="rId111" Type="http://schemas.openxmlformats.org/officeDocument/2006/relationships/image" Target="media/image57.png"/><Relationship Id="rId112" Type="http://schemas.openxmlformats.org/officeDocument/2006/relationships/image" Target="media/image58.png"/><Relationship Id="rId113" Type="http://schemas.openxmlformats.org/officeDocument/2006/relationships/image" Target="media/image59.png"/><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256" TargetMode="External"/><Relationship Id="rId117" Type="http://schemas.openxmlformats.org/officeDocument/2006/relationships/hyperlink" Target="https://europa.eu/eurobarometer/surveys/detail/2532" TargetMode="External"/><Relationship Id="rId118" Type="http://schemas.openxmlformats.org/officeDocument/2006/relationships/image" Target="media/image60.png"/><Relationship Id="rId119" Type="http://schemas.openxmlformats.org/officeDocument/2006/relationships/hyperlink" Target="http://www.kijkopeuropa.nl/" TargetMode="External"/><Relationship Id="rId120" Type="http://schemas.openxmlformats.org/officeDocument/2006/relationships/image" Target="media/image61.png"/><Relationship Id="rId121" Type="http://schemas.openxmlformats.org/officeDocument/2006/relationships/hyperlink" Target="https://futureu.europa.eu/pages/belgium" TargetMode="External"/><Relationship Id="rId122" Type="http://schemas.openxmlformats.org/officeDocument/2006/relationships/hyperlink" Target="https://futureu.europa.eu/pages/bulgar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czechia" TargetMode="External"/><Relationship Id="rId125" Type="http://schemas.openxmlformats.org/officeDocument/2006/relationships/hyperlink" Target="https://futureu.europa.eu/pages/denmark"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germany" TargetMode="External"/><Relationship Id="rId128" Type="http://schemas.openxmlformats.org/officeDocument/2006/relationships/hyperlink" Target="https://futureu.europa.eu/pages/estonia" TargetMode="External"/><Relationship Id="rId129" Type="http://schemas.openxmlformats.org/officeDocument/2006/relationships/hyperlink" Target="https://futureu.europa.eu/pages/ireland" TargetMode="External"/><Relationship Id="rId130" Type="http://schemas.openxmlformats.org/officeDocument/2006/relationships/hyperlink" Target="https://futureu.europa.eu/pages/greece" TargetMode="External"/><Relationship Id="rId131" Type="http://schemas.openxmlformats.org/officeDocument/2006/relationships/hyperlink" Target="https://futureu.europa.eu/pages/spain" TargetMode="External"/><Relationship Id="rId132" Type="http://schemas.openxmlformats.org/officeDocument/2006/relationships/hyperlink" Target="https://futureu.europa.eu/pages/france" TargetMode="External"/><Relationship Id="rId133" Type="http://schemas.openxmlformats.org/officeDocument/2006/relationships/hyperlink" Target="https://futureu.europa.eu/pages/croatia" TargetMode="External"/><Relationship Id="rId134" Type="http://schemas.openxmlformats.org/officeDocument/2006/relationships/hyperlink" Target="https://futureu.europa.eu/pages/italy" TargetMode="External"/><Relationship Id="rId135" Type="http://schemas.openxmlformats.org/officeDocument/2006/relationships/hyperlink" Target="https://futureu.europa.eu/pages/cyprus" TargetMode="External"/><Relationship Id="rId136" Type="http://schemas.openxmlformats.org/officeDocument/2006/relationships/hyperlink" Target="https://futureu.europa.eu/pages/latvia" TargetMode="External"/><Relationship Id="rId137" Type="http://schemas.openxmlformats.org/officeDocument/2006/relationships/hyperlink" Target="https://futureu.europa.eu/pages/lithuania" TargetMode="External"/><Relationship Id="rId138" Type="http://schemas.openxmlformats.org/officeDocument/2006/relationships/hyperlink" Target="https://futureu.europa.eu/pages/luxembourg" TargetMode="External"/><Relationship Id="rId139" Type="http://schemas.openxmlformats.org/officeDocument/2006/relationships/hyperlink" Target="https://futureu.europa.eu/pages/hungary" TargetMode="External"/><Relationship Id="rId140" Type="http://schemas.openxmlformats.org/officeDocument/2006/relationships/hyperlink" Target="https://futureu.europa.eu/pages/malta" TargetMode="External"/><Relationship Id="rId141" Type="http://schemas.openxmlformats.org/officeDocument/2006/relationships/hyperlink" Target="https://futureu.europa.eu/pages/netherlands" TargetMode="External"/><Relationship Id="rId142" Type="http://schemas.openxmlformats.org/officeDocument/2006/relationships/hyperlink" Target="https://futureu.europa.eu/pages/austria" TargetMode="External"/><Relationship Id="rId143" Type="http://schemas.openxmlformats.org/officeDocument/2006/relationships/hyperlink" Target="https://futureu.europa.eu/pages/poland" TargetMode="External"/><Relationship Id="rId144" Type="http://schemas.openxmlformats.org/officeDocument/2006/relationships/hyperlink" Target="https://futureu.europa.eu/pages/portugal" TargetMode="External"/><Relationship Id="rId145" Type="http://schemas.openxmlformats.org/officeDocument/2006/relationships/hyperlink" Target="https://futureu.europa.eu/pages/romania" TargetMode="External"/><Relationship Id="rId146" Type="http://schemas.openxmlformats.org/officeDocument/2006/relationships/hyperlink" Target="https://futureu.europa.eu/pages/slovenia" TargetMode="External"/><Relationship Id="rId147" Type="http://schemas.openxmlformats.org/officeDocument/2006/relationships/hyperlink" Target="https://futureu.europa.eu/pages/slovakia" TargetMode="External"/><Relationship Id="rId148" Type="http://schemas.openxmlformats.org/officeDocument/2006/relationships/hyperlink" Target="https://futureu.europa.eu/pages/finland" TargetMode="External"/><Relationship Id="rId149" Type="http://schemas.openxmlformats.org/officeDocument/2006/relationships/hyperlink" Target="https://futureu.europa.eu/pages/sweden"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image" Target="media/image62.png"/><Relationship Id="rId153" Type="http://schemas.openxmlformats.org/officeDocument/2006/relationships/footnotes" Target="footnotes.xml"/><Relationship Id="rId154" Type="http://schemas.openxmlformats.org/officeDocument/2006/relationships/endnotes" Target="endnotes.xml"/><Relationship Id="rId155" Type="http://schemas.openxmlformats.org/officeDocument/2006/relationships/comments" Target="comments.xml"/><Relationship Id="rId156" Type="http://schemas.openxmlformats.org/officeDocument/2006/relationships/numbering" Target="numbering.xml"/><Relationship Id="rId157" Type="http://schemas.openxmlformats.org/officeDocument/2006/relationships/fontTable" Target="fontTable.xml"/><Relationship Id="rId158"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300</Pages>
  <Words>114438</Words>
  <Characters>659539</Characters>
  <CharactersWithSpaces>770888</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2022-09-01T15:49:43Z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