
<file path=[Content_Types].xml><?xml version="1.0" encoding="utf-8"?>
<Types xmlns="http://schemas.openxmlformats.org/package/2006/content-types">
  <Override PartName="/_rels/.rels" ContentType="application/vnd.openxmlformats-package.relationship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footer1.xml" ContentType="application/vnd.openxmlformats-officedocument.wordprocessingml.footer+xml"/>
  <Override PartName="/word/document.xml" ContentType="application/vnd.openxmlformats-officedocument.wordprocessingml.document.main+xml"/>
  <Override PartName="/word/styles.xml" ContentType="application/vnd.openxmlformats-officedocument.wordprocessingml.styles+xml"/>
  <Override PartName="/word/footnotes.xml" ContentType="application/vnd.openxmlformats-officedocument.wordprocessingml.footnotes+xml"/>
  <Override PartName="/word/comments.xml" ContentType="application/vnd.openxmlformats-officedocument.wordprocessingml.comments+xml"/>
  <Override PartName="/word/header2.xml" ContentType="application/vnd.openxmlformats-officedocument.wordprocessingml.header+xml"/>
  <Override PartName="/word/media/image9.png" ContentType="image/png"/>
  <Override PartName="/word/media/image57.png" ContentType="image/png"/>
  <Override PartName="/word/media/image1.png" ContentType="image/png"/>
  <Override PartName="/word/media/image58.png" ContentType="image/png"/>
  <Override PartName="/word/media/image2.png" ContentType="image/png"/>
  <Override PartName="/word/media/image59.png" ContentType="image/png"/>
  <Override PartName="/word/media/image3.png" ContentType="image/png"/>
  <Override PartName="/word/media/image4.png" ContentType="image/png"/>
  <Override PartName="/word/media/image5.png" ContentType="image/png"/>
  <Override PartName="/word/media/image6.png" ContentType="image/png"/>
  <Override PartName="/word/media/image7.png" ContentType="image/png"/>
  <Override PartName="/word/media/image8.png" ContentType="image/png"/>
  <Override PartName="/word/media/image10.png" ContentType="image/png"/>
  <Override PartName="/word/media/image11.png" ContentType="image/png"/>
  <Override PartName="/word/media/image12.png" ContentType="image/png"/>
  <Override PartName="/word/media/image13.png" ContentType="image/png"/>
  <Override PartName="/word/media/image14.png" ContentType="image/png"/>
  <Override PartName="/word/media/image15.png" ContentType="image/png"/>
  <Override PartName="/word/media/image16.png" ContentType="image/png"/>
  <Override PartName="/word/media/image17.png" ContentType="image/png"/>
  <Override PartName="/word/media/image18.png" ContentType="image/png"/>
  <Override PartName="/word/media/image19.png" ContentType="image/png"/>
  <Override PartName="/word/media/image20.png" ContentType="image/png"/>
  <Override PartName="/word/media/image21.png" ContentType="image/png"/>
  <Override PartName="/word/media/image22.png" ContentType="image/png"/>
  <Override PartName="/word/media/image23.png" ContentType="image/png"/>
  <Override PartName="/word/media/image24.png" ContentType="image/png"/>
  <Override PartName="/word/media/image25.png" ContentType="image/png"/>
  <Override PartName="/word/media/image26.png" ContentType="image/png"/>
  <Override PartName="/word/media/image27.png" ContentType="image/png"/>
  <Override PartName="/word/media/image28.png" ContentType="image/png"/>
  <Override PartName="/word/media/image29.png" ContentType="image/png"/>
  <Override PartName="/word/media/image30.png" ContentType="image/png"/>
  <Override PartName="/word/media/image31.png" ContentType="image/png"/>
  <Override PartName="/word/media/image32.png" ContentType="image/png"/>
  <Override PartName="/word/media/image45.wmf" ContentType="image/x-wmf"/>
  <Override PartName="/word/media/image33.png" ContentType="image/png"/>
  <Override PartName="/word/media/image34.png" ContentType="image/png"/>
  <Override PartName="/word/media/image35.png" ContentType="image/png"/>
  <Override PartName="/word/media/image36.png" ContentType="image/png"/>
  <Override PartName="/word/media/image37.png" ContentType="image/png"/>
  <Override PartName="/word/media/image38.png" ContentType="image/png"/>
  <Override PartName="/word/media/image39.png" ContentType="image/png"/>
  <Override PartName="/word/media/image40.png" ContentType="image/png"/>
  <Override PartName="/word/media/image41.png" ContentType="image/png"/>
  <Override PartName="/word/media/image42.png" ContentType="image/png"/>
  <Override PartName="/word/media/image43.png" ContentType="image/png"/>
  <Override PartName="/word/media/image44.png" ContentType="image/png"/>
  <Override PartName="/word/media/image46.png" ContentType="image/png"/>
  <Override PartName="/word/media/image47.png" ContentType="image/png"/>
  <Override PartName="/word/media/image48.png" ContentType="image/png"/>
  <Override PartName="/word/media/image49.png" ContentType="image/png"/>
  <Override PartName="/word/media/image50.png" ContentType="image/png"/>
  <Override PartName="/word/media/image51.png" ContentType="image/png"/>
  <Override PartName="/word/media/image52.png" ContentType="image/png"/>
  <Override PartName="/word/media/image53.png" ContentType="image/png"/>
  <Override PartName="/word/media/image54.png" ContentType="image/png"/>
  <Override PartName="/word/media/image55.png" ContentType="image/png"/>
  <Override PartName="/word/media/image56.png" ContentType="image/png"/>
  <Override PartName="/word/media/image60.png" ContentType="image/png"/>
  <Override PartName="/word/media/image61.png" ContentType="image/png"/>
  <Override PartName="/word/media/image62.png" ContentType="image/png"/>
  <Override PartName="/word/header1.xml" ContentType="application/vnd.openxmlformats-officedocument.wordprocessingml.header+xml"/>
  <Override PartName="/word/footer2.xml" ContentType="application/vnd.openxmlformats-officedocument.wordprocessingml.footer+xml"/>
  <Override PartName="/word/endnotes.xml" ContentType="application/vnd.openxmlformats-officedocument.wordprocessingml.endnotes+xml"/>
  <Override PartName="/word/numbering.xml" ContentType="application/vnd.openxmlformats-officedocument.wordprocessingml.numbering+xml"/>
  <Override PartName="/word/fontTable.xml" ContentType="application/vnd.openxmlformats-officedocument.wordprocessingml.fontTable+xml"/>
  <Override PartName="/word/settings.xml" ContentType="application/vnd.openxmlformats-officedocument.wordprocessingml.settings+xml"/>
  <Override PartName="/word/_rels/document.xml.rels" ContentType="application/vnd.openxmlformats-package.relationships+xml"/>
  <Override PartName="/word/_rels/footnotes.xml.rels" ContentType="application/vnd.openxmlformats-package.relationships+xml"/>
  <Override PartName="/word/_rels/endnotes.xml.rels" ContentType="application/vnd.openxmlformats-package.relationship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body>
    <w:p>
      <w:pPr>
        <w:pStyle w:val="P68B1DB1Normal1"/>
        <w:widowControl w:val="false"/>
        <w:spacing w:lineRule="exact" w:line="860" w:before="57" w:after="57"/>
        <w:ind w:left="0" w:right="0" w:hanging="0"/>
        <w:jc w:val="left"/>
        <w:rPr>
          <w:rFonts w:ascii="Arial" w:hAnsi="Arial"/>
        </w:rPr>
      </w:pPr>
      <w:r>
        <w:rPr>
          <w:position w:val="6"/>
        </w:rPr>
        <w:t xml:space="preserve">Conferentie over </w:t>
      </w:r>
      <w:r>
        <w:rPr/>
        <w:br/>
        <w:t>de toekomst van Europa</w:t>
      </w:r>
    </w:p>
    <w:p>
      <w:pPr>
        <w:pStyle w:val="P68B1DB1Normal2"/>
        <w:widowControl w:val="false"/>
        <w:spacing w:lineRule="exact" w:line="557"/>
        <w:ind w:left="56" w:right="1390" w:firstLine="8"/>
        <w:jc w:val="left"/>
        <w:rPr>
          <w:rFonts w:ascii="Arial" w:hAnsi="Arial"/>
          <w:color w:val="0000BE"/>
          <w:sz w:val="44"/>
        </w:rPr>
      </w:pPr>
      <w:r>
        <w:rPr/>
        <w:t xml:space="preserve">EINDRESULTATENRAPPORT </w:t>
      </w:r>
    </w:p>
    <w:p>
      <w:pPr>
        <w:pStyle w:val="P68B1DB1Normal3"/>
        <w:widowControl w:val="false"/>
        <w:spacing w:lineRule="exact" w:line="557"/>
        <w:ind w:left="56" w:right="1390" w:hanging="0"/>
        <w:jc w:val="left"/>
        <w:rPr>
          <w:rFonts w:ascii="Roboto" w:hAnsi="Roboto"/>
          <w:color w:val="0000BE"/>
          <w:sz w:val="28"/>
        </w:rPr>
      </w:pPr>
      <w:r>
        <w:rPr/>
        <w:t>mei 2022</w:t>
      </w:r>
      <w:r>
        <w:rPr>
          <w:rFonts w:ascii="Roboto" w:hAnsi="Roboto"/>
        </w:rPr>
        <w:t xml:space="preserve"> </w:t>
      </w:r>
    </w:p>
    <w:p>
      <w:pPr>
        <w:pStyle w:val="Normal"/>
        <w:rPr/>
      </w:pPr>
      <w:r>
        <w:rPr/>
        <w:drawing>
          <wp:anchor behindDoc="0" distT="0" distB="0" distL="0" distR="0" simplePos="0" locked="0" layoutInCell="1" allowOverlap="1" relativeHeight="65">
            <wp:simplePos x="0" y="0"/>
            <wp:positionH relativeFrom="column">
              <wp:posOffset>88265</wp:posOffset>
            </wp:positionH>
            <wp:positionV relativeFrom="paragraph">
              <wp:posOffset>52070</wp:posOffset>
            </wp:positionV>
            <wp:extent cx="5660390" cy="4556125"/>
            <wp:effectExtent l="0" t="0" r="0" b="0"/>
            <wp:wrapTopAndBottom/>
            <wp:docPr id="1" name="Afbeelding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fbeelding1" descr=""/>
                    <pic:cNvPicPr>
                      <a:picLocks noChangeAspect="1" noChangeArrowheads="1"/>
                    </pic:cNvPicPr>
                  </pic:nvPicPr>
                  <pic:blipFill>
                    <a:blip r:embed="rId2"/>
                    <a:stretch>
                      <a:fillRect/>
                    </a:stretch>
                  </pic:blipFill>
                  <pic:spPr bwMode="auto">
                    <a:xfrm>
                      <a:off x="0" y="0"/>
                      <a:ext cx="5660390" cy="4556125"/>
                    </a:xfrm>
                    <a:prstGeom prst="rect">
                      <a:avLst/>
                    </a:prstGeom>
                  </pic:spPr>
                </pic:pic>
              </a:graphicData>
            </a:graphic>
          </wp:anchor>
        </w:drawing>
      </w:r>
    </w:p>
    <w:p>
      <w:pPr>
        <w:pStyle w:val="Normal"/>
        <w:rPr/>
      </w:pPr>
      <w:r>
        <w:rPr/>
      </w:r>
    </w:p>
    <w:p>
      <w:pPr>
        <w:pStyle w:val="Normal"/>
        <w:widowControl w:val="false"/>
        <w:spacing w:lineRule="exact" w:line="576"/>
        <w:ind w:left="51" w:right="0" w:hanging="0"/>
        <w:jc w:val="left"/>
        <w:rPr>
          <w:rFonts w:ascii="Arial" w:hAnsi="Arial"/>
        </w:rPr>
      </w:pPr>
      <w:r>
        <mc:AlternateContent>
          <mc:Choice Requires="wps">
            <w:drawing>
              <wp:anchor behindDoc="0" distT="72390" distB="72390" distL="72390" distR="72390" simplePos="0" locked="0" layoutInCell="1" allowOverlap="1" relativeHeight="10">
                <wp:simplePos x="0" y="0"/>
                <wp:positionH relativeFrom="column">
                  <wp:posOffset>3199765</wp:posOffset>
                </wp:positionH>
                <wp:positionV relativeFrom="paragraph">
                  <wp:posOffset>219710</wp:posOffset>
                </wp:positionV>
                <wp:extent cx="2675890" cy="1109980"/>
                <wp:effectExtent l="0" t="0" r="0" b="0"/>
                <wp:wrapSquare wrapText="bothSides"/>
                <wp:docPr id="2" name="Kader1"/>
                <a:graphic xmlns:a="http://schemas.openxmlformats.org/drawingml/2006/main">
                  <a:graphicData uri="http://schemas.microsoft.com/office/word/2010/wordprocessingShape">
                    <wps:wsp>
                      <wps:cNvSpPr/>
                      <wps:spPr>
                        <a:xfrm>
                          <a:off x="0" y="0"/>
                          <a:ext cx="2675160" cy="1109520"/>
                        </a:xfrm>
                        <a:prstGeom prst="rect">
                          <a:avLst/>
                        </a:prstGeom>
                        <a:solidFill>
                          <a:srgbClr val="ffffff"/>
                        </a:solidFill>
                        <a:ln>
                          <a:noFill/>
                        </a:ln>
                      </wps:spPr>
                      <wps:style>
                        <a:lnRef idx="0"/>
                        <a:fillRef idx="0"/>
                        <a:effectRef idx="0"/>
                        <a:fontRef idx="minor"/>
                      </wps:style>
                      <wps:txbx>
                        <w:txbxContent>
                          <w:p>
                            <w:pPr>
                              <w:pStyle w:val="P68B1DB1Normal4"/>
                              <w:widowControl w:val="false"/>
                              <w:spacing w:lineRule="exact" w:line="370" w:before="57" w:after="57"/>
                              <w:ind w:left="113" w:right="113" w:hanging="0"/>
                              <w:jc w:val="left"/>
                              <w:rPr/>
                            </w:pPr>
                            <w:r>
                              <w:rPr/>
                              <w:drawing>
                                <wp:inline distT="0" distB="0" distL="0" distR="0">
                                  <wp:extent cx="1072515" cy="661670"/>
                                  <wp:effectExtent l="0" t="0" r="0" b="0"/>
                                  <wp:docPr id="4" name="Afbeelding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fbeelding2" descr=""/>
                                          <pic:cNvPicPr>
                                            <a:picLocks noChangeAspect="1" noChangeArrowheads="1"/>
                                          </pic:cNvPicPr>
                                        </pic:nvPicPr>
                                        <pic:blipFill>
                                          <a:blip r:embed="rId3"/>
                                          <a:stretch>
                                            <a:fillRect/>
                                          </a:stretch>
                                        </pic:blipFill>
                                        <pic:spPr bwMode="auto">
                                          <a:xfrm>
                                            <a:off x="0" y="0"/>
                                            <a:ext cx="1072515" cy="661670"/>
                                          </a:xfrm>
                                          <a:prstGeom prst="rect">
                                            <a:avLst/>
                                          </a:prstGeom>
                                        </pic:spPr>
                                      </pic:pic>
                                    </a:graphicData>
                                  </a:graphic>
                                </wp:inline>
                              </w:drawing>
                            </w:r>
                            <w:r>
                              <w:rPr/>
                              <w:t>Conferentie over de</w:t>
                            </w:r>
                            <w:r>
                              <w:rPr>
                                <w:b/>
                              </w:rPr>
                              <w:t>toekomst</w:t>
                            </w:r>
                            <w:r>
                              <w:rPr/>
                              <w:t xml:space="preserve"> van</w:t>
                            </w:r>
                            <w:r>
                              <w:rPr>
                                <w:b/>
                              </w:rPr>
                              <w:t>Europa</w:t>
                            </w:r>
                          </w:p>
                        </w:txbxContent>
                      </wps:txbx>
                      <wps:bodyPr lIns="54000" rIns="54000" tIns="54000" bIns="54000">
                        <a:noAutofit/>
                      </wps:bodyPr>
                    </wps:wsp>
                  </a:graphicData>
                </a:graphic>
              </wp:anchor>
            </w:drawing>
          </mc:Choice>
          <mc:Fallback>
            <w:pict>
              <v:rect id="shape_0" ID="Kader1" fillcolor="white" stroked="f" style="position:absolute;margin-left:251.95pt;margin-top:17.3pt;width:210.6pt;height:87.3pt">
                <w10:wrap type="square"/>
                <v:fill o:detectmouseclick="t" type="solid" color2="black"/>
                <v:stroke color="#3465a4" joinstyle="round" endcap="flat"/>
                <v:textbox>
                  <w:txbxContent>
                    <w:p>
                      <w:pPr>
                        <w:pStyle w:val="P68B1DB1Normal4"/>
                        <w:widowControl w:val="false"/>
                        <w:spacing w:lineRule="exact" w:line="370" w:before="57" w:after="57"/>
                        <w:ind w:left="113" w:right="113" w:hanging="0"/>
                        <w:jc w:val="left"/>
                        <w:rPr/>
                      </w:pPr>
                      <w:r>
                        <w:rPr/>
                        <w:drawing>
                          <wp:inline distT="0" distB="0" distL="0" distR="0">
                            <wp:extent cx="1072515" cy="661670"/>
                            <wp:effectExtent l="0" t="0" r="0" b="0"/>
                            <wp:docPr id="5" name="Afbeelding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Afbeelding2" descr=""/>
                                    <pic:cNvPicPr>
                                      <a:picLocks noChangeAspect="1" noChangeArrowheads="1"/>
                                    </pic:cNvPicPr>
                                  </pic:nvPicPr>
                                  <pic:blipFill>
                                    <a:blip r:embed="rId3"/>
                                    <a:stretch>
                                      <a:fillRect/>
                                    </a:stretch>
                                  </pic:blipFill>
                                  <pic:spPr bwMode="auto">
                                    <a:xfrm>
                                      <a:off x="0" y="0"/>
                                      <a:ext cx="1072515" cy="661670"/>
                                    </a:xfrm>
                                    <a:prstGeom prst="rect">
                                      <a:avLst/>
                                    </a:prstGeom>
                                  </pic:spPr>
                                </pic:pic>
                              </a:graphicData>
                            </a:graphic>
                          </wp:inline>
                        </w:drawing>
                      </w:r>
                      <w:r>
                        <w:rPr/>
                        <w:t>Conferentie over de</w:t>
                      </w:r>
                      <w:r>
                        <w:rPr>
                          <w:b/>
                        </w:rPr>
                        <w:t>toekomst</w:t>
                      </w:r>
                      <w:r>
                        <w:rPr/>
                        <w:t xml:space="preserve"> van</w:t>
                      </w:r>
                      <w:r>
                        <w:rPr>
                          <w:b/>
                        </w:rPr>
                        <w:t>Europa</w:t>
                      </w:r>
                    </w:p>
                  </w:txbxContent>
                </v:textbox>
              </v:rect>
            </w:pict>
          </mc:Fallback>
        </mc:AlternateContent>
      </w:r>
      <w:r>
        <w:rPr>
          <w:color w:val="0000BE"/>
          <w:sz w:val="48"/>
        </w:rPr>
        <w:t>De</w:t>
      </w:r>
      <w:r>
        <w:rPr>
          <w:b/>
          <w:color w:val="0000BE"/>
          <w:sz w:val="48"/>
        </w:rPr>
        <w:t>toekomst</w:t>
      </w:r>
      <w:r>
        <w:rPr>
          <w:color w:val="0000BE"/>
          <w:sz w:val="48"/>
        </w:rPr>
        <w:t xml:space="preserve"> is</w:t>
      </w:r>
      <w:r>
        <w:rPr/>
        <w:t xml:space="preserve"> </w:t>
      </w:r>
    </w:p>
    <w:p>
      <w:pPr>
        <w:pStyle w:val="P68B1DB1Normal5"/>
        <w:widowControl w:val="false"/>
        <w:spacing w:lineRule="exact" w:line="576"/>
        <w:ind w:left="51" w:right="0" w:hanging="0"/>
        <w:jc w:val="left"/>
        <w:rPr>
          <w:rFonts w:ascii="Arial" w:hAnsi="Arial"/>
        </w:rPr>
      </w:pPr>
      <w:r>
        <w:rPr/>
        <w:t>in uw handen</w:t>
      </w:r>
    </w:p>
    <w:p>
      <w:pPr>
        <w:pStyle w:val="Normal"/>
        <w:rPr/>
      </w:pPr>
      <w:r>
        <w:rPr/>
      </w:r>
      <w:r>
        <w:br w:type="page"/>
      </w:r>
    </w:p>
    <w:p>
      <w:pPr>
        <w:pStyle w:val="Normal"/>
        <w:rPr/>
      </w:pPr>
      <w:r>
        <w:rPr/>
        <mc:AlternateContent>
          <mc:Choice Requires="wps">
            <w:drawing>
              <wp:anchor behindDoc="0" distT="72390" distB="72390" distL="72390" distR="72390" simplePos="0" locked="0" layoutInCell="1" allowOverlap="1" relativeHeight="63">
                <wp:simplePos x="0" y="0"/>
                <wp:positionH relativeFrom="column">
                  <wp:posOffset>4445</wp:posOffset>
                </wp:positionH>
                <wp:positionV relativeFrom="paragraph">
                  <wp:posOffset>85725</wp:posOffset>
                </wp:positionV>
                <wp:extent cx="6020435" cy="8688070"/>
                <wp:effectExtent l="0" t="0" r="0" b="0"/>
                <wp:wrapSquare wrapText="bothSides"/>
                <wp:docPr id="6" name="Kader16"/>
                <a:graphic xmlns:a="http://schemas.openxmlformats.org/drawingml/2006/main">
                  <a:graphicData uri="http://schemas.microsoft.com/office/word/2010/wordprocessingShape">
                    <wps:wsp>
                      <wps:cNvSpPr/>
                      <wps:spPr>
                        <a:xfrm>
                          <a:off x="0" y="0"/>
                          <a:ext cx="6019920" cy="8687520"/>
                        </a:xfrm>
                        <a:prstGeom prst="rect">
                          <a:avLst/>
                        </a:prstGeom>
                        <a:solidFill>
                          <a:srgbClr val="ffffff"/>
                        </a:solidFill>
                        <a:ln w="720">
                          <a:solidFill>
                            <a:srgbClr val="000000"/>
                          </a:solidFill>
                          <a:round/>
                        </a:ln>
                      </wps:spPr>
                      <wps:style>
                        <a:lnRef idx="0"/>
                        <a:fillRef idx="0"/>
                        <a:effectRef idx="0"/>
                        <a:fontRef idx="minor"/>
                      </wps:style>
                      <wps:txbx>
                        <w:txbxContent>
                          <w:p>
                            <w:pPr>
                              <w:pStyle w:val="P68B1DB1Normal6"/>
                              <w:spacing w:before="57" w:after="57"/>
                              <w:rPr>
                                <w:rFonts w:ascii="Times New Roman" w:hAnsi="Times New Roman"/>
                                <w:b/>
                                <w:b/>
                                <w:sz w:val="24"/>
                              </w:rPr>
                            </w:pPr>
                            <w:r>
                              <w:rPr>
                                <w:color w:val="auto"/>
                              </w:rPr>
                              <w:t>Document opgesteld door Pierre Dieumegard</w:t>
                            </w:r>
                            <w:r>
                              <w:rPr>
                                <w:color w:val="auto"/>
                              </w:rPr>
                              <w:drawing>
                                <wp:inline distT="0" distB="0" distL="0" distR="0">
                                  <wp:extent cx="2494280" cy="765175"/>
                                  <wp:effectExtent l="0" t="0" r="0" b="0"/>
                                  <wp:docPr id="8" name="Afbeelding4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Afbeelding49" descr=""/>
                                          <pic:cNvPicPr>
                                            <a:picLocks noChangeAspect="1" noChangeArrowheads="1"/>
                                          </pic:cNvPicPr>
                                        </pic:nvPicPr>
                                        <pic:blipFill>
                                          <a:blip r:embed="rId4"/>
                                          <a:stretch>
                                            <a:fillRect/>
                                          </a:stretch>
                                        </pic:blipFill>
                                        <pic:spPr bwMode="auto">
                                          <a:xfrm>
                                            <a:off x="0" y="0"/>
                                            <a:ext cx="2494280" cy="765175"/>
                                          </a:xfrm>
                                          <a:prstGeom prst="rect">
                                            <a:avLst/>
                                          </a:prstGeom>
                                        </pic:spPr>
                                      </pic:pic>
                                    </a:graphicData>
                                  </a:graphic>
                                </wp:inline>
                              </w:drawing>
                            </w:r>
                          </w:p>
                          <w:p>
                            <w:pPr>
                              <w:pStyle w:val="P68B1DB1Normal6"/>
                              <w:rPr>
                                <w:rFonts w:ascii="Times New Roman" w:hAnsi="Times New Roman"/>
                                <w:b/>
                                <w:b/>
                                <w:sz w:val="24"/>
                              </w:rPr>
                            </w:pPr>
                            <w:r>
                              <w:rPr>
                                <w:color w:val="auto"/>
                              </w:rPr>
                              <w:t xml:space="preserve"> </w:t>
                            </w:r>
                            <w:r>
                              <w:rPr>
                                <w:color w:val="auto"/>
                              </w:rPr>
                              <w:t>voor Europa-democratie-Esperanto</w:t>
                            </w:r>
                          </w:p>
                          <w:p>
                            <w:pPr>
                              <w:pStyle w:val="P68B1DB1Normal7"/>
                              <w:rPr>
                                <w:rFonts w:ascii="Times New Roman" w:hAnsi="Times New Roman"/>
                                <w:sz w:val="24"/>
                              </w:rPr>
                            </w:pPr>
                            <w:r>
                              <w:rPr>
                                <w:color w:val="auto"/>
                              </w:rPr>
                              <w:t xml:space="preserve"> </w:t>
                            </w:r>
                          </w:p>
                          <w:p>
                            <w:pPr>
                              <w:pStyle w:val="Normal"/>
                              <w:rPr>
                                <w:rFonts w:ascii="Times New Roman" w:hAnsi="Times New Roman"/>
                                <w:color w:val="auto"/>
                                <w:sz w:val="24"/>
                              </w:rPr>
                            </w:pPr>
                            <w:r>
                              <w:rPr>
                                <w:rFonts w:ascii="Times New Roman" w:hAnsi="Times New Roman"/>
                                <w:color w:val="auto"/>
                                <w:sz w:val="24"/>
                              </w:rPr>
                            </w:r>
                          </w:p>
                          <w:p>
                            <w:pPr>
                              <w:pStyle w:val="Normal"/>
                              <w:rPr/>
                            </w:pPr>
                            <w:r>
                              <w:rPr>
                                <w:rFonts w:ascii="Times New Roman" w:hAnsi="Times New Roman"/>
                                <w:color w:val="auto"/>
                                <w:sz w:val="24"/>
                              </w:rPr>
                              <w:t xml:space="preserve">Het doel van dit „voorlopige” document is om meer mensen in de Europese Unie in staat te stellen inzicht te krijgen in de documenten die voor de Europese Unie zijn opgesteld (en gefinancierd door hun bijdragen). Het </w:t>
                            </w:r>
                            <w:hyperlink r:id="rId5">
                              <w:r>
                                <w:rPr>
                                  <w:rStyle w:val="LienInternet"/>
                                  <w:rFonts w:ascii="Times New Roman" w:hAnsi="Times New Roman"/>
                                  <w:color w:val="auto"/>
                                  <w:sz w:val="24"/>
                                </w:rPr>
                                <w:t xml:space="preserve">originele documentin het Frans in pdf-formaat </w:t>
                              </w:r>
                            </w:hyperlink>
                            <w:r>
                              <w:rPr>
                                <w:rFonts w:ascii="Times New Roman" w:hAnsi="Times New Roman"/>
                                <w:color w:val="auto"/>
                                <w:sz w:val="24"/>
                              </w:rPr>
                              <w:t xml:space="preserve">is geformatteerd met Libre Office-software. De vertaling in alle officiële talen van de Europese Unie gebeurt via </w:t>
                            </w:r>
                            <w:hyperlink r:id="rId6">
                              <w:r>
                                <w:rPr>
                                  <w:rStyle w:val="LienInternet"/>
                                  <w:rFonts w:ascii="Times New Roman" w:hAnsi="Times New Roman"/>
                                  <w:color w:val="auto"/>
                                  <w:sz w:val="24"/>
                                </w:rPr>
                                <w:t>https://webgate.ec.europa.eu/etranslation</w:t>
                              </w:r>
                            </w:hyperlink>
                            <w:r>
                              <w:rPr>
                                <w:rFonts w:ascii="Times New Roman" w:hAnsi="Times New Roman"/>
                                <w:color w:val="auto"/>
                                <w:sz w:val="24"/>
                              </w:rPr>
                              <w:t>.</w:t>
                            </w:r>
                          </w:p>
                          <w:p>
                            <w:pPr>
                              <w:pStyle w:val="P68B1DB1Normal7"/>
                              <w:rPr>
                                <w:rFonts w:ascii="Times New Roman" w:hAnsi="Times New Roman"/>
                                <w:sz w:val="24"/>
                              </w:rPr>
                            </w:pPr>
                            <w:r>
                              <w:rPr>
                                <w:color w:val="auto"/>
                              </w:rPr>
                              <w:t xml:space="preserve">We hebben dit werk gedaan vanwege de behoefte aan betere meertaligheid in de Europese Unie: zonder vertalingen wordt een groot deel van de bevolking uitgesloten van het debat. </w:t>
                            </w:r>
                            <w:r>
                              <w:rPr>
                                <w:b/>
                                <w:color w:val="auto"/>
                              </w:rPr>
                              <w:t>Het is wenselijk dat de administratie van de Europese Unie de vertaling van belangrijke documenten overneemt, zodat alle Europeanen kunnen begrijpen waar dit over gaat en hun gemeenschappelijke toekomst samen kunnen bespreken.</w:t>
                            </w:r>
                          </w:p>
                          <w:p>
                            <w:pPr>
                              <w:pStyle w:val="P68B1DB1Normal7"/>
                              <w:rPr>
                                <w:rFonts w:ascii="Times New Roman" w:hAnsi="Times New Roman"/>
                                <w:sz w:val="24"/>
                              </w:rPr>
                            </w:pPr>
                            <w:r>
                              <w:rPr>
                                <w:color w:val="auto"/>
                              </w:rPr>
                              <w:t xml:space="preserve"> </w:t>
                            </w:r>
                          </w:p>
                          <w:p>
                            <w:pPr>
                              <w:pStyle w:val="P68B1DB1Normal7"/>
                              <w:rPr>
                                <w:rFonts w:ascii="Times New Roman" w:hAnsi="Times New Roman"/>
                                <w:sz w:val="24"/>
                              </w:rPr>
                            </w:pPr>
                            <w:r>
                              <w:rPr>
                                <w:color w:val="auto"/>
                              </w:rPr>
                              <w:t xml:space="preserve">Voor een goede rechtstreekse communicatie tussen de Europese burgers, voor betrouwbare vertalingen, zou de internationale Esperanto-taal zeer nuttig zijn vanwege de eenvoud, regelmaat en precisie. </w:t>
                            </w:r>
                          </w:p>
                          <w:p>
                            <w:pPr>
                              <w:pStyle w:val="P68B1DB1Normal7"/>
                              <w:rPr>
                                <w:rFonts w:ascii="Times New Roman" w:hAnsi="Times New Roman"/>
                                <w:sz w:val="24"/>
                              </w:rPr>
                            </w:pPr>
                            <w:r>
                              <w:rPr>
                                <w:color w:val="auto"/>
                              </w:rPr>
                              <w:t xml:space="preserve"> </w:t>
                            </w:r>
                          </w:p>
                          <w:p>
                            <w:pPr>
                              <w:pStyle w:val="P68B1DB1Normal7"/>
                              <w:rPr>
                                <w:rFonts w:ascii="Times New Roman" w:hAnsi="Times New Roman"/>
                                <w:sz w:val="24"/>
                              </w:rPr>
                            </w:pPr>
                            <w:r>
                              <w:rPr>
                                <w:color w:val="auto"/>
                              </w:rPr>
                              <w:t xml:space="preserve"> </w:t>
                            </w:r>
                            <w:r>
                              <w:rPr>
                                <w:color w:val="auto"/>
                              </w:rPr>
                              <w:t xml:space="preserve">Op het internet: </w:t>
                            </w:r>
                          </w:p>
                          <w:p>
                            <w:pPr>
                              <w:pStyle w:val="Normal"/>
                              <w:rPr/>
                            </w:pPr>
                            <w:r>
                              <w:rPr>
                                <w:rFonts w:ascii="Times New Roman" w:hAnsi="Times New Roman"/>
                                <w:color w:val="auto"/>
                                <w:sz w:val="24"/>
                              </w:rPr>
                              <w:t xml:space="preserve"> </w:t>
                            </w:r>
                            <w:r>
                              <w:rPr>
                                <w:rFonts w:ascii="Times New Roman" w:hAnsi="Times New Roman"/>
                                <w:color w:val="auto"/>
                                <w:sz w:val="24"/>
                              </w:rPr>
                              <w:t>Federatie E</w:t>
                            </w:r>
                            <w:r>
                              <w:rPr>
                                <w:rFonts w:ascii="Times New Roman" w:hAnsi="Times New Roman"/>
                                <w:color w:val="auto"/>
                                <w:sz w:val="24"/>
                              </w:rPr>
                              <w:t>ŭ</w:t>
                            </w:r>
                            <w:r>
                              <w:rPr>
                                <w:rFonts w:ascii="Times New Roman" w:hAnsi="Times New Roman"/>
                                <w:color w:val="auto"/>
                                <w:sz w:val="24"/>
                              </w:rPr>
                              <w:t xml:space="preserve">ropo-Demokratio-Esperanto:   </w:t>
                            </w:r>
                            <w:hyperlink r:id="rId7">
                              <w:r>
                                <w:rPr>
                                  <w:rStyle w:val="LienInternet"/>
                                  <w:rFonts w:ascii="Times New Roman" w:hAnsi="Times New Roman"/>
                                  <w:color w:val="auto"/>
                                  <w:sz w:val="24"/>
                                </w:rPr>
                                <w:t>https://e-d-e.org/</w:t>
                              </w:r>
                            </w:hyperlink>
                            <w:r>
                              <w:rPr>
                                <w:rFonts w:ascii="Times New Roman" w:hAnsi="Times New Roman"/>
                                <w:color w:val="auto"/>
                                <w:sz w:val="24"/>
                              </w:rPr>
                              <w:t xml:space="preserve"> (of </w:t>
                            </w:r>
                            <w:hyperlink r:id="rId8">
                              <w:r>
                                <w:rPr>
                                  <w:rStyle w:val="LienInternet"/>
                                  <w:rFonts w:ascii="Times New Roman" w:hAnsi="Times New Roman"/>
                                  <w:color w:val="auto"/>
                                  <w:sz w:val="24"/>
                                </w:rPr>
                                <w:t>www.demokratio.eu</w:t>
                              </w:r>
                            </w:hyperlink>
                            <w:r>
                              <w:rPr>
                                <w:rFonts w:ascii="Times New Roman" w:hAnsi="Times New Roman"/>
                                <w:color w:val="auto"/>
                                <w:sz w:val="24"/>
                              </w:rPr>
                              <w:t>)</w:t>
                            </w:r>
                          </w:p>
                          <w:p>
                            <w:pPr>
                              <w:pStyle w:val="Normal"/>
                              <w:spacing w:before="62" w:after="62"/>
                              <w:rPr/>
                            </w:pPr>
                            <w:r>
                              <w:rPr>
                                <w:rFonts w:ascii="Times New Roman" w:hAnsi="Times New Roman"/>
                                <w:color w:val="auto"/>
                                <w:sz w:val="24"/>
                              </w:rPr>
                              <w:t xml:space="preserve">Vereniging Europa-Democratie-Esperanto (Frankrijk):   </w:t>
                            </w:r>
                            <w:hyperlink r:id="rId9">
                              <w:r>
                                <w:rPr>
                                  <w:rStyle w:val="LienInternet"/>
                                  <w:rFonts w:ascii="Times New Roman" w:hAnsi="Times New Roman"/>
                                  <w:color w:val="auto"/>
                                  <w:sz w:val="24"/>
                                </w:rPr>
                                <w:t>https://e-d-e.fr/</w:t>
                              </w:r>
                            </w:hyperlink>
                            <w:r>
                              <w:rPr>
                                <w:rFonts w:ascii="Times New Roman" w:hAnsi="Times New Roman"/>
                                <w:color w:val="auto"/>
                                <w:sz w:val="24"/>
                              </w:rPr>
                              <w:t xml:space="preserve"> </w:t>
                            </w:r>
                          </w:p>
                          <w:p>
                            <w:pPr>
                              <w:pStyle w:val="Normal"/>
                              <w:spacing w:before="62" w:after="62"/>
                              <w:rPr/>
                            </w:pPr>
                            <w:r>
                              <w:rPr>
                                <w:rFonts w:ascii="Times New Roman" w:hAnsi="Times New Roman"/>
                                <w:color w:val="auto"/>
                                <w:sz w:val="24"/>
                              </w:rPr>
                              <w:t xml:space="preserve">Europese documenten in alle officiële talen: </w:t>
                            </w:r>
                            <w:hyperlink r:id="rId10">
                              <w:r>
                                <w:rPr>
                                  <w:rStyle w:val="LienInternet"/>
                                  <w:rFonts w:ascii="Times New Roman" w:hAnsi="Times New Roman"/>
                                  <w:color w:val="auto"/>
                                  <w:sz w:val="24"/>
                                </w:rPr>
                                <w:t>http://www.europokune.eu/</w:t>
                              </w:r>
                            </w:hyperlink>
                            <w:r>
                              <w:rPr>
                                <w:rFonts w:ascii="Times New Roman" w:hAnsi="Times New Roman"/>
                                <w:color w:val="auto"/>
                                <w:sz w:val="24"/>
                              </w:rPr>
                              <w:t xml:space="preserve"> </w:t>
                            </w:r>
                          </w:p>
                          <w:p>
                            <w:pPr>
                              <w:pStyle w:val="Normal"/>
                              <w:rPr>
                                <w:rFonts w:ascii="Times New Roman" w:hAnsi="Times New Roman"/>
                                <w:color w:val="auto"/>
                                <w:sz w:val="24"/>
                              </w:rPr>
                            </w:pPr>
                            <w:r>
                              <w:rPr>
                                <w:rFonts w:ascii="Times New Roman" w:hAnsi="Times New Roman"/>
                                <w:color w:val="auto"/>
                                <w:sz w:val="24"/>
                              </w:rPr>
                            </w:r>
                          </w:p>
                          <w:p>
                            <w:pPr>
                              <w:pStyle w:val="Normal"/>
                              <w:rPr>
                                <w:rFonts w:ascii="Times New Roman" w:hAnsi="Times New Roman"/>
                                <w:color w:val="auto"/>
                                <w:sz w:val="24"/>
                              </w:rPr>
                            </w:pPr>
                            <w:r>
                              <w:rPr>
                                <w:rFonts w:ascii="Times New Roman" w:hAnsi="Times New Roman"/>
                                <w:color w:val="auto"/>
                                <w:sz w:val="24"/>
                              </w:rPr>
                            </w:r>
                          </w:p>
                          <w:p>
                            <w:pPr>
                              <w:pStyle w:val="P68B1DB1Normal7"/>
                              <w:rPr>
                                <w:rFonts w:ascii="Times New Roman" w:hAnsi="Times New Roman"/>
                                <w:sz w:val="24"/>
                              </w:rPr>
                            </w:pPr>
                            <w:r>
                              <w:rPr>
                                <w:color w:val="auto"/>
                              </w:rPr>
                              <w:t xml:space="preserve">In vergelijking met het oorspronkelijke document zijn er enkele wijzigingen (verbeteringen?): </w:t>
                            </w:r>
                          </w:p>
                          <w:p>
                            <w:pPr>
                              <w:pStyle w:val="P68B1DB1Normal7"/>
                              <w:rPr>
                                <w:rFonts w:ascii="Times New Roman" w:hAnsi="Times New Roman"/>
                                <w:sz w:val="24"/>
                              </w:rPr>
                            </w:pPr>
                            <w:r>
                              <w:rPr>
                                <w:color w:val="auto"/>
                              </w:rPr>
                              <w:t xml:space="preserve">— </w:t>
                            </w:r>
                            <w:r>
                              <w:rPr>
                                <w:color w:val="auto"/>
                              </w:rPr>
                              <w:t>sommige spelfouten zijn gecorrigeerd. Misschien zijn er nog andere fouten geweest?</w:t>
                            </w:r>
                          </w:p>
                          <w:p>
                            <w:pPr>
                              <w:pStyle w:val="P68B1DB1Normal7"/>
                              <w:rPr>
                                <w:rFonts w:ascii="Times New Roman" w:hAnsi="Times New Roman"/>
                                <w:sz w:val="24"/>
                              </w:rPr>
                            </w:pPr>
                            <w:r>
                              <w:rPr>
                                <w:color w:val="auto"/>
                              </w:rPr>
                              <w:t xml:space="preserve">— </w:t>
                            </w:r>
                            <w:r>
                              <w:rPr>
                                <w:color w:val="auto"/>
                              </w:rPr>
                              <w:t>de lay-out is geharmoniseerd en alle pagina’s zijn op passende wijze genummerd (het oorspronkelijke document was een samenvoeging van afzonderlijke pdf-bestanden met onafhankelijke nummeringen).</w:t>
                            </w:r>
                          </w:p>
                          <w:p>
                            <w:pPr>
                              <w:pStyle w:val="P68B1DB1Normal7"/>
                              <w:rPr>
                                <w:rFonts w:ascii="Times New Roman" w:hAnsi="Times New Roman"/>
                                <w:sz w:val="24"/>
                              </w:rPr>
                            </w:pPr>
                            <w:r>
                              <w:rPr>
                                <w:color w:val="auto"/>
                              </w:rPr>
                              <w:t xml:space="preserve">— </w:t>
                            </w:r>
                            <w:r>
                              <w:rPr>
                                <w:color w:val="auto"/>
                              </w:rPr>
                              <w:t>de eindnoten zijn omgezet in aantekeningen aan het einde van de sectie (onder aan de pagina’s).</w:t>
                            </w:r>
                          </w:p>
                          <w:p>
                            <w:pPr>
                              <w:pStyle w:val="P68B1DB1Normal7"/>
                              <w:spacing w:before="57" w:after="57"/>
                              <w:rPr>
                                <w:color w:val="auto"/>
                              </w:rPr>
                            </w:pPr>
                            <w:r>
                              <w:rPr>
                                <w:color w:val="auto"/>
                              </w:rPr>
                              <w:t xml:space="preserve">— </w:t>
                            </w:r>
                            <w:r>
                              <w:rPr>
                                <w:color w:val="auto"/>
                              </w:rPr>
                              <w:t>documenten in eerste instantie in de vorm van afbeeldingen zijn omgezet in tabellen om gemakkelijk te kunnen worden vertaald.</w:t>
                            </w:r>
                          </w:p>
                        </w:txbxContent>
                      </wps:txbx>
                      <wps:bodyPr lIns="54000" rIns="54000" tIns="54000" bIns="54000">
                        <a:noAutofit/>
                      </wps:bodyPr>
                    </wps:wsp>
                  </a:graphicData>
                </a:graphic>
              </wp:anchor>
            </w:drawing>
          </mc:Choice>
          <mc:Fallback>
            <w:pict>
              <v:rect id="shape_0" ID="Kader16" fillcolor="white" stroked="t" style="position:absolute;margin-left:0.35pt;margin-top:6.75pt;width:473.95pt;height:684pt">
                <w10:wrap type="square"/>
                <v:fill o:detectmouseclick="t" type="solid" color2="black"/>
                <v:stroke color="black" weight="720" joinstyle="round" endcap="flat"/>
                <v:textbox>
                  <w:txbxContent>
                    <w:p>
                      <w:pPr>
                        <w:pStyle w:val="P68B1DB1Normal6"/>
                        <w:spacing w:before="57" w:after="57"/>
                        <w:rPr>
                          <w:rFonts w:ascii="Times New Roman" w:hAnsi="Times New Roman"/>
                          <w:b/>
                          <w:b/>
                          <w:sz w:val="24"/>
                        </w:rPr>
                      </w:pPr>
                      <w:r>
                        <w:rPr>
                          <w:color w:val="auto"/>
                        </w:rPr>
                        <w:t>Document opgesteld door Pierre Dieumegard</w:t>
                      </w:r>
                      <w:r>
                        <w:rPr>
                          <w:color w:val="auto"/>
                        </w:rPr>
                        <w:drawing>
                          <wp:inline distT="0" distB="0" distL="0" distR="0">
                            <wp:extent cx="2494280" cy="765175"/>
                            <wp:effectExtent l="0" t="0" r="0" b="0"/>
                            <wp:docPr id="9" name="Afbeelding4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Afbeelding49" descr=""/>
                                    <pic:cNvPicPr>
                                      <a:picLocks noChangeAspect="1" noChangeArrowheads="1"/>
                                    </pic:cNvPicPr>
                                  </pic:nvPicPr>
                                  <pic:blipFill>
                                    <a:blip r:embed="rId4"/>
                                    <a:stretch>
                                      <a:fillRect/>
                                    </a:stretch>
                                  </pic:blipFill>
                                  <pic:spPr bwMode="auto">
                                    <a:xfrm>
                                      <a:off x="0" y="0"/>
                                      <a:ext cx="2494280" cy="765175"/>
                                    </a:xfrm>
                                    <a:prstGeom prst="rect">
                                      <a:avLst/>
                                    </a:prstGeom>
                                  </pic:spPr>
                                </pic:pic>
                              </a:graphicData>
                            </a:graphic>
                          </wp:inline>
                        </w:drawing>
                      </w:r>
                    </w:p>
                    <w:p>
                      <w:pPr>
                        <w:pStyle w:val="P68B1DB1Normal6"/>
                        <w:rPr>
                          <w:rFonts w:ascii="Times New Roman" w:hAnsi="Times New Roman"/>
                          <w:b/>
                          <w:b/>
                          <w:sz w:val="24"/>
                        </w:rPr>
                      </w:pPr>
                      <w:r>
                        <w:rPr>
                          <w:color w:val="auto"/>
                        </w:rPr>
                        <w:t xml:space="preserve"> </w:t>
                      </w:r>
                      <w:r>
                        <w:rPr>
                          <w:color w:val="auto"/>
                        </w:rPr>
                        <w:t>voor Europa-democratie-Esperanto</w:t>
                      </w:r>
                    </w:p>
                    <w:p>
                      <w:pPr>
                        <w:pStyle w:val="P68B1DB1Normal7"/>
                        <w:rPr>
                          <w:rFonts w:ascii="Times New Roman" w:hAnsi="Times New Roman"/>
                          <w:sz w:val="24"/>
                        </w:rPr>
                      </w:pPr>
                      <w:r>
                        <w:rPr>
                          <w:color w:val="auto"/>
                        </w:rPr>
                        <w:t xml:space="preserve"> </w:t>
                      </w:r>
                    </w:p>
                    <w:p>
                      <w:pPr>
                        <w:pStyle w:val="Normal"/>
                        <w:rPr>
                          <w:rFonts w:ascii="Times New Roman" w:hAnsi="Times New Roman"/>
                          <w:color w:val="auto"/>
                          <w:sz w:val="24"/>
                        </w:rPr>
                      </w:pPr>
                      <w:r>
                        <w:rPr>
                          <w:rFonts w:ascii="Times New Roman" w:hAnsi="Times New Roman"/>
                          <w:color w:val="auto"/>
                          <w:sz w:val="24"/>
                        </w:rPr>
                      </w:r>
                    </w:p>
                    <w:p>
                      <w:pPr>
                        <w:pStyle w:val="Normal"/>
                        <w:rPr/>
                      </w:pPr>
                      <w:r>
                        <w:rPr>
                          <w:rFonts w:ascii="Times New Roman" w:hAnsi="Times New Roman"/>
                          <w:color w:val="auto"/>
                          <w:sz w:val="24"/>
                        </w:rPr>
                        <w:t xml:space="preserve">Het doel van dit „voorlopige” document is om meer mensen in de Europese Unie in staat te stellen inzicht te krijgen in de documenten die voor de Europese Unie zijn opgesteld (en gefinancierd door hun bijdragen). Het </w:t>
                      </w:r>
                      <w:hyperlink r:id="rId11">
                        <w:r>
                          <w:rPr>
                            <w:rStyle w:val="LienInternet"/>
                            <w:rFonts w:ascii="Times New Roman" w:hAnsi="Times New Roman"/>
                            <w:color w:val="auto"/>
                            <w:sz w:val="24"/>
                          </w:rPr>
                          <w:t xml:space="preserve">originele documentin het Frans in pdf-formaat </w:t>
                        </w:r>
                      </w:hyperlink>
                      <w:r>
                        <w:rPr>
                          <w:rFonts w:ascii="Times New Roman" w:hAnsi="Times New Roman"/>
                          <w:color w:val="auto"/>
                          <w:sz w:val="24"/>
                        </w:rPr>
                        <w:t xml:space="preserve">is geformatteerd met Libre Office-software. De vertaling in alle officiële talen van de Europese Unie gebeurt via </w:t>
                      </w:r>
                      <w:hyperlink r:id="rId12">
                        <w:r>
                          <w:rPr>
                            <w:rStyle w:val="LienInternet"/>
                            <w:rFonts w:ascii="Times New Roman" w:hAnsi="Times New Roman"/>
                            <w:color w:val="auto"/>
                            <w:sz w:val="24"/>
                          </w:rPr>
                          <w:t>https://webgate.ec.europa.eu/etranslation</w:t>
                        </w:r>
                      </w:hyperlink>
                      <w:r>
                        <w:rPr>
                          <w:rFonts w:ascii="Times New Roman" w:hAnsi="Times New Roman"/>
                          <w:color w:val="auto"/>
                          <w:sz w:val="24"/>
                        </w:rPr>
                        <w:t>.</w:t>
                      </w:r>
                    </w:p>
                    <w:p>
                      <w:pPr>
                        <w:pStyle w:val="P68B1DB1Normal7"/>
                        <w:rPr>
                          <w:rFonts w:ascii="Times New Roman" w:hAnsi="Times New Roman"/>
                          <w:sz w:val="24"/>
                        </w:rPr>
                      </w:pPr>
                      <w:r>
                        <w:rPr>
                          <w:color w:val="auto"/>
                        </w:rPr>
                        <w:t xml:space="preserve">We hebben dit werk gedaan vanwege de behoefte aan betere meertaligheid in de Europese Unie: zonder vertalingen wordt een groot deel van de bevolking uitgesloten van het debat. </w:t>
                      </w:r>
                      <w:r>
                        <w:rPr>
                          <w:b/>
                          <w:color w:val="auto"/>
                        </w:rPr>
                        <w:t>Het is wenselijk dat de administratie van de Europese Unie de vertaling van belangrijke documenten overneemt, zodat alle Europeanen kunnen begrijpen waar dit over gaat en hun gemeenschappelijke toekomst samen kunnen bespreken.</w:t>
                      </w:r>
                    </w:p>
                    <w:p>
                      <w:pPr>
                        <w:pStyle w:val="P68B1DB1Normal7"/>
                        <w:rPr>
                          <w:rFonts w:ascii="Times New Roman" w:hAnsi="Times New Roman"/>
                          <w:sz w:val="24"/>
                        </w:rPr>
                      </w:pPr>
                      <w:r>
                        <w:rPr>
                          <w:color w:val="auto"/>
                        </w:rPr>
                        <w:t xml:space="preserve"> </w:t>
                      </w:r>
                    </w:p>
                    <w:p>
                      <w:pPr>
                        <w:pStyle w:val="P68B1DB1Normal7"/>
                        <w:rPr>
                          <w:rFonts w:ascii="Times New Roman" w:hAnsi="Times New Roman"/>
                          <w:sz w:val="24"/>
                        </w:rPr>
                      </w:pPr>
                      <w:r>
                        <w:rPr>
                          <w:color w:val="auto"/>
                        </w:rPr>
                        <w:t xml:space="preserve">Voor een goede rechtstreekse communicatie tussen de Europese burgers, voor betrouwbare vertalingen, zou de internationale Esperanto-taal zeer nuttig zijn vanwege de eenvoud, regelmaat en precisie. </w:t>
                      </w:r>
                    </w:p>
                    <w:p>
                      <w:pPr>
                        <w:pStyle w:val="P68B1DB1Normal7"/>
                        <w:rPr>
                          <w:rFonts w:ascii="Times New Roman" w:hAnsi="Times New Roman"/>
                          <w:sz w:val="24"/>
                        </w:rPr>
                      </w:pPr>
                      <w:r>
                        <w:rPr>
                          <w:color w:val="auto"/>
                        </w:rPr>
                        <w:t xml:space="preserve"> </w:t>
                      </w:r>
                    </w:p>
                    <w:p>
                      <w:pPr>
                        <w:pStyle w:val="P68B1DB1Normal7"/>
                        <w:rPr>
                          <w:rFonts w:ascii="Times New Roman" w:hAnsi="Times New Roman"/>
                          <w:sz w:val="24"/>
                        </w:rPr>
                      </w:pPr>
                      <w:r>
                        <w:rPr>
                          <w:color w:val="auto"/>
                        </w:rPr>
                        <w:t xml:space="preserve"> </w:t>
                      </w:r>
                      <w:r>
                        <w:rPr>
                          <w:color w:val="auto"/>
                        </w:rPr>
                        <w:t xml:space="preserve">Op het internet: </w:t>
                      </w:r>
                    </w:p>
                    <w:p>
                      <w:pPr>
                        <w:pStyle w:val="Normal"/>
                        <w:rPr/>
                      </w:pPr>
                      <w:r>
                        <w:rPr>
                          <w:rFonts w:ascii="Times New Roman" w:hAnsi="Times New Roman"/>
                          <w:color w:val="auto"/>
                          <w:sz w:val="24"/>
                        </w:rPr>
                        <w:t xml:space="preserve"> </w:t>
                      </w:r>
                      <w:r>
                        <w:rPr>
                          <w:rFonts w:ascii="Times New Roman" w:hAnsi="Times New Roman"/>
                          <w:color w:val="auto"/>
                          <w:sz w:val="24"/>
                        </w:rPr>
                        <w:t>Federatie E</w:t>
                      </w:r>
                      <w:r>
                        <w:rPr>
                          <w:rFonts w:ascii="Times New Roman" w:hAnsi="Times New Roman"/>
                          <w:color w:val="auto"/>
                          <w:sz w:val="24"/>
                        </w:rPr>
                        <w:t>ŭ</w:t>
                      </w:r>
                      <w:r>
                        <w:rPr>
                          <w:rFonts w:ascii="Times New Roman" w:hAnsi="Times New Roman"/>
                          <w:color w:val="auto"/>
                          <w:sz w:val="24"/>
                        </w:rPr>
                        <w:t xml:space="preserve">ropo-Demokratio-Esperanto:   </w:t>
                      </w:r>
                      <w:hyperlink r:id="rId13">
                        <w:r>
                          <w:rPr>
                            <w:rStyle w:val="LienInternet"/>
                            <w:rFonts w:ascii="Times New Roman" w:hAnsi="Times New Roman"/>
                            <w:color w:val="auto"/>
                            <w:sz w:val="24"/>
                          </w:rPr>
                          <w:t>https://e-d-e.org/</w:t>
                        </w:r>
                      </w:hyperlink>
                      <w:r>
                        <w:rPr>
                          <w:rFonts w:ascii="Times New Roman" w:hAnsi="Times New Roman"/>
                          <w:color w:val="auto"/>
                          <w:sz w:val="24"/>
                        </w:rPr>
                        <w:t xml:space="preserve"> (of </w:t>
                      </w:r>
                      <w:hyperlink r:id="rId14">
                        <w:r>
                          <w:rPr>
                            <w:rStyle w:val="LienInternet"/>
                            <w:rFonts w:ascii="Times New Roman" w:hAnsi="Times New Roman"/>
                            <w:color w:val="auto"/>
                            <w:sz w:val="24"/>
                          </w:rPr>
                          <w:t>www.demokratio.eu</w:t>
                        </w:r>
                      </w:hyperlink>
                      <w:r>
                        <w:rPr>
                          <w:rFonts w:ascii="Times New Roman" w:hAnsi="Times New Roman"/>
                          <w:color w:val="auto"/>
                          <w:sz w:val="24"/>
                        </w:rPr>
                        <w:t>)</w:t>
                      </w:r>
                    </w:p>
                    <w:p>
                      <w:pPr>
                        <w:pStyle w:val="Normal"/>
                        <w:spacing w:before="62" w:after="62"/>
                        <w:rPr/>
                      </w:pPr>
                      <w:r>
                        <w:rPr>
                          <w:rFonts w:ascii="Times New Roman" w:hAnsi="Times New Roman"/>
                          <w:color w:val="auto"/>
                          <w:sz w:val="24"/>
                        </w:rPr>
                        <w:t xml:space="preserve">Vereniging Europa-Democratie-Esperanto (Frankrijk):   </w:t>
                      </w:r>
                      <w:hyperlink r:id="rId15">
                        <w:r>
                          <w:rPr>
                            <w:rStyle w:val="LienInternet"/>
                            <w:rFonts w:ascii="Times New Roman" w:hAnsi="Times New Roman"/>
                            <w:color w:val="auto"/>
                            <w:sz w:val="24"/>
                          </w:rPr>
                          <w:t>https://e-d-e.fr/</w:t>
                        </w:r>
                      </w:hyperlink>
                      <w:r>
                        <w:rPr>
                          <w:rFonts w:ascii="Times New Roman" w:hAnsi="Times New Roman"/>
                          <w:color w:val="auto"/>
                          <w:sz w:val="24"/>
                        </w:rPr>
                        <w:t xml:space="preserve"> </w:t>
                      </w:r>
                    </w:p>
                    <w:p>
                      <w:pPr>
                        <w:pStyle w:val="Normal"/>
                        <w:spacing w:before="62" w:after="62"/>
                        <w:rPr/>
                      </w:pPr>
                      <w:r>
                        <w:rPr>
                          <w:rFonts w:ascii="Times New Roman" w:hAnsi="Times New Roman"/>
                          <w:color w:val="auto"/>
                          <w:sz w:val="24"/>
                        </w:rPr>
                        <w:t xml:space="preserve">Europese documenten in alle officiële talen: </w:t>
                      </w:r>
                      <w:hyperlink r:id="rId16">
                        <w:r>
                          <w:rPr>
                            <w:rStyle w:val="LienInternet"/>
                            <w:rFonts w:ascii="Times New Roman" w:hAnsi="Times New Roman"/>
                            <w:color w:val="auto"/>
                            <w:sz w:val="24"/>
                          </w:rPr>
                          <w:t>http://www.europokune.eu/</w:t>
                        </w:r>
                      </w:hyperlink>
                      <w:r>
                        <w:rPr>
                          <w:rFonts w:ascii="Times New Roman" w:hAnsi="Times New Roman"/>
                          <w:color w:val="auto"/>
                          <w:sz w:val="24"/>
                        </w:rPr>
                        <w:t xml:space="preserve"> </w:t>
                      </w:r>
                    </w:p>
                    <w:p>
                      <w:pPr>
                        <w:pStyle w:val="Normal"/>
                        <w:rPr>
                          <w:rFonts w:ascii="Times New Roman" w:hAnsi="Times New Roman"/>
                          <w:color w:val="auto"/>
                          <w:sz w:val="24"/>
                        </w:rPr>
                      </w:pPr>
                      <w:r>
                        <w:rPr>
                          <w:rFonts w:ascii="Times New Roman" w:hAnsi="Times New Roman"/>
                          <w:color w:val="auto"/>
                          <w:sz w:val="24"/>
                        </w:rPr>
                      </w:r>
                    </w:p>
                    <w:p>
                      <w:pPr>
                        <w:pStyle w:val="Normal"/>
                        <w:rPr>
                          <w:rFonts w:ascii="Times New Roman" w:hAnsi="Times New Roman"/>
                          <w:color w:val="auto"/>
                          <w:sz w:val="24"/>
                        </w:rPr>
                      </w:pPr>
                      <w:r>
                        <w:rPr>
                          <w:rFonts w:ascii="Times New Roman" w:hAnsi="Times New Roman"/>
                          <w:color w:val="auto"/>
                          <w:sz w:val="24"/>
                        </w:rPr>
                      </w:r>
                    </w:p>
                    <w:p>
                      <w:pPr>
                        <w:pStyle w:val="P68B1DB1Normal7"/>
                        <w:rPr>
                          <w:rFonts w:ascii="Times New Roman" w:hAnsi="Times New Roman"/>
                          <w:sz w:val="24"/>
                        </w:rPr>
                      </w:pPr>
                      <w:r>
                        <w:rPr>
                          <w:color w:val="auto"/>
                        </w:rPr>
                        <w:t xml:space="preserve">In vergelijking met het oorspronkelijke document zijn er enkele wijzigingen (verbeteringen?): </w:t>
                      </w:r>
                    </w:p>
                    <w:p>
                      <w:pPr>
                        <w:pStyle w:val="P68B1DB1Normal7"/>
                        <w:rPr>
                          <w:rFonts w:ascii="Times New Roman" w:hAnsi="Times New Roman"/>
                          <w:sz w:val="24"/>
                        </w:rPr>
                      </w:pPr>
                      <w:r>
                        <w:rPr>
                          <w:color w:val="auto"/>
                        </w:rPr>
                        <w:t xml:space="preserve">— </w:t>
                      </w:r>
                      <w:r>
                        <w:rPr>
                          <w:color w:val="auto"/>
                        </w:rPr>
                        <w:t>sommige spelfouten zijn gecorrigeerd. Misschien zijn er nog andere fouten geweest?</w:t>
                      </w:r>
                    </w:p>
                    <w:p>
                      <w:pPr>
                        <w:pStyle w:val="P68B1DB1Normal7"/>
                        <w:rPr>
                          <w:rFonts w:ascii="Times New Roman" w:hAnsi="Times New Roman"/>
                          <w:sz w:val="24"/>
                        </w:rPr>
                      </w:pPr>
                      <w:r>
                        <w:rPr>
                          <w:color w:val="auto"/>
                        </w:rPr>
                        <w:t xml:space="preserve">— </w:t>
                      </w:r>
                      <w:r>
                        <w:rPr>
                          <w:color w:val="auto"/>
                        </w:rPr>
                        <w:t>de lay-out is geharmoniseerd en alle pagina’s zijn op passende wijze genummerd (het oorspronkelijke document was een samenvoeging van afzonderlijke pdf-bestanden met onafhankelijke nummeringen).</w:t>
                      </w:r>
                    </w:p>
                    <w:p>
                      <w:pPr>
                        <w:pStyle w:val="P68B1DB1Normal7"/>
                        <w:rPr>
                          <w:rFonts w:ascii="Times New Roman" w:hAnsi="Times New Roman"/>
                          <w:sz w:val="24"/>
                        </w:rPr>
                      </w:pPr>
                      <w:r>
                        <w:rPr>
                          <w:color w:val="auto"/>
                        </w:rPr>
                        <w:t xml:space="preserve">— </w:t>
                      </w:r>
                      <w:r>
                        <w:rPr>
                          <w:color w:val="auto"/>
                        </w:rPr>
                        <w:t>de eindnoten zijn omgezet in aantekeningen aan het einde van de sectie (onder aan de pagina’s).</w:t>
                      </w:r>
                    </w:p>
                    <w:p>
                      <w:pPr>
                        <w:pStyle w:val="P68B1DB1Normal7"/>
                        <w:spacing w:before="57" w:after="57"/>
                        <w:rPr>
                          <w:color w:val="auto"/>
                        </w:rPr>
                      </w:pPr>
                      <w:r>
                        <w:rPr>
                          <w:color w:val="auto"/>
                        </w:rPr>
                        <w:t xml:space="preserve">— </w:t>
                      </w:r>
                      <w:r>
                        <w:rPr>
                          <w:color w:val="auto"/>
                        </w:rPr>
                        <w:t>documenten in eerste instantie in de vorm van afbeeldingen zijn omgezet in tabellen om gemakkelijk te kunnen worden vertaald.</w:t>
                      </w:r>
                    </w:p>
                  </w:txbxContent>
                </v:textbox>
              </v:rect>
            </w:pict>
          </mc:Fallback>
        </mc:AlternateContent>
      </w:r>
    </w:p>
    <w:p>
      <w:pPr>
        <w:pStyle w:val="Normal"/>
        <w:rPr/>
      </w:pPr>
      <w:r>
        <w:rPr/>
      </w:r>
      <w:r>
        <w:br w:type="page"/>
      </w:r>
    </w:p>
    <w:sdt>
      <w:sdtPr>
        <w:docPartObj>
          <w:docPartGallery w:val="Table of Contents"/>
          <w:docPartUnique w:val="true"/>
        </w:docPartObj>
      </w:sdtPr>
      <w:sdtContent>
        <w:p>
          <w:pPr>
            <w:pStyle w:val="TOAHeading"/>
            <w:rPr/>
          </w:pPr>
          <w:r>
            <w:rPr/>
            <w:t>Inhoudsopgave</w:t>
          </w:r>
        </w:p>
        <w:p>
          <w:pPr>
            <w:pStyle w:val="Tabledesmatiresniveau1"/>
            <w:tabs>
              <w:tab w:val="right" w:pos="9638" w:leader="dot"/>
            </w:tabs>
            <w:rPr/>
          </w:pPr>
          <w:r>
            <w:fldChar w:fldCharType="begin"/>
          </w:r>
          <w:r>
            <w:rPr>
              <w:rStyle w:val="Sautdindex"/>
            </w:rPr>
            <w:instrText> TOC \f \o "1-2" \h</w:instrText>
          </w:r>
          <w:r>
            <w:rPr>
              <w:rStyle w:val="Sautdindex"/>
            </w:rPr>
            <w:fldChar w:fldCharType="separate"/>
          </w:r>
          <w:hyperlink w:anchor="__RefHeading___Toc298046_1346298689">
            <w:r>
              <w:rPr>
                <w:rStyle w:val="Sautdindex"/>
              </w:rPr>
              <w:t>I. De architectuur van de conferentie</w:t>
              <w:tab/>
              <w:t>7</w:t>
            </w:r>
          </w:hyperlink>
        </w:p>
        <w:p>
          <w:pPr>
            <w:pStyle w:val="Tabledesmatiresniveau2"/>
            <w:tabs>
              <w:tab w:val="right" w:pos="9638" w:leader="dot"/>
            </w:tabs>
            <w:rPr/>
          </w:pPr>
          <w:hyperlink w:anchor="__RefHeading___Toc298048_1346298689">
            <w:r>
              <w:rPr>
                <w:rStyle w:val="Sautdindex"/>
              </w:rPr>
              <w:t>1. Gemeenschappelijke verklaring</w:t>
              <w:tab/>
              <w:t>8</w:t>
            </w:r>
          </w:hyperlink>
        </w:p>
        <w:p>
          <w:pPr>
            <w:pStyle w:val="Tabledesmatiresniveau2"/>
            <w:tabs>
              <w:tab w:val="right" w:pos="9638" w:leader="dot"/>
            </w:tabs>
            <w:rPr/>
          </w:pPr>
          <w:hyperlink w:anchor="__RefHeading___Toc298050_1346298689">
            <w:r>
              <w:rPr>
                <w:rStyle w:val="Sautdindex"/>
              </w:rPr>
              <w:t>2. Reglement van orde</w:t>
              <w:tab/>
              <w:t>9</w:t>
            </w:r>
          </w:hyperlink>
        </w:p>
        <w:p>
          <w:pPr>
            <w:pStyle w:val="Tabledesmatiresniveau2"/>
            <w:tabs>
              <w:tab w:val="right" w:pos="9638" w:leader="dot"/>
            </w:tabs>
            <w:rPr/>
          </w:pPr>
          <w:hyperlink w:anchor="__RefHeading___Toc298052_1346298689">
            <w:r>
              <w:rPr>
                <w:rStyle w:val="Sautdindex"/>
              </w:rPr>
              <w:t>3. Evenementen in verband met de conferentie</w:t>
              <w:tab/>
              <w:t>9</w:t>
            </w:r>
          </w:hyperlink>
        </w:p>
        <w:p>
          <w:pPr>
            <w:pStyle w:val="Tabledesmatiresniveau2"/>
            <w:tabs>
              <w:tab w:val="right" w:pos="9638" w:leader="dot"/>
            </w:tabs>
            <w:rPr/>
          </w:pPr>
          <w:hyperlink w:anchor="__RefHeading___Toc298054_1346298689">
            <w:r>
              <w:rPr>
                <w:rStyle w:val="Sautdindex"/>
              </w:rPr>
              <w:t>4. Implementatie van het meertalige digitale platform</w:t>
              <w:tab/>
              <w:t>9</w:t>
            </w:r>
          </w:hyperlink>
        </w:p>
        <w:p>
          <w:pPr>
            <w:pStyle w:val="Tabledesmatiresniveau2"/>
            <w:tabs>
              <w:tab w:val="right" w:pos="9638" w:leader="dot"/>
            </w:tabs>
            <w:rPr/>
          </w:pPr>
          <w:hyperlink w:anchor="__RefHeading___Toc298056_1346298689">
            <w:r>
              <w:rPr>
                <w:rStyle w:val="Sautdindex"/>
              </w:rPr>
              <w:t>5. Europese burgerpanels</w:t>
              <w:tab/>
              <w:t>10</w:t>
            </w:r>
          </w:hyperlink>
        </w:p>
        <w:p>
          <w:pPr>
            <w:pStyle w:val="Tabledesmatiresniveau2"/>
            <w:tabs>
              <w:tab w:val="right" w:pos="9638" w:leader="dot"/>
            </w:tabs>
            <w:rPr/>
          </w:pPr>
          <w:hyperlink w:anchor="__RefHeading___Toc298058_1346298689">
            <w:r>
              <w:rPr>
                <w:rStyle w:val="Sautdindex"/>
              </w:rPr>
              <w:t>6. Nationale burgerpanels</w:t>
              <w:tab/>
              <w:t>10</w:t>
            </w:r>
          </w:hyperlink>
        </w:p>
        <w:p>
          <w:pPr>
            <w:pStyle w:val="Tabledesmatiresniveau1"/>
            <w:tabs>
              <w:tab w:val="right" w:pos="9638" w:leader="dot"/>
            </w:tabs>
            <w:rPr/>
          </w:pPr>
          <w:hyperlink w:anchor="__RefHeading___Toc298188_1346298689">
            <w:r>
              <w:rPr>
                <w:rStyle w:val="Sautdindex"/>
              </w:rPr>
              <w:t>NEE, NEE, NEE, NEE. Bijdragen van de burgers aan de conferentie</w:t>
              <w:tab/>
              <w:t>11</w:t>
            </w:r>
          </w:hyperlink>
        </w:p>
        <w:p>
          <w:pPr>
            <w:pStyle w:val="Tabledesmatiresniveau2"/>
            <w:tabs>
              <w:tab w:val="right" w:pos="9638" w:leader="dot"/>
            </w:tabs>
            <w:rPr/>
          </w:pPr>
          <w:hyperlink w:anchor="__RefHeading___Toc298190_1346298689">
            <w:r>
              <w:rPr>
                <w:rStyle w:val="Sautdindex"/>
              </w:rPr>
              <w:t>A. Meertalig digitaal platform</w:t>
              <w:tab/>
              <w:t>12</w:t>
            </w:r>
          </w:hyperlink>
        </w:p>
        <w:p>
          <w:pPr>
            <w:pStyle w:val="Tabledesmatiresniveau2"/>
            <w:tabs>
              <w:tab w:val="right" w:pos="9638" w:leader="dot"/>
            </w:tabs>
            <w:rPr/>
          </w:pPr>
          <w:hyperlink w:anchor="__RefHeading___Toc298192_1346298689">
            <w:r>
              <w:rPr>
                <w:rStyle w:val="Sautdindex"/>
              </w:rPr>
              <w:t>B. Burgerpanelen</w:t>
              <w:tab/>
              <w:t>17</w:t>
            </w:r>
          </w:hyperlink>
        </w:p>
        <w:p>
          <w:pPr>
            <w:pStyle w:val="Tabledesmatiresniveau2"/>
            <w:tabs>
              <w:tab w:val="right" w:pos="9638" w:leader="dot"/>
            </w:tabs>
            <w:rPr/>
          </w:pPr>
          <w:hyperlink w:anchor="__RefHeading___Toc298228_1346298689">
            <w:r>
              <w:rPr>
                <w:rStyle w:val="Sautdindex"/>
              </w:rPr>
              <w:t>C. Evenementen georganiseerd in het kader van de conferentie</w:t>
              <w:tab/>
              <w:t>28</w:t>
            </w:r>
          </w:hyperlink>
        </w:p>
        <w:p>
          <w:pPr>
            <w:pStyle w:val="Tabledesmatiresniveau1"/>
            <w:tabs>
              <w:tab w:val="right" w:pos="9638" w:leader="dot"/>
            </w:tabs>
            <w:rPr/>
          </w:pPr>
          <w:hyperlink w:anchor="__RefHeading___Toc298238_1346298689">
            <w:r>
              <w:rPr>
                <w:rStyle w:val="Sautdindex"/>
              </w:rPr>
              <w:t>III. De voltallige vergadering van de conferentie</w:t>
              <w:tab/>
              <w:t>37</w:t>
            </w:r>
          </w:hyperlink>
        </w:p>
        <w:p>
          <w:pPr>
            <w:pStyle w:val="Tabledesmatiresniveau2"/>
            <w:tabs>
              <w:tab w:val="right" w:pos="9638" w:leader="dot"/>
            </w:tabs>
            <w:rPr/>
          </w:pPr>
          <w:hyperlink w:anchor="__RefHeading___Toc298240_1346298689">
            <w:r>
              <w:rPr>
                <w:rStyle w:val="Sautdindex"/>
              </w:rPr>
              <w:t>A. Rol en werking van de voltallige vergadering</w:t>
              <w:tab/>
              <w:t>38</w:t>
            </w:r>
          </w:hyperlink>
        </w:p>
        <w:p>
          <w:pPr>
            <w:pStyle w:val="Tabledesmatiresniveau2"/>
            <w:tabs>
              <w:tab w:val="right" w:pos="9638" w:leader="dot"/>
            </w:tabs>
            <w:rPr/>
          </w:pPr>
          <w:hyperlink w:anchor="__RefHeading___Toc298242_1346298689">
            <w:r>
              <w:rPr>
                <w:rStyle w:val="Sautdindex"/>
              </w:rPr>
              <w:t>B. Werkgroepen</w:t>
              <w:tab/>
              <w:t>39</w:t>
            </w:r>
          </w:hyperlink>
        </w:p>
        <w:p>
          <w:pPr>
            <w:pStyle w:val="Tabledesmatiresniveau2"/>
            <w:tabs>
              <w:tab w:val="right" w:pos="9638" w:leader="dot"/>
            </w:tabs>
            <w:rPr/>
          </w:pPr>
          <w:hyperlink w:anchor="__RefHeading___Toc298244_1346298689">
            <w:r>
              <w:rPr>
                <w:rStyle w:val="Sautdindex"/>
              </w:rPr>
              <w:t>C. Chronologische samenvatting</w:t>
              <w:tab/>
              <w:t>40</w:t>
            </w:r>
          </w:hyperlink>
        </w:p>
        <w:p>
          <w:pPr>
            <w:pStyle w:val="Tabledesmatiresniveau1"/>
            <w:tabs>
              <w:tab w:val="right" w:pos="9638" w:leader="dot"/>
            </w:tabs>
            <w:rPr/>
          </w:pPr>
          <w:hyperlink w:anchor="__RefHeading___Toc298246_1346298689">
            <w:r>
              <w:rPr>
                <w:rStyle w:val="Sautdindex"/>
              </w:rPr>
              <w:t>IV. De voorstellen van de voltallige vergadering</w:t>
              <w:tab/>
              <w:t>46</w:t>
            </w:r>
          </w:hyperlink>
        </w:p>
        <w:p>
          <w:pPr>
            <w:pStyle w:val="Tabledesmatiresniveau2"/>
            <w:tabs>
              <w:tab w:val="right" w:pos="9638" w:leader="dot"/>
            </w:tabs>
            <w:rPr/>
          </w:pPr>
          <w:hyperlink w:anchor="__RefHeading___Toc298248_1346298689">
            <w:r>
              <w:rPr>
                <w:rStyle w:val="Sautdindex"/>
              </w:rPr>
              <w:t>Klimaatverandering en milieu</w:t>
              <w:tab/>
              <w:t>47</w:t>
            </w:r>
          </w:hyperlink>
        </w:p>
        <w:p>
          <w:pPr>
            <w:pStyle w:val="Tabledesmatiresniveau2"/>
            <w:tabs>
              <w:tab w:val="right" w:pos="9638" w:leader="dot"/>
            </w:tabs>
            <w:rPr/>
          </w:pPr>
          <w:hyperlink w:anchor="__RefHeading___Toc298272_1346298689">
            <w:r>
              <w:rPr>
                <w:rStyle w:val="Sautdindex"/>
              </w:rPr>
              <w:t>„</w:t>
            </w:r>
            <w:r>
              <w:rPr>
                <w:rStyle w:val="Sautdindex"/>
              </w:rPr>
              <w:t>Gezondheid”</w:t>
              <w:tab/>
              <w:t>53</w:t>
            </w:r>
          </w:hyperlink>
        </w:p>
        <w:p>
          <w:pPr>
            <w:pStyle w:val="Tabledesmatiresniveau2"/>
            <w:tabs>
              <w:tab w:val="right" w:pos="9638" w:leader="dot"/>
            </w:tabs>
            <w:rPr/>
          </w:pPr>
          <w:hyperlink w:anchor="__RefHeading___Toc298288_1346298689">
            <w:r>
              <w:rPr>
                <w:rStyle w:val="Sautdindex"/>
              </w:rPr>
              <w:t>Een sterkere economie, sociale rechtvaardigheid en werkgelegenheid</w:t>
              <w:tab/>
              <w:t>57</w:t>
            </w:r>
          </w:hyperlink>
        </w:p>
        <w:p>
          <w:pPr>
            <w:pStyle w:val="Tabledesmatiresniveau2"/>
            <w:tabs>
              <w:tab w:val="right" w:pos="9638" w:leader="dot"/>
            </w:tabs>
            <w:rPr/>
          </w:pPr>
          <w:hyperlink w:anchor="__RefHeading___Toc298302_1346298689">
            <w:r>
              <w:rPr>
                <w:rStyle w:val="Sautdindex"/>
              </w:rPr>
              <w:t>„</w:t>
            </w:r>
            <w:r>
              <w:rPr>
                <w:rStyle w:val="Sautdindex"/>
              </w:rPr>
              <w:t>De EU in de wereld”</w:t>
              <w:tab/>
              <w:t>66</w:t>
            </w:r>
          </w:hyperlink>
        </w:p>
        <w:p>
          <w:pPr>
            <w:pStyle w:val="Tabledesmatiresniveau2"/>
            <w:tabs>
              <w:tab w:val="right" w:pos="9638" w:leader="dot"/>
            </w:tabs>
            <w:rPr/>
          </w:pPr>
          <w:hyperlink w:anchor="__RefHeading___Toc298320_1346298689">
            <w:r>
              <w:rPr>
                <w:rStyle w:val="Sautdindex"/>
              </w:rPr>
              <w:t>Waarden en rechten, rechtsstaat, veiligheid</w:t>
              <w:tab/>
              <w:t>73</w:t>
            </w:r>
          </w:hyperlink>
        </w:p>
        <w:p>
          <w:pPr>
            <w:pStyle w:val="Tabledesmatiresniveau2"/>
            <w:tabs>
              <w:tab w:val="right" w:pos="9638" w:leader="dot"/>
            </w:tabs>
            <w:rPr/>
          </w:pPr>
          <w:hyperlink w:anchor="__RefHeading___Toc298334_1346298689">
            <w:r>
              <w:rPr>
                <w:rStyle w:val="Sautdindex"/>
              </w:rPr>
              <w:t>Digitale transformatie</w:t>
              <w:tab/>
              <w:t>78</w:t>
            </w:r>
          </w:hyperlink>
        </w:p>
        <w:p>
          <w:pPr>
            <w:pStyle w:val="Tabledesmatiresniveau2"/>
            <w:tabs>
              <w:tab w:val="right" w:pos="9638" w:leader="dot"/>
            </w:tabs>
            <w:rPr/>
          </w:pPr>
          <w:hyperlink w:anchor="__RefHeading___Toc298346_1346298689">
            <w:r>
              <w:rPr>
                <w:rStyle w:val="Sautdindex"/>
              </w:rPr>
              <w:t>„</w:t>
            </w:r>
            <w:r>
              <w:rPr>
                <w:rStyle w:val="Sautdindex"/>
              </w:rPr>
              <w:t>Europese democratie”</w:t>
              <w:tab/>
              <w:t>84</w:t>
            </w:r>
          </w:hyperlink>
        </w:p>
        <w:p>
          <w:pPr>
            <w:pStyle w:val="Tabledesmatiresniveau2"/>
            <w:tabs>
              <w:tab w:val="right" w:pos="9638" w:leader="dot"/>
            </w:tabs>
            <w:rPr/>
          </w:pPr>
          <w:hyperlink w:anchor="__RefHeading___Toc298358_1346298689">
            <w:r>
              <w:rPr>
                <w:rStyle w:val="Sautdindex"/>
              </w:rPr>
              <w:t>„</w:t>
            </w:r>
            <w:r>
              <w:rPr>
                <w:rStyle w:val="Sautdindex"/>
              </w:rPr>
              <w:t>Migratie”</w:t>
              <w:tab/>
              <w:t>90</w:t>
            </w:r>
          </w:hyperlink>
        </w:p>
        <w:p>
          <w:pPr>
            <w:pStyle w:val="Tabledesmatiresniveau2"/>
            <w:tabs>
              <w:tab w:val="right" w:pos="9638" w:leader="dot"/>
            </w:tabs>
            <w:rPr/>
          </w:pPr>
          <w:hyperlink w:anchor="__RefHeading___Toc298370_1346298689">
            <w:r>
              <w:rPr>
                <w:rStyle w:val="Sautdindex"/>
              </w:rPr>
              <w:t>Onderwijs, cultuur, jeugd en sport</w:t>
              <w:tab/>
              <w:t>94</w:t>
            </w:r>
          </w:hyperlink>
        </w:p>
        <w:p>
          <w:pPr>
            <w:pStyle w:val="Tabledesmatiresniveau1"/>
            <w:tabs>
              <w:tab w:val="right" w:pos="9638" w:leader="dot"/>
            </w:tabs>
            <w:rPr/>
          </w:pPr>
          <w:hyperlink w:anchor="__RefHeading___Toc298380_1346298689">
            <w:r>
              <w:rPr>
                <w:rStyle w:val="Sautdindex"/>
              </w:rPr>
              <w:t>Definitieve overwegingen van de raad van bestuur</w:t>
              <w:tab/>
              <w:t>99</w:t>
            </w:r>
          </w:hyperlink>
        </w:p>
        <w:p>
          <w:pPr>
            <w:pStyle w:val="Tabledesmatiresniveau1"/>
            <w:tabs>
              <w:tab w:val="right" w:pos="9638" w:leader="dot"/>
            </w:tabs>
            <w:rPr/>
          </w:pPr>
          <w:hyperlink w:anchor="__RefHeading___Toc297141_1346298689">
            <w:r>
              <w:rPr>
                <w:rStyle w:val="Sautdindex"/>
              </w:rPr>
              <w:t>Bijlage I — Aanbevelingen van de vier Europese burgerpanels</w:t>
              <w:tab/>
              <w:t>102</w:t>
            </w:r>
          </w:hyperlink>
        </w:p>
        <w:p>
          <w:pPr>
            <w:pStyle w:val="Tabledesmatiresniveau2"/>
            <w:tabs>
              <w:tab w:val="right" w:pos="9638" w:leader="dot"/>
            </w:tabs>
            <w:rPr/>
          </w:pPr>
          <w:hyperlink w:anchor="__RefHeading___Toc297143_1346298689">
            <w:r>
              <w:rPr>
                <w:rStyle w:val="Sautdindex"/>
              </w:rPr>
              <w:t>Europees burgerpanel 1: Een sterkere economie, sociale rechtvaardigheid en werkgelegenheid/onderwijs, cultuur, jeugd en sport/digitale transformatie</w:t>
              <w:tab/>
              <w:t>103</w:t>
            </w:r>
          </w:hyperlink>
        </w:p>
        <w:p>
          <w:pPr>
            <w:pStyle w:val="Tabledesmatiresniveau2"/>
            <w:tabs>
              <w:tab w:val="right" w:pos="9638" w:leader="dot"/>
            </w:tabs>
            <w:rPr/>
          </w:pPr>
          <w:hyperlink w:anchor="__RefHeading___Toc297195_1346298689">
            <w:r>
              <w:rPr>
                <w:rStyle w:val="Sautdindex"/>
              </w:rPr>
              <w:t>Europees burgerpanel 2: „Europese democratie; waarden en rechten, rechtsstaat, veiligheid</w:t>
              <w:tab/>
              <w:t>121</w:t>
            </w:r>
          </w:hyperlink>
        </w:p>
        <w:p>
          <w:pPr>
            <w:pStyle w:val="Tabledesmatiresniveau2"/>
            <w:tabs>
              <w:tab w:val="right" w:pos="9638" w:leader="dot"/>
            </w:tabs>
            <w:rPr/>
          </w:pPr>
          <w:hyperlink w:anchor="__RefHeading___Toc297245_1346298689">
            <w:r>
              <w:rPr>
                <w:rStyle w:val="Sautdindex"/>
              </w:rPr>
              <w:t>Europees burgerpanel 3: Klimaatverandering en milieu/gezondheid</w:t>
              <w:tab/>
              <w:t>135</w:t>
            </w:r>
          </w:hyperlink>
        </w:p>
        <w:p>
          <w:pPr>
            <w:pStyle w:val="Tabledesmatiresniveau2"/>
            <w:tabs>
              <w:tab w:val="right" w:pos="9638" w:leader="dot"/>
            </w:tabs>
            <w:rPr/>
          </w:pPr>
          <w:hyperlink w:anchor="__RefHeading___Toc297297_1346298689">
            <w:r>
              <w:rPr>
                <w:rStyle w:val="Sautdindex"/>
              </w:rPr>
              <w:t>Europees burgerpanel 4: „De EU in de wereld/Migratie”</w:t>
              <w:tab/>
              <w:t>153</w:t>
            </w:r>
          </w:hyperlink>
        </w:p>
        <w:p>
          <w:pPr>
            <w:pStyle w:val="Tabledesmatiresniveau1"/>
            <w:tabs>
              <w:tab w:val="right" w:pos="9638" w:leader="dot"/>
            </w:tabs>
            <w:rPr/>
          </w:pPr>
          <w:hyperlink w:anchor="__RefHeading___Toc297345_1346298689">
            <w:r>
              <w:rPr>
                <w:rStyle w:val="Sautdindex"/>
              </w:rPr>
              <w:t>II A — Nationale panels: België</w:t>
              <w:tab/>
              <w:t>167</w:t>
            </w:r>
          </w:hyperlink>
        </w:p>
        <w:p>
          <w:pPr>
            <w:pStyle w:val="Tabledesmatiresniveau1"/>
            <w:tabs>
              <w:tab w:val="right" w:pos="9638" w:leader="dot"/>
            </w:tabs>
            <w:rPr/>
          </w:pPr>
          <w:hyperlink w:anchor="__RefHeading___Toc297349_1346298689">
            <w:r>
              <w:rPr>
                <w:rStyle w:val="Sautdindex"/>
              </w:rPr>
              <w:t>II B Nationale Panelen: Frankrijk</w:t>
              <w:tab/>
              <w:t>182</w:t>
            </w:r>
          </w:hyperlink>
        </w:p>
        <w:p>
          <w:pPr>
            <w:pStyle w:val="Tabledesmatiresniveau2"/>
            <w:tabs>
              <w:tab w:val="right" w:pos="9638" w:leader="dot"/>
            </w:tabs>
            <w:rPr/>
          </w:pPr>
          <w:hyperlink w:anchor="__RefHeading___Toc300448_1346298689">
            <w:r>
              <w:rPr>
                <w:rStyle w:val="Sautdindex"/>
              </w:rPr>
              <w:t>Introductie</w:t>
              <w:tab/>
              <w:t>185</w:t>
            </w:r>
          </w:hyperlink>
        </w:p>
        <w:p>
          <w:pPr>
            <w:pStyle w:val="Tabledesmatiresniveau2"/>
            <w:tabs>
              <w:tab w:val="right" w:pos="9638" w:leader="dot"/>
            </w:tabs>
            <w:rPr/>
          </w:pPr>
          <w:hyperlink w:anchor="__RefHeading___Toc300450_1346298689">
            <w:r>
              <w:rPr>
                <w:rStyle w:val="Sautdindex"/>
              </w:rPr>
              <w:t>Presentatie van de belangrijkste resultaten</w:t>
              <w:tab/>
              <w:t>188</w:t>
            </w:r>
          </w:hyperlink>
        </w:p>
        <w:p>
          <w:pPr>
            <w:pStyle w:val="Tabledesmatiresniveau2"/>
            <w:tabs>
              <w:tab w:val="right" w:pos="9638" w:leader="dot"/>
            </w:tabs>
            <w:rPr/>
          </w:pPr>
          <w:hyperlink w:anchor="__RefHeading___Toc300452_1346298689">
            <w:r>
              <w:rPr>
                <w:rStyle w:val="Sautdindex"/>
              </w:rPr>
              <w:t>Presentatie van de panels van regionale conferenties</w:t>
              <w:tab/>
              <w:t>190</w:t>
            </w:r>
          </w:hyperlink>
        </w:p>
        <w:p>
          <w:pPr>
            <w:pStyle w:val="Tabledesmatiresniveau2"/>
            <w:tabs>
              <w:tab w:val="right" w:pos="9638" w:leader="dot"/>
            </w:tabs>
            <w:rPr/>
          </w:pPr>
          <w:hyperlink w:anchor="__RefHeading___Toc300454_1346298689">
            <w:r>
              <w:rPr>
                <w:rStyle w:val="Sautdindex"/>
              </w:rPr>
              <w:t>Methodologische verbintenissen en vooroordelen</w:t>
              <w:tab/>
              <w:t>192</w:t>
            </w:r>
          </w:hyperlink>
        </w:p>
        <w:p>
          <w:pPr>
            <w:pStyle w:val="Tabledesmatiresniveau2"/>
            <w:tabs>
              <w:tab w:val="right" w:pos="9638" w:leader="dot"/>
            </w:tabs>
            <w:rPr/>
          </w:pPr>
          <w:hyperlink w:anchor="__RefHeading___Toc297351_1346298689">
            <w:r>
              <w:rPr>
                <w:rStyle w:val="Sautdindex"/>
              </w:rPr>
              <w:t>Tweede deel: presentatie van de resultaten van de raadpleging „Words to Youth”</w:t>
              <w:tab/>
              <w:t>210</w:t>
            </w:r>
          </w:hyperlink>
        </w:p>
        <w:p>
          <w:pPr>
            <w:pStyle w:val="Tabledesmatiresniveau2"/>
            <w:tabs>
              <w:tab w:val="right" w:pos="9638" w:leader="dot"/>
            </w:tabs>
            <w:rPr/>
          </w:pPr>
          <w:hyperlink w:anchor="__RefHeading___Toc300458_1346298689">
            <w:r>
              <w:rPr>
                <w:rStyle w:val="Sautdindex"/>
              </w:rPr>
              <w:t>Conclusie</w:t>
              <w:tab/>
              <w:t>214</w:t>
            </w:r>
          </w:hyperlink>
        </w:p>
        <w:p>
          <w:pPr>
            <w:pStyle w:val="Tabledesmatiresniveau1"/>
            <w:tabs>
              <w:tab w:val="right" w:pos="9638" w:leader="dot"/>
            </w:tabs>
            <w:rPr/>
          </w:pPr>
          <w:hyperlink w:anchor="__RefHeading___Toc297353_1346298689">
            <w:r>
              <w:rPr>
                <w:rStyle w:val="Sautdindex"/>
              </w:rPr>
              <w:t>II C Nationale Panelen: Duitsland</w:t>
              <w:tab/>
              <w:t>215</w:t>
            </w:r>
          </w:hyperlink>
        </w:p>
        <w:p>
          <w:pPr>
            <w:pStyle w:val="Tabledesmatiresniveau1"/>
            <w:tabs>
              <w:tab w:val="right" w:pos="9638" w:leader="dot"/>
            </w:tabs>
            <w:rPr/>
          </w:pPr>
          <w:hyperlink w:anchor="__RefHeading___Toc297355_1346298689">
            <w:r>
              <w:rPr>
                <w:rStyle w:val="Sautdindex"/>
              </w:rPr>
              <w:t>II D Nationale Panelen: Italië</w:t>
              <w:tab/>
              <w:t>221</w:t>
            </w:r>
          </w:hyperlink>
        </w:p>
        <w:p>
          <w:pPr>
            <w:pStyle w:val="Tabledesmatiresniveau2"/>
            <w:tabs>
              <w:tab w:val="right" w:pos="9638" w:leader="dot"/>
            </w:tabs>
            <w:rPr/>
          </w:pPr>
          <w:hyperlink w:anchor="__RefHeading___Toc300314_1346298689">
            <w:r>
              <w:rPr>
                <w:rStyle w:val="Sautdindex"/>
              </w:rPr>
              <w:t>4. Werkprogramma</w:t>
              <w:tab/>
              <w:t>227</w:t>
            </w:r>
          </w:hyperlink>
        </w:p>
        <w:p>
          <w:pPr>
            <w:pStyle w:val="Tabledesmatiresniveau2"/>
            <w:tabs>
              <w:tab w:val="right" w:pos="9638" w:leader="dot"/>
            </w:tabs>
            <w:rPr/>
          </w:pPr>
          <w:hyperlink w:anchor="__RefHeading___Toc300322_1346298689">
            <w:r>
              <w:rPr>
                <w:rStyle w:val="Sautdindex"/>
              </w:rPr>
              <w:t>6. Eindevaluatie door deelnemers</w:t>
              <w:tab/>
              <w:t>236</w:t>
            </w:r>
          </w:hyperlink>
        </w:p>
        <w:p>
          <w:pPr>
            <w:pStyle w:val="Tabledesmatiresniveau1"/>
            <w:tabs>
              <w:tab w:val="right" w:pos="9638" w:leader="dot"/>
            </w:tabs>
            <w:rPr/>
          </w:pPr>
          <w:hyperlink w:anchor="__RefHeading___Toc298382_1346298689">
            <w:r>
              <w:rPr>
                <w:rStyle w:val="Sautdindex"/>
              </w:rPr>
              <w:t>II E nationale panels: Litouwen</w:t>
              <w:tab/>
              <w:t>239</w:t>
            </w:r>
          </w:hyperlink>
        </w:p>
        <w:p>
          <w:pPr>
            <w:pStyle w:val="Tabledesmatiresniveau1"/>
            <w:tabs>
              <w:tab w:val="right" w:pos="9638" w:leader="dot"/>
            </w:tabs>
            <w:rPr/>
          </w:pPr>
          <w:hyperlink w:anchor="__RefHeading___Toc297357_1346298689">
            <w:r>
              <w:rPr>
                <w:rStyle w:val="Sautdindex"/>
              </w:rPr>
              <w:t>II F Nationale Panelen: Nederland</w:t>
              <w:tab/>
              <w:t>248</w:t>
            </w:r>
          </w:hyperlink>
        </w:p>
        <w:p>
          <w:pPr>
            <w:pStyle w:val="Tabledesmatiresniveau1"/>
            <w:tabs>
              <w:tab w:val="right" w:pos="9638" w:leader="dot"/>
            </w:tabs>
            <w:rPr/>
          </w:pPr>
          <w:hyperlink w:anchor="__RefHeading___Toc297359_1346298689">
            <w:r>
              <w:rPr>
                <w:rStyle w:val="Sautdindex"/>
              </w:rPr>
              <w:t>III — Verwijzingen naar de resultaten van nationale evenementen</w:t>
              <w:tab/>
              <w:t>301</w:t>
            </w:r>
          </w:hyperlink>
        </w:p>
        <w:p>
          <w:pPr>
            <w:pStyle w:val="Tabledesmatiresniveau1"/>
            <w:tabs>
              <w:tab w:val="right" w:pos="9638" w:leader="dot"/>
            </w:tabs>
            <w:rPr/>
          </w:pPr>
          <w:hyperlink w:anchor="__RefHeading___Toc344888_2081073262">
            <w:r>
              <w:rPr>
                <w:rStyle w:val="Sautdindex"/>
              </w:rPr>
              <w:t>IV — Verwijzing naar het verslag van het meertalige digitale platform</w:t>
              <w:tab/>
              <w:t>302</w:t>
            </w:r>
          </w:hyperlink>
        </w:p>
      </w:sdtContent>
    </w:sdt>
    <w:p>
      <w:pPr>
        <w:pStyle w:val="Normal"/>
        <w:spacing w:before="57" w:after="57"/>
        <w:ind w:left="0" w:right="0" w:hanging="0"/>
        <w:rPr>
          <w:rFonts w:ascii="Arial" w:hAnsi="Arial"/>
          <w:sz w:val="22"/>
        </w:rPr>
      </w:pPr>
      <w:r>
        <w:rPr>
          <w:sz w:val="22"/>
        </w:rPr>
      </w:r>
      <w:r>
        <w:rPr>
          <w:sz w:val="22"/>
        </w:rPr>
        <w:fldChar w:fldCharType="end"/>
      </w:r>
    </w:p>
    <w:p>
      <w:pPr>
        <w:pStyle w:val="Normal"/>
        <w:rPr/>
      </w:pPr>
      <w:r>
        <w:rPr/>
      </w:r>
    </w:p>
    <w:p>
      <w:pPr>
        <w:pStyle w:val="Normal"/>
        <w:rPr/>
      </w:pPr>
      <w:r>
        <w:rPr/>
      </w:r>
      <w:r>
        <w:br w:type="page"/>
      </w:r>
    </w:p>
    <w:p>
      <w:pPr>
        <w:pStyle w:val="Normal"/>
        <w:spacing w:before="13643" w:after="57"/>
        <w:rPr/>
      </w:pPr>
      <w:r>
        <w:rPr/>
        <w:drawing>
          <wp:anchor behindDoc="0" distT="0" distB="0" distL="0" distR="0" simplePos="0" locked="0" layoutInCell="1" allowOverlap="1" relativeHeight="66">
            <wp:simplePos x="0" y="0"/>
            <wp:positionH relativeFrom="column">
              <wp:align>center</wp:align>
            </wp:positionH>
            <wp:positionV relativeFrom="paragraph">
              <wp:posOffset>635</wp:posOffset>
            </wp:positionV>
            <wp:extent cx="6120130" cy="8663305"/>
            <wp:effectExtent l="0" t="0" r="0" b="0"/>
            <wp:wrapSquare wrapText="largest"/>
            <wp:docPr id="10" name="Afbeelding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Afbeelding3" descr=""/>
                    <pic:cNvPicPr>
                      <a:picLocks noChangeAspect="1" noChangeArrowheads="1"/>
                    </pic:cNvPicPr>
                  </pic:nvPicPr>
                  <pic:blipFill>
                    <a:blip r:embed="rId17"/>
                    <a:stretch>
                      <a:fillRect/>
                    </a:stretch>
                  </pic:blipFill>
                  <pic:spPr bwMode="auto">
                    <a:xfrm>
                      <a:off x="0" y="0"/>
                      <a:ext cx="6120130" cy="8663305"/>
                    </a:xfrm>
                    <a:prstGeom prst="rect">
                      <a:avLst/>
                    </a:prstGeom>
                  </pic:spPr>
                </pic:pic>
              </a:graphicData>
            </a:graphic>
          </wp:anchor>
        </w:drawing>
      </w:r>
      <w:r>
        <w:br w:type="page"/>
      </w:r>
    </w:p>
    <w:p>
      <w:pPr>
        <w:pStyle w:val="Titre1sansnumro"/>
        <w:ind w:left="0" w:right="0" w:hanging="0"/>
        <w:rPr/>
      </w:pPr>
      <w:r>
        <w:rPr/>
        <w:t>Introductie</w:t>
      </w:r>
    </w:p>
    <w:p>
      <w:pPr>
        <w:sectPr>
          <w:headerReference w:type="even" r:id="rId18"/>
          <w:headerReference w:type="default" r:id="rId19"/>
          <w:footerReference w:type="even" r:id="rId20"/>
          <w:footerReference w:type="default" r:id="rId21"/>
          <w:type w:val="nextPage"/>
          <w:pgSz w:w="11906" w:h="16838"/>
          <w:pgMar w:left="1134" w:right="1134" w:header="1134" w:top="1700" w:footer="1134" w:bottom="1727" w:gutter="0"/>
          <w:pgNumType w:fmt="decimal"/>
          <w:formProt w:val="false"/>
          <w:titlePg/>
          <w:textDirection w:val="lrTb"/>
          <w:docGrid w:type="default" w:linePitch="312" w:charSpace="0"/>
        </w:sectPr>
      </w:pPr>
    </w:p>
    <w:p>
      <w:pPr>
        <w:pStyle w:val="Normal"/>
        <w:rPr/>
      </w:pPr>
      <w:r>
        <w:rPr/>
        <w:t>Op 10 maart 2021 ondertekenden de voorzitter van het Europees Parlement, David Sassoli, de Portugese premier António Costa, namens de Raad van de EU, en Ursula von der Leyen, voorzitter van de Europese Commissie, de gezamenlijke verklaring over de conferentie over de toekomst van Europa. De verbintenis die ze maakten was eenvoudig: het was een burgergerichte oefening gebaseerd op een bottom-upbenadering om ervoor te zorgen dat alle Europeanen inspraak hebben in wat zij van de Europese Unie verwachten en een grotere rol spelen bij het vormgeven van de toekomst van de Unie. Hun taak, aan de andere kant, was uiterst moeilijk: het doel was voor het eerst een transnationale, meertalige en interinstitutionele uitoefening van deliberatieve democratie te organiseren met duizenden Europese burgers, politieke actoren, sociale partners, vertegenwoordigers van het maatschappelijk middenveld en belangrijke belanghebbenden in de zin van artikel 16 van het reglement van orde van de Conferentie.</w:t>
      </w:r>
    </w:p>
    <w:p>
      <w:pPr>
        <w:pStyle w:val="Normal"/>
        <w:rPr/>
      </w:pPr>
      <w:r>
        <w:rPr/>
        <w:t>Op 9 mei 2022 heeft de Conferentie, na maanden van intensieve beraadslagingen, haar werkzaamheden afgerond en aan de drie EU-instellingen een verslag over de eindresultaten voorgelegd met 49 voorstellen. Deze voorstellen komen overeen met de verwachtingen van de Europese burgers met betrekking tot negen thema’s: Een sterkere economie, sociale rechtvaardigheid en werkgelegenheid; Onderwijs, cultuur, jeugd en sport; Digitale transformatie; Europese democratie; Waarden en rechten, de rechtsstaat, veiligheid; Klimaatverandering en het milieu; Gezondheid; De EU in de wereld; migratie. Al deze thema’s worden uiteengezet in dit eindverslag, dat ook tot doel heeft een overzicht te geven van de verschillende activiteiten die zijn ondernomen in het kader van dit unieke proces, de Conferentie over de toekomst van Europa.</w:t>
      </w:r>
    </w:p>
    <w:p>
      <w:pPr>
        <w:pStyle w:val="Corpsdetexte"/>
        <w:rPr/>
      </w:pPr>
      <w:r>
        <w:rPr/>
        <w:t>Onder leiding van drie covoorzitters (Guy Verhofstadt voor het Europees Parlement; Ana Paula Zacarias, Gašper Dovžan en Clément Beaune, achtereenvolgens voor de Raad van de EU; en Dubravka Šuica voor de Europese Commissie) en onder leiding van een raad van bestuur (gelijk samengesteld uit vertegenwoordigers van de drie instellingen en waarnemers van de belangrijkste belanghebbenden), was de conferentie een ongekende ervaring met transnationale deliberatieve democratie. Het heeft ook zijn historische relevantie en belang aangetoond in de context van de COVID-19-pandemie en de Russische agressie tegen Oekraïne. De conferentie over de toekomst van Europa heeft geresulteerd in de oprichting van een meertalig digitaal platform voor Europese burgers om bij te dragen in alle 24 EU-talen en de organisatie van vier Europese burgerpanels, zes nationale burgerpanels, duizenden nationale en lokale evenementen en zeven plenaire vergaderingen van de conferentie. Het is het resultaat van een ongekende bereidheid van de EU-instellingen, de lidstaten, maar vooral ook van de Europese burgers, om de prioriteiten van de Europese Unie en de uitdagingen waarmee zij wordt geconfronteerd te bespreken en een nieuwe benadering van het Europese project te hanteren.</w:t>
      </w:r>
    </w:p>
    <w:p>
      <w:pPr>
        <w:pStyle w:val="Corpsdetexte"/>
        <w:rPr/>
      </w:pPr>
      <w:r>
        <w:rPr/>
        <w:t>Dit is echter nog maar het begin. In overeenstemming met de oprichtingstekst van de conferentie zullen de drie instellingen nu snel nagaan hoe dit verslag, elk binnen zijn bevoegdheden en in overeenstemming met de Verdragen, doeltreffend ten uitvoer kan worden gelegd. De vaststelling van de drie instellingen in dit verband is van het grootste belang.</w:t>
      </w:r>
    </w:p>
    <w:p>
      <w:pPr>
        <w:sect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1"/>
        <w:numPr>
          <w:ilvl w:val="0"/>
          <w:numId w:val="2"/>
        </w:numPr>
        <w:rPr/>
      </w:pPr>
      <w:bookmarkStart w:id="0" w:name="__RefHeading___Toc298046_1346298689"/>
      <w:bookmarkEnd w:id="0"/>
      <w:r>
        <w:rPr/>
        <w:t>I. De architectuur van de conferentie</w:t>
      </w:r>
    </w:p>
    <w:p>
      <w:pPr>
        <w:pStyle w:val="Corpsdetexte"/>
        <w:rPr>
          <w:sz w:val="40"/>
        </w:rPr>
      </w:pPr>
      <w:r>
        <w:rPr>
          <w:sz w:val="40"/>
        </w:rPr>
        <w:t>De conferentie over de toekomst van Europa</w:t>
      </w:r>
      <w:r>
        <w:rPr>
          <w:rStyle w:val="Ancredenotedebasdepage"/>
          <w:rStyle w:val="Ancredenotedebasdepage"/>
          <w:sz w:val="40"/>
        </w:rPr>
        <w:footnoteReference w:id="2"/>
      </w:r>
      <w:r>
        <w:rPr>
          <w:sz w:val="40"/>
        </w:rPr>
        <w:t xml:space="preserve"> was een nieuw en innovatief proces, dat een nieuwe ruimte voor debat met de burgers openstelde om de prioriteiten en uitdagingen van Europa te onderzoeken, teneinde de democratische legitimiteit van het Europese project te vestigen en de naleving van onze gemeenschappelijke waarden en doelstellingen van de burgers te bevorderen. De conferentie was een burgergerichte oefening op basis van een bottom-upbenadering om ervoor te zorgen dat de Europeanen inspraak hebben in wat zij van de Europese Unie verwachten. Het was een gezamenlijk initiatief van het Europees Parlement, de Raad en de Europese Commissie, op voet van gelijkheid met de lidstaten van de Europese Unie.</w:t>
      </w:r>
    </w:p>
    <w:p>
      <w:pPr>
        <w:pStyle w:val="Normal"/>
        <w:rPr/>
      </w:pPr>
      <w:r>
        <w:rPr/>
      </w:r>
    </w:p>
    <w:p>
      <w:pPr>
        <w:pStyle w:val="Normal"/>
        <w:rPr/>
      </w:pPr>
      <w:r>
        <w:rPr/>
      </w:r>
    </w:p>
    <w:p>
      <w:pPr>
        <w:pStyle w:val="Normal"/>
        <w:rPr/>
      </w:pPr>
      <w:r>
        <w:rPr/>
      </w:r>
    </w:p>
    <w:p>
      <w:pPr>
        <w:pStyle w:val="Normal"/>
        <w:rPr/>
      </w:pPr>
      <w:r>
        <w:rPr/>
      </w:r>
    </w:p>
    <w:p>
      <w:pPr>
        <w:pStyle w:val="Normal"/>
        <w:rPr/>
      </w:pPr>
      <w:r>
        <w:rPr/>
      </w:r>
      <w:r>
        <w:br w:type="page"/>
      </w:r>
    </w:p>
    <w:p>
      <w:pPr>
        <w:pStyle w:val="Titre2"/>
        <w:numPr>
          <w:ilvl w:val="1"/>
          <w:numId w:val="2"/>
        </w:numPr>
        <w:rPr/>
      </w:pPr>
      <w:bookmarkStart w:id="1" w:name="__RefHeading___Toc298048_1346298689"/>
      <w:bookmarkEnd w:id="1"/>
      <w:r>
        <w:rPr/>
        <w:t>1. Gemeenschappelijke verklaring</w:t>
      </w:r>
    </w:p>
    <w:p>
      <w:pPr>
        <w:pStyle w:val="Normal"/>
        <w:rPr/>
      </w:pPr>
      <w:r>
        <w:rPr/>
      </w:r>
    </w:p>
    <w:p>
      <w:pPr>
        <w:pStyle w:val="Normal"/>
        <w:rPr/>
      </w:pPr>
      <w:r>
        <w:rPr/>
        <w:t>Op 10 maart 2021 werd de gezamenlijke verklaring over de conferentie over de toekomst van Europa (de „gezamenlijke verklaring”) ondertekend door de wijlen voorzitter van het Europees Parlement, David Sassoli, de Portugese premier António Costa, namens de Raad van de EU, en de voorzitter van de Europese Commissie, Ursula von der Leyen, die de weg vrijmaakt voor deze ongekende, open en inclusieve Europese democratische oefening, die een centrale plaats biedt aan de burgers.</w:t>
      </w:r>
    </w:p>
    <w:p>
      <w:pPr>
        <w:pStyle w:val="Normal"/>
        <w:rPr/>
      </w:pPr>
      <w:r>
        <w:rPr/>
        <w:t>De Conferentie werd onder het gezag van de voorzitters van de drie instellingen geplaatst, als gezamenlijk voorzitterschap. Het gezamenlijke voorzitterschap werd bijgestaan door een raad van bestuur, die gezamenlijk werd voorgezeten door één lid van elk van de drie EU-instellingen.</w:t>
      </w:r>
    </w:p>
    <w:p>
      <w:pPr>
        <w:pStyle w:val="Normal"/>
        <w:rPr/>
      </w:pPr>
      <w:r>
        <w:rPr/>
        <w:t xml:space="preserve">Overeenkomstig de gemeenschappelijke verklaring zijn de volgende structuren opgezet: </w:t>
      </w:r>
    </w:p>
    <w:p>
      <w:pPr>
        <w:pStyle w:val="Alineanegatifpuce"/>
        <w:numPr>
          <w:ilvl w:val="0"/>
          <w:numId w:val="3"/>
        </w:numPr>
        <w:rPr/>
      </w:pPr>
      <w:r>
        <w:rPr/>
        <w:t>een raad van bestuur, die toezicht hield op de organisatie van de conferentie. Het bestond uit vertegenwoordigers van de drie EU-instellingen (respectievelijk drie leden en vier waarnemers), evenals waarnemers van de presidentiële trojka van de Conferentie van communautaire organen (COSAC) van de nationale parlementen van de Europese Unie. Het Comité van de Regio’s, het Europees Economisch en Sociaal Comité en vertegenwoordigers van de sociale partners werden uitgenodigd als waarnemers;</w:t>
      </w:r>
    </w:p>
    <w:p>
      <w:pPr>
        <w:pStyle w:val="Alineanegatifpuce"/>
        <w:numPr>
          <w:ilvl w:val="0"/>
          <w:numId w:val="3"/>
        </w:numPr>
        <w:rPr/>
      </w:pPr>
      <w:r>
        <w:rPr/>
        <w:t>een gezamenlijk secretariaat, dat zorgt voor een gelijke vertegenwoordiging van de drie instellingen, dat de werkzaamheden van de raad van bestuur ondersteunt. Het team — geleid door drie medevoorzitters van de drie instellingen — hield met name toezicht op de organisatie en voorbereiding van de vergaderingen van de raad van bestuur, de plenaire vergaderingen van de conferentie en de Europese burgerpanels. In samenwerking met dienstverleners was ze verantwoordelijk voor het beheer van het meertalige digitale platform en het rapporteren over belangrijke mijlpalen gedurende het hele proces.</w:t>
        <w:br/>
        <w:t xml:space="preserve">De unieke samenstelling van dit team zorgde voor een constante collegialiteit van het werk en zorgde voor synergie en efficiëntiewinst op alle gebieden; </w:t>
      </w:r>
    </w:p>
    <w:p>
      <w:pPr>
        <w:pStyle w:val="Alineanegatifpuce"/>
        <w:numPr>
          <w:ilvl w:val="0"/>
          <w:numId w:val="3"/>
        </w:numPr>
        <w:rPr/>
      </w:pPr>
      <w:r>
        <w:rPr/>
        <w:t>een plenaire vergadering van de conferentie (zie hoofdstuk III voor meer informatie), waarmee de aanbevelingen van de nationale en Europese burgerpanels kunnen worden besproken, gegroepeerd per thema, met volledige inachtneming van de waarden van de EU en het conferentiehandvest</w:t>
      </w:r>
      <w:r>
        <w:rPr>
          <w:rStyle w:val="Ancredenotedebasdepage"/>
          <w:rStyle w:val="Ancredenotedebasdepage"/>
        </w:rPr>
        <w:footnoteReference w:id="3"/>
      </w:r>
      <w:r>
        <w:rPr/>
        <w:t>, en zonder dat de uitkomst van de debatten vooraf wordt bepaald of de reikwijdte ervan beperkt is tot vooraf bepaalde beleidsterreinen. In voorkomend geval werden ook bijdragen aan het meertalige digitale platform besproken. Er zijn negen thematische werkgroepen opgericht om input te leveren voor de voorbereiding van de debatten en voorstellen van de plenaire vergadering.</w:t>
      </w:r>
    </w:p>
    <w:p>
      <w:pPr>
        <w:pStyle w:val="Alineanegatifpuce"/>
        <w:numPr>
          <w:ilvl w:val="0"/>
          <w:numId w:val="0"/>
        </w:numPr>
        <w:ind w:left="0" w:right="0" w:hanging="0"/>
        <w:rPr/>
      </w:pPr>
      <w:r>
        <w:rPr/>
      </w:r>
      <w:r>
        <w:br w:type="page"/>
      </w:r>
    </w:p>
    <w:p>
      <w:pPr>
        <w:pStyle w:val="Titre2"/>
        <w:numPr>
          <w:ilvl w:val="1"/>
          <w:numId w:val="2"/>
        </w:numPr>
        <w:rPr/>
      </w:pPr>
      <w:bookmarkStart w:id="2" w:name="__RefHeading___Toc298050_1346298689"/>
      <w:bookmarkEnd w:id="2"/>
      <w:r>
        <w:drawing>
          <wp:anchor behindDoc="0" distT="0" distB="0" distL="0" distR="0" simplePos="0" locked="0" layoutInCell="1" allowOverlap="1" relativeHeight="28">
            <wp:simplePos x="0" y="0"/>
            <wp:positionH relativeFrom="column">
              <wp:posOffset>0</wp:posOffset>
            </wp:positionH>
            <wp:positionV relativeFrom="paragraph">
              <wp:posOffset>99695</wp:posOffset>
            </wp:positionV>
            <wp:extent cx="2970530" cy="8561705"/>
            <wp:effectExtent l="0" t="0" r="0" b="0"/>
            <wp:wrapSquare wrapText="largest"/>
            <wp:docPr id="11" name="Afbeelding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Afbeelding4" descr=""/>
                    <pic:cNvPicPr>
                      <a:picLocks noChangeAspect="1" noChangeArrowheads="1"/>
                    </pic:cNvPicPr>
                  </pic:nvPicPr>
                  <pic:blipFill>
                    <a:blip r:embed="rId22"/>
                    <a:stretch>
                      <a:fillRect/>
                    </a:stretch>
                  </pic:blipFill>
                  <pic:spPr bwMode="auto">
                    <a:xfrm>
                      <a:off x="0" y="0"/>
                      <a:ext cx="2970530" cy="8561705"/>
                    </a:xfrm>
                    <a:prstGeom prst="rect">
                      <a:avLst/>
                    </a:prstGeom>
                  </pic:spPr>
                </pic:pic>
              </a:graphicData>
            </a:graphic>
          </wp:anchor>
        </w:drawing>
      </w:r>
      <w:r>
        <w:rPr/>
        <w:t>2</w:t>
      </w:r>
      <w:r>
        <w:rPr/>
        <w:t>. Reglement van orde</w:t>
      </w:r>
    </w:p>
    <w:p>
      <w:pPr>
        <w:pStyle w:val="Normal"/>
        <w:rPr/>
      </w:pPr>
      <w:r>
        <w:rPr/>
        <w:t>Op 9 mei 2021 heeft de raad van bestuur zijn goedkeuring gehecht aan het reglement van orde van de Conferentie, dat is ingesteld overeenkomstig de gezamenlijke verklaring over de conferentie over de toekomst van Europa, waarin de grondslagen en beginselen van de conferentie zijn vastgelegd.</w:t>
      </w:r>
    </w:p>
    <w:p>
      <w:pPr>
        <w:pStyle w:val="Normal"/>
        <w:rPr/>
      </w:pPr>
      <w:r>
        <w:rPr/>
        <w:t>Het reglement van orde stelt het kader vast voor de werkzaamheden van de verschillende conferentiestructuren en hun interacties.</w:t>
      </w:r>
    </w:p>
    <w:p>
      <w:pPr>
        <w:pStyle w:val="Titre2"/>
        <w:numPr>
          <w:ilvl w:val="1"/>
          <w:numId w:val="2"/>
        </w:numPr>
        <w:rPr/>
      </w:pPr>
      <w:bookmarkStart w:id="3" w:name="__RefHeading___Toc298052_1346298689"/>
      <w:bookmarkEnd w:id="3"/>
      <w:r>
        <w:rPr/>
        <w:t>3. Evenementen in verband met de conferentie</w:t>
      </w:r>
    </w:p>
    <w:p>
      <w:pPr>
        <w:pStyle w:val="Corpsdetexte"/>
        <w:rPr/>
      </w:pPr>
      <w:r>
        <w:rPr/>
        <w:t>Volgens de gezamenlijke verklaring kan elke lidstaat of instelling van de EU evenementen organiseren onder auspiciën van de conferentie, afhankelijk van zijn nationale of institutionele specifieke kenmerken, en verdere bijdragen leveren aan de conferentie (zie hoofdstuk II.C voor meer informatie).</w:t>
      </w:r>
    </w:p>
    <w:p>
      <w:pPr>
        <w:pStyle w:val="Corpsdetexte"/>
        <w:rPr/>
      </w:pPr>
      <w:r>
        <w:rPr/>
        <w:t>De EU-instellingen en -organen, de lidstaten, regionale en lokale overheden, het maatschappelijk middenveld, de sociale partners en de burgers werden daarom uitgenodigd om evenementen te organiseren in partnerschap met het maatschappelijk middenveld en belanghebbenden op Europees, nationaal, regionaal en lokaal niveau, in een breed scala aan formaten in heel Europa, en om de resultaten van deze evenementen op het digitale platform te publiceren. Enkele duizenden van dergelijke evenementen vonden plaats, waaraan zo’n 650.000 deelnemers deelnamen.</w:t>
      </w:r>
    </w:p>
    <w:p>
      <w:pPr>
        <w:pStyle w:val="Titre2"/>
        <w:numPr>
          <w:ilvl w:val="1"/>
          <w:numId w:val="2"/>
        </w:numPr>
        <w:rPr/>
      </w:pPr>
      <w:bookmarkStart w:id="4" w:name="__RefHeading___Toc298054_1346298689"/>
      <w:bookmarkEnd w:id="4"/>
      <w:r>
        <w:rPr/>
        <w:t>4.</w:t>
        <w:tab/>
        <w:t>Implementatie van het meertalige digitale platform</w:t>
      </w:r>
    </w:p>
    <w:p>
      <w:pPr>
        <w:pStyle w:val="Normal"/>
        <w:rPr/>
      </w:pPr>
      <w:r>
        <w:rPr/>
        <w:t>Het meertalige digitale platform (zie hoofdstuk II.A voor meer informatie) is opgezet om burgers in staat te stellen hun ideeën te delen en online bijdragen te sturen, in overeenstemming met de gezamenlijke verklaring. Het was de belangrijkste hub voor bijdragen en informatie aan de burgers over de verschillende onderdelen van de conferentie en een interactief instrument om de ideeën en bijdragen van de vele evenementen die in het kader van de conferentie werden georganiseerd, te delen en te bespreken. Het platform werd officieel gelanceerd op 19 april 2021. Meer dan 17.000 ideeën zijn gepubliceerd op het platform.</w:t>
      </w:r>
    </w:p>
    <w:p>
      <w:pPr>
        <w:pStyle w:val="Corpsdetexte"/>
        <w:rPr/>
      </w:pPr>
      <w:r>
        <w:rPr/>
        <w:t>Tijdens de conferentie werden verslagen opgesteld over de bijdragen die op het platform werden gepresenteerd.</w:t>
      </w:r>
    </w:p>
    <w:p>
      <w:pPr>
        <w:pStyle w:val="Normal"/>
        <w:rPr/>
      </w:pPr>
      <w:r>
        <w:rPr/>
        <w:t>De via het platform verzamelde bijdragen zijn door de Europese burgerpanels in aanmerking genomen en tijdens de plenaire vergadering van de Conferentie besproken en besproken.</w:t>
      </w:r>
    </w:p>
    <w:p>
      <w:pPr>
        <w:pStyle w:val="Titre2"/>
        <w:numPr>
          <w:ilvl w:val="1"/>
          <w:numId w:val="2"/>
        </w:numPr>
        <w:rPr/>
      </w:pPr>
      <w:bookmarkStart w:id="5" w:name="__RefHeading___Toc298056_1346298689"/>
      <w:bookmarkEnd w:id="5"/>
      <w:r>
        <w:rPr/>
        <w:t>5.</w:t>
        <w:tab/>
        <w:t>Europese burgerpanels</w:t>
      </w:r>
    </w:p>
    <w:p>
      <w:pPr>
        <w:pStyle w:val="Normal"/>
        <w:rPr/>
      </w:pPr>
      <w:r>
        <w:rPr/>
        <w:t>Overeenkomstig de gezamenlijke verklaring waren de Europese burgerpanels, georganiseerd rond de belangrijkste thema’s van de conferentie, een centraal en bijzonder innovatief element van de conferentie (zie hoofdstuk II.B voor meer informatie).</w:t>
      </w:r>
    </w:p>
    <w:p>
      <w:pPr>
        <w:pStyle w:val="Normal"/>
        <w:rPr/>
      </w:pPr>
      <w:r>
        <w:rPr/>
        <w:t>In totaal zijn 800 willekeurig geselecteerde burgers die de sociologische en geografische diversiteit van de EU vertegenwoordigen, gegroepeerd in vier panels van 200 burgers, bijeengekomen voor drie overlegsessies per panel. De Europese burgerpanels hebben aanbevelingen gedaan die zijn opgenomen in de algemene beraadslagingen van de Conferentie, met name tijdens de plenaire vergaderingen van de Conferentie.</w:t>
      </w:r>
    </w:p>
    <w:p>
      <w:pPr>
        <w:pStyle w:val="Normal"/>
        <w:rPr/>
      </w:pPr>
      <w:r>
        <w:rPr/>
        <w:t>De covoorzitters van de raad van bestuur hebben gezamenlijk de praktische regelingen vastgesteld voor de organisatie van de Europese burgerpanels, overeenkomstig de gezamenlijke verklaring en het reglement van orde, en de raad van bestuur hiervan vooraf in kennis gesteld.</w:t>
      </w:r>
    </w:p>
    <w:p>
      <w:pPr>
        <w:pStyle w:val="Normal"/>
        <w:rPr/>
      </w:pPr>
      <w:r>
        <w:rPr/>
        <w:t>De raad van bestuur is regelmatig op de hoogte gebracht van de vorderingen bij het opzetten en organiseren van Europese burgerpanels.</w:t>
      </w:r>
    </w:p>
    <w:p>
      <w:pPr>
        <w:pStyle w:val="Normal"/>
        <w:rPr/>
      </w:pPr>
      <w:r>
        <w:rPr/>
      </w:r>
    </w:p>
    <w:p>
      <w:pPr>
        <w:pStyle w:val="Titre2"/>
        <w:numPr>
          <w:ilvl w:val="1"/>
          <w:numId w:val="2"/>
        </w:numPr>
        <w:rPr/>
      </w:pPr>
      <w:bookmarkStart w:id="6" w:name="__RefHeading___Toc298058_1346298689"/>
      <w:bookmarkEnd w:id="6"/>
      <w:r>
        <w:rPr/>
        <w:t>6.</w:t>
        <w:tab/>
        <w:t>Nationale burgerpanels</w:t>
      </w:r>
    </w:p>
    <w:p>
      <w:pPr>
        <w:pStyle w:val="Normal"/>
        <w:rPr/>
      </w:pPr>
      <w:r>
        <w:rPr/>
        <w:t>Volgens de gezamenlijke verklaring zouden de lidstaten nationale panels kunnen organiseren. Ter ondersteuning van de lidstaten die van plan zijn nationale burgerpanels te organiseren, zijn richtsnoeren door de covoorzitters goedgekeurd en op 26 mei 2021 aan de raad van bestuur toegezonden om ervoor te zorgen dat de nationale panels worden georganiseerd volgens dezelfde beginselen als de Europese burgerpanels. Deze richtsnoeren omvatten beginselen van goed overleg, gebaseerd op de OESO-richtsnoeren</w:t>
      </w:r>
      <w:r>
        <w:rPr>
          <w:rStyle w:val="Ancredenotedebasdepage"/>
          <w:rStyle w:val="Ancredenotedebasdepage"/>
        </w:rPr>
        <w:footnoteReference w:id="4"/>
      </w:r>
      <w:r>
        <w:rPr/>
        <w:t>. Elke lidstaat kan beslissen of hij al dan niet een panel van nationale burgers wil organiseren. In totaal hebben zes lidstaten er één georganiseerd (België, Frankrijk, Duitsland, Italië, Litouwen en Nederland).</w:t>
      </w:r>
    </w:p>
    <w:p>
      <w:pPr>
        <w:pStyle w:val="Normal"/>
        <w:rPr/>
      </w:pPr>
      <w:r>
        <w:rPr/>
        <w:t>In overeenstemming met de gezamenlijke verklaring werden de aanbevelingen van de nationale burgerpanels gepresenteerd en besproken tijdens de plenaire vergaderingen van de Conferentie, samen met de aanbevelingen van de Europese burgerpanels.</w:t>
      </w:r>
    </w:p>
    <w:p>
      <w:pPr>
        <w:pStyle w:val="Normal"/>
        <w:rPr/>
      </w:pPr>
      <w:r>
        <w:rPr/>
      </w:r>
      <w:r>
        <w:br w:type="page"/>
      </w:r>
    </w:p>
    <w:p>
      <w:pPr>
        <w:pStyle w:val="Normal"/>
        <w:rPr/>
      </w:pPr>
      <w:r>
        <w:rPr/>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Titre1"/>
        <w:numPr>
          <w:ilvl w:val="0"/>
          <w:numId w:val="2"/>
        </w:numPr>
        <w:rPr/>
      </w:pPr>
      <w:bookmarkStart w:id="7" w:name="__RefHeading___Toc298188_1346298689"/>
      <w:bookmarkEnd w:id="7"/>
      <w:r>
        <w:rPr/>
        <w:t>NEE, NEE, NEE, NEE. Bijdragen van de burgers aan de conferentie</w:t>
      </w:r>
    </w:p>
    <w:p>
      <w:pPr>
        <w:pStyle w:val="Normal"/>
        <w:rPr/>
      </w:pPr>
      <w:r>
        <w:rPr/>
      </w:r>
      <w:r>
        <w:br w:type="page"/>
      </w:r>
    </w:p>
    <w:p>
      <w:pPr>
        <w:pStyle w:val="Titre2"/>
        <w:numPr>
          <w:ilvl w:val="1"/>
          <w:numId w:val="2"/>
        </w:numPr>
        <w:rPr/>
      </w:pPr>
      <w:bookmarkStart w:id="8" w:name="__RefHeading___Toc298190_1346298689"/>
      <w:bookmarkEnd w:id="8"/>
      <w:r>
        <w:rPr/>
        <w:t>A. Meertalig digitaal platform</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Het meertalige digitale platform werd gelanceerd op 19 april 2021 en was het centrale aanspreekpunt van de conferentie. Hierdoor kon iedereen deelnemen aan de conferentie: alle burgers in de EU en elders, het maatschappelijk middenveld, de sociale partners en diverse andere belanghebbenden.</w:t>
      </w:r>
    </w:p>
    <w:p>
      <w:pPr>
        <w:pStyle w:val="Normal"/>
        <w:rPr/>
      </w:pPr>
      <w:r>
        <w:rPr/>
        <w:t>Het platform is speciaal ontwikkeld voor de conferentie, met behulp van Decidim, een Europese vrije software die is gewijd aan de participatie van burgers, op een zodanige schaal en niveau van interactiviteit en meertaligheid. Deze prestatie was een eerste, niet alleen Europese maar ook mondiale. Alle bijdragen waren beschikbaar in alle 24 officiële EU-talen via machinevertaling. Het debat was opgebouwd rond tien thema’s: „Klimaatverandering en milieu”, „Gezondheid”, „Een sterkere economie, sociale rechtvaardigheid en werkgelegenheid”, „De EU in de wereld”, „Waarheden en rechten, de rechtsstaat, veiligheid”, „digitale transformatie”, „Europese democratie”, „Migratie”, „Onderwijs, cultuur, jeugd en sport” en „Andere ideeën”.</w:t>
      </w:r>
    </w:p>
    <w:p>
      <w:pPr>
        <w:pStyle w:val="Normal"/>
        <w:rPr/>
      </w:pPr>
      <w:r>
        <w:rPr/>
        <w:t>Het was mogelijk om op verschillende manieren deel te nemen aan het platform.</w:t>
      </w:r>
    </w:p>
    <w:p>
      <w:pPr>
        <w:pStyle w:val="Normal"/>
        <w:rPr/>
      </w:pPr>
      <w:r>
        <w:rPr/>
        <w:t>Iedereen die het wilde, kon zijn ideeën delen over een van de tien thema’s. Het was ook mogelijk om commentaar te geven op de ideeën van anderen. Het platform heeft dus een echt pan-Europees debat tussen de burgers mogelijk gemaakt.</w:t>
      </w:r>
    </w:p>
    <w:p>
      <w:pPr>
        <w:pStyle w:val="Normal"/>
        <w:rPr/>
      </w:pPr>
      <w:r>
        <w:rPr/>
        <w:t>Deelnemers kunnen ook ideeën onderschrijven, wat aangeeft dat ze input van een andere gebruiker ondersteunen.</w:t>
      </w:r>
    </w:p>
    <w:p>
      <w:pPr>
        <w:pStyle w:val="Normal"/>
        <w:rPr/>
      </w:pPr>
      <w:r>
        <w:rPr/>
        <w:t>Een andere belangrijke manier om bij te dragen aan de conferentie was om evenementen te organiseren (virtueel, face-to-face of hybride), ze aan te kondigen op het platform, verslag uit te brengen over hun resultaten en ze te koppelen aan ideeën. Er werden</w:t>
      </w:r>
      <w:hyperlink r:id="rId23">
        <w:r>
          <w:rPr>
            <w:rStyle w:val="LienInternet"/>
          </w:rPr>
          <w:t>gidsen</w:t>
        </w:r>
      </w:hyperlink>
      <w:r>
        <w:rPr/>
        <w:t xml:space="preserve"> en </w:t>
      </w:r>
      <w:hyperlink r:id="rId24">
        <w:r>
          <w:rPr>
            <w:rStyle w:val="LienInternet"/>
          </w:rPr>
          <w:t>informatiemateriaal</w:t>
        </w:r>
      </w:hyperlink>
      <w:r>
        <w:rPr/>
        <w:t xml:space="preserve"> ter beschikking gesteld van de organisatoren op het platform om het participatieve en inclusieve karakter van evenementen te bevorderen.</w:t>
      </w:r>
    </w:p>
    <w:p>
      <w:pPr>
        <w:pStyle w:val="Normal"/>
        <w:rPr/>
      </w:pPr>
      <w:r>
        <w:rPr/>
        <w:t xml:space="preserve">Het platform heeft een fundamentele rol gespeeld in de transparantie van het hele proces en met betrekking tot de toegang van iedereen tot informatie met betrekking tot de conferentie. Hier kon iedereen informatie vinden over de werkwijze en organisatie van de conferentie zelf, bijvoorbeeld over het conferentieproces zelf (de plenaire vergadering van de conferentie en zijn werkgroepen, </w:t>
      </w:r>
      <w:hyperlink r:id="rId25">
        <w:r>
          <w:rPr>
            <w:rStyle w:val="LienInternet"/>
          </w:rPr>
          <w:t>Europese burgerpanels, nationale panels en evenementen en</w:t>
        </w:r>
      </w:hyperlink>
      <w:r>
        <w:rPr/>
        <w:t xml:space="preserve"> de </w:t>
      </w:r>
      <w:hyperlink r:id="rId26">
        <w:r>
          <w:rPr>
            <w:rStyle w:val="LienInternet"/>
          </w:rPr>
          <w:t>raad van bestuur</w:t>
        </w:r>
      </w:hyperlink>
      <w:r>
        <w:rPr/>
        <w:t>). De debatten van de plenaire vergadering en zijn werkgroepen werden live uitgezonden op internet, net als de vergaderingen van de Europese burgerpanels. Al deze informatie blijft beschikbaar op het platform.</w:t>
      </w:r>
    </w:p>
    <w:p>
      <w:pPr>
        <w:pStyle w:val="Normal"/>
        <w:rPr/>
      </w:pPr>
      <w:r>
        <w:rPr/>
        <w:t>Tijdens het werk werden waar mogelijk verbeteringen aangebracht aan het platform, door bijvoorbeeld functies of visuele media toe te voegen. In de loop van de tijd is het platform ook toegankelijker gemaakt voor mensen met een handicap.</w:t>
      </w:r>
    </w:p>
    <w:p>
      <w:pPr>
        <w:pStyle w:val="Normal"/>
        <w:rPr/>
      </w:pPr>
      <w:r>
        <w:rPr/>
        <w:t>Alle bijdragen op het platform waren openbaar: iedereen kon er toegang toe krijgen, evenals open databestanden gekoppeld aan het digitale platform, wat volledige transparantie garandeert. Om het verzamelen en analyseren van bijdragen te vergemakkelijken, had het Gemeenschappelijk Centrum voor onderzoek van de Commissie een geautomatiseerd instrument voor tekstanalyse en een analyseplatform ontwikkeld dat meertalige interpretatie en diepgaande analyse van de inhoud van het platform mogelijk maakte. Het analyseplatform is een instrument dat essentieel is gebleken voor het verstrekken van regelmatige verslagen van een uniform kwaliteitsniveau in alle talen. Daarnaast heeft een in maart 2022 door de Europese Commissie georganiseerde „datathon” nieuwe benaderingen bij de analyse van de open datareeksen aangemoedigd en bijgedragen tot de transparantie van het gegevensanalyseproces.</w:t>
      </w:r>
    </w:p>
    <w:p>
      <w:pPr>
        <w:pStyle w:val="Normal"/>
        <w:rPr/>
      </w:pPr>
      <w:r>
        <w:rPr/>
        <w:t>Om een overzicht te geven van de bijdragen op het platform, heeft een externe dienstverlener rapporten opgesteld, die op het platform zelf zijn gepubliceerd.</w:t>
      </w:r>
    </w:p>
    <w:p>
      <w:pPr>
        <w:pStyle w:val="Normal"/>
        <w:rPr/>
      </w:pPr>
      <w:r>
        <w:rPr/>
        <w:t xml:space="preserve">In september werd een </w:t>
      </w:r>
      <w:hyperlink r:id="rId27">
        <w:r>
          <w:rPr>
            <w:rStyle w:val="LienInternet"/>
          </w:rPr>
          <w:t>eerste tussentijds verslag</w:t>
        </w:r>
      </w:hyperlink>
      <w:r>
        <w:rPr/>
        <w:t xml:space="preserve"> gepubliceerd: het concentreerde zich op bijdragen</w:t>
      </w:r>
    </w:p>
    <w:p>
      <w:pPr>
        <w:pStyle w:val="Normal"/>
        <w:rPr/>
      </w:pPr>
      <w:r>
        <w:rPr/>
        <w:t xml:space="preserve">geleverd tot 2 augustus 2021. Het </w:t>
      </w:r>
      <w:hyperlink r:id="rId28">
        <w:r>
          <w:rPr>
            <w:rStyle w:val="LienInternet"/>
          </w:rPr>
          <w:t>tweede tussentijds verslag</w:t>
        </w:r>
      </w:hyperlink>
      <w:r>
        <w:rPr/>
        <w:t xml:space="preserve">werd medio oktober 2021 gepubliceerd, met betrekking tot de tot en met 7 september 2021 ingediende bijdragen. Het </w:t>
      </w:r>
      <w:hyperlink r:id="rId29">
        <w:r>
          <w:rPr>
            <w:rStyle w:val="LienInternet"/>
          </w:rPr>
          <w:t>derde tussentijds verslag</w:t>
        </w:r>
      </w:hyperlink>
      <w:r>
        <w:rPr/>
        <w:t xml:space="preserve"> werd in december 2021 gepubliceerd en had betrekking op bijdragen tot 3 november 2021. Aangezien de werkzaamheden aan de conferentie de laatste fase ingaan, werd het laatste verslag ter inspiratie voor de werkzaamheden van de plenaire vergaderingen van de conferentie medio maart 2022 gepubliceerd, rekening houdend met de bijdragen die tot en met 20 februari 2022 op het digitale platform werden gepresenteerd. Deze kalender werd duidelijk aangekondigd op het platform en elders, wat resulteerde in een verhoging van de bijdragen in januari en februari 2022. Bijdragen die tot 9 mei zijn ontvangen, zullen in het aanvullende verslag worden behandeld. Aanvullende verslagen over de bijdragen die de lidstaten op het platform hebben ingediend, zijn ook beschikbaar gesteld op hetzelfde moment als de verslagen van september en december 2021 en maart 2022.</w:t>
      </w:r>
    </w:p>
    <w:p>
      <w:pPr>
        <w:pStyle w:val="Normal"/>
        <w:rPr/>
      </w:pPr>
      <w:r>
        <w:rPr/>
        <w:t xml:space="preserve">De belangrijkste focus van deze verslagen lag op een kwalitatieve analyse van de bijdragen die op het platform werden gepubliceerd, om een algemeen overzicht te geven van de reikwijdte en diversiteit </w:t>
      </w:r>
      <w:r>
        <w:drawing>
          <wp:anchor behindDoc="0" distT="0" distB="0" distL="0" distR="0" simplePos="0" locked="0" layoutInCell="1" allowOverlap="1" relativeHeight="19">
            <wp:simplePos x="0" y="0"/>
            <wp:positionH relativeFrom="column">
              <wp:posOffset>60325</wp:posOffset>
            </wp:positionH>
            <wp:positionV relativeFrom="paragraph">
              <wp:posOffset>1607820</wp:posOffset>
            </wp:positionV>
            <wp:extent cx="5779135" cy="3321685"/>
            <wp:effectExtent l="0" t="0" r="0" b="0"/>
            <wp:wrapTopAndBottom/>
            <wp:docPr id="12" name="Afbeelding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Afbeelding5" descr=""/>
                    <pic:cNvPicPr>
                      <a:picLocks noChangeAspect="1" noChangeArrowheads="1"/>
                    </pic:cNvPicPr>
                  </pic:nvPicPr>
                  <pic:blipFill>
                    <a:blip r:embed="rId30"/>
                    <a:stretch>
                      <a:fillRect/>
                    </a:stretch>
                  </pic:blipFill>
                  <pic:spPr bwMode="auto">
                    <a:xfrm>
                      <a:off x="0" y="0"/>
                      <a:ext cx="5779135" cy="3321685"/>
                    </a:xfrm>
                    <a:prstGeom prst="rect">
                      <a:avLst/>
                    </a:prstGeom>
                  </pic:spPr>
                </pic:pic>
              </a:graphicData>
            </a:graphic>
          </wp:anchor>
        </w:drawing>
      </w:r>
      <w:r>
        <w:rPr/>
        <w:t>v</w:t>
      </w:r>
      <w:r>
        <w:rPr/>
        <w:t>an ideeën die op het platform werden voorgesteld en tijdens de evenementen werden besproken. Daartoe werd een handmatige tekstuele analyse en een bundeling van bijdragen uitgevoerd door een onderzoeksteam, waarbij gebruik werd gemaakt van analytische instrumenten van het Gemeenschappelijk Centrum voor onderzoek van de Commissie. Dit maakte het mogelijk om gemeenschappelijke onderwerpen en subcategorieën van onderwerp te identificeren, die in detail werden beschreven onder elk thema en gesynthetiseerd in conceptuele schema’s waarmee ze snel kunnen worden gevisualiseerd. Om deze kwalitatieve aanpak aan te vullen met kwantitatieve elementen, werden thema’s, subthema’s of ideeën die vaak terugkwamen of die sterk werden becommentarieerd of ondersteund, in elk van de verslagen genoemd. Het doel was om de stand van de besprekingen in verschillende stadia van de conferentie weer te geven, met inbegrip van de hoge mate van belangstelling of debat gegenereerd door bepaalde ideeën. De verslagen gaven ook een overzicht van de sociaaldemografische gegevens van de deelnemers. Aan contribuanten werd gevraagd informatie te verstrekken over hun land van verblijf, opleidingsniveau, leeftijd, geslacht en beroepsstatus; het facultatieve karakter van deze informatie beperkt echter de duidelijkheid die kan worden getrokken met betrekking tot het profiel van de deelnemers. Zo was 26,9 % van alle bijdragen afkomstig van deelnemers die hun land van verblijf niet vermeldden.</w:t>
      </w:r>
    </w:p>
    <w:p>
      <w:pPr>
        <w:pStyle w:val="Normal"/>
        <w:rPr/>
      </w:pPr>
      <w:r>
        <w:rPr/>
      </w:r>
      <w:r>
        <w:br w:type="page"/>
      </w:r>
    </w:p>
    <w:p>
      <w:pPr>
        <w:pStyle w:val="Normal"/>
        <w:rPr/>
      </w:pPr>
      <w:r>
        <w:rPr/>
        <w:t>Sinds de lancering van het platform is het thema „Europese democratie” het thema waarvoor het grootste aantal bijdragen (ideeën, opmerkingen en gebeurtenissen) is vastgelegd. Ten tweede kwam het thema „Klimaatverandering en milieu”. De bijdragen in het kader van „Andere ideeën” kwamen op de derde plaats, voorafgaand aan „Waarde en rechten, rechtsstaat, veiligheid” en „Een sterkere economie, sociale rechtvaardigheid en werkgelegenheid”.</w:t>
      </w:r>
    </w:p>
    <w:p>
      <w:pPr>
        <w:pStyle w:val="Normal"/>
        <w:rPr/>
      </w:pPr>
      <w:r>
        <w:rPr/>
        <w:t>De verslagen over de bijdragen die op het platform zijn verzameld, met inbegrip van conceptuele regelingen, hebben een waardevolle bijdrage geleverd aan de werkzaamheden van de Europese burgerpanels. Aan het begin van elk van de drie panelsessies werden de belangrijkste bevindingen van het rapport en de conceptuele schema’s gepresenteerd aan de panels, die links naar de volledige rapporten ontvingen. Dit is hoeveel ideeën op het platform zijn verschenen in de aanbevelingen van de Europese burgerpanels.</w:t>
      </w:r>
    </w:p>
    <w:p>
      <w:pPr>
        <w:pStyle w:val="Normal"/>
        <w:spacing w:before="2802" w:after="57"/>
        <w:rPr/>
      </w:pPr>
      <w:r>
        <mc:AlternateContent>
          <mc:Choice Requires="wps">
            <w:drawing>
              <wp:anchor behindDoc="0" distT="72390" distB="72390" distL="72390" distR="72390" simplePos="0" locked="0" layoutInCell="1" allowOverlap="1" relativeHeight="27">
                <wp:simplePos x="0" y="0"/>
                <wp:positionH relativeFrom="column">
                  <wp:posOffset>22860</wp:posOffset>
                </wp:positionH>
                <wp:positionV relativeFrom="paragraph">
                  <wp:posOffset>2617470</wp:posOffset>
                </wp:positionV>
                <wp:extent cx="6036310" cy="1779905"/>
                <wp:effectExtent l="0" t="0" r="0" b="0"/>
                <wp:wrapSquare wrapText="bothSides"/>
                <wp:docPr id="13" name="Kader2"/>
                <a:graphic xmlns:a="http://schemas.openxmlformats.org/drawingml/2006/main">
                  <a:graphicData uri="http://schemas.microsoft.com/office/word/2010/wordprocessingShape">
                    <wps:wsp>
                      <wps:cNvSpPr/>
                      <wps:spPr>
                        <a:xfrm>
                          <a:off x="0" y="0"/>
                          <a:ext cx="6035760" cy="1779120"/>
                        </a:xfrm>
                        <a:prstGeom prst="rect">
                          <a:avLst/>
                        </a:prstGeom>
                        <a:solidFill>
                          <a:srgbClr val="ffffff"/>
                        </a:solidFill>
                        <a:ln w="720">
                          <a:solidFill>
                            <a:srgbClr val="000000"/>
                          </a:solidFill>
                          <a:round/>
                        </a:ln>
                      </wps:spPr>
                      <wps:style>
                        <a:lnRef idx="0"/>
                        <a:fillRef idx="0"/>
                        <a:effectRef idx="0"/>
                        <a:fontRef idx="minor"/>
                      </wps:style>
                      <wps:txbx>
                        <w:txbxContent>
                          <w:tbl>
                            <w:tblPr>
                              <w:tblW w:w="9333" w:type="dxa"/>
                              <w:jc w:val="left"/>
                              <w:tblInd w:w="0" w:type="dxa"/>
                              <w:tblBorders/>
                              <w:tblCellMar>
                                <w:top w:w="0" w:type="dxa"/>
                                <w:left w:w="0" w:type="dxa"/>
                                <w:bottom w:w="0" w:type="dxa"/>
                                <w:right w:w="0" w:type="dxa"/>
                              </w:tblCellMar>
                            </w:tblPr>
                            <w:tblGrid>
                              <w:gridCol w:w="3111"/>
                              <w:gridCol w:w="3111"/>
                              <w:gridCol w:w="3111"/>
                            </w:tblGrid>
                            <w:tr>
                              <w:trPr/>
                              <w:tc>
                                <w:tcPr>
                                  <w:tcW w:w="9333" w:type="dxa"/>
                                  <w:gridSpan w:val="3"/>
                                  <w:tcBorders/>
                                  <w:shd w:fill="auto" w:val="clear"/>
                                </w:tcPr>
                                <w:p>
                                  <w:pPr>
                                    <w:pStyle w:val="Contenudetableau"/>
                                    <w:spacing w:before="57" w:after="57"/>
                                    <w:jc w:val="center"/>
                                    <w:rPr/>
                                  </w:pPr>
                                  <w:r>
                                    <w:rPr/>
                                    <w:t>Wat gebeurt er tijdens de conferentie over de toekomst van Europa?</w:t>
                                  </w:r>
                                </w:p>
                              </w:tc>
                            </w:tr>
                            <w:tr>
                              <w:trPr/>
                              <w:tc>
                                <w:tcPr>
                                  <w:tcW w:w="3111" w:type="dxa"/>
                                  <w:tcBorders/>
                                  <w:shd w:fill="auto" w:val="clear"/>
                                </w:tcPr>
                                <w:p>
                                  <w:pPr>
                                    <w:pStyle w:val="P68B1DB1Contenudetableau8"/>
                                    <w:spacing w:before="57" w:after="57"/>
                                    <w:jc w:val="center"/>
                                    <w:rPr>
                                      <w:sz w:val="32"/>
                                    </w:rPr>
                                  </w:pPr>
                                  <w:r>
                                    <w:rPr/>
                                    <w:t xml:space="preserve">52 346 </w:t>
                                  </w:r>
                                </w:p>
                                <w:p>
                                  <w:pPr>
                                    <w:pStyle w:val="Contenudetableau"/>
                                    <w:spacing w:before="57" w:after="57"/>
                                    <w:jc w:val="center"/>
                                    <w:rPr/>
                                  </w:pPr>
                                  <w:r>
                                    <w:rPr/>
                                    <w:t>deelnemers aan de conferentie</w:t>
                                  </w:r>
                                </w:p>
                              </w:tc>
                              <w:tc>
                                <w:tcPr>
                                  <w:tcW w:w="3111" w:type="dxa"/>
                                  <w:tcBorders/>
                                  <w:shd w:fill="auto" w:val="clear"/>
                                </w:tcPr>
                                <w:p>
                                  <w:pPr>
                                    <w:pStyle w:val="P68B1DB1Contenudetableau8"/>
                                    <w:spacing w:before="57" w:after="57"/>
                                    <w:jc w:val="center"/>
                                    <w:rPr>
                                      <w:sz w:val="32"/>
                                    </w:rPr>
                                  </w:pPr>
                                  <w:r>
                                    <w:rPr/>
                                    <w:t xml:space="preserve">652 532 </w:t>
                                  </w:r>
                                </w:p>
                                <w:p>
                                  <w:pPr>
                                    <w:pStyle w:val="Contenudetableau"/>
                                    <w:spacing w:before="57" w:after="57"/>
                                    <w:jc w:val="center"/>
                                    <w:rPr/>
                                  </w:pPr>
                                  <w:r>
                                    <w:rPr/>
                                    <w:t>deelnemers aan het evenement</w:t>
                                  </w:r>
                                </w:p>
                              </w:tc>
                              <w:tc>
                                <w:tcPr>
                                  <w:tcW w:w="3111" w:type="dxa"/>
                                  <w:tcBorders/>
                                  <w:shd w:fill="auto" w:val="clear"/>
                                </w:tcPr>
                                <w:p>
                                  <w:pPr>
                                    <w:pStyle w:val="P68B1DB1Contenudetableau8"/>
                                    <w:spacing w:before="57" w:after="57"/>
                                    <w:jc w:val="center"/>
                                    <w:rPr>
                                      <w:sz w:val="32"/>
                                    </w:rPr>
                                  </w:pPr>
                                  <w:r>
                                    <w:rPr/>
                                    <w:t xml:space="preserve">17671 </w:t>
                                  </w:r>
                                </w:p>
                                <w:p>
                                  <w:pPr>
                                    <w:pStyle w:val="Contenudetableau"/>
                                    <w:spacing w:before="57" w:after="57"/>
                                    <w:jc w:val="center"/>
                                    <w:rPr/>
                                  </w:pPr>
                                  <w:r>
                                    <w:rPr/>
                                    <w:t>ideeën</w:t>
                                  </w:r>
                                </w:p>
                              </w:tc>
                            </w:tr>
                            <w:tr>
                              <w:trPr/>
                              <w:tc>
                                <w:tcPr>
                                  <w:tcW w:w="3111" w:type="dxa"/>
                                  <w:tcBorders/>
                                  <w:shd w:fill="auto" w:val="clear"/>
                                </w:tcPr>
                                <w:p>
                                  <w:pPr>
                                    <w:pStyle w:val="Contenudetableau"/>
                                    <w:spacing w:before="57" w:after="57"/>
                                    <w:jc w:val="center"/>
                                    <w:rPr/>
                                  </w:pPr>
                                  <w:r>
                                    <w:rPr>
                                      <w:sz w:val="32"/>
                                    </w:rPr>
                                    <w:t>21877</w:t>
                                  </w:r>
                                  <w:r>
                                    <w:rPr/>
                                    <w:t xml:space="preserve"> </w:t>
                                  </w:r>
                                </w:p>
                                <w:p>
                                  <w:pPr>
                                    <w:pStyle w:val="Contenudetableau"/>
                                    <w:spacing w:before="57" w:after="57"/>
                                    <w:jc w:val="center"/>
                                    <w:rPr/>
                                  </w:pPr>
                                  <w:r>
                                    <w:rPr/>
                                    <w:t>reacties</w:t>
                                  </w:r>
                                </w:p>
                              </w:tc>
                              <w:tc>
                                <w:tcPr>
                                  <w:tcW w:w="3111" w:type="dxa"/>
                                  <w:tcBorders/>
                                  <w:shd w:fill="auto" w:val="clear"/>
                                </w:tcPr>
                                <w:p>
                                  <w:pPr>
                                    <w:pStyle w:val="P68B1DB1Contenudetableau8"/>
                                    <w:spacing w:before="57" w:after="57"/>
                                    <w:jc w:val="center"/>
                                    <w:rPr>
                                      <w:sz w:val="32"/>
                                    </w:rPr>
                                  </w:pPr>
                                  <w:r>
                                    <w:rPr/>
                                    <w:t xml:space="preserve">6465 </w:t>
                                  </w:r>
                                </w:p>
                                <w:p>
                                  <w:pPr>
                                    <w:pStyle w:val="Contenudetableau"/>
                                    <w:spacing w:before="57" w:after="57"/>
                                    <w:jc w:val="center"/>
                                    <w:rPr/>
                                  </w:pPr>
                                  <w:r>
                                    <w:rPr/>
                                    <w:t>evenementen</w:t>
                                  </w:r>
                                </w:p>
                              </w:tc>
                              <w:tc>
                                <w:tcPr>
                                  <w:tcW w:w="3111" w:type="dxa"/>
                                  <w:tcBorders/>
                                  <w:shd w:fill="auto" w:val="clear"/>
                                </w:tcPr>
                                <w:p>
                                  <w:pPr>
                                    <w:pStyle w:val="P68B1DB1Contenudetableau8"/>
                                    <w:spacing w:before="57" w:after="57"/>
                                    <w:jc w:val="center"/>
                                    <w:rPr>
                                      <w:sz w:val="32"/>
                                    </w:rPr>
                                  </w:pPr>
                                  <w:r>
                                    <w:rPr/>
                                    <w:t xml:space="preserve">72528 </w:t>
                                  </w:r>
                                </w:p>
                                <w:p>
                                  <w:pPr>
                                    <w:pStyle w:val="Contenudetableau"/>
                                    <w:spacing w:before="57" w:after="57"/>
                                    <w:jc w:val="center"/>
                                    <w:rPr/>
                                  </w:pPr>
                                  <w:r>
                                    <w:rPr/>
                                    <w:t>goedkeuringen</w:t>
                                  </w:r>
                                </w:p>
                              </w:tc>
                            </w:tr>
                          </w:tbl>
                          <w:p>
                            <w:pPr>
                              <w:pStyle w:val="Contenudecadre"/>
                              <w:spacing w:before="57" w:after="57"/>
                              <w:rPr/>
                            </w:pPr>
                            <w:r>
                              <w:rPr>
                                <w:color w:val="auto"/>
                              </w:rPr>
                              <w:t xml:space="preserve">Stand van de deelname per 20 april 2022 (bron: </w:t>
                            </w:r>
                            <w:hyperlink r:id="rId31">
                              <w:r>
                                <w:rPr>
                                  <w:rStyle w:val="LienInternet"/>
                                  <w:color w:val="auto"/>
                                </w:rPr>
                                <w:t>Conferentie over de toekomst van Europa (europa.eu</w:t>
                              </w:r>
                            </w:hyperlink>
                            <w:r>
                              <w:rPr>
                                <w:color w:val="auto"/>
                              </w:rPr>
                              <w:t>)</w:t>
                            </w:r>
                          </w:p>
                        </w:txbxContent>
                      </wps:txbx>
                      <wps:bodyPr lIns="54000" rIns="54000" tIns="54000" bIns="54000">
                        <a:noAutofit/>
                      </wps:bodyPr>
                    </wps:wsp>
                  </a:graphicData>
                </a:graphic>
              </wp:anchor>
            </w:drawing>
          </mc:Choice>
          <mc:Fallback>
            <w:pict>
              <v:rect id="shape_0" ID="Kader2" fillcolor="white" stroked="t" style="position:absolute;margin-left:1.8pt;margin-top:206.1pt;width:475.2pt;height:140.05pt">
                <w10:wrap type="square"/>
                <v:fill o:detectmouseclick="t" type="solid" color2="black"/>
                <v:stroke color="black" weight="720" joinstyle="round" endcap="flat"/>
                <v:textbox>
                  <w:txbxContent>
                    <w:tbl>
                      <w:tblPr>
                        <w:tblW w:w="9333" w:type="dxa"/>
                        <w:jc w:val="left"/>
                        <w:tblInd w:w="0" w:type="dxa"/>
                        <w:tblBorders/>
                        <w:tblCellMar>
                          <w:top w:w="0" w:type="dxa"/>
                          <w:left w:w="0" w:type="dxa"/>
                          <w:bottom w:w="0" w:type="dxa"/>
                          <w:right w:w="0" w:type="dxa"/>
                        </w:tblCellMar>
                      </w:tblPr>
                      <w:tblGrid>
                        <w:gridCol w:w="3111"/>
                        <w:gridCol w:w="3111"/>
                        <w:gridCol w:w="3111"/>
                      </w:tblGrid>
                      <w:tr>
                        <w:trPr/>
                        <w:tc>
                          <w:tcPr>
                            <w:tcW w:w="9333" w:type="dxa"/>
                            <w:gridSpan w:val="3"/>
                            <w:tcBorders/>
                            <w:shd w:fill="auto" w:val="clear"/>
                          </w:tcPr>
                          <w:p>
                            <w:pPr>
                              <w:pStyle w:val="Contenudetableau"/>
                              <w:spacing w:before="57" w:after="57"/>
                              <w:jc w:val="center"/>
                              <w:rPr/>
                            </w:pPr>
                            <w:r>
                              <w:rPr/>
                              <w:t>Wat gebeurt er tijdens de conferentie over de toekomst van Europa?</w:t>
                            </w:r>
                          </w:p>
                        </w:tc>
                      </w:tr>
                      <w:tr>
                        <w:trPr/>
                        <w:tc>
                          <w:tcPr>
                            <w:tcW w:w="3111" w:type="dxa"/>
                            <w:tcBorders/>
                            <w:shd w:fill="auto" w:val="clear"/>
                          </w:tcPr>
                          <w:p>
                            <w:pPr>
                              <w:pStyle w:val="P68B1DB1Contenudetableau8"/>
                              <w:spacing w:before="57" w:after="57"/>
                              <w:jc w:val="center"/>
                              <w:rPr>
                                <w:sz w:val="32"/>
                              </w:rPr>
                            </w:pPr>
                            <w:r>
                              <w:rPr/>
                              <w:t xml:space="preserve">52 346 </w:t>
                            </w:r>
                          </w:p>
                          <w:p>
                            <w:pPr>
                              <w:pStyle w:val="Contenudetableau"/>
                              <w:spacing w:before="57" w:after="57"/>
                              <w:jc w:val="center"/>
                              <w:rPr/>
                            </w:pPr>
                            <w:r>
                              <w:rPr/>
                              <w:t>deelnemers aan de conferentie</w:t>
                            </w:r>
                          </w:p>
                        </w:tc>
                        <w:tc>
                          <w:tcPr>
                            <w:tcW w:w="3111" w:type="dxa"/>
                            <w:tcBorders/>
                            <w:shd w:fill="auto" w:val="clear"/>
                          </w:tcPr>
                          <w:p>
                            <w:pPr>
                              <w:pStyle w:val="P68B1DB1Contenudetableau8"/>
                              <w:spacing w:before="57" w:after="57"/>
                              <w:jc w:val="center"/>
                              <w:rPr>
                                <w:sz w:val="32"/>
                              </w:rPr>
                            </w:pPr>
                            <w:r>
                              <w:rPr/>
                              <w:t xml:space="preserve">652 532 </w:t>
                            </w:r>
                          </w:p>
                          <w:p>
                            <w:pPr>
                              <w:pStyle w:val="Contenudetableau"/>
                              <w:spacing w:before="57" w:after="57"/>
                              <w:jc w:val="center"/>
                              <w:rPr/>
                            </w:pPr>
                            <w:r>
                              <w:rPr/>
                              <w:t>deelnemers aan het evenement</w:t>
                            </w:r>
                          </w:p>
                        </w:tc>
                        <w:tc>
                          <w:tcPr>
                            <w:tcW w:w="3111" w:type="dxa"/>
                            <w:tcBorders/>
                            <w:shd w:fill="auto" w:val="clear"/>
                          </w:tcPr>
                          <w:p>
                            <w:pPr>
                              <w:pStyle w:val="P68B1DB1Contenudetableau8"/>
                              <w:spacing w:before="57" w:after="57"/>
                              <w:jc w:val="center"/>
                              <w:rPr>
                                <w:sz w:val="32"/>
                              </w:rPr>
                            </w:pPr>
                            <w:r>
                              <w:rPr/>
                              <w:t xml:space="preserve">17671 </w:t>
                            </w:r>
                          </w:p>
                          <w:p>
                            <w:pPr>
                              <w:pStyle w:val="Contenudetableau"/>
                              <w:spacing w:before="57" w:after="57"/>
                              <w:jc w:val="center"/>
                              <w:rPr/>
                            </w:pPr>
                            <w:r>
                              <w:rPr/>
                              <w:t>ideeën</w:t>
                            </w:r>
                          </w:p>
                        </w:tc>
                      </w:tr>
                      <w:tr>
                        <w:trPr/>
                        <w:tc>
                          <w:tcPr>
                            <w:tcW w:w="3111" w:type="dxa"/>
                            <w:tcBorders/>
                            <w:shd w:fill="auto" w:val="clear"/>
                          </w:tcPr>
                          <w:p>
                            <w:pPr>
                              <w:pStyle w:val="Contenudetableau"/>
                              <w:spacing w:before="57" w:after="57"/>
                              <w:jc w:val="center"/>
                              <w:rPr/>
                            </w:pPr>
                            <w:r>
                              <w:rPr>
                                <w:sz w:val="32"/>
                              </w:rPr>
                              <w:t>21877</w:t>
                            </w:r>
                            <w:r>
                              <w:rPr/>
                              <w:t xml:space="preserve"> </w:t>
                            </w:r>
                          </w:p>
                          <w:p>
                            <w:pPr>
                              <w:pStyle w:val="Contenudetableau"/>
                              <w:spacing w:before="57" w:after="57"/>
                              <w:jc w:val="center"/>
                              <w:rPr/>
                            </w:pPr>
                            <w:r>
                              <w:rPr/>
                              <w:t>reacties</w:t>
                            </w:r>
                          </w:p>
                        </w:tc>
                        <w:tc>
                          <w:tcPr>
                            <w:tcW w:w="3111" w:type="dxa"/>
                            <w:tcBorders/>
                            <w:shd w:fill="auto" w:val="clear"/>
                          </w:tcPr>
                          <w:p>
                            <w:pPr>
                              <w:pStyle w:val="P68B1DB1Contenudetableau8"/>
                              <w:spacing w:before="57" w:after="57"/>
                              <w:jc w:val="center"/>
                              <w:rPr>
                                <w:sz w:val="32"/>
                              </w:rPr>
                            </w:pPr>
                            <w:r>
                              <w:rPr/>
                              <w:t xml:space="preserve">6465 </w:t>
                            </w:r>
                          </w:p>
                          <w:p>
                            <w:pPr>
                              <w:pStyle w:val="Contenudetableau"/>
                              <w:spacing w:before="57" w:after="57"/>
                              <w:jc w:val="center"/>
                              <w:rPr/>
                            </w:pPr>
                            <w:r>
                              <w:rPr/>
                              <w:t>evenementen</w:t>
                            </w:r>
                          </w:p>
                        </w:tc>
                        <w:tc>
                          <w:tcPr>
                            <w:tcW w:w="3111" w:type="dxa"/>
                            <w:tcBorders/>
                            <w:shd w:fill="auto" w:val="clear"/>
                          </w:tcPr>
                          <w:p>
                            <w:pPr>
                              <w:pStyle w:val="P68B1DB1Contenudetableau8"/>
                              <w:spacing w:before="57" w:after="57"/>
                              <w:jc w:val="center"/>
                              <w:rPr>
                                <w:sz w:val="32"/>
                              </w:rPr>
                            </w:pPr>
                            <w:r>
                              <w:rPr/>
                              <w:t xml:space="preserve">72528 </w:t>
                            </w:r>
                          </w:p>
                          <w:p>
                            <w:pPr>
                              <w:pStyle w:val="Contenudetableau"/>
                              <w:spacing w:before="57" w:after="57"/>
                              <w:jc w:val="center"/>
                              <w:rPr/>
                            </w:pPr>
                            <w:r>
                              <w:rPr/>
                              <w:t>goedkeuringen</w:t>
                            </w:r>
                          </w:p>
                        </w:tc>
                      </w:tr>
                    </w:tbl>
                    <w:p>
                      <w:pPr>
                        <w:pStyle w:val="Contenudecadre"/>
                        <w:spacing w:before="57" w:after="57"/>
                        <w:rPr/>
                      </w:pPr>
                      <w:r>
                        <w:rPr>
                          <w:color w:val="auto"/>
                        </w:rPr>
                        <w:t xml:space="preserve">Stand van de deelname per 20 april 2022 (bron: </w:t>
                      </w:r>
                      <w:hyperlink r:id="rId32">
                        <w:r>
                          <w:rPr>
                            <w:rStyle w:val="LienInternet"/>
                            <w:color w:val="auto"/>
                          </w:rPr>
                          <w:t>Conferentie over de toekomst van Europa (europa.eu</w:t>
                        </w:r>
                      </w:hyperlink>
                      <w:r>
                        <w:rPr>
                          <w:color w:val="auto"/>
                        </w:rPr>
                        <w:t>)</w:t>
                      </w:r>
                    </w:p>
                  </w:txbxContent>
                </v:textbox>
              </v:rect>
            </w:pict>
          </mc:Fallback>
        </mc:AlternateContent>
      </w:r>
      <w:r>
        <w:rPr/>
        <w:t>De verslagen zijn ook besproken tijdens de plenaire vergaderingen van de Conferentie, te beginnen bij de plenaire vergadering van 23 oktober 2021 en in eerdere vergaderingen van de werkgroepen. De bijdragen van het platform bleven daarom de tijdens de plenaire vergadering van de Conferentie ontwikkelde voorstellen verrijken.</w:t>
      </w:r>
    </w:p>
    <w:p>
      <w:pPr>
        <w:pStyle w:val="Normal"/>
        <w:rPr/>
      </w:pPr>
      <w:r>
        <w:rPr/>
        <w:t>Vanaf 20 april 2022 hadden bijna vijf miljoen unieke bezoekers het meertalige digitale platform bezocht, waarop meer dan 50.000 deelnemers actief waren, 17.000 ideeën besproken en meer dan 6.000 geregistreerde evenementen. Achter deze cijfers staan duizenden geëngageerde burgers die veel ideeën delen en debatteren en een veelheid aan originele en innovatieve evenementen in de verschillende lidstaten organiseren.</w:t>
      </w:r>
    </w:p>
    <w:p>
      <w:pPr>
        <w:pStyle w:val="Normal"/>
        <w:rPr/>
      </w:pPr>
      <w:r>
        <w:rPr/>
        <w:t xml:space="preserve">Om ervoor te zorgen dat het platform een plek is waar burgers uit alle lagen van de bevolking en uit alle hoeken van Europa zich op hun gemak voelen en aangemoedigd worden om bij te dragen aan het debat, heeft iedereen die het platform gebruikt, zich moeten abonneren </w:t>
      </w:r>
      <w:hyperlink r:id="rId33">
        <w:r>
          <w:rPr>
            <w:rStyle w:val="LienInternet"/>
          </w:rPr>
          <w:t>op het</w:t>
        </w:r>
      </w:hyperlink>
      <w:r>
        <w:rPr/>
        <w:t xml:space="preserve"> conferentiehandvest en de </w:t>
      </w:r>
      <w:hyperlink r:id="rId34">
        <w:r>
          <w:rPr>
            <w:rStyle w:val="LienInternet"/>
          </w:rPr>
          <w:t>regels voor deelname</w:t>
        </w:r>
      </w:hyperlink>
      <w:r>
        <w:rPr/>
        <w:t>. Er is een matigingsteam opgericht dat gedurende de hele conferentie onder toezicht van het gezamenlijk secretariaat namens de raad van bestuur werkt om ervoor te zorgen dat het Handvest en de regels van deelname worden nageleefd. Er heeft geen voorafgaande moderatie van de inhoud plaatsgevonden. Wanneer een bijdrage verborgen was, ontving de gebruiker een bericht van het moderatieteam waarin de reden werd uitgelegd. Details over de principes en het moderatieproces zijn beschikbaar gesteld in de sectie</w:t>
      </w:r>
      <w:hyperlink r:id="rId35">
        <w:r>
          <w:rPr>
            <w:rStyle w:val="LienInternet"/>
          </w:rPr>
          <w:t>Veelgestelde Vragen</w:t>
        </w:r>
      </w:hyperlink>
      <w:r>
        <w:rPr/>
        <w:t xml:space="preserve"> (FAQ) van het platform.</w:t>
      </w:r>
    </w:p>
    <w:p>
      <w:pPr>
        <w:pStyle w:val="Normal"/>
        <w:rPr/>
      </w:pPr>
      <w:r>
        <w:rPr/>
        <w:t>Tussen 19 april 2021 en 20 april 2022 werden 430 ideeën (2,4 %), 312 opmerkingen (1,4 %) en 396 evenementen (6,0 %) gemaskeerd. Ongeveer 71 % van de ideeën werd gemaskeerd omdat ze geen voorstellen bevatten, of het nu gaat om spam, gebruikersverzoeken, of omdat ze persoonlijke informatie bevatten of een ongeschikt geassocieerd beeld; ongeveer 17 % van de verborgen ideeën waren duplicaten. Slechts 11 % van de verborgen ideeën was te wijten aan hun aanstootgevende inhoud. De overgrote meerderheid van de evenementen, 76 %, werd gemaskeerd omdat ze duplicaten waren of omdat de informatie over het evenement onvolledig was, op verzoek van de organisatoren of omdat ze geen verband hielden met de conferentie.</w:t>
      </w:r>
    </w:p>
    <w:p>
      <w:pPr>
        <w:pStyle w:val="Normal"/>
        <w:rPr/>
      </w:pPr>
      <w:r>
        <w:rPr/>
        <w:t>De mogelijkheid om bijdragen te leveren aan het platform bleef open tot 9 mei 2022. Na die datum wordt een aanvullend verslag gepland om de samenvatting van alle tijdens de conferentie ontvangen bijdragen in te vullen.</w:t>
      </w:r>
    </w:p>
    <w:p>
      <w:pPr>
        <w:pStyle w:val="Normal"/>
        <w:rPr/>
      </w:pPr>
      <w:r>
        <w:rPr/>
        <w:t>De deelname aan het platform bleef gedurende de hele conferentie toenemen, maar bleef ongelijk in de lidstaten en de sociaal-demografische profielen van de deelnemers. Over het algemeen biedt het platform een innovatieve ruimte voor overleg, waardoor enkele duizenden burgers en verschillende belanghebbenden uit heel Europa en daarbuiten kunnen deelnemen aan een online meertalig debat over Europese kwesties in alle lidstaten. Het bleek een waardevol instrument voor deliberatieve democratie op EU-niveau.</w:t>
      </w:r>
    </w:p>
    <w:p>
      <w:pPr>
        <w:sectPr>
          <w:footnotePr>
            <w:numFmt w:val="upperRoman"/>
          </w:foot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Normal"/>
        <w:rPr/>
      </w:pPr>
      <w:r>
        <w:rPr/>
        <w:drawing>
          <wp:anchor behindDoc="0" distT="0" distB="0" distL="0" distR="0" simplePos="0" locked="0" layoutInCell="1" allowOverlap="1" relativeHeight="17">
            <wp:simplePos x="0" y="0"/>
            <wp:positionH relativeFrom="column">
              <wp:align>center</wp:align>
            </wp:positionH>
            <wp:positionV relativeFrom="paragraph">
              <wp:posOffset>635</wp:posOffset>
            </wp:positionV>
            <wp:extent cx="5691505" cy="4577080"/>
            <wp:effectExtent l="0" t="0" r="0" b="0"/>
            <wp:wrapSquare wrapText="largest"/>
            <wp:docPr id="15" name="Afbeelding 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Afbeelding 6" descr=""/>
                    <pic:cNvPicPr>
                      <a:picLocks noChangeAspect="1" noChangeArrowheads="1"/>
                    </pic:cNvPicPr>
                  </pic:nvPicPr>
                  <pic:blipFill>
                    <a:blip r:embed="rId36"/>
                    <a:stretch>
                      <a:fillRect/>
                    </a:stretch>
                  </pic:blipFill>
                  <pic:spPr bwMode="auto">
                    <a:xfrm>
                      <a:off x="0" y="0"/>
                      <a:ext cx="5691505" cy="4577080"/>
                    </a:xfrm>
                    <a:prstGeom prst="rect">
                      <a:avLst/>
                    </a:prstGeom>
                  </pic:spPr>
                </pic:pic>
              </a:graphicData>
            </a:graphic>
          </wp:anchor>
        </w:drawing>
      </w:r>
    </w:p>
    <w:p>
      <w:pPr>
        <w:pStyle w:val="Normal"/>
        <w:rPr/>
      </w:pPr>
      <w:r>
        <w:rPr/>
      </w:r>
      <w:r>
        <w:br w:type="page"/>
      </w:r>
    </w:p>
    <w:p>
      <w:pPr>
        <w:pStyle w:val="Titre2"/>
        <w:numPr>
          <w:ilvl w:val="1"/>
          <w:numId w:val="2"/>
        </w:numPr>
        <w:rPr/>
      </w:pPr>
      <w:bookmarkStart w:id="9" w:name="__RefHeading___Toc298192_1346298689"/>
      <w:bookmarkEnd w:id="9"/>
      <w:r>
        <w:rPr/>
        <w:t>B. Burgerpanelen</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Titre3"/>
        <w:numPr>
          <w:ilvl w:val="2"/>
          <w:numId w:val="2"/>
        </w:numPr>
        <w:rPr/>
      </w:pPr>
      <w:bookmarkStart w:id="10" w:name="__RefHeading___Toc298194_1346298689"/>
      <w:bookmarkEnd w:id="10"/>
      <w:r>
        <w:rPr/>
        <w:t>1. Europese burgerpanels</w:t>
      </w:r>
    </w:p>
    <w:p>
      <w:pPr>
        <w:pStyle w:val="Corpsdetexte"/>
        <w:rPr/>
      </w:pPr>
      <w:r>
        <w:rPr/>
        <w:t>De Europese burgerpanels waren een van de belangrijkste pijlers van de conferentie, met de nationale panels, het meertalig digitaal platform en de plenaire vergadering van de conferentie. Zij vormen de kern van de conferentie over de toekomst van Europa en brachten zo’n 800 burgers uit alle achtergronden en regio’s van de Europese Unie samen. Hoewel het concept van burgerpanels of -vergaderingen al tientallen jaren op gemeentelijk niveau wordt gebruikt en steeds zichtbaarder wordt op nationaal of regionaal niveau, blijft de pan-Europese dimensie op dit gebied grotendeels onontgonnen. De Europese burgerpanels waren de eerste transnationale en meertalige ervaring van deze omvang en ambitie. Het opmerkelijke vertolkingssysteem dat het proces begeleidde, leidde tot een inclusieve, respectvolle en doeltreffende dialoog tussen de belanghebbenden, waarbij de eerbiediging van meertaligheid werd gewaarborgd.</w:t>
      </w:r>
    </w:p>
    <w:p>
      <w:pPr>
        <w:pStyle w:val="Corpsdetexte"/>
        <w:rPr/>
      </w:pPr>
      <w:r>
        <w:rPr/>
        <w:t>De Europese burgerpanels werden door de drie instellingen georganiseerd op basis van de gezamenlijke verklaring, het reglement van orde en de door de medevoorzitters vastgestelde regelingen, onder toezicht van de raad van bestuur. Ze werden ondersteund door een consortium van externe dienstverleners bestaande uit verschillende experts op het gebied van deliberatieve democratie en een logistiek ondersteuningsteam. De raad van bestuur werd op de hoogte gehouden van de werkzaamheden van de panels, geactualiseerde praktische regelingen werden verstrekt en het voorlopige tijdschema van de zittingen van de Europese burgerpanels tijdens het proces, indien nodig, aangepast.</w:t>
      </w:r>
    </w:p>
    <w:p>
      <w:pPr>
        <w:pStyle w:val="Corpsdetexte"/>
        <w:rPr/>
      </w:pPr>
      <w:r>
        <w:rPr/>
        <w:t>Deelnemers aan de Europese burgerpanels werden in de zomer van 2021 geselecteerd. EU-burgers werden willekeurig geselecteerd (voornamelijk gecontacteerd door de 27 nationale onderzoeksinstituten gecoördineerd door een externe dienstverlener) met als doel „panels” te vormen die representatief zijn voor de diversiteit van de EU, op basis van vijf criteria: geslacht, leeftijd, geografische herkomst (nationaliteit en stedelijke/plattelandse omgeving), sociaal-economische achtergrond en opleidingsniveau. Het aantal burgers per lidstaat is berekend volgens het beginsel van degressieve evenredigheid dat wordt toegepast op de samenstelling van het Europees Parlement, rekening houdend met het feit dat elk panel ten minste één burger en één burger per lidstaat moet omvatten. Aangezien de conferentie specifieke aandacht besteedde aan jongeren, was een derde van de burgers in elk panel tussen de 16 en 24 jaar oud. Voor elke groep van 200 personen werden 50 extra burgers geselecteerd om een reserve op te zetten.</w:t>
      </w:r>
    </w:p>
    <w:p>
      <w:pPr>
        <w:pStyle w:val="Corpsdetexte"/>
        <w:rPr/>
      </w:pPr>
      <w:r>
        <w:rPr/>
        <w:t>Er werden vier Europese burgerpanels georganiseerd. Voor elk van hen kwamen de discussiethema’s overeen met de thema’s die op het meertalige digitale platform werden genoemd en werden als volgt gegroepeerd:</w:t>
      </w:r>
    </w:p>
    <w:p>
      <w:pPr>
        <w:pStyle w:val="Puce3"/>
        <w:rPr/>
      </w:pPr>
      <w:r>
        <w:rPr/>
        <w:t>1. Een sterkere economie, sociale rechtvaardigheid en werkgelegenheid; onderwijs, cultuur, jeugd en sport; digitale transformatie;</w:t>
      </w:r>
    </w:p>
    <w:p>
      <w:pPr>
        <w:pStyle w:val="Puce3"/>
        <w:rPr/>
      </w:pPr>
      <w:r>
        <w:rPr/>
        <w:t>2. Europese democratie; waarden en rechten, de rechtsstaat, veiligheid;</w:t>
      </w:r>
    </w:p>
    <w:p>
      <w:pPr>
        <w:pStyle w:val="Puce3"/>
        <w:rPr/>
      </w:pPr>
      <w:r>
        <w:rPr/>
        <w:t>3.Climate verandering en milieu; gezondheid;</w:t>
      </w:r>
    </w:p>
    <w:p>
      <w:pPr>
        <w:pStyle w:val="Puce3"/>
        <w:tabs>
          <w:tab w:val="clear" w:pos="720"/>
        </w:tabs>
        <w:rPr/>
      </w:pPr>
      <w:r>
        <w:rPr/>
        <w:t>4.De EU in de wereld; migratie.</w:t>
      </w:r>
    </w:p>
    <w:p>
      <w:pPr>
        <w:pStyle w:val="Corpsdetexte"/>
        <w:rPr/>
      </w:pPr>
      <w:r>
        <w:rPr/>
        <w:t>Elk panel kwam drie weekenden bijeen. De eerste reeks sessies vond plaats in Straatsburg, de tweede online en de derde in vier steden (Dublin, Florence, Warschau/Natolin en Maastricht), in openbare instellingen voor hoger onderwijs en met steun van lokale overheden.</w:t>
      </w:r>
    </w:p>
    <w:p>
      <w:pPr>
        <w:pStyle w:val="Titre4"/>
        <w:numPr>
          <w:ilvl w:val="3"/>
          <w:numId w:val="2"/>
        </w:numPr>
        <w:rPr/>
      </w:pPr>
      <w:bookmarkStart w:id="11" w:name="__RefHeading___Toc298196_1346298689"/>
      <w:bookmarkEnd w:id="11"/>
      <w:r>
        <w:rPr/>
        <w:t>EERSTE RONDE PANELSESSIES</w:t>
      </w:r>
    </w:p>
    <w:p>
      <w:pPr>
        <w:pStyle w:val="Corpsdetexte"/>
        <w:rPr/>
      </w:pPr>
      <w:r>
        <w:rPr/>
        <w:t>Voor de eerste vergadering van elk panel kwamen de deelnemers fysiek bijeen in Straatsburg. Het doel van de zitting was het bepalen van de agenda voor de beraadslagingen. De burgers die aan de panels deelnemen, begonnen met het reflecteren en ontwikkelen van hun visie op Europa, te beginnen met een blanco pagina en het identificeren van de te bespreken kwesties, in het kader van de belangrijkste thema’s van het panel. Vervolgens gaven zij prioriteit aan de onderwerpen waarop zij zich meer wensten te concentreren, met het oog op het doen van specifieke aanbevelingen aan de EU-instellingen voor follow-up. De discussies en collectieve werkzaamheden vonden plaats in de volgende twee formaten:</w:t>
      </w:r>
    </w:p>
    <w:p>
      <w:pPr>
        <w:pStyle w:val="Alineanegatifpuce"/>
        <w:numPr>
          <w:ilvl w:val="0"/>
          <w:numId w:val="3"/>
        </w:numPr>
        <w:rPr/>
      </w:pPr>
      <w:r>
        <w:rPr/>
        <w:t xml:space="preserve"> </w:t>
      </w:r>
      <w:r>
        <w:rPr/>
        <w:t>in subgroepen bestaande uit 12 tot 14 burgers. In elke subgroep werden vier tot vijf talen gesproken, waarin burgers zich in hun eigen taal konden uitdrukken. Het werk van de subgroepen werd geleid door professionele facilitators die werden geselecteerd door het consortium van externe dienstverleners.</w:t>
      </w:r>
    </w:p>
    <w:p>
      <w:pPr>
        <w:pStyle w:val="Alineanegatifpuce"/>
        <w:numPr>
          <w:ilvl w:val="0"/>
          <w:numId w:val="3"/>
        </w:numPr>
        <w:spacing w:before="3929" w:after="57"/>
        <w:rPr/>
      </w:pPr>
      <w:r>
        <mc:AlternateContent>
          <mc:Choice Requires="wps">
            <w:drawing>
              <wp:anchor behindDoc="0" distT="72390" distB="72390" distL="72390" distR="72390" simplePos="0" locked="0" layoutInCell="1" allowOverlap="1" relativeHeight="6">
                <wp:simplePos x="0" y="0"/>
                <wp:positionH relativeFrom="column">
                  <wp:posOffset>105410</wp:posOffset>
                </wp:positionH>
                <wp:positionV relativeFrom="paragraph">
                  <wp:posOffset>2555875</wp:posOffset>
                </wp:positionV>
                <wp:extent cx="6053455" cy="2495550"/>
                <wp:effectExtent l="0" t="0" r="0" b="0"/>
                <wp:wrapSquare wrapText="bothSides"/>
                <wp:docPr id="16" name="Kader3"/>
                <a:graphic xmlns:a="http://schemas.openxmlformats.org/drawingml/2006/main">
                  <a:graphicData uri="http://schemas.microsoft.com/office/word/2010/wordprocessingShape">
                    <wps:wsp>
                      <wps:cNvSpPr/>
                      <wps:spPr>
                        <a:xfrm>
                          <a:off x="0" y="0"/>
                          <a:ext cx="6052680" cy="2494800"/>
                        </a:xfrm>
                        <a:prstGeom prst="rect">
                          <a:avLst/>
                        </a:prstGeom>
                        <a:solidFill>
                          <a:srgbClr val="ffffff"/>
                        </a:solidFill>
                        <a:ln w="720">
                          <a:solidFill>
                            <a:srgbClr val="000000"/>
                          </a:solidFill>
                          <a:round/>
                        </a:ln>
                      </wps:spPr>
                      <wps:style>
                        <a:lnRef idx="0"/>
                        <a:fillRef idx="0"/>
                        <a:effectRef idx="0"/>
                        <a:fontRef idx="minor"/>
                      </wps:style>
                      <wps:txbx>
                        <w:txbxContent>
                          <w:tbl>
                            <w:tblPr>
                              <w:tblW w:w="9360" w:type="dxa"/>
                              <w:jc w:val="left"/>
                              <w:tblInd w:w="0" w:type="dxa"/>
                              <w:tblBorders/>
                              <w:tblCellMar>
                                <w:top w:w="0" w:type="dxa"/>
                                <w:left w:w="0" w:type="dxa"/>
                                <w:bottom w:w="0" w:type="dxa"/>
                                <w:right w:w="0" w:type="dxa"/>
                              </w:tblCellMar>
                            </w:tblPr>
                            <w:tblGrid>
                              <w:gridCol w:w="2774"/>
                              <w:gridCol w:w="345"/>
                              <w:gridCol w:w="2778"/>
                              <w:gridCol w:w="342"/>
                              <w:gridCol w:w="2719"/>
                              <w:gridCol w:w="401"/>
                            </w:tblGrid>
                            <w:tr>
                              <w:trPr/>
                              <w:tc>
                                <w:tcPr>
                                  <w:tcW w:w="9359" w:type="dxa"/>
                                  <w:gridSpan w:val="6"/>
                                  <w:tcBorders/>
                                  <w:shd w:fill="auto" w:val="clear"/>
                                </w:tcPr>
                                <w:p>
                                  <w:pPr>
                                    <w:pStyle w:val="P68B1DB1Contenudetableau9"/>
                                    <w:spacing w:before="57" w:after="57"/>
                                    <w:jc w:val="center"/>
                                    <w:rPr>
                                      <w:sz w:val="16"/>
                                    </w:rPr>
                                  </w:pPr>
                                  <w:r>
                                    <w:rPr/>
                                    <w:t>SESSIE 2</w:t>
                                  </w:r>
                                </w:p>
                              </w:tc>
                            </w:tr>
                            <w:tr>
                              <w:trPr/>
                              <w:tc>
                                <w:tcPr>
                                  <w:tcW w:w="3119" w:type="dxa"/>
                                  <w:gridSpan w:val="2"/>
                                  <w:tcBorders>
                                    <w:top w:val="single" w:sz="4" w:space="0" w:color="0000FF"/>
                                    <w:left w:val="single" w:sz="4" w:space="0" w:color="0000FF"/>
                                    <w:bottom w:val="single" w:sz="4" w:space="0" w:color="0000FF"/>
                                    <w:insideH w:val="single" w:sz="4" w:space="0" w:color="0000FF"/>
                                  </w:tcBorders>
                                  <w:shd w:fill="0000FF" w:val="clear"/>
                                  <w:tcMar>
                                    <w:top w:w="28" w:type="dxa"/>
                                    <w:left w:w="23" w:type="dxa"/>
                                    <w:bottom w:w="28" w:type="dxa"/>
                                    <w:right w:w="28" w:type="dxa"/>
                                  </w:tcMar>
                                </w:tcPr>
                                <w:p>
                                  <w:pPr>
                                    <w:pStyle w:val="P68B1DB1Contenudetableau9"/>
                                    <w:spacing w:before="57" w:after="57"/>
                                    <w:jc w:val="center"/>
                                    <w:rPr>
                                      <w:sz w:val="16"/>
                                    </w:rPr>
                                  </w:pPr>
                                  <w:r>
                                    <w:rPr/>
                                    <w:t xml:space="preserve">DAG 1 </w:t>
                                  </w:r>
                                </w:p>
                                <w:p>
                                  <w:pPr>
                                    <w:pStyle w:val="P68B1DB1Contenudetableau9"/>
                                    <w:spacing w:before="57" w:after="57"/>
                                    <w:jc w:val="center"/>
                                    <w:rPr>
                                      <w:sz w:val="16"/>
                                    </w:rPr>
                                  </w:pPr>
                                  <w:r>
                                    <w:rPr/>
                                    <w:t>Nieuwe vergadering voor het panel en voorbereiding van het weekend</w:t>
                                  </w:r>
                                </w:p>
                              </w:tc>
                              <w:tc>
                                <w:tcPr>
                                  <w:tcW w:w="3120" w:type="dxa"/>
                                  <w:gridSpan w:val="2"/>
                                  <w:tcBorders>
                                    <w:top w:val="single" w:sz="4" w:space="0" w:color="0000FF"/>
                                    <w:left w:val="single" w:sz="4" w:space="0" w:color="0000FF"/>
                                    <w:bottom w:val="single" w:sz="4" w:space="0" w:color="0000FF"/>
                                    <w:insideH w:val="single" w:sz="4" w:space="0" w:color="0000FF"/>
                                  </w:tcBorders>
                                  <w:shd w:fill="0000FF" w:val="clear"/>
                                  <w:tcMar>
                                    <w:top w:w="28" w:type="dxa"/>
                                    <w:left w:w="23" w:type="dxa"/>
                                    <w:bottom w:w="28" w:type="dxa"/>
                                    <w:right w:w="28" w:type="dxa"/>
                                  </w:tcMar>
                                </w:tcPr>
                                <w:p>
                                  <w:pPr>
                                    <w:pStyle w:val="P68B1DB1Contenudetableau9"/>
                                    <w:spacing w:before="57" w:after="57"/>
                                    <w:jc w:val="center"/>
                                    <w:rPr>
                                      <w:sz w:val="16"/>
                                    </w:rPr>
                                  </w:pPr>
                                  <w:r>
                                    <w:rPr/>
                                    <w:t xml:space="preserve">DAG 2 </w:t>
                                  </w:r>
                                </w:p>
                                <w:p>
                                  <w:pPr>
                                    <w:pStyle w:val="P68B1DB1Contenudetableau9"/>
                                    <w:spacing w:before="57" w:after="57"/>
                                    <w:jc w:val="center"/>
                                    <w:rPr>
                                      <w:sz w:val="16"/>
                                    </w:rPr>
                                  </w:pPr>
                                  <w:r>
                                    <w:rPr/>
                                    <w:t>Deskundige input, Probleemidentificatie, Leidingsproductie</w:t>
                                  </w:r>
                                </w:p>
                              </w:tc>
                              <w:tc>
                                <w:tcPr>
                                  <w:tcW w:w="3120" w:type="dxa"/>
                                  <w:gridSpan w:val="2"/>
                                  <w:tcBorders>
                                    <w:top w:val="single" w:sz="4" w:space="0" w:color="0000FF"/>
                                    <w:left w:val="single" w:sz="4" w:space="0" w:color="0000FF"/>
                                    <w:bottom w:val="single" w:sz="4" w:space="0" w:color="0000FF"/>
                                    <w:right w:val="single" w:sz="4" w:space="0" w:color="0000FF"/>
                                    <w:insideH w:val="single" w:sz="4" w:space="0" w:color="0000FF"/>
                                    <w:insideV w:val="single" w:sz="4" w:space="0" w:color="0000FF"/>
                                  </w:tcBorders>
                                  <w:shd w:fill="0000FF" w:val="clear"/>
                                  <w:tcMar>
                                    <w:top w:w="28" w:type="dxa"/>
                                    <w:left w:w="23" w:type="dxa"/>
                                    <w:bottom w:w="28" w:type="dxa"/>
                                    <w:right w:w="28" w:type="dxa"/>
                                  </w:tcMar>
                                </w:tcPr>
                                <w:p>
                                  <w:pPr>
                                    <w:pStyle w:val="P68B1DB1Contenudetableau9"/>
                                    <w:spacing w:before="57" w:after="57"/>
                                    <w:jc w:val="center"/>
                                    <w:rPr>
                                      <w:sz w:val="16"/>
                                    </w:rPr>
                                  </w:pPr>
                                  <w:r>
                                    <w:rPr/>
                                    <w:t xml:space="preserve">DAG 3 </w:t>
                                  </w:r>
                                </w:p>
                                <w:p>
                                  <w:pPr>
                                    <w:pStyle w:val="P68B1DB1Contenudetableau9"/>
                                    <w:spacing w:before="57" w:after="57"/>
                                    <w:jc w:val="center"/>
                                    <w:rPr>
                                      <w:sz w:val="16"/>
                                    </w:rPr>
                                  </w:pPr>
                                  <w:r>
                                    <w:rPr/>
                                    <w:t>Afronding van de richtsnoeren, slotopmerkingen</w:t>
                                  </w:r>
                                </w:p>
                              </w:tc>
                            </w:tr>
                            <w:tr>
                              <w:trPr/>
                              <w:tc>
                                <w:tcPr>
                                  <w:tcW w:w="3119" w:type="dxa"/>
                                  <w:gridSpan w:val="2"/>
                                  <w:tcBorders/>
                                  <w:shd w:fill="auto" w:val="clear"/>
                                </w:tcPr>
                                <w:p>
                                  <w:pPr>
                                    <w:pStyle w:val="Contenudetableau"/>
                                    <w:spacing w:before="57" w:after="57"/>
                                    <w:jc w:val="center"/>
                                    <w:rPr>
                                      <w:sz w:val="16"/>
                                    </w:rPr>
                                  </w:pPr>
                                  <w:r>
                                    <w:rPr>
                                      <w:sz w:val="16"/>
                                    </w:rPr>
                                  </w:r>
                                </w:p>
                              </w:tc>
                              <w:tc>
                                <w:tcPr>
                                  <w:tcW w:w="3120" w:type="dxa"/>
                                  <w:gridSpan w:val="2"/>
                                  <w:tcBorders/>
                                  <w:shd w:fill="0000FF" w:val="clear"/>
                                </w:tcPr>
                                <w:p>
                                  <w:pPr>
                                    <w:pStyle w:val="P68B1DB1Contenudetableau9"/>
                                    <w:spacing w:before="57" w:after="57"/>
                                    <w:jc w:val="center"/>
                                    <w:rPr>
                                      <w:sz w:val="16"/>
                                    </w:rPr>
                                  </w:pPr>
                                  <w:r>
                                    <w:rPr/>
                                    <w:t>Input van experts over subthema’s</w:t>
                                  </w:r>
                                </w:p>
                              </w:tc>
                              <w:tc>
                                <w:tcPr>
                                  <w:tcW w:w="3120" w:type="dxa"/>
                                  <w:gridSpan w:val="2"/>
                                  <w:tcBorders/>
                                  <w:shd w:fill="0000FF" w:val="clear"/>
                                </w:tcPr>
                                <w:p>
                                  <w:pPr>
                                    <w:pStyle w:val="P68B1DB1Contenudetableau9"/>
                                    <w:spacing w:before="57" w:after="57"/>
                                    <w:jc w:val="center"/>
                                    <w:rPr>
                                      <w:sz w:val="16"/>
                                    </w:rPr>
                                  </w:pPr>
                                  <w:r>
                                    <w:rPr/>
                                    <w:t>Aanvullende input van experts</w:t>
                                  </w:r>
                                </w:p>
                              </w:tc>
                            </w:tr>
                            <w:tr>
                              <w:trPr/>
                              <w:tc>
                                <w:tcPr>
                                  <w:tcW w:w="3119" w:type="dxa"/>
                                  <w:gridSpan w:val="2"/>
                                  <w:vMerge w:val="restart"/>
                                  <w:tcBorders/>
                                  <w:shd w:fill="800000" w:val="clear"/>
                                </w:tcPr>
                                <w:p>
                                  <w:pPr>
                                    <w:pStyle w:val="P68B1DB1Contenudetableau9"/>
                                    <w:spacing w:before="57" w:after="57"/>
                                    <w:jc w:val="center"/>
                                    <w:rPr>
                                      <w:sz w:val="16"/>
                                    </w:rPr>
                                  </w:pPr>
                                  <w:r>
                                    <w:rPr/>
                                    <w:t xml:space="preserve">Welkom, </w:t>
                                  </w:r>
                                </w:p>
                                <w:p>
                                  <w:pPr>
                                    <w:pStyle w:val="P68B1DB1Contenudetableau9"/>
                                    <w:spacing w:before="57" w:after="57"/>
                                    <w:jc w:val="center"/>
                                    <w:rPr>
                                      <w:sz w:val="16"/>
                                    </w:rPr>
                                  </w:pPr>
                                  <w:r>
                                    <w:rPr/>
                                    <w:t xml:space="preserve">Woorden aan de ambassadeurs van de burgers voor hun feedback, </w:t>
                                    <w:br/>
                                    <w:t>Platformupdate, Agenda</w:t>
                                  </w:r>
                                </w:p>
                              </w:tc>
                              <w:tc>
                                <w:tcPr>
                                  <w:tcW w:w="3120" w:type="dxa"/>
                                  <w:gridSpan w:val="2"/>
                                  <w:tcBorders/>
                                  <w:shd w:fill="00FF00" w:val="clear"/>
                                </w:tcPr>
                                <w:p>
                                  <w:pPr>
                                    <w:pStyle w:val="P68B1DB1Contenudetableau9"/>
                                    <w:spacing w:before="57" w:after="57"/>
                                    <w:jc w:val="center"/>
                                    <w:rPr>
                                      <w:sz w:val="16"/>
                                    </w:rPr>
                                  </w:pPr>
                                  <w:r>
                                    <w:rPr/>
                                    <w:t>Opstellen van richtlijnen</w:t>
                                  </w:r>
                                </w:p>
                              </w:tc>
                              <w:tc>
                                <w:tcPr>
                                  <w:tcW w:w="3120" w:type="dxa"/>
                                  <w:gridSpan w:val="2"/>
                                  <w:tcBorders/>
                                  <w:shd w:fill="00FF00" w:val="clear"/>
                                </w:tcPr>
                                <w:p>
                                  <w:pPr>
                                    <w:pStyle w:val="P68B1DB1Contenudetableau9"/>
                                    <w:spacing w:before="57" w:after="57"/>
                                    <w:jc w:val="center"/>
                                    <w:rPr>
                                      <w:sz w:val="16"/>
                                    </w:rPr>
                                  </w:pPr>
                                  <w:r>
                                    <w:rPr/>
                                    <w:t xml:space="preserve"> </w:t>
                                  </w:r>
                                  <w:r>
                                    <w:rPr/>
                                    <w:t>Afronding van de richtsnoeren</w:t>
                                  </w:r>
                                </w:p>
                              </w:tc>
                            </w:tr>
                            <w:tr>
                              <w:trPr/>
                              <w:tc>
                                <w:tcPr>
                                  <w:tcW w:w="3119" w:type="dxa"/>
                                  <w:gridSpan w:val="2"/>
                                  <w:vMerge w:val="continue"/>
                                  <w:tcBorders/>
                                  <w:shd w:fill="800000" w:val="clear"/>
                                </w:tcPr>
                                <w:p>
                                  <w:pPr>
                                    <w:pStyle w:val="Normal"/>
                                    <w:spacing w:before="57" w:after="57"/>
                                    <w:ind w:left="0" w:right="0" w:hanging="0"/>
                                    <w:rPr/>
                                  </w:pPr>
                                  <w:r>
                                    <w:rPr/>
                                  </w:r>
                                </w:p>
                              </w:tc>
                              <w:tc>
                                <w:tcPr>
                                  <w:tcW w:w="3120" w:type="dxa"/>
                                  <w:gridSpan w:val="2"/>
                                  <w:tcBorders/>
                                  <w:shd w:fill="auto" w:val="clear"/>
                                </w:tcPr>
                                <w:p>
                                  <w:pPr>
                                    <w:pStyle w:val="Contenudetableau"/>
                                    <w:spacing w:before="57" w:after="57"/>
                                    <w:jc w:val="center"/>
                                    <w:rPr>
                                      <w:sz w:val="16"/>
                                    </w:rPr>
                                  </w:pPr>
                                  <w:r>
                                    <w:rPr>
                                      <w:sz w:val="16"/>
                                    </w:rPr>
                                  </w:r>
                                </w:p>
                              </w:tc>
                              <w:tc>
                                <w:tcPr>
                                  <w:tcW w:w="3120" w:type="dxa"/>
                                  <w:gridSpan w:val="2"/>
                                  <w:tcBorders/>
                                  <w:shd w:fill="800000" w:val="clear"/>
                                </w:tcPr>
                                <w:p>
                                  <w:pPr>
                                    <w:pStyle w:val="P68B1DB1Contenudetableau9"/>
                                    <w:spacing w:before="57" w:after="57"/>
                                    <w:jc w:val="center"/>
                                    <w:rPr>
                                      <w:sz w:val="16"/>
                                    </w:rPr>
                                  </w:pPr>
                                  <w:r>
                                    <w:rPr/>
                                    <w:t xml:space="preserve">Delen van bepaalde oriëntaties, </w:t>
                                    <w:br/>
                                    <w:t>Laatste opmerkingen</w:t>
                                  </w:r>
                                </w:p>
                              </w:tc>
                            </w:tr>
                            <w:tr>
                              <w:trPr/>
                              <w:tc>
                                <w:tcPr>
                                  <w:tcW w:w="2774" w:type="dxa"/>
                                  <w:tcBorders/>
                                  <w:shd w:fill="auto" w:val="clear"/>
                                </w:tcPr>
                                <w:p>
                                  <w:pPr>
                                    <w:pStyle w:val="Contenudetableau"/>
                                    <w:widowControl w:val="false"/>
                                    <w:suppressLineNumbers/>
                                    <w:spacing w:before="57" w:after="57"/>
                                    <w:rPr/>
                                  </w:pPr>
                                  <w:r>
                                    <w:rPr/>
                                  </w:r>
                                </w:p>
                              </w:tc>
                              <w:tc>
                                <w:tcPr>
                                  <w:tcW w:w="345" w:type="dxa"/>
                                  <w:tcBorders/>
                                  <w:shd w:fill="auto" w:val="clear"/>
                                </w:tcPr>
                                <w:p>
                                  <w:pPr>
                                    <w:pStyle w:val="Contenudetableau"/>
                                    <w:widowControl w:val="false"/>
                                    <w:suppressLineNumbers/>
                                    <w:spacing w:before="57" w:after="57"/>
                                    <w:rPr/>
                                  </w:pPr>
                                  <w:r>
                                    <w:rPr/>
                                  </w:r>
                                </w:p>
                              </w:tc>
                              <w:tc>
                                <w:tcPr>
                                  <w:tcW w:w="2778" w:type="dxa"/>
                                  <w:tcBorders/>
                                  <w:shd w:fill="auto" w:val="clear"/>
                                </w:tcPr>
                                <w:p>
                                  <w:pPr>
                                    <w:pStyle w:val="Contenudetableau"/>
                                    <w:widowControl w:val="false"/>
                                    <w:suppressLineNumbers/>
                                    <w:spacing w:before="57" w:after="57"/>
                                    <w:rPr/>
                                  </w:pPr>
                                  <w:r>
                                    <w:rPr/>
                                  </w:r>
                                </w:p>
                              </w:tc>
                              <w:tc>
                                <w:tcPr>
                                  <w:tcW w:w="342" w:type="dxa"/>
                                  <w:tcBorders/>
                                  <w:shd w:fill="auto" w:val="clear"/>
                                </w:tcPr>
                                <w:p>
                                  <w:pPr>
                                    <w:pStyle w:val="Contenudetableau"/>
                                    <w:widowControl w:val="false"/>
                                    <w:suppressLineNumbers/>
                                    <w:spacing w:before="57" w:after="57"/>
                                    <w:rPr/>
                                  </w:pPr>
                                  <w:r>
                                    <w:rPr/>
                                  </w:r>
                                </w:p>
                              </w:tc>
                              <w:tc>
                                <w:tcPr>
                                  <w:tcW w:w="2719" w:type="dxa"/>
                                  <w:tcBorders/>
                                  <w:shd w:fill="auto" w:val="clear"/>
                                </w:tcPr>
                                <w:p>
                                  <w:pPr>
                                    <w:pStyle w:val="Contenudetableau"/>
                                    <w:widowControl w:val="false"/>
                                    <w:suppressLineNumbers/>
                                    <w:spacing w:before="57" w:after="57"/>
                                    <w:rPr/>
                                  </w:pPr>
                                  <w:r>
                                    <w:rPr/>
                                  </w:r>
                                </w:p>
                              </w:tc>
                              <w:tc>
                                <w:tcPr>
                                  <w:tcW w:w="401" w:type="dxa"/>
                                  <w:tcBorders/>
                                  <w:shd w:fill="auto" w:val="clear"/>
                                </w:tcPr>
                                <w:p>
                                  <w:pPr>
                                    <w:pStyle w:val="Contenudetableau"/>
                                    <w:spacing w:before="57" w:after="57"/>
                                    <w:rPr>
                                      <w:sz w:val="16"/>
                                    </w:rPr>
                                  </w:pPr>
                                  <w:r>
                                    <w:rPr>
                                      <w:sz w:val="16"/>
                                    </w:rPr>
                                  </w:r>
                                </w:p>
                              </w:tc>
                            </w:tr>
                            <w:tr>
                              <w:trPr/>
                              <w:tc>
                                <w:tcPr>
                                  <w:tcW w:w="2774" w:type="dxa"/>
                                  <w:tcBorders/>
                                  <w:shd w:fill="auto" w:val="clear"/>
                                </w:tcPr>
                                <w:p>
                                  <w:pPr>
                                    <w:pStyle w:val="P68B1DB1Contenudetableau9"/>
                                    <w:spacing w:before="57" w:after="57"/>
                                    <w:jc w:val="right"/>
                                    <w:rPr>
                                      <w:sz w:val="16"/>
                                    </w:rPr>
                                  </w:pPr>
                                  <w:r>
                                    <w:rPr/>
                                    <w:t>Plenaire vergadering</w:t>
                                  </w:r>
                                </w:p>
                              </w:tc>
                              <w:tc>
                                <w:tcPr>
                                  <w:tcW w:w="345" w:type="dxa"/>
                                  <w:tcBorders/>
                                  <w:shd w:fill="800000" w:val="clear"/>
                                </w:tcPr>
                                <w:p>
                                  <w:pPr>
                                    <w:pStyle w:val="Contenudetableau"/>
                                    <w:spacing w:before="57" w:after="57"/>
                                    <w:jc w:val="right"/>
                                    <w:rPr>
                                      <w:sz w:val="16"/>
                                    </w:rPr>
                                  </w:pPr>
                                  <w:r>
                                    <w:rPr>
                                      <w:sz w:val="16"/>
                                    </w:rPr>
                                  </w:r>
                                </w:p>
                              </w:tc>
                              <w:tc>
                                <w:tcPr>
                                  <w:tcW w:w="2778" w:type="dxa"/>
                                  <w:tcBorders/>
                                  <w:shd w:fill="auto" w:val="clear"/>
                                </w:tcPr>
                                <w:p>
                                  <w:pPr>
                                    <w:pStyle w:val="P68B1DB1Contenudetableau9"/>
                                    <w:spacing w:before="57" w:after="57"/>
                                    <w:jc w:val="right"/>
                                    <w:rPr>
                                      <w:sz w:val="16"/>
                                    </w:rPr>
                                  </w:pPr>
                                  <w:r>
                                    <w:rPr/>
                                    <w:t>Plenaire vergadering van het thema</w:t>
                                  </w:r>
                                </w:p>
                              </w:tc>
                              <w:tc>
                                <w:tcPr>
                                  <w:tcW w:w="342" w:type="dxa"/>
                                  <w:tcBorders/>
                                  <w:shd w:fill="0000FF" w:val="clear"/>
                                </w:tcPr>
                                <w:p>
                                  <w:pPr>
                                    <w:pStyle w:val="Contenudetableau"/>
                                    <w:spacing w:before="57" w:after="57"/>
                                    <w:jc w:val="right"/>
                                    <w:rPr>
                                      <w:sz w:val="16"/>
                                    </w:rPr>
                                  </w:pPr>
                                  <w:r>
                                    <w:rPr>
                                      <w:sz w:val="16"/>
                                    </w:rPr>
                                  </w:r>
                                </w:p>
                              </w:tc>
                              <w:tc>
                                <w:tcPr>
                                  <w:tcW w:w="2719" w:type="dxa"/>
                                  <w:tcBorders/>
                                  <w:shd w:fill="auto" w:val="clear"/>
                                </w:tcPr>
                                <w:p>
                                  <w:pPr>
                                    <w:pStyle w:val="P68B1DB1Contenudetableau9"/>
                                    <w:spacing w:before="57" w:after="57"/>
                                    <w:jc w:val="right"/>
                                    <w:rPr>
                                      <w:sz w:val="16"/>
                                    </w:rPr>
                                  </w:pPr>
                                  <w:r>
                                    <w:rPr/>
                                    <w:t>Subgroep sessie</w:t>
                                  </w:r>
                                </w:p>
                              </w:tc>
                              <w:tc>
                                <w:tcPr>
                                  <w:tcW w:w="401" w:type="dxa"/>
                                  <w:tcBorders/>
                                  <w:shd w:fill="00FF00" w:val="clear"/>
                                </w:tcPr>
                                <w:p>
                                  <w:pPr>
                                    <w:pStyle w:val="Contenudetableau"/>
                                    <w:spacing w:before="57" w:after="57"/>
                                    <w:rPr>
                                      <w:sz w:val="16"/>
                                    </w:rPr>
                                  </w:pPr>
                                  <w:r>
                                    <w:rPr>
                                      <w:sz w:val="16"/>
                                    </w:rPr>
                                  </w:r>
                                </w:p>
                              </w:tc>
                            </w:tr>
                          </w:tbl>
                          <w:p>
                            <w:pPr>
                              <w:pStyle w:val="Contenudecadre"/>
                              <w:spacing w:before="57" w:after="57"/>
                              <w:rPr>
                                <w:color w:val="auto"/>
                              </w:rPr>
                            </w:pPr>
                            <w:r>
                              <w:rPr>
                                <w:color w:val="auto"/>
                              </w:rPr>
                            </w:r>
                          </w:p>
                        </w:txbxContent>
                      </wps:txbx>
                      <wps:bodyPr lIns="54000" rIns="54000" tIns="54000" bIns="54000">
                        <a:noAutofit/>
                      </wps:bodyPr>
                    </wps:wsp>
                  </a:graphicData>
                </a:graphic>
              </wp:anchor>
            </w:drawing>
          </mc:Choice>
          <mc:Fallback>
            <w:pict>
              <v:rect id="shape_0" ID="Kader3" fillcolor="white" stroked="t" style="position:absolute;margin-left:8.3pt;margin-top:201.25pt;width:476.55pt;height:196.4pt">
                <w10:wrap type="none"/>
                <v:fill o:detectmouseclick="t" type="solid" color2="black"/>
                <v:stroke color="black" weight="720" joinstyle="round" endcap="flat"/>
                <v:textbox>
                  <w:txbxContent>
                    <w:tbl>
                      <w:tblPr>
                        <w:tblW w:w="9360" w:type="dxa"/>
                        <w:jc w:val="left"/>
                        <w:tblInd w:w="0" w:type="dxa"/>
                        <w:tblBorders/>
                        <w:tblCellMar>
                          <w:top w:w="0" w:type="dxa"/>
                          <w:left w:w="0" w:type="dxa"/>
                          <w:bottom w:w="0" w:type="dxa"/>
                          <w:right w:w="0" w:type="dxa"/>
                        </w:tblCellMar>
                      </w:tblPr>
                      <w:tblGrid>
                        <w:gridCol w:w="2774"/>
                        <w:gridCol w:w="345"/>
                        <w:gridCol w:w="2778"/>
                        <w:gridCol w:w="342"/>
                        <w:gridCol w:w="2719"/>
                        <w:gridCol w:w="401"/>
                      </w:tblGrid>
                      <w:tr>
                        <w:trPr/>
                        <w:tc>
                          <w:tcPr>
                            <w:tcW w:w="9359" w:type="dxa"/>
                            <w:gridSpan w:val="6"/>
                            <w:tcBorders/>
                            <w:shd w:fill="auto" w:val="clear"/>
                          </w:tcPr>
                          <w:p>
                            <w:pPr>
                              <w:pStyle w:val="P68B1DB1Contenudetableau9"/>
                              <w:spacing w:before="57" w:after="57"/>
                              <w:jc w:val="center"/>
                              <w:rPr>
                                <w:sz w:val="16"/>
                              </w:rPr>
                            </w:pPr>
                            <w:r>
                              <w:rPr/>
                              <w:t>SESSIE 2</w:t>
                            </w:r>
                          </w:p>
                        </w:tc>
                      </w:tr>
                      <w:tr>
                        <w:trPr/>
                        <w:tc>
                          <w:tcPr>
                            <w:tcW w:w="3119" w:type="dxa"/>
                            <w:gridSpan w:val="2"/>
                            <w:tcBorders>
                              <w:top w:val="single" w:sz="4" w:space="0" w:color="0000FF"/>
                              <w:left w:val="single" w:sz="4" w:space="0" w:color="0000FF"/>
                              <w:bottom w:val="single" w:sz="4" w:space="0" w:color="0000FF"/>
                              <w:insideH w:val="single" w:sz="4" w:space="0" w:color="0000FF"/>
                            </w:tcBorders>
                            <w:shd w:fill="0000FF" w:val="clear"/>
                            <w:tcMar>
                              <w:top w:w="28" w:type="dxa"/>
                              <w:left w:w="23" w:type="dxa"/>
                              <w:bottom w:w="28" w:type="dxa"/>
                              <w:right w:w="28" w:type="dxa"/>
                            </w:tcMar>
                          </w:tcPr>
                          <w:p>
                            <w:pPr>
                              <w:pStyle w:val="P68B1DB1Contenudetableau9"/>
                              <w:spacing w:before="57" w:after="57"/>
                              <w:jc w:val="center"/>
                              <w:rPr>
                                <w:sz w:val="16"/>
                              </w:rPr>
                            </w:pPr>
                            <w:r>
                              <w:rPr/>
                              <w:t xml:space="preserve">DAG 1 </w:t>
                            </w:r>
                          </w:p>
                          <w:p>
                            <w:pPr>
                              <w:pStyle w:val="P68B1DB1Contenudetableau9"/>
                              <w:spacing w:before="57" w:after="57"/>
                              <w:jc w:val="center"/>
                              <w:rPr>
                                <w:sz w:val="16"/>
                              </w:rPr>
                            </w:pPr>
                            <w:r>
                              <w:rPr/>
                              <w:t>Nieuwe vergadering voor het panel en voorbereiding van het weekend</w:t>
                            </w:r>
                          </w:p>
                        </w:tc>
                        <w:tc>
                          <w:tcPr>
                            <w:tcW w:w="3120" w:type="dxa"/>
                            <w:gridSpan w:val="2"/>
                            <w:tcBorders>
                              <w:top w:val="single" w:sz="4" w:space="0" w:color="0000FF"/>
                              <w:left w:val="single" w:sz="4" w:space="0" w:color="0000FF"/>
                              <w:bottom w:val="single" w:sz="4" w:space="0" w:color="0000FF"/>
                              <w:insideH w:val="single" w:sz="4" w:space="0" w:color="0000FF"/>
                            </w:tcBorders>
                            <w:shd w:fill="0000FF" w:val="clear"/>
                            <w:tcMar>
                              <w:top w:w="28" w:type="dxa"/>
                              <w:left w:w="23" w:type="dxa"/>
                              <w:bottom w:w="28" w:type="dxa"/>
                              <w:right w:w="28" w:type="dxa"/>
                            </w:tcMar>
                          </w:tcPr>
                          <w:p>
                            <w:pPr>
                              <w:pStyle w:val="P68B1DB1Contenudetableau9"/>
                              <w:spacing w:before="57" w:after="57"/>
                              <w:jc w:val="center"/>
                              <w:rPr>
                                <w:sz w:val="16"/>
                              </w:rPr>
                            </w:pPr>
                            <w:r>
                              <w:rPr/>
                              <w:t xml:space="preserve">DAG 2 </w:t>
                            </w:r>
                          </w:p>
                          <w:p>
                            <w:pPr>
                              <w:pStyle w:val="P68B1DB1Contenudetableau9"/>
                              <w:spacing w:before="57" w:after="57"/>
                              <w:jc w:val="center"/>
                              <w:rPr>
                                <w:sz w:val="16"/>
                              </w:rPr>
                            </w:pPr>
                            <w:r>
                              <w:rPr/>
                              <w:t>Deskundige input, Probleemidentificatie, Leidingsproductie</w:t>
                            </w:r>
                          </w:p>
                        </w:tc>
                        <w:tc>
                          <w:tcPr>
                            <w:tcW w:w="3120" w:type="dxa"/>
                            <w:gridSpan w:val="2"/>
                            <w:tcBorders>
                              <w:top w:val="single" w:sz="4" w:space="0" w:color="0000FF"/>
                              <w:left w:val="single" w:sz="4" w:space="0" w:color="0000FF"/>
                              <w:bottom w:val="single" w:sz="4" w:space="0" w:color="0000FF"/>
                              <w:right w:val="single" w:sz="4" w:space="0" w:color="0000FF"/>
                              <w:insideH w:val="single" w:sz="4" w:space="0" w:color="0000FF"/>
                              <w:insideV w:val="single" w:sz="4" w:space="0" w:color="0000FF"/>
                            </w:tcBorders>
                            <w:shd w:fill="0000FF" w:val="clear"/>
                            <w:tcMar>
                              <w:top w:w="28" w:type="dxa"/>
                              <w:left w:w="23" w:type="dxa"/>
                              <w:bottom w:w="28" w:type="dxa"/>
                              <w:right w:w="28" w:type="dxa"/>
                            </w:tcMar>
                          </w:tcPr>
                          <w:p>
                            <w:pPr>
                              <w:pStyle w:val="P68B1DB1Contenudetableau9"/>
                              <w:spacing w:before="57" w:after="57"/>
                              <w:jc w:val="center"/>
                              <w:rPr>
                                <w:sz w:val="16"/>
                              </w:rPr>
                            </w:pPr>
                            <w:r>
                              <w:rPr/>
                              <w:t xml:space="preserve">DAG 3 </w:t>
                            </w:r>
                          </w:p>
                          <w:p>
                            <w:pPr>
                              <w:pStyle w:val="P68B1DB1Contenudetableau9"/>
                              <w:spacing w:before="57" w:after="57"/>
                              <w:jc w:val="center"/>
                              <w:rPr>
                                <w:sz w:val="16"/>
                              </w:rPr>
                            </w:pPr>
                            <w:r>
                              <w:rPr/>
                              <w:t>Afronding van de richtsnoeren, slotopmerkingen</w:t>
                            </w:r>
                          </w:p>
                        </w:tc>
                      </w:tr>
                      <w:tr>
                        <w:trPr/>
                        <w:tc>
                          <w:tcPr>
                            <w:tcW w:w="3119" w:type="dxa"/>
                            <w:gridSpan w:val="2"/>
                            <w:tcBorders/>
                            <w:shd w:fill="auto" w:val="clear"/>
                          </w:tcPr>
                          <w:p>
                            <w:pPr>
                              <w:pStyle w:val="Contenudetableau"/>
                              <w:spacing w:before="57" w:after="57"/>
                              <w:jc w:val="center"/>
                              <w:rPr>
                                <w:sz w:val="16"/>
                              </w:rPr>
                            </w:pPr>
                            <w:r>
                              <w:rPr>
                                <w:sz w:val="16"/>
                              </w:rPr>
                            </w:r>
                          </w:p>
                        </w:tc>
                        <w:tc>
                          <w:tcPr>
                            <w:tcW w:w="3120" w:type="dxa"/>
                            <w:gridSpan w:val="2"/>
                            <w:tcBorders/>
                            <w:shd w:fill="0000FF" w:val="clear"/>
                          </w:tcPr>
                          <w:p>
                            <w:pPr>
                              <w:pStyle w:val="P68B1DB1Contenudetableau9"/>
                              <w:spacing w:before="57" w:after="57"/>
                              <w:jc w:val="center"/>
                              <w:rPr>
                                <w:sz w:val="16"/>
                              </w:rPr>
                            </w:pPr>
                            <w:r>
                              <w:rPr/>
                              <w:t>Input van experts over subthema’s</w:t>
                            </w:r>
                          </w:p>
                        </w:tc>
                        <w:tc>
                          <w:tcPr>
                            <w:tcW w:w="3120" w:type="dxa"/>
                            <w:gridSpan w:val="2"/>
                            <w:tcBorders/>
                            <w:shd w:fill="0000FF" w:val="clear"/>
                          </w:tcPr>
                          <w:p>
                            <w:pPr>
                              <w:pStyle w:val="P68B1DB1Contenudetableau9"/>
                              <w:spacing w:before="57" w:after="57"/>
                              <w:jc w:val="center"/>
                              <w:rPr>
                                <w:sz w:val="16"/>
                              </w:rPr>
                            </w:pPr>
                            <w:r>
                              <w:rPr/>
                              <w:t>Aanvullende input van experts</w:t>
                            </w:r>
                          </w:p>
                        </w:tc>
                      </w:tr>
                      <w:tr>
                        <w:trPr/>
                        <w:tc>
                          <w:tcPr>
                            <w:tcW w:w="3119" w:type="dxa"/>
                            <w:gridSpan w:val="2"/>
                            <w:vMerge w:val="restart"/>
                            <w:tcBorders/>
                            <w:shd w:fill="800000" w:val="clear"/>
                          </w:tcPr>
                          <w:p>
                            <w:pPr>
                              <w:pStyle w:val="P68B1DB1Contenudetableau9"/>
                              <w:spacing w:before="57" w:after="57"/>
                              <w:jc w:val="center"/>
                              <w:rPr>
                                <w:sz w:val="16"/>
                              </w:rPr>
                            </w:pPr>
                            <w:r>
                              <w:rPr/>
                              <w:t xml:space="preserve">Welkom, </w:t>
                            </w:r>
                          </w:p>
                          <w:p>
                            <w:pPr>
                              <w:pStyle w:val="P68B1DB1Contenudetableau9"/>
                              <w:spacing w:before="57" w:after="57"/>
                              <w:jc w:val="center"/>
                              <w:rPr>
                                <w:sz w:val="16"/>
                              </w:rPr>
                            </w:pPr>
                            <w:r>
                              <w:rPr/>
                              <w:t xml:space="preserve">Woorden aan de ambassadeurs van de burgers voor hun feedback, </w:t>
                              <w:br/>
                              <w:t>Platformupdate, Agenda</w:t>
                            </w:r>
                          </w:p>
                        </w:tc>
                        <w:tc>
                          <w:tcPr>
                            <w:tcW w:w="3120" w:type="dxa"/>
                            <w:gridSpan w:val="2"/>
                            <w:tcBorders/>
                            <w:shd w:fill="00FF00" w:val="clear"/>
                          </w:tcPr>
                          <w:p>
                            <w:pPr>
                              <w:pStyle w:val="P68B1DB1Contenudetableau9"/>
                              <w:spacing w:before="57" w:after="57"/>
                              <w:jc w:val="center"/>
                              <w:rPr>
                                <w:sz w:val="16"/>
                              </w:rPr>
                            </w:pPr>
                            <w:r>
                              <w:rPr/>
                              <w:t>Opstellen van richtlijnen</w:t>
                            </w:r>
                          </w:p>
                        </w:tc>
                        <w:tc>
                          <w:tcPr>
                            <w:tcW w:w="3120" w:type="dxa"/>
                            <w:gridSpan w:val="2"/>
                            <w:tcBorders/>
                            <w:shd w:fill="00FF00" w:val="clear"/>
                          </w:tcPr>
                          <w:p>
                            <w:pPr>
                              <w:pStyle w:val="P68B1DB1Contenudetableau9"/>
                              <w:spacing w:before="57" w:after="57"/>
                              <w:jc w:val="center"/>
                              <w:rPr>
                                <w:sz w:val="16"/>
                              </w:rPr>
                            </w:pPr>
                            <w:r>
                              <w:rPr/>
                              <w:t xml:space="preserve"> </w:t>
                            </w:r>
                            <w:r>
                              <w:rPr/>
                              <w:t>Afronding van de richtsnoeren</w:t>
                            </w:r>
                          </w:p>
                        </w:tc>
                      </w:tr>
                      <w:tr>
                        <w:trPr/>
                        <w:tc>
                          <w:tcPr>
                            <w:tcW w:w="3119" w:type="dxa"/>
                            <w:gridSpan w:val="2"/>
                            <w:vMerge w:val="continue"/>
                            <w:tcBorders/>
                            <w:shd w:fill="800000" w:val="clear"/>
                          </w:tcPr>
                          <w:p>
                            <w:pPr>
                              <w:pStyle w:val="Normal"/>
                              <w:spacing w:before="57" w:after="57"/>
                              <w:ind w:left="0" w:right="0" w:hanging="0"/>
                              <w:rPr/>
                            </w:pPr>
                            <w:r>
                              <w:rPr/>
                            </w:r>
                          </w:p>
                        </w:tc>
                        <w:tc>
                          <w:tcPr>
                            <w:tcW w:w="3120" w:type="dxa"/>
                            <w:gridSpan w:val="2"/>
                            <w:tcBorders/>
                            <w:shd w:fill="auto" w:val="clear"/>
                          </w:tcPr>
                          <w:p>
                            <w:pPr>
                              <w:pStyle w:val="Contenudetableau"/>
                              <w:spacing w:before="57" w:after="57"/>
                              <w:jc w:val="center"/>
                              <w:rPr>
                                <w:sz w:val="16"/>
                              </w:rPr>
                            </w:pPr>
                            <w:r>
                              <w:rPr>
                                <w:sz w:val="16"/>
                              </w:rPr>
                            </w:r>
                          </w:p>
                        </w:tc>
                        <w:tc>
                          <w:tcPr>
                            <w:tcW w:w="3120" w:type="dxa"/>
                            <w:gridSpan w:val="2"/>
                            <w:tcBorders/>
                            <w:shd w:fill="800000" w:val="clear"/>
                          </w:tcPr>
                          <w:p>
                            <w:pPr>
                              <w:pStyle w:val="P68B1DB1Contenudetableau9"/>
                              <w:spacing w:before="57" w:after="57"/>
                              <w:jc w:val="center"/>
                              <w:rPr>
                                <w:sz w:val="16"/>
                              </w:rPr>
                            </w:pPr>
                            <w:r>
                              <w:rPr/>
                              <w:t xml:space="preserve">Delen van bepaalde oriëntaties, </w:t>
                              <w:br/>
                              <w:t>Laatste opmerkingen</w:t>
                            </w:r>
                          </w:p>
                        </w:tc>
                      </w:tr>
                      <w:tr>
                        <w:trPr/>
                        <w:tc>
                          <w:tcPr>
                            <w:tcW w:w="2774" w:type="dxa"/>
                            <w:tcBorders/>
                            <w:shd w:fill="auto" w:val="clear"/>
                          </w:tcPr>
                          <w:p>
                            <w:pPr>
                              <w:pStyle w:val="Contenudetableau"/>
                              <w:widowControl w:val="false"/>
                              <w:suppressLineNumbers/>
                              <w:spacing w:before="57" w:after="57"/>
                              <w:rPr/>
                            </w:pPr>
                            <w:r>
                              <w:rPr/>
                            </w:r>
                          </w:p>
                        </w:tc>
                        <w:tc>
                          <w:tcPr>
                            <w:tcW w:w="345" w:type="dxa"/>
                            <w:tcBorders/>
                            <w:shd w:fill="auto" w:val="clear"/>
                          </w:tcPr>
                          <w:p>
                            <w:pPr>
                              <w:pStyle w:val="Contenudetableau"/>
                              <w:widowControl w:val="false"/>
                              <w:suppressLineNumbers/>
                              <w:spacing w:before="57" w:after="57"/>
                              <w:rPr/>
                            </w:pPr>
                            <w:r>
                              <w:rPr/>
                            </w:r>
                          </w:p>
                        </w:tc>
                        <w:tc>
                          <w:tcPr>
                            <w:tcW w:w="2778" w:type="dxa"/>
                            <w:tcBorders/>
                            <w:shd w:fill="auto" w:val="clear"/>
                          </w:tcPr>
                          <w:p>
                            <w:pPr>
                              <w:pStyle w:val="Contenudetableau"/>
                              <w:widowControl w:val="false"/>
                              <w:suppressLineNumbers/>
                              <w:spacing w:before="57" w:after="57"/>
                              <w:rPr/>
                            </w:pPr>
                            <w:r>
                              <w:rPr/>
                            </w:r>
                          </w:p>
                        </w:tc>
                        <w:tc>
                          <w:tcPr>
                            <w:tcW w:w="342" w:type="dxa"/>
                            <w:tcBorders/>
                            <w:shd w:fill="auto" w:val="clear"/>
                          </w:tcPr>
                          <w:p>
                            <w:pPr>
                              <w:pStyle w:val="Contenudetableau"/>
                              <w:widowControl w:val="false"/>
                              <w:suppressLineNumbers/>
                              <w:spacing w:before="57" w:after="57"/>
                              <w:rPr/>
                            </w:pPr>
                            <w:r>
                              <w:rPr/>
                            </w:r>
                          </w:p>
                        </w:tc>
                        <w:tc>
                          <w:tcPr>
                            <w:tcW w:w="2719" w:type="dxa"/>
                            <w:tcBorders/>
                            <w:shd w:fill="auto" w:val="clear"/>
                          </w:tcPr>
                          <w:p>
                            <w:pPr>
                              <w:pStyle w:val="Contenudetableau"/>
                              <w:widowControl w:val="false"/>
                              <w:suppressLineNumbers/>
                              <w:spacing w:before="57" w:after="57"/>
                              <w:rPr/>
                            </w:pPr>
                            <w:r>
                              <w:rPr/>
                            </w:r>
                          </w:p>
                        </w:tc>
                        <w:tc>
                          <w:tcPr>
                            <w:tcW w:w="401" w:type="dxa"/>
                            <w:tcBorders/>
                            <w:shd w:fill="auto" w:val="clear"/>
                          </w:tcPr>
                          <w:p>
                            <w:pPr>
                              <w:pStyle w:val="Contenudetableau"/>
                              <w:spacing w:before="57" w:after="57"/>
                              <w:rPr>
                                <w:sz w:val="16"/>
                              </w:rPr>
                            </w:pPr>
                            <w:r>
                              <w:rPr>
                                <w:sz w:val="16"/>
                              </w:rPr>
                            </w:r>
                          </w:p>
                        </w:tc>
                      </w:tr>
                      <w:tr>
                        <w:trPr/>
                        <w:tc>
                          <w:tcPr>
                            <w:tcW w:w="2774" w:type="dxa"/>
                            <w:tcBorders/>
                            <w:shd w:fill="auto" w:val="clear"/>
                          </w:tcPr>
                          <w:p>
                            <w:pPr>
                              <w:pStyle w:val="P68B1DB1Contenudetableau9"/>
                              <w:spacing w:before="57" w:after="57"/>
                              <w:jc w:val="right"/>
                              <w:rPr>
                                <w:sz w:val="16"/>
                              </w:rPr>
                            </w:pPr>
                            <w:r>
                              <w:rPr/>
                              <w:t>Plenaire vergadering</w:t>
                            </w:r>
                          </w:p>
                        </w:tc>
                        <w:tc>
                          <w:tcPr>
                            <w:tcW w:w="345" w:type="dxa"/>
                            <w:tcBorders/>
                            <w:shd w:fill="800000" w:val="clear"/>
                          </w:tcPr>
                          <w:p>
                            <w:pPr>
                              <w:pStyle w:val="Contenudetableau"/>
                              <w:spacing w:before="57" w:after="57"/>
                              <w:jc w:val="right"/>
                              <w:rPr>
                                <w:sz w:val="16"/>
                              </w:rPr>
                            </w:pPr>
                            <w:r>
                              <w:rPr>
                                <w:sz w:val="16"/>
                              </w:rPr>
                            </w:r>
                          </w:p>
                        </w:tc>
                        <w:tc>
                          <w:tcPr>
                            <w:tcW w:w="2778" w:type="dxa"/>
                            <w:tcBorders/>
                            <w:shd w:fill="auto" w:val="clear"/>
                          </w:tcPr>
                          <w:p>
                            <w:pPr>
                              <w:pStyle w:val="P68B1DB1Contenudetableau9"/>
                              <w:spacing w:before="57" w:after="57"/>
                              <w:jc w:val="right"/>
                              <w:rPr>
                                <w:sz w:val="16"/>
                              </w:rPr>
                            </w:pPr>
                            <w:r>
                              <w:rPr/>
                              <w:t>Plenaire vergadering van het thema</w:t>
                            </w:r>
                          </w:p>
                        </w:tc>
                        <w:tc>
                          <w:tcPr>
                            <w:tcW w:w="342" w:type="dxa"/>
                            <w:tcBorders/>
                            <w:shd w:fill="0000FF" w:val="clear"/>
                          </w:tcPr>
                          <w:p>
                            <w:pPr>
                              <w:pStyle w:val="Contenudetableau"/>
                              <w:spacing w:before="57" w:after="57"/>
                              <w:jc w:val="right"/>
                              <w:rPr>
                                <w:sz w:val="16"/>
                              </w:rPr>
                            </w:pPr>
                            <w:r>
                              <w:rPr>
                                <w:sz w:val="16"/>
                              </w:rPr>
                            </w:r>
                          </w:p>
                        </w:tc>
                        <w:tc>
                          <w:tcPr>
                            <w:tcW w:w="2719" w:type="dxa"/>
                            <w:tcBorders/>
                            <w:shd w:fill="auto" w:val="clear"/>
                          </w:tcPr>
                          <w:p>
                            <w:pPr>
                              <w:pStyle w:val="P68B1DB1Contenudetableau9"/>
                              <w:spacing w:before="57" w:after="57"/>
                              <w:jc w:val="right"/>
                              <w:rPr>
                                <w:sz w:val="16"/>
                              </w:rPr>
                            </w:pPr>
                            <w:r>
                              <w:rPr/>
                              <w:t>Subgroep sessie</w:t>
                            </w:r>
                          </w:p>
                        </w:tc>
                        <w:tc>
                          <w:tcPr>
                            <w:tcW w:w="401" w:type="dxa"/>
                            <w:tcBorders/>
                            <w:shd w:fill="00FF00" w:val="clear"/>
                          </w:tcPr>
                          <w:p>
                            <w:pPr>
                              <w:pStyle w:val="Contenudetableau"/>
                              <w:spacing w:before="57" w:after="57"/>
                              <w:rPr>
                                <w:sz w:val="16"/>
                              </w:rPr>
                            </w:pPr>
                            <w:r>
                              <w:rPr>
                                <w:sz w:val="16"/>
                              </w:rPr>
                            </w:r>
                          </w:p>
                        </w:tc>
                      </w:tr>
                    </w:tbl>
                    <w:p>
                      <w:pPr>
                        <w:pStyle w:val="Contenudecadre"/>
                        <w:spacing w:before="57" w:after="57"/>
                        <w:rPr>
                          <w:color w:val="auto"/>
                        </w:rPr>
                      </w:pPr>
                      <w:r>
                        <w:rPr>
                          <w:color w:val="auto"/>
                        </w:rPr>
                      </w:r>
                    </w:p>
                  </w:txbxContent>
                </v:textbox>
              </v:rect>
            </w:pict>
          </mc:Fallback>
        </mc:AlternateContent>
      </w:r>
      <w:r>
        <w:rPr/>
        <w:t xml:space="preserve"> </w:t>
      </w:r>
      <w:r>
        <w:rPr/>
        <w:t>in de plenaire vergadering, met alle deelnemers. De plenaire vergaderingen werden geleid door twee hoofdmoderatoren. De uit de besprekingen voortvloeiende prioritaire thema’s waren onderverdeeld in „as” (overeenkomend met de thematische clusters) en „subas” en dienden als basis voor de tweede reeks sessies. Daartoe kregen de deelnemers achtergrondinformatie over de thema’s, evenals relevante inputs, waaronder analyses en conceptuele schema’s, uit het eerste tussentijdse verslag van het meertalige digitale platform en presentaties door externe deskundigen op hoog niveau.</w:t>
      </w:r>
    </w:p>
    <w:p>
      <w:pPr>
        <w:pStyle w:val="Corpsdetexte"/>
        <w:rPr/>
      </w:pPr>
      <w:r>
        <w:rPr/>
        <w:t>Tijdens de eerste zittingen werden de 20 personen die gevraagd werden om elk van de panels in de plenaire vergadering te vertegenwoordigen, gekozen uit de vrijwillige burgers; daarbij werd hij in de gaten gehouden voor de diversiteit van leeftijd en geslacht.</w:t>
      </w:r>
    </w:p>
    <w:p>
      <w:pPr>
        <w:pStyle w:val="Titre4"/>
        <w:numPr>
          <w:ilvl w:val="3"/>
          <w:numId w:val="2"/>
        </w:numPr>
        <w:rPr/>
      </w:pPr>
      <w:bookmarkStart w:id="12" w:name="__RefHeading___Toc298198_1346298689"/>
      <w:bookmarkEnd w:id="12"/>
      <w:r>
        <w:rPr/>
        <w:t>TWEEDE RONDE VAN PANELSESSIES</w:t>
      </w:r>
    </w:p>
    <w:p>
      <w:pPr>
        <w:pStyle w:val="Corpsdetexte"/>
        <w:rPr/>
      </w:pPr>
      <w:r>
        <w:rPr/>
        <w:t>De Europese burgerpanels hebben hun werkzaamheden in november voortgezet door online bijeen te komen. Daartoe was een bijzondere regeling ingevoerd: een studio in Brussel organiseerde de belangrijkste moderatie- en plenaire sessies, terwijl deelnemende burgers uit de hele EU konden ingrijpen via een systeem van verbinding en vertolking.</w:t>
      </w:r>
    </w:p>
    <w:p>
      <w:pPr>
        <w:pStyle w:val="Corpsdetexte"/>
        <w:rPr/>
      </w:pPr>
      <w:r>
        <w:rPr/>
        <w:t>In de tweede sessieronde, met de steun van deskundigen en factcheckers, identificeerden en bespraken burgers een reeks specifieke kwesties en ontwikkelden zij richtsnoeren voor elk van de thematische assen die zij tijdens de eerste zitting hadden geïdentificeerd. Er is bijzondere aandacht besteed aan gender- en geografisch evenwicht binnen de deskundigengroep, en dat elk van deze deskundigen, door middel van hun bijdragen, de burgers grondig informeert door feiten en/of vooruitgang in het debat te communiceren en geen persoonlijke meningen te geven. De burgers kregen ook de tussentijdse verslagen van het meertalige digitale platform.</w:t>
      </w:r>
    </w:p>
    <w:p>
      <w:pPr>
        <w:pStyle w:val="Corpsdetexte"/>
        <w:rPr/>
      </w:pPr>
      <w:r>
        <w:rPr/>
        <w:t>Zo konden zij kwesties in verband met de aan hen toegewezen thema’s identificeren en bespreken, voortbouwend op de inbreng van de deskundigen over de behandelde onderwerpen en hun eigen kennis en ervaringen, tijdens de beraadslagingen tijdens de tweede sessieronde. Problemen zijn gedefinieerd als problemen die oplossingen of situaties vereisen die verandering vereisen.</w:t>
      </w:r>
    </w:p>
    <w:p>
      <w:pPr>
        <w:pStyle w:val="Corpsdetexte"/>
        <w:rPr/>
      </w:pPr>
      <w:r>
        <w:rPr/>
        <w:t>De burgers hebben deze kwesties vervolgens aangepakt door richtsnoeren te ontwikkelen, de eerste stap in de richting van het formuleren van aanbevelingen, die het doel van de derde reeks sessies was. Ook werd de burgers gevraagd deze richtsnoeren te rechtvaardigen.</w:t>
      </w:r>
    </w:p>
    <w:p>
      <w:pPr>
        <w:pStyle w:val="Corpsdetexte"/>
        <w:rPr/>
      </w:pPr>
      <w:r>
        <w:rPr/>
        <w:t>De discussies en collectieve werkzaamheden vonden plaats in drie formaten:</w:t>
      </w:r>
    </w:p>
    <w:p>
      <w:pPr>
        <w:pStyle w:val="Alineanegatifpuce"/>
        <w:numPr>
          <w:ilvl w:val="0"/>
          <w:numId w:val="3"/>
        </w:numPr>
        <w:spacing w:before="4842" w:after="57"/>
        <w:rPr/>
      </w:pPr>
      <w:r>
        <mc:AlternateContent>
          <mc:Choice Requires="wps">
            <w:drawing>
              <wp:anchor behindDoc="0" distT="72390" distB="72390" distL="72390" distR="72390" simplePos="0" locked="0" layoutInCell="1" allowOverlap="1" relativeHeight="9">
                <wp:simplePos x="0" y="0"/>
                <wp:positionH relativeFrom="column">
                  <wp:posOffset>46990</wp:posOffset>
                </wp:positionH>
                <wp:positionV relativeFrom="paragraph">
                  <wp:posOffset>1572260</wp:posOffset>
                </wp:positionV>
                <wp:extent cx="6087745" cy="3075305"/>
                <wp:effectExtent l="0" t="0" r="0" b="0"/>
                <wp:wrapSquare wrapText="bothSides"/>
                <wp:docPr id="18" name="Kader4"/>
                <a:graphic xmlns:a="http://schemas.openxmlformats.org/drawingml/2006/main">
                  <a:graphicData uri="http://schemas.microsoft.com/office/word/2010/wordprocessingShape">
                    <wps:wsp>
                      <wps:cNvSpPr/>
                      <wps:spPr>
                        <a:xfrm>
                          <a:off x="0" y="0"/>
                          <a:ext cx="6087240" cy="3074760"/>
                        </a:xfrm>
                        <a:prstGeom prst="rect">
                          <a:avLst/>
                        </a:prstGeom>
                        <a:solidFill>
                          <a:srgbClr val="ffffff"/>
                        </a:solidFill>
                        <a:ln w="720">
                          <a:solidFill>
                            <a:srgbClr val="000000"/>
                          </a:solidFill>
                          <a:round/>
                        </a:ln>
                      </wps:spPr>
                      <wps:style>
                        <a:lnRef idx="0"/>
                        <a:fillRef idx="0"/>
                        <a:effectRef idx="0"/>
                        <a:fontRef idx="minor"/>
                      </wps:style>
                      <wps:txbx>
                        <w:txbxContent>
                          <w:tbl>
                            <w:tblPr>
                              <w:tblW w:w="9414" w:type="dxa"/>
                              <w:jc w:val="left"/>
                              <w:tblInd w:w="0" w:type="dxa"/>
                              <w:tblBorders/>
                              <w:tblCellMar>
                                <w:top w:w="0" w:type="dxa"/>
                                <w:left w:w="0" w:type="dxa"/>
                                <w:bottom w:w="0" w:type="dxa"/>
                                <w:right w:w="0" w:type="dxa"/>
                              </w:tblCellMar>
                            </w:tblPr>
                            <w:tblGrid>
                              <w:gridCol w:w="3138"/>
                              <w:gridCol w:w="3138"/>
                              <w:gridCol w:w="3138"/>
                            </w:tblGrid>
                            <w:tr>
                              <w:trPr/>
                              <w:tc>
                                <w:tcPr>
                                  <w:tcW w:w="9414" w:type="dxa"/>
                                  <w:gridSpan w:val="3"/>
                                  <w:tcBorders/>
                                  <w:shd w:fill="auto" w:val="clear"/>
                                </w:tcPr>
                                <w:p>
                                  <w:pPr>
                                    <w:pStyle w:val="P68B1DB1Contenudetableau10"/>
                                    <w:spacing w:before="57" w:after="57"/>
                                    <w:jc w:val="center"/>
                                    <w:rPr>
                                      <w:b/>
                                      <w:b/>
                                    </w:rPr>
                                  </w:pPr>
                                  <w:r>
                                    <w:rPr/>
                                    <w:t>SESSIE 3</w:t>
                                  </w:r>
                                </w:p>
                              </w:tc>
                            </w:tr>
                            <w:tr>
                              <w:trPr/>
                              <w:tc>
                                <w:tcPr>
                                  <w:tcW w:w="3138" w:type="dxa"/>
                                  <w:tcBorders/>
                                  <w:shd w:fill="0000FF" w:val="clear"/>
                                </w:tcPr>
                                <w:p>
                                  <w:pPr>
                                    <w:pStyle w:val="P68B1DB1Contenudetableau10"/>
                                    <w:spacing w:before="57" w:after="57"/>
                                    <w:jc w:val="center"/>
                                    <w:rPr>
                                      <w:b/>
                                      <w:b/>
                                    </w:rPr>
                                  </w:pPr>
                                  <w:r>
                                    <w:rPr/>
                                    <w:t xml:space="preserve">DAG 1 </w:t>
                                  </w:r>
                                </w:p>
                                <w:p>
                                  <w:pPr>
                                    <w:pStyle w:val="Contenudetableau"/>
                                    <w:spacing w:before="57" w:after="57"/>
                                    <w:jc w:val="center"/>
                                    <w:rPr/>
                                  </w:pPr>
                                  <w:r>
                                    <w:rPr/>
                                    <w:t>Herverbinding, prioritering en begin van het werk</w:t>
                                  </w:r>
                                </w:p>
                              </w:tc>
                              <w:tc>
                                <w:tcPr>
                                  <w:tcW w:w="3138" w:type="dxa"/>
                                  <w:tcBorders/>
                                  <w:shd w:fill="0000FF" w:val="clear"/>
                                </w:tcPr>
                                <w:p>
                                  <w:pPr>
                                    <w:pStyle w:val="P68B1DB1Contenudetableau10"/>
                                    <w:spacing w:before="57" w:after="57"/>
                                    <w:jc w:val="center"/>
                                    <w:rPr>
                                      <w:b/>
                                      <w:b/>
                                    </w:rPr>
                                  </w:pPr>
                                  <w:r>
                                    <w:rPr/>
                                    <w:t xml:space="preserve">DAG 2 </w:t>
                                  </w:r>
                                </w:p>
                                <w:p>
                                  <w:pPr>
                                    <w:pStyle w:val="Contenudetableau"/>
                                    <w:jc w:val="center"/>
                                    <w:rPr/>
                                  </w:pPr>
                                  <w:r>
                                    <w:rPr/>
                                    <w:t xml:space="preserve">Transformatie van richtlijnen </w:t>
                                  </w:r>
                                </w:p>
                                <w:p>
                                  <w:pPr>
                                    <w:pStyle w:val="Contenudetableau"/>
                                    <w:spacing w:before="57" w:after="57"/>
                                    <w:jc w:val="center"/>
                                    <w:rPr/>
                                  </w:pPr>
                                  <w:r>
                                    <w:rPr/>
                                    <w:t>definitieve aanbevelingen</w:t>
                                  </w:r>
                                </w:p>
                              </w:tc>
                              <w:tc>
                                <w:tcPr>
                                  <w:tcW w:w="3138" w:type="dxa"/>
                                  <w:tcBorders/>
                                  <w:shd w:fill="0000FF" w:val="clear"/>
                                </w:tcPr>
                                <w:p>
                                  <w:pPr>
                                    <w:pStyle w:val="P68B1DB1Contenudetableau10"/>
                                    <w:spacing w:before="57" w:after="57"/>
                                    <w:jc w:val="center"/>
                                    <w:rPr>
                                      <w:b/>
                                      <w:b/>
                                    </w:rPr>
                                  </w:pPr>
                                  <w:r>
                                    <w:rPr/>
                                    <w:t xml:space="preserve">DAG 3 </w:t>
                                  </w:r>
                                </w:p>
                                <w:p>
                                  <w:pPr>
                                    <w:pStyle w:val="Contenudetableau"/>
                                    <w:spacing w:before="57" w:after="57"/>
                                    <w:jc w:val="center"/>
                                    <w:rPr/>
                                  </w:pPr>
                                  <w:r>
                                    <w:rPr/>
                                    <w:t>Stemming over definitieve aanbevelingen</w:t>
                                  </w:r>
                                </w:p>
                              </w:tc>
                            </w:tr>
                            <w:tr>
                              <w:trPr/>
                              <w:tc>
                                <w:tcPr>
                                  <w:tcW w:w="3138" w:type="dxa"/>
                                  <w:tcBorders/>
                                  <w:shd w:fill="800000" w:val="clear"/>
                                </w:tcPr>
                                <w:p>
                                  <w:pPr>
                                    <w:pStyle w:val="Contenudetableau"/>
                                    <w:spacing w:before="57" w:after="57"/>
                                    <w:jc w:val="center"/>
                                    <w:rPr/>
                                  </w:pPr>
                                  <w:r>
                                    <w:rPr/>
                                    <w:t>Welkom en doelstellingen van het weekend</w:t>
                                  </w:r>
                                </w:p>
                              </w:tc>
                              <w:tc>
                                <w:tcPr>
                                  <w:tcW w:w="3138" w:type="dxa"/>
                                  <w:tcBorders/>
                                  <w:shd w:fill="00FF00" w:val="clear"/>
                                </w:tcPr>
                                <w:p>
                                  <w:pPr>
                                    <w:pStyle w:val="Contenudetableau"/>
                                    <w:spacing w:before="57" w:after="57"/>
                                    <w:jc w:val="center"/>
                                    <w:rPr/>
                                  </w:pPr>
                                  <w:r>
                                    <w:rPr/>
                                    <w:t>Begeleiding omzetten in aanbevelingen</w:t>
                                  </w:r>
                                </w:p>
                              </w:tc>
                              <w:tc>
                                <w:tcPr>
                                  <w:tcW w:w="3138" w:type="dxa"/>
                                  <w:tcBorders/>
                                  <w:shd w:fill="800000" w:val="clear"/>
                                </w:tcPr>
                                <w:p>
                                  <w:pPr>
                                    <w:pStyle w:val="Contenudetableau"/>
                                    <w:spacing w:before="57" w:after="57"/>
                                    <w:jc w:val="center"/>
                                    <w:rPr/>
                                  </w:pPr>
                                  <w:r>
                                    <w:rPr/>
                                    <w:t>Stemming over definitieve aanbevelingen</w:t>
                                  </w:r>
                                </w:p>
                              </w:tc>
                            </w:tr>
                            <w:tr>
                              <w:trPr/>
                              <w:tc>
                                <w:tcPr>
                                  <w:tcW w:w="3138" w:type="dxa"/>
                                  <w:tcBorders/>
                                  <w:shd w:fill="0000FF" w:val="clear"/>
                                </w:tcPr>
                                <w:p>
                                  <w:pPr>
                                    <w:pStyle w:val="Contenudetableau"/>
                                    <w:spacing w:before="57" w:after="57"/>
                                    <w:jc w:val="center"/>
                                    <w:rPr/>
                                  </w:pPr>
                                  <w:r>
                                    <w:rPr/>
                                    <w:t xml:space="preserve">Open forum, </w:t>
                                  </w:r>
                                </w:p>
                                <w:p>
                                  <w:pPr>
                                    <w:pStyle w:val="Contenudetableau"/>
                                    <w:spacing w:before="57" w:after="57"/>
                                    <w:jc w:val="center"/>
                                    <w:rPr/>
                                  </w:pPr>
                                  <w:r>
                                    <w:rPr/>
                                    <w:t>Lezen en prioriteren van richtlijnen</w:t>
                                  </w:r>
                                </w:p>
                              </w:tc>
                              <w:tc>
                                <w:tcPr>
                                  <w:tcW w:w="3138" w:type="dxa"/>
                                  <w:tcBorders/>
                                  <w:shd w:fill="00FF00" w:val="clear"/>
                                </w:tcPr>
                                <w:p>
                                  <w:pPr>
                                    <w:pStyle w:val="Contenudetableau"/>
                                    <w:spacing w:before="57" w:after="57"/>
                                    <w:jc w:val="center"/>
                                    <w:rPr/>
                                  </w:pPr>
                                  <w:r>
                                    <w:rPr/>
                                    <w:t>Feedback aan andere groepen, Voltooiing van aanbevelingen</w:t>
                                  </w:r>
                                </w:p>
                              </w:tc>
                              <w:tc>
                                <w:tcPr>
                                  <w:tcW w:w="3138" w:type="dxa"/>
                                  <w:tcBorders/>
                                  <w:shd w:fill="auto" w:val="clear"/>
                                </w:tcPr>
                                <w:p>
                                  <w:pPr>
                                    <w:pStyle w:val="Contenudetableau"/>
                                    <w:spacing w:before="57" w:after="57"/>
                                    <w:jc w:val="center"/>
                                    <w:rPr/>
                                  </w:pPr>
                                  <w:r>
                                    <w:rPr/>
                                  </w:r>
                                </w:p>
                              </w:tc>
                            </w:tr>
                            <w:tr>
                              <w:trPr/>
                              <w:tc>
                                <w:tcPr>
                                  <w:tcW w:w="3138" w:type="dxa"/>
                                  <w:tcBorders/>
                                  <w:shd w:fill="00FF00" w:val="clear"/>
                                </w:tcPr>
                                <w:p>
                                  <w:pPr>
                                    <w:pStyle w:val="Contenudetableau"/>
                                    <w:spacing w:before="57" w:after="57"/>
                                    <w:jc w:val="center"/>
                                    <w:rPr/>
                                  </w:pPr>
                                  <w:r>
                                    <w:rPr/>
                                    <w:t>Begeleiding omzetten in aanbevelingen</w:t>
                                  </w:r>
                                </w:p>
                              </w:tc>
                              <w:tc>
                                <w:tcPr>
                                  <w:tcW w:w="3138" w:type="dxa"/>
                                  <w:tcBorders/>
                                  <w:shd w:fill="auto" w:val="clear"/>
                                </w:tcPr>
                                <w:p>
                                  <w:pPr>
                                    <w:pStyle w:val="Contenudetableau"/>
                                    <w:spacing w:before="57" w:after="57"/>
                                    <w:jc w:val="center"/>
                                    <w:rPr/>
                                  </w:pPr>
                                  <w:r>
                                    <w:rPr/>
                                  </w:r>
                                </w:p>
                              </w:tc>
                              <w:tc>
                                <w:tcPr>
                                  <w:tcW w:w="3138" w:type="dxa"/>
                                  <w:tcBorders/>
                                  <w:shd w:fill="auto" w:val="clear"/>
                                </w:tcPr>
                                <w:p>
                                  <w:pPr>
                                    <w:pStyle w:val="Contenudetableau"/>
                                    <w:spacing w:before="57" w:after="57"/>
                                    <w:jc w:val="center"/>
                                    <w:rPr/>
                                  </w:pPr>
                                  <w:r>
                                    <w:rPr/>
                                  </w:r>
                                </w:p>
                              </w:tc>
                            </w:tr>
                          </w:tbl>
                          <w:p>
                            <w:pPr>
                              <w:pStyle w:val="Contenudecadre"/>
                              <w:rPr>
                                <w:color w:val="auto"/>
                              </w:rPr>
                            </w:pPr>
                            <w:r>
                              <w:rPr>
                                <w:color w:val="auto"/>
                              </w:rPr>
                            </w:r>
                          </w:p>
                          <w:tbl>
                            <w:tblPr>
                              <w:tblW w:w="9414" w:type="dxa"/>
                              <w:jc w:val="left"/>
                              <w:tblInd w:w="0" w:type="dxa"/>
                              <w:tblBorders/>
                              <w:tblCellMar>
                                <w:top w:w="0" w:type="dxa"/>
                                <w:left w:w="0" w:type="dxa"/>
                                <w:bottom w:w="0" w:type="dxa"/>
                                <w:right w:w="0" w:type="dxa"/>
                              </w:tblCellMar>
                            </w:tblPr>
                            <w:tblGrid>
                              <w:gridCol w:w="2790"/>
                              <w:gridCol w:w="347"/>
                              <w:gridCol w:w="2794"/>
                              <w:gridCol w:w="345"/>
                              <w:gridCol w:w="2735"/>
                              <w:gridCol w:w="402"/>
                            </w:tblGrid>
                            <w:tr>
                              <w:trPr/>
                              <w:tc>
                                <w:tcPr>
                                  <w:tcW w:w="2790" w:type="dxa"/>
                                  <w:tcBorders/>
                                  <w:shd w:fill="auto" w:val="clear"/>
                                </w:tcPr>
                                <w:p>
                                  <w:pPr>
                                    <w:pStyle w:val="P68B1DB1Contenudetableau9"/>
                                    <w:spacing w:before="57" w:after="57"/>
                                    <w:jc w:val="right"/>
                                    <w:rPr>
                                      <w:sz w:val="16"/>
                                    </w:rPr>
                                  </w:pPr>
                                  <w:r>
                                    <w:rPr>
                                      <w:color w:val="auto"/>
                                    </w:rPr>
                                    <w:t>Plenaire vergadering</w:t>
                                  </w:r>
                                </w:p>
                              </w:tc>
                              <w:tc>
                                <w:tcPr>
                                  <w:tcW w:w="347" w:type="dxa"/>
                                  <w:tcBorders/>
                                  <w:shd w:fill="800000" w:val="clear"/>
                                </w:tcPr>
                                <w:p>
                                  <w:pPr>
                                    <w:pStyle w:val="Contenudetableau"/>
                                    <w:spacing w:before="57" w:after="57"/>
                                    <w:jc w:val="right"/>
                                    <w:rPr>
                                      <w:color w:val="auto"/>
                                      <w:sz w:val="16"/>
                                    </w:rPr>
                                  </w:pPr>
                                  <w:r>
                                    <w:rPr>
                                      <w:color w:val="auto"/>
                                      <w:sz w:val="16"/>
                                    </w:rPr>
                                  </w:r>
                                </w:p>
                              </w:tc>
                              <w:tc>
                                <w:tcPr>
                                  <w:tcW w:w="2794" w:type="dxa"/>
                                  <w:tcBorders/>
                                  <w:shd w:fill="auto" w:val="clear"/>
                                </w:tcPr>
                                <w:p>
                                  <w:pPr>
                                    <w:pStyle w:val="P68B1DB1Contenudetableau9"/>
                                    <w:spacing w:before="57" w:after="57"/>
                                    <w:jc w:val="right"/>
                                    <w:rPr>
                                      <w:sz w:val="16"/>
                                    </w:rPr>
                                  </w:pPr>
                                  <w:r>
                                    <w:rPr>
                                      <w:color w:val="auto"/>
                                    </w:rPr>
                                    <w:t>Open forum</w:t>
                                  </w:r>
                                </w:p>
                              </w:tc>
                              <w:tc>
                                <w:tcPr>
                                  <w:tcW w:w="345" w:type="dxa"/>
                                  <w:tcBorders/>
                                  <w:shd w:fill="0000FF" w:val="clear"/>
                                </w:tcPr>
                                <w:p>
                                  <w:pPr>
                                    <w:pStyle w:val="Contenudetableau"/>
                                    <w:spacing w:before="57" w:after="57"/>
                                    <w:jc w:val="right"/>
                                    <w:rPr>
                                      <w:color w:val="auto"/>
                                      <w:sz w:val="16"/>
                                    </w:rPr>
                                  </w:pPr>
                                  <w:r>
                                    <w:rPr>
                                      <w:color w:val="auto"/>
                                      <w:sz w:val="16"/>
                                    </w:rPr>
                                  </w:r>
                                </w:p>
                              </w:tc>
                              <w:tc>
                                <w:tcPr>
                                  <w:tcW w:w="2735" w:type="dxa"/>
                                  <w:tcBorders/>
                                  <w:shd w:fill="auto" w:val="clear"/>
                                </w:tcPr>
                                <w:p>
                                  <w:pPr>
                                    <w:pStyle w:val="P68B1DB1Contenudetableau9"/>
                                    <w:spacing w:before="57" w:after="57"/>
                                    <w:jc w:val="right"/>
                                    <w:rPr>
                                      <w:sz w:val="16"/>
                                    </w:rPr>
                                  </w:pPr>
                                  <w:r>
                                    <w:rPr>
                                      <w:color w:val="auto"/>
                                    </w:rPr>
                                    <w:t>Subgroep werk</w:t>
                                  </w:r>
                                </w:p>
                              </w:tc>
                              <w:tc>
                                <w:tcPr>
                                  <w:tcW w:w="402" w:type="dxa"/>
                                  <w:tcBorders/>
                                  <w:shd w:fill="00FF00" w:val="clear"/>
                                </w:tcPr>
                                <w:p>
                                  <w:pPr>
                                    <w:pStyle w:val="Contenudetableau"/>
                                    <w:spacing w:before="57" w:after="57"/>
                                    <w:rPr>
                                      <w:color w:val="auto"/>
                                      <w:sz w:val="16"/>
                                    </w:rPr>
                                  </w:pPr>
                                  <w:r>
                                    <w:rPr>
                                      <w:color w:val="auto"/>
                                      <w:sz w:val="16"/>
                                    </w:rPr>
                                  </w:r>
                                </w:p>
                              </w:tc>
                            </w:tr>
                          </w:tbl>
                          <w:p>
                            <w:pPr>
                              <w:pStyle w:val="Normal"/>
                              <w:spacing w:before="57" w:after="57"/>
                              <w:rPr>
                                <w:color w:val="auto"/>
                              </w:rPr>
                            </w:pPr>
                            <w:r>
                              <w:rPr>
                                <w:color w:val="auto"/>
                              </w:rPr>
                            </w:r>
                          </w:p>
                        </w:txbxContent>
                      </wps:txbx>
                      <wps:bodyPr lIns="54000" rIns="54000" tIns="54000" bIns="54000">
                        <a:noAutofit/>
                      </wps:bodyPr>
                    </wps:wsp>
                  </a:graphicData>
                </a:graphic>
              </wp:anchor>
            </w:drawing>
          </mc:Choice>
          <mc:Fallback>
            <w:pict>
              <v:rect id="shape_0" ID="Kader4" fillcolor="white" stroked="t" style="position:absolute;margin-left:3.7pt;margin-top:123.8pt;width:479.25pt;height:242.05pt">
                <w10:wrap type="square"/>
                <v:fill o:detectmouseclick="t" type="solid" color2="black"/>
                <v:stroke color="black" weight="720" joinstyle="round" endcap="flat"/>
                <v:textbox>
                  <w:txbxContent>
                    <w:tbl>
                      <w:tblPr>
                        <w:tblW w:w="9414" w:type="dxa"/>
                        <w:jc w:val="left"/>
                        <w:tblInd w:w="0" w:type="dxa"/>
                        <w:tblBorders/>
                        <w:tblCellMar>
                          <w:top w:w="0" w:type="dxa"/>
                          <w:left w:w="0" w:type="dxa"/>
                          <w:bottom w:w="0" w:type="dxa"/>
                          <w:right w:w="0" w:type="dxa"/>
                        </w:tblCellMar>
                      </w:tblPr>
                      <w:tblGrid>
                        <w:gridCol w:w="3138"/>
                        <w:gridCol w:w="3138"/>
                        <w:gridCol w:w="3138"/>
                      </w:tblGrid>
                      <w:tr>
                        <w:trPr/>
                        <w:tc>
                          <w:tcPr>
                            <w:tcW w:w="9414" w:type="dxa"/>
                            <w:gridSpan w:val="3"/>
                            <w:tcBorders/>
                            <w:shd w:fill="auto" w:val="clear"/>
                          </w:tcPr>
                          <w:p>
                            <w:pPr>
                              <w:pStyle w:val="P68B1DB1Contenudetableau10"/>
                              <w:spacing w:before="57" w:after="57"/>
                              <w:jc w:val="center"/>
                              <w:rPr>
                                <w:b/>
                                <w:b/>
                              </w:rPr>
                            </w:pPr>
                            <w:r>
                              <w:rPr/>
                              <w:t>SESSIE 3</w:t>
                            </w:r>
                          </w:p>
                        </w:tc>
                      </w:tr>
                      <w:tr>
                        <w:trPr/>
                        <w:tc>
                          <w:tcPr>
                            <w:tcW w:w="3138" w:type="dxa"/>
                            <w:tcBorders/>
                            <w:shd w:fill="0000FF" w:val="clear"/>
                          </w:tcPr>
                          <w:p>
                            <w:pPr>
                              <w:pStyle w:val="P68B1DB1Contenudetableau10"/>
                              <w:spacing w:before="57" w:after="57"/>
                              <w:jc w:val="center"/>
                              <w:rPr>
                                <w:b/>
                                <w:b/>
                              </w:rPr>
                            </w:pPr>
                            <w:r>
                              <w:rPr/>
                              <w:t xml:space="preserve">DAG 1 </w:t>
                            </w:r>
                          </w:p>
                          <w:p>
                            <w:pPr>
                              <w:pStyle w:val="Contenudetableau"/>
                              <w:spacing w:before="57" w:after="57"/>
                              <w:jc w:val="center"/>
                              <w:rPr/>
                            </w:pPr>
                            <w:r>
                              <w:rPr/>
                              <w:t>Herverbinding, prioritering en begin van het werk</w:t>
                            </w:r>
                          </w:p>
                        </w:tc>
                        <w:tc>
                          <w:tcPr>
                            <w:tcW w:w="3138" w:type="dxa"/>
                            <w:tcBorders/>
                            <w:shd w:fill="0000FF" w:val="clear"/>
                          </w:tcPr>
                          <w:p>
                            <w:pPr>
                              <w:pStyle w:val="P68B1DB1Contenudetableau10"/>
                              <w:spacing w:before="57" w:after="57"/>
                              <w:jc w:val="center"/>
                              <w:rPr>
                                <w:b/>
                                <w:b/>
                              </w:rPr>
                            </w:pPr>
                            <w:r>
                              <w:rPr/>
                              <w:t xml:space="preserve">DAG 2 </w:t>
                            </w:r>
                          </w:p>
                          <w:p>
                            <w:pPr>
                              <w:pStyle w:val="Contenudetableau"/>
                              <w:jc w:val="center"/>
                              <w:rPr/>
                            </w:pPr>
                            <w:r>
                              <w:rPr/>
                              <w:t xml:space="preserve">Transformatie van richtlijnen </w:t>
                            </w:r>
                          </w:p>
                          <w:p>
                            <w:pPr>
                              <w:pStyle w:val="Contenudetableau"/>
                              <w:spacing w:before="57" w:after="57"/>
                              <w:jc w:val="center"/>
                              <w:rPr/>
                            </w:pPr>
                            <w:r>
                              <w:rPr/>
                              <w:t>definitieve aanbevelingen</w:t>
                            </w:r>
                          </w:p>
                        </w:tc>
                        <w:tc>
                          <w:tcPr>
                            <w:tcW w:w="3138" w:type="dxa"/>
                            <w:tcBorders/>
                            <w:shd w:fill="0000FF" w:val="clear"/>
                          </w:tcPr>
                          <w:p>
                            <w:pPr>
                              <w:pStyle w:val="P68B1DB1Contenudetableau10"/>
                              <w:spacing w:before="57" w:after="57"/>
                              <w:jc w:val="center"/>
                              <w:rPr>
                                <w:b/>
                                <w:b/>
                              </w:rPr>
                            </w:pPr>
                            <w:r>
                              <w:rPr/>
                              <w:t xml:space="preserve">DAG 3 </w:t>
                            </w:r>
                          </w:p>
                          <w:p>
                            <w:pPr>
                              <w:pStyle w:val="Contenudetableau"/>
                              <w:spacing w:before="57" w:after="57"/>
                              <w:jc w:val="center"/>
                              <w:rPr/>
                            </w:pPr>
                            <w:r>
                              <w:rPr/>
                              <w:t>Stemming over definitieve aanbevelingen</w:t>
                            </w:r>
                          </w:p>
                        </w:tc>
                      </w:tr>
                      <w:tr>
                        <w:trPr/>
                        <w:tc>
                          <w:tcPr>
                            <w:tcW w:w="3138" w:type="dxa"/>
                            <w:tcBorders/>
                            <w:shd w:fill="800000" w:val="clear"/>
                          </w:tcPr>
                          <w:p>
                            <w:pPr>
                              <w:pStyle w:val="Contenudetableau"/>
                              <w:spacing w:before="57" w:after="57"/>
                              <w:jc w:val="center"/>
                              <w:rPr/>
                            </w:pPr>
                            <w:r>
                              <w:rPr/>
                              <w:t>Welkom en doelstellingen van het weekend</w:t>
                            </w:r>
                          </w:p>
                        </w:tc>
                        <w:tc>
                          <w:tcPr>
                            <w:tcW w:w="3138" w:type="dxa"/>
                            <w:tcBorders/>
                            <w:shd w:fill="00FF00" w:val="clear"/>
                          </w:tcPr>
                          <w:p>
                            <w:pPr>
                              <w:pStyle w:val="Contenudetableau"/>
                              <w:spacing w:before="57" w:after="57"/>
                              <w:jc w:val="center"/>
                              <w:rPr/>
                            </w:pPr>
                            <w:r>
                              <w:rPr/>
                              <w:t>Begeleiding omzetten in aanbevelingen</w:t>
                            </w:r>
                          </w:p>
                        </w:tc>
                        <w:tc>
                          <w:tcPr>
                            <w:tcW w:w="3138" w:type="dxa"/>
                            <w:tcBorders/>
                            <w:shd w:fill="800000" w:val="clear"/>
                          </w:tcPr>
                          <w:p>
                            <w:pPr>
                              <w:pStyle w:val="Contenudetableau"/>
                              <w:spacing w:before="57" w:after="57"/>
                              <w:jc w:val="center"/>
                              <w:rPr/>
                            </w:pPr>
                            <w:r>
                              <w:rPr/>
                              <w:t>Stemming over definitieve aanbevelingen</w:t>
                            </w:r>
                          </w:p>
                        </w:tc>
                      </w:tr>
                      <w:tr>
                        <w:trPr/>
                        <w:tc>
                          <w:tcPr>
                            <w:tcW w:w="3138" w:type="dxa"/>
                            <w:tcBorders/>
                            <w:shd w:fill="0000FF" w:val="clear"/>
                          </w:tcPr>
                          <w:p>
                            <w:pPr>
                              <w:pStyle w:val="Contenudetableau"/>
                              <w:spacing w:before="57" w:after="57"/>
                              <w:jc w:val="center"/>
                              <w:rPr/>
                            </w:pPr>
                            <w:r>
                              <w:rPr/>
                              <w:t xml:space="preserve">Open forum, </w:t>
                            </w:r>
                          </w:p>
                          <w:p>
                            <w:pPr>
                              <w:pStyle w:val="Contenudetableau"/>
                              <w:spacing w:before="57" w:after="57"/>
                              <w:jc w:val="center"/>
                              <w:rPr/>
                            </w:pPr>
                            <w:r>
                              <w:rPr/>
                              <w:t>Lezen en prioriteren van richtlijnen</w:t>
                            </w:r>
                          </w:p>
                        </w:tc>
                        <w:tc>
                          <w:tcPr>
                            <w:tcW w:w="3138" w:type="dxa"/>
                            <w:tcBorders/>
                            <w:shd w:fill="00FF00" w:val="clear"/>
                          </w:tcPr>
                          <w:p>
                            <w:pPr>
                              <w:pStyle w:val="Contenudetableau"/>
                              <w:spacing w:before="57" w:after="57"/>
                              <w:jc w:val="center"/>
                              <w:rPr/>
                            </w:pPr>
                            <w:r>
                              <w:rPr/>
                              <w:t>Feedback aan andere groepen, Voltooiing van aanbevelingen</w:t>
                            </w:r>
                          </w:p>
                        </w:tc>
                        <w:tc>
                          <w:tcPr>
                            <w:tcW w:w="3138" w:type="dxa"/>
                            <w:tcBorders/>
                            <w:shd w:fill="auto" w:val="clear"/>
                          </w:tcPr>
                          <w:p>
                            <w:pPr>
                              <w:pStyle w:val="Contenudetableau"/>
                              <w:spacing w:before="57" w:after="57"/>
                              <w:jc w:val="center"/>
                              <w:rPr/>
                            </w:pPr>
                            <w:r>
                              <w:rPr/>
                            </w:r>
                          </w:p>
                        </w:tc>
                      </w:tr>
                      <w:tr>
                        <w:trPr/>
                        <w:tc>
                          <w:tcPr>
                            <w:tcW w:w="3138" w:type="dxa"/>
                            <w:tcBorders/>
                            <w:shd w:fill="00FF00" w:val="clear"/>
                          </w:tcPr>
                          <w:p>
                            <w:pPr>
                              <w:pStyle w:val="Contenudetableau"/>
                              <w:spacing w:before="57" w:after="57"/>
                              <w:jc w:val="center"/>
                              <w:rPr/>
                            </w:pPr>
                            <w:r>
                              <w:rPr/>
                              <w:t>Begeleiding omzetten in aanbevelingen</w:t>
                            </w:r>
                          </w:p>
                        </w:tc>
                        <w:tc>
                          <w:tcPr>
                            <w:tcW w:w="3138" w:type="dxa"/>
                            <w:tcBorders/>
                            <w:shd w:fill="auto" w:val="clear"/>
                          </w:tcPr>
                          <w:p>
                            <w:pPr>
                              <w:pStyle w:val="Contenudetableau"/>
                              <w:spacing w:before="57" w:after="57"/>
                              <w:jc w:val="center"/>
                              <w:rPr/>
                            </w:pPr>
                            <w:r>
                              <w:rPr/>
                            </w:r>
                          </w:p>
                        </w:tc>
                        <w:tc>
                          <w:tcPr>
                            <w:tcW w:w="3138" w:type="dxa"/>
                            <w:tcBorders/>
                            <w:shd w:fill="auto" w:val="clear"/>
                          </w:tcPr>
                          <w:p>
                            <w:pPr>
                              <w:pStyle w:val="Contenudetableau"/>
                              <w:spacing w:before="57" w:after="57"/>
                              <w:jc w:val="center"/>
                              <w:rPr/>
                            </w:pPr>
                            <w:r>
                              <w:rPr/>
                            </w:r>
                          </w:p>
                        </w:tc>
                      </w:tr>
                    </w:tbl>
                    <w:p>
                      <w:pPr>
                        <w:pStyle w:val="Contenudecadre"/>
                        <w:rPr>
                          <w:color w:val="auto"/>
                        </w:rPr>
                      </w:pPr>
                      <w:r>
                        <w:rPr>
                          <w:color w:val="auto"/>
                        </w:rPr>
                      </w:r>
                    </w:p>
                    <w:tbl>
                      <w:tblPr>
                        <w:tblW w:w="9414" w:type="dxa"/>
                        <w:jc w:val="left"/>
                        <w:tblInd w:w="0" w:type="dxa"/>
                        <w:tblBorders/>
                        <w:tblCellMar>
                          <w:top w:w="0" w:type="dxa"/>
                          <w:left w:w="0" w:type="dxa"/>
                          <w:bottom w:w="0" w:type="dxa"/>
                          <w:right w:w="0" w:type="dxa"/>
                        </w:tblCellMar>
                      </w:tblPr>
                      <w:tblGrid>
                        <w:gridCol w:w="2790"/>
                        <w:gridCol w:w="347"/>
                        <w:gridCol w:w="2794"/>
                        <w:gridCol w:w="345"/>
                        <w:gridCol w:w="2735"/>
                        <w:gridCol w:w="402"/>
                      </w:tblGrid>
                      <w:tr>
                        <w:trPr/>
                        <w:tc>
                          <w:tcPr>
                            <w:tcW w:w="2790" w:type="dxa"/>
                            <w:tcBorders/>
                            <w:shd w:fill="auto" w:val="clear"/>
                          </w:tcPr>
                          <w:p>
                            <w:pPr>
                              <w:pStyle w:val="P68B1DB1Contenudetableau9"/>
                              <w:spacing w:before="57" w:after="57"/>
                              <w:jc w:val="right"/>
                              <w:rPr>
                                <w:sz w:val="16"/>
                              </w:rPr>
                            </w:pPr>
                            <w:r>
                              <w:rPr>
                                <w:color w:val="auto"/>
                              </w:rPr>
                              <w:t>Plenaire vergadering</w:t>
                            </w:r>
                          </w:p>
                        </w:tc>
                        <w:tc>
                          <w:tcPr>
                            <w:tcW w:w="347" w:type="dxa"/>
                            <w:tcBorders/>
                            <w:shd w:fill="800000" w:val="clear"/>
                          </w:tcPr>
                          <w:p>
                            <w:pPr>
                              <w:pStyle w:val="Contenudetableau"/>
                              <w:spacing w:before="57" w:after="57"/>
                              <w:jc w:val="right"/>
                              <w:rPr>
                                <w:color w:val="auto"/>
                                <w:sz w:val="16"/>
                              </w:rPr>
                            </w:pPr>
                            <w:r>
                              <w:rPr>
                                <w:color w:val="auto"/>
                                <w:sz w:val="16"/>
                              </w:rPr>
                            </w:r>
                          </w:p>
                        </w:tc>
                        <w:tc>
                          <w:tcPr>
                            <w:tcW w:w="2794" w:type="dxa"/>
                            <w:tcBorders/>
                            <w:shd w:fill="auto" w:val="clear"/>
                          </w:tcPr>
                          <w:p>
                            <w:pPr>
                              <w:pStyle w:val="P68B1DB1Contenudetableau9"/>
                              <w:spacing w:before="57" w:after="57"/>
                              <w:jc w:val="right"/>
                              <w:rPr>
                                <w:sz w:val="16"/>
                              </w:rPr>
                            </w:pPr>
                            <w:r>
                              <w:rPr>
                                <w:color w:val="auto"/>
                              </w:rPr>
                              <w:t>Open forum</w:t>
                            </w:r>
                          </w:p>
                        </w:tc>
                        <w:tc>
                          <w:tcPr>
                            <w:tcW w:w="345" w:type="dxa"/>
                            <w:tcBorders/>
                            <w:shd w:fill="0000FF" w:val="clear"/>
                          </w:tcPr>
                          <w:p>
                            <w:pPr>
                              <w:pStyle w:val="Contenudetableau"/>
                              <w:spacing w:before="57" w:after="57"/>
                              <w:jc w:val="right"/>
                              <w:rPr>
                                <w:color w:val="auto"/>
                                <w:sz w:val="16"/>
                              </w:rPr>
                            </w:pPr>
                            <w:r>
                              <w:rPr>
                                <w:color w:val="auto"/>
                                <w:sz w:val="16"/>
                              </w:rPr>
                            </w:r>
                          </w:p>
                        </w:tc>
                        <w:tc>
                          <w:tcPr>
                            <w:tcW w:w="2735" w:type="dxa"/>
                            <w:tcBorders/>
                            <w:shd w:fill="auto" w:val="clear"/>
                          </w:tcPr>
                          <w:p>
                            <w:pPr>
                              <w:pStyle w:val="P68B1DB1Contenudetableau9"/>
                              <w:spacing w:before="57" w:after="57"/>
                              <w:jc w:val="right"/>
                              <w:rPr>
                                <w:sz w:val="16"/>
                              </w:rPr>
                            </w:pPr>
                            <w:r>
                              <w:rPr>
                                <w:color w:val="auto"/>
                              </w:rPr>
                              <w:t>Subgroep werk</w:t>
                            </w:r>
                          </w:p>
                        </w:tc>
                        <w:tc>
                          <w:tcPr>
                            <w:tcW w:w="402" w:type="dxa"/>
                            <w:tcBorders/>
                            <w:shd w:fill="00FF00" w:val="clear"/>
                          </w:tcPr>
                          <w:p>
                            <w:pPr>
                              <w:pStyle w:val="Contenudetableau"/>
                              <w:spacing w:before="57" w:after="57"/>
                              <w:rPr>
                                <w:color w:val="auto"/>
                                <w:sz w:val="16"/>
                              </w:rPr>
                            </w:pPr>
                            <w:r>
                              <w:rPr>
                                <w:color w:val="auto"/>
                                <w:sz w:val="16"/>
                              </w:rPr>
                            </w:r>
                          </w:p>
                        </w:tc>
                      </w:tr>
                    </w:tbl>
                    <w:p>
                      <w:pPr>
                        <w:pStyle w:val="Normal"/>
                        <w:spacing w:before="57" w:after="57"/>
                        <w:rPr>
                          <w:color w:val="auto"/>
                        </w:rPr>
                      </w:pPr>
                      <w:r>
                        <w:rPr>
                          <w:color w:val="auto"/>
                        </w:rPr>
                      </w:r>
                    </w:p>
                  </w:txbxContent>
                </v:textbox>
              </v:rect>
            </w:pict>
          </mc:Fallback>
        </mc:AlternateContent>
      </w:r>
      <w:r>
        <w:rPr/>
        <w:t xml:space="preserve"> </w:t>
      </w:r>
      <w:r>
        <w:rPr/>
        <w:t>in subgroepen. Elk van de vijftien subgroepen bestond uit twaalf tot veertien burgers. In elke subgroep werden vier tot vijf talen gebruikt om burgers in staat te stellen zich uit te drukken in hun eigen taal of in een taal waarin zij zich op hun gemak voelden. Elke subgroep had een professionele facilitator van het consortium van externe dienstverleners.</w:t>
      </w:r>
    </w:p>
    <w:p>
      <w:pPr>
        <w:pStyle w:val="Alineanegatifpuce"/>
        <w:numPr>
          <w:ilvl w:val="0"/>
          <w:numId w:val="3"/>
        </w:numPr>
        <w:rPr/>
      </w:pPr>
      <w:r>
        <w:rPr/>
        <w:t xml:space="preserve"> </w:t>
      </w:r>
      <w:r>
        <w:rPr/>
        <w:t>in de plenaire vergadering gewijd aan een werkstroom. Elke plenaire zitting gewijd aan een werkas bracht de subgroepen die op dezelfde thematische as werken samen. De plenaire zittingen voor een werkstroom werden gefaciliteerd door professionele facilitators, waarbij vertolking alle door de deelnemers vereiste talen omvat.</w:t>
      </w:r>
    </w:p>
    <w:p>
      <w:pPr>
        <w:pStyle w:val="Alineanegatifpuce"/>
        <w:numPr>
          <w:ilvl w:val="0"/>
          <w:numId w:val="3"/>
        </w:numPr>
        <w:rPr/>
      </w:pPr>
      <w:r>
        <w:rPr/>
        <w:t xml:space="preserve"> </w:t>
      </w:r>
      <w:r>
        <w:rPr/>
        <w:t>in de plenaire vergadering, met alle deelnemende burgers, om de zitting te presenteren en af te sluiten. De plenaire vergaderingen werden geleid door twee belangrijkste moderators van het consortium, met vertolking in de 24 officiële EU-talen.</w:t>
      </w:r>
    </w:p>
    <w:p>
      <w:pPr>
        <w:pStyle w:val="Alineanegatifpuce"/>
        <w:numPr>
          <w:ilvl w:val="0"/>
          <w:numId w:val="0"/>
        </w:numPr>
        <w:ind w:left="0" w:right="0" w:hanging="0"/>
        <w:rPr/>
      </w:pPr>
      <w:r>
        <w:rPr/>
      </w:r>
      <w:r>
        <w:br w:type="page"/>
      </w:r>
    </w:p>
    <w:p>
      <w:pPr>
        <w:pStyle w:val="Titre4"/>
        <w:numPr>
          <w:ilvl w:val="3"/>
          <w:numId w:val="2"/>
        </w:numPr>
        <w:rPr/>
      </w:pPr>
      <w:bookmarkStart w:id="13" w:name="__RefHeading___Toc298200_1346298689"/>
      <w:bookmarkEnd w:id="13"/>
      <w:r>
        <w:rPr/>
        <w:t>DERDE RONDE VAN PANELSESSIES</w:t>
      </w:r>
    </w:p>
    <w:p>
      <w:pPr>
        <w:pStyle w:val="Corpsdetexte"/>
        <w:rPr/>
      </w:pPr>
      <w:r>
        <w:rPr/>
        <w:t>De derde en laatste ronde van panelvergaderingen vond persoonlijk plaats in onderwijsinstellingen in vier lidstaten. Als gevolg van de COVID-19-pandemie en aanverwante maatregelen in Ierland en Nederland, de derde zitting van panels 1 (Een sterkere economie, sociale rechtvaardigheid en werkgelegenheid); onderwijs, cultuur, jeugd en sport; digitale transformatie) en 4 (de EU in de wereld; migratie) moest worden uitgesteld tot februari 2022, in overleg met de nationale autoriteiten en geassocieerde partners.</w:t>
      </w:r>
    </w:p>
    <w:p>
      <w:pPr>
        <w:pStyle w:val="Corpsdetexte"/>
        <w:rPr/>
      </w:pPr>
      <w:r>
        <w:rPr/>
        <w:t xml:space="preserve">De discussies en collectieve werkzaamheden vonden plaats in de volgende formaten: </w:t>
      </w:r>
    </w:p>
    <w:p>
      <w:pPr>
        <w:pStyle w:val="Alineanegatifpuce"/>
        <w:numPr>
          <w:ilvl w:val="0"/>
          <w:numId w:val="3"/>
        </w:numPr>
        <w:rPr/>
      </w:pPr>
      <w:r>
        <w:rPr/>
        <w:t xml:space="preserve"> </w:t>
      </w:r>
      <w:r>
        <w:rPr/>
        <w:t>tijdens de plenaire vergadering met alle deelnemers, aan het begin van de sessie om het programma en aan het einde van de sessie te presenteren, zoals hieronder uiteengezet. De plenaire vergaderingen werden geleid door twee belangrijkste moderators van de beraadslaginggroep, met vertolking in de 24 officiële talen van de EU.</w:t>
      </w:r>
    </w:p>
    <w:p>
      <w:pPr>
        <w:pStyle w:val="Alineanegatifpuce"/>
        <w:numPr>
          <w:ilvl w:val="0"/>
          <w:numId w:val="3"/>
        </w:numPr>
        <w:rPr/>
      </w:pPr>
      <w:r>
        <w:rPr/>
        <w:t xml:space="preserve"> </w:t>
      </w:r>
      <w:r>
        <w:rPr/>
        <w:t>Burgers zijn begonnen met het bestuderen van alle richtsnoeren die het panel tijdens sessie 2 heeft ontwikkeld als onderdeel van een „open forum”. Elke burger gaf vervolgens prioriteit aan maximaal tien oriëntaties per werkas. Zodra dit prioriteringsproces op het niveau van het panel werd afgerond, sloten burgers zich aan bij de subgroep waarin ze al tijdens sessie 2 hadden gewerkt en namen gezamenlijk kennis van de richtsnoeren van de groep die door de rest van het panel prioriteit hadden gekregen — een mogelijkheid om deze keuze te vergelijken met hun eigen beoordeling. Voor de opstelling van de aanbevelingen kreeg elke subgroep een indicatief bereik van het aantal op te stellen aanbevelingen: van één naar drie, met een maximum van vijf.</w:t>
      </w:r>
    </w:p>
    <w:p>
      <w:pPr>
        <w:pStyle w:val="Alineanegatifpuce"/>
        <w:numPr>
          <w:ilvl w:val="0"/>
          <w:numId w:val="3"/>
        </w:numPr>
        <w:rPr/>
      </w:pPr>
      <w:r>
        <w:rPr/>
        <w:t xml:space="preserve"> </w:t>
      </w:r>
      <w:r>
        <w:rPr/>
        <w:t xml:space="preserve">Elk van de 15 subgroepen werkte aan het ontwikkelen van richtsnoeren voor aanbevelingen. Burgers bespraken de richtsnoeren die de meeste steun hadden gekregen (in volgorde van prioriteit) en begonnen met het opstellen van de aanbevelingen. </w:t>
      </w:r>
    </w:p>
    <w:p>
      <w:pPr>
        <w:pStyle w:val="Normal"/>
        <w:rPr/>
      </w:pPr>
      <w:r>
        <w:rPr/>
        <w:t>Tijdens de derde reeks sessies werden expertise en informatie niet in directe interactie met de burgers gebracht, maar via een speciaal ontworpen systeem, een „Resources and Information Point”. Dit systeem is gebruikt om alle verzoeken om informatie en factcheck ter plaatse te centraliseren en om beknopte en feitelijke antwoorden van deskundigen en factcheckers aan de subgroepen te geven. Dit systeem is ontworpen om ervoor te zorgen dat de input van deskundigen en factcheckers wordt opgesteld in overeenstemming met de hoogste kwaliteitsnormen en om onnodige invloed in dit stadium van het proces te voorkomen. De burgers kregen ook de tussentijdse verslagen van het meertalige digitale platform.</w:t>
      </w:r>
    </w:p>
    <w:p>
      <w:pPr>
        <w:pStyle w:val="Corpsdetexte"/>
        <w:rPr/>
      </w:pPr>
      <w:r>
        <w:rPr/>
        <w:t>Tijdens het werk van de subgroep werden feedbacksessies georganiseerd om deelnemers te helpen inzicht te krijgen in het werk van de andere subgroepen en hun aanbevelingen te versterken.</w:t>
      </w:r>
    </w:p>
    <w:p>
      <w:pPr>
        <w:pStyle w:val="Corpsdetexte"/>
        <w:rPr/>
      </w:pPr>
      <w:r>
        <w:rPr/>
        <w:t>De aanbevelingen van elke subgroep werden vervolgens op de laatste dag van de zitting door het panel goedgekeurd. Voorafgaand aan de stemming ontvingen alle deelnemers een document met alle ontwerpaanbevelingen die de dag ervoor waren opgesteld, zodat ze ze in hun eigen taal konden lezen (automatische vertaling uit het Engels). Elke aanbeveling werd in de plenaire vergadering in het Engels gelezen om burgers tegelijkertijd de vertolking te laten horen. De ene na de andere werden de aanbevelingen in stemming gebracht door middel van een online formulier.</w:t>
      </w:r>
    </w:p>
    <w:p>
      <w:pPr>
        <w:pStyle w:val="Corpsdetexte"/>
        <w:rPr/>
      </w:pPr>
      <w:r>
        <w:rPr/>
        <w:t>Op basis van de resultaten van de eindstemmingen werden de aanbevelingen als volgt ingedeeld:</w:t>
      </w:r>
    </w:p>
    <w:p>
      <w:pPr>
        <w:pStyle w:val="Corpsdetexte"/>
        <w:rPr/>
      </w:pPr>
      <w:r>
        <w:rPr/>
        <w:t>De aanbevelingen die 70 % of meer van de uitgebrachte stemmen hebben ontvangen, zijn goedgekeurd door het panel; aanbevelingen die niet aan deze drempel voldeden, werden door het panel als niet gevalideerd beschouwd. In totaal hebben de Europese burgerpanels 178 aanbevelingen aangenomen.</w:t>
      </w:r>
    </w:p>
    <w:p>
      <w:pPr>
        <w:pStyle w:val="Corpsdetexte"/>
        <w:rPr/>
      </w:pPr>
      <w:r>
        <w:rPr/>
        <w:t>De stemprocedure werd gecontroleerd door een stemcomité bestaande uit twee burgers die hadden voorgesteld deze rol te vervullen.</w:t>
      </w:r>
    </w:p>
    <w:p>
      <w:pPr>
        <w:pStyle w:val="Titre4"/>
        <w:numPr>
          <w:ilvl w:val="3"/>
          <w:numId w:val="2"/>
        </w:numPr>
        <w:rPr/>
      </w:pPr>
      <w:bookmarkStart w:id="14" w:name="__RefHeading___Toc298202_1346298689"/>
      <w:bookmarkEnd w:id="14"/>
      <w:r>
        <w:rPr/>
        <w:t>VERTEGENWOORDIGERS VAN DE EUROPESE BURGERPANELS IN DE PLENAIRE VERGADERING</w:t>
      </w:r>
    </w:p>
    <w:p>
      <w:pPr>
        <w:pStyle w:val="Corpsdetexte"/>
        <w:rPr/>
      </w:pPr>
      <w:r>
        <w:rPr/>
        <w:t>De aanbevelingen van de vier Europese burgerpanels werden vervolgens gepresenteerd en besproken door de 80 vertegenwoordigers van de Europese burgerpanels tijdens de plenaire vergadering van de conferentie en in de werkgroepen van 21-22 januari 2022 (Panel 2 en 3) en 11-12 maart 2022 (Panel 1 en 4). De 80 vertegenwoordigers van de Europese burgerpanels (gemiddeld 70 ter plaatse en 10 online) bleven de aanbevelingen van de Europese burgerpanels promoten en toelichten tijdens drie opeenvolgende vergaderingen van de voltallige vergadering en de werkgroepen (op 25-26 maart, 8-9 april en 29-30 april).</w:t>
      </w:r>
    </w:p>
    <w:p>
      <w:pPr>
        <w:pStyle w:val="Corpsdetexte"/>
        <w:rPr/>
      </w:pPr>
      <w:r>
        <w:rPr/>
        <w:t>Zij hebben ook regelmatig van gedachten gewisseld tijdens vergaderingen in het kader van de „burgercomponent” (in online voorbereidende vergaderingen en plenaire vergaderingen ter plaatse), met elkaar en met de 27 vertegenwoordigers van nationale evenementen en/of nationale panels. Op 23 april kwamen vertegenwoordigers van de Europese burgerpanels online bijeen met al hun tegenhangers om uit te leggen hoe de aanbevelingen waren besproken en verwerkt in de plenaire voorstellen, en om feedback van andere paneldeelnemers te ontvangen. Een groep leden van het gezamenlijk secretariaat en het consortium steunde de burgercomponent tijdens de plenaire vergadering.</w:t>
      </w:r>
    </w:p>
    <w:p>
      <w:pPr>
        <w:pStyle w:val="Titre4"/>
        <w:numPr>
          <w:ilvl w:val="3"/>
          <w:numId w:val="2"/>
        </w:numPr>
        <w:rPr/>
      </w:pPr>
      <w:bookmarkStart w:id="15" w:name="__RefHeading___Toc298204_1346298689"/>
      <w:bookmarkEnd w:id="15"/>
      <w:r>
        <w:rPr/>
        <w:t>TRANSPARANTIE VAN HET PROCES</w:t>
      </w:r>
    </w:p>
    <w:p>
      <w:pPr>
        <w:pStyle w:val="Corpsdetexte"/>
        <w:rPr/>
      </w:pPr>
      <w:r>
        <w:rPr/>
        <w:t xml:space="preserve"> </w:t>
      </w:r>
      <w:r>
        <w:rPr/>
        <w:t>Het hele proces werd op een transparante manier uitgevoerd. De plenaire vergaderingen van de Europese burgerpanels werden live gestreamd, terwijl de documenten die uit hun besprekingen en beraadslagingen voortvloeiden, ter beschikking werden gesteld van het publiek op het meertalige digitale platform. Het eindverslag van elk van de panelsessies is beschikbaar op het platform, samen met de aanbevelingen. De verslagen bevatten ook informatie over alle deskundigen die het werk van de panels hebben gesteund.</w:t>
      </w:r>
    </w:p>
    <w:p>
      <w:pPr>
        <w:pStyle w:val="Corpsdetexte"/>
        <w:rPr/>
      </w:pPr>
      <w:r>
        <w:rPr/>
        <w:t>Als echte democratische innovatie hebben Europese burgerpanels veel aandacht gekregen van de wetenschappelijke gemeenschap. De onderzoekers konden de vergaderingen van de Europese burgerpanels bijwonen en het gedrag, overeenkomstig bepaalde regels, van de verrichte werkzaamheden en de privacy van de deelnemers in acht nemen.</w:t>
      </w:r>
    </w:p>
    <w:p>
      <w:pPr>
        <w:pStyle w:val="Corpsdetexte"/>
        <w:rPr/>
      </w:pPr>
      <w:r>
        <w:rPr/>
      </w:r>
      <w:r>
        <w:br w:type="page"/>
      </w:r>
    </w:p>
    <w:p>
      <w:pPr>
        <w:pStyle w:val="Titre4"/>
        <w:numPr>
          <w:ilvl w:val="3"/>
          <w:numId w:val="2"/>
        </w:numPr>
        <w:rPr/>
      </w:pPr>
      <w:bookmarkStart w:id="16" w:name="__RefHeading___Toc298206_1346298689"/>
      <w:bookmarkEnd w:id="16"/>
      <w:r>
        <w:rPr/>
        <w:t xml:space="preserve">Paneel 1 </w:t>
        <w:br/>
        <w:t>Een sterkere economie, sociale rechtvaardigheid en werkgelegenheid; onderwijs, cultuur, jeugd en sport; digitale transformatie</w:t>
      </w:r>
    </w:p>
    <w:p>
      <w:pPr>
        <w:pStyle w:val="Corpsdetexte"/>
        <w:rPr/>
      </w:pPr>
      <w:r>
        <w:rPr/>
        <w:t>De eerste zitting van het panel over een sterkere economie, sociale rechtvaardigheid en werkgelegenheid; onderwijs, cultuur, jeugd en sport; digitale transformatie" vond plaats van 17 tot en met 19 september 2021 in Straatsburg. Dit panel ging in op de toekomst van onze economieën en banen, met name na de pandemie, waarbij de nodige aandacht werd besteed aan gerelateerde kwesties op het gebied van sociale rechtvaardigheid. Hij ging ook in op de kansen en uitdagingen van digitale transformatie, een van de belangrijkste onderwerpen voor discussie onder degenen met betrekking tot de toekomst.</w:t>
      </w:r>
    </w:p>
    <w:p>
      <w:pPr>
        <w:pStyle w:val="Corpsdetexte"/>
        <w:spacing w:before="3316" w:after="57"/>
        <w:rPr/>
      </w:pPr>
      <w:r>
        <mc:AlternateContent>
          <mc:Choice Requires="wps">
            <w:drawing>
              <wp:anchor behindDoc="0" distT="0" distB="0" distL="0" distR="0" simplePos="0" locked="0" layoutInCell="1" allowOverlap="1" relativeHeight="48">
                <wp:simplePos x="0" y="0"/>
                <wp:positionH relativeFrom="column">
                  <wp:posOffset>476885</wp:posOffset>
                </wp:positionH>
                <wp:positionV relativeFrom="paragraph">
                  <wp:posOffset>23768685</wp:posOffset>
                </wp:positionV>
                <wp:extent cx="6120765" cy="2106295"/>
                <wp:effectExtent l="0" t="0" r="0" b="0"/>
                <wp:wrapSquare wrapText="largest"/>
                <wp:docPr id="20" name="Kader5"/>
                <a:graphic xmlns:a="http://schemas.openxmlformats.org/drawingml/2006/main">
                  <a:graphicData uri="http://schemas.microsoft.com/office/word/2010/wordprocessingShape">
                    <wps:wsp>
                      <wps:cNvSpPr/>
                      <wps:spPr>
                        <a:xfrm>
                          <a:off x="0" y="0"/>
                          <a:ext cx="6120000" cy="2105640"/>
                        </a:xfrm>
                        <a:prstGeom prst="rect">
                          <a:avLst/>
                        </a:prstGeom>
                        <a:solidFill>
                          <a:srgbClr val="ffffff"/>
                        </a:solidFill>
                        <a:ln>
                          <a:noFill/>
                        </a:ln>
                      </wps:spPr>
                      <wps:style>
                        <a:lnRef idx="0"/>
                        <a:fillRef idx="0"/>
                        <a:effectRef idx="0"/>
                        <a:fontRef idx="minor"/>
                      </wps:style>
                      <wps:txbx>
                        <w:txbxContent>
                          <w:p>
                            <w:pPr>
                              <w:pStyle w:val="P68B1DB1Lgende11"/>
                              <w:spacing w:before="120" w:after="120"/>
                              <w:jc w:val="left"/>
                              <w:rPr>
                                <w:color w:val="auto"/>
                              </w:rPr>
                            </w:pPr>
                            <w:r>
                              <w:rPr>
                                <w:color w:val="auto"/>
                              </w:rPr>
                              <w:drawing>
                                <wp:inline distT="0" distB="0" distL="0" distR="0">
                                  <wp:extent cx="6120130" cy="2105660"/>
                                  <wp:effectExtent l="0" t="0" r="0" b="0"/>
                                  <wp:docPr id="22" name="Afbeelding 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Afbeelding 8" descr=""/>
                                          <pic:cNvPicPr>
                                            <a:picLocks noChangeAspect="1" noChangeArrowheads="1"/>
                                          </pic:cNvPicPr>
                                        </pic:nvPicPr>
                                        <pic:blipFill>
                                          <a:blip r:embed="rId37"/>
                                          <a:stretch>
                                            <a:fillRect/>
                                          </a:stretch>
                                        </pic:blipFill>
                                        <pic:spPr bwMode="auto">
                                          <a:xfrm>
                                            <a:off x="0" y="0"/>
                                            <a:ext cx="6120130" cy="2105660"/>
                                          </a:xfrm>
                                          <a:prstGeom prst="rect">
                                            <a:avLst/>
                                          </a:prstGeom>
                                        </pic:spPr>
                                      </pic:pic>
                                    </a:graphicData>
                                  </a:graphic>
                                </wp:inline>
                              </w:drawing>
                            </w:r>
                            <w:r>
                              <w:rPr>
                                <w:color w:val="auto"/>
                              </w:rPr>
                              <w:t xml:space="preserve">Fotografie: panel 1 van Europese burgers </w:t>
                              <w:tab/>
                              <w:t>Fotografie: panel 2 van Europese burgers</w:t>
                            </w:r>
                          </w:p>
                        </w:txbxContent>
                      </wps:txbx>
                      <wps:bodyPr lIns="0" rIns="0" tIns="0" bIns="0">
                        <a:noAutofit/>
                      </wps:bodyPr>
                    </wps:wsp>
                  </a:graphicData>
                </a:graphic>
              </wp:anchor>
            </w:drawing>
          </mc:Choice>
          <mc:Fallback>
            <w:pict>
              <v:rect id="shape_0" ID="Kader5" fillcolor="white" stroked="f" style="position:absolute;margin-left:37.55pt;margin-top:1871.55pt;width:481.85pt;height:165.75pt">
                <w10:wrap type="square"/>
                <v:fill o:detectmouseclick="t" type="solid" color2="black"/>
                <v:stroke color="#3465a4" joinstyle="round" endcap="flat"/>
                <v:textbox>
                  <w:txbxContent>
                    <w:p>
                      <w:pPr>
                        <w:pStyle w:val="P68B1DB1Lgende11"/>
                        <w:spacing w:before="120" w:after="120"/>
                        <w:jc w:val="left"/>
                        <w:rPr>
                          <w:color w:val="auto"/>
                        </w:rPr>
                      </w:pPr>
                      <w:r>
                        <w:rPr>
                          <w:color w:val="auto"/>
                        </w:rPr>
                        <w:drawing>
                          <wp:inline distT="0" distB="0" distL="0" distR="0">
                            <wp:extent cx="6120130" cy="2105660"/>
                            <wp:effectExtent l="0" t="0" r="0" b="0"/>
                            <wp:docPr id="23" name="Afbeelding 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Afbeelding 8" descr=""/>
                                    <pic:cNvPicPr>
                                      <a:picLocks noChangeAspect="1" noChangeArrowheads="1"/>
                                    </pic:cNvPicPr>
                                  </pic:nvPicPr>
                                  <pic:blipFill>
                                    <a:blip r:embed="rId37"/>
                                    <a:stretch>
                                      <a:fillRect/>
                                    </a:stretch>
                                  </pic:blipFill>
                                  <pic:spPr bwMode="auto">
                                    <a:xfrm>
                                      <a:off x="0" y="0"/>
                                      <a:ext cx="6120130" cy="2105660"/>
                                    </a:xfrm>
                                    <a:prstGeom prst="rect">
                                      <a:avLst/>
                                    </a:prstGeom>
                                  </pic:spPr>
                                </pic:pic>
                              </a:graphicData>
                            </a:graphic>
                          </wp:inline>
                        </w:drawing>
                      </w:r>
                      <w:r>
                        <w:rPr>
                          <w:color w:val="auto"/>
                        </w:rPr>
                        <w:t xml:space="preserve">Fotografie: panel 1 van Europese burgers </w:t>
                        <w:tab/>
                        <w:t>Fotografie: panel 2 van Europese burgers</w:t>
                      </w:r>
                    </w:p>
                  </w:txbxContent>
                </v:textbox>
              </v:rect>
            </w:pict>
          </mc:Fallback>
        </mc:AlternateContent>
      </w:r>
      <w:r>
        <w:rPr/>
        <w:t>Het panel besprak ook de toekomst van Europa op het gebied van jeugd, sport, cultuur en onderwijs. De deelnemers aan het panel werden verwelkomd door medevoorzitter Guy Verhofstadt. De werkzaamheden van de eerste zitting zijn afgesloten met de goedkeuring van de vijf werkterreinen: „Werken in Europa”, „Een economie voor de toekomst”, „Een rechtvaardige samenleving”, „Learning in Europa” en „Een ethische en veilige digitale transformatie”.</w:t>
      </w:r>
    </w:p>
    <w:p>
      <w:pPr>
        <w:pStyle w:val="Corpsdetexte"/>
        <w:rPr/>
      </w:pPr>
      <w:r>
        <w:rPr/>
        <w:t>Van 5 tot en met 7 november 2021 kwam panel 1 voor de tweede keer bijeen, ditmaal in virtueel formaat, en zette de beraadslagingen van de eerste zitting voort. Tijdens de tweede sessie stelden de panelleden „richtsnoeren” vast voor het opstellen van concrete aanbevelingen (bij hun derde sessie) voor elk van de vijf assen die tijdens de eerste sessie werden geïdentificeerd. In totaal hebben de aan panel 1 deelnemende burgers 142 begeleidingsgroepen opgesteld.</w:t>
      </w:r>
    </w:p>
    <w:p>
      <w:pPr>
        <w:pStyle w:val="Corpsdetexte"/>
        <w:rPr/>
      </w:pPr>
      <w:r>
        <w:rPr/>
        <w:t>Van 25 t/m 27 februari 2022 kwamen de aan panel 1 deelnemende burgers voor de derde keer bijeen, waarbij de beraadslagingen tijdens de zittingen 1 en 2 werden voortgezet. Voor deze laatste sessie werden panel 1-deelnemers georganiseerd in Dublin Castle door het Institute of International and European Affairs (IIEA), met de mogelijkheid om online deel te nemen.</w:t>
      </w:r>
    </w:p>
    <w:p>
      <w:pPr>
        <w:pStyle w:val="Corpsdetexte"/>
        <w:rPr/>
      </w:pPr>
      <w:r>
        <w:rPr/>
        <w:t>op basis van de richtsnoeren die zij tijdens sessie 2 hadden ontwikkeld als basis voor hun werk, ontwikkelden en keurden de burgers 48 definitieve aanbevelingen goed.</w:t>
      </w:r>
    </w:p>
    <w:p>
      <w:pPr>
        <w:pStyle w:val="Titre4"/>
        <w:numPr>
          <w:ilvl w:val="3"/>
          <w:numId w:val="2"/>
        </w:numPr>
        <w:rPr/>
      </w:pPr>
      <w:bookmarkStart w:id="17" w:name="__RefHeading___Toc298208_1346298689"/>
      <w:bookmarkEnd w:id="17"/>
      <w:r>
        <w:rPr/>
        <w:t xml:space="preserve">Paneel 2 </w:t>
        <w:br/>
        <w:t>Europese democratie; waarden en rechten, rechtsstaat, veiligheid</w:t>
      </w:r>
    </w:p>
    <w:p>
      <w:pPr>
        <w:pStyle w:val="Corpsdetexte"/>
        <w:rPr/>
      </w:pPr>
      <w:r>
        <w:rPr/>
        <w:t>Zitting 1 van het panel over „Europese democratie; waarden en rechten, rechtsstaat en veiligheid" vond plaats van 24 tot 26 september in Straatsburg. Het panel richtte zich op kwesties in verband met democratie, zoals verkiezingen, deelname buiten verkiezingsperioden, waargenomen afstand tussen burgers en hun gekozen vertegenwoordigers, vrijheid van de media en desinformatie. Het ging ook over kwesties in verband met grondrechten en waarden, de rechtsstaat en de bestrijding van alle vormen van discriminatie. Tegelijkertijd richtte hij zich op de interne veiligheid van de EU, zoals het beschermen van Europeanen tegen terroristische daden en andere misdrijven. De sprekers worden verwelkomd door medevoorzitter Gašper Dovžan.</w:t>
      </w:r>
    </w:p>
    <w:p>
      <w:pPr>
        <w:pStyle w:val="Corpsdetexte"/>
        <w:rPr/>
      </w:pPr>
      <w:r>
        <w:rPr/>
        <w:t>De werkzaamheden van deze eerste zitting zijn afgerond met betrekking tot de goedkeuring van de vijf werkterreinen: „Verzekering van de eerbiediging van rechten en non-discriminatie”, „Bescherming van de democratie en de rechtsstaat”, „Hervorming van de EU”, „opbouw van de Europese identiteit” en „Versterking van de participatie van burgers”.</w:t>
      </w:r>
    </w:p>
    <w:p>
      <w:pPr>
        <w:pStyle w:val="Corpsdetexte"/>
        <w:rPr/>
      </w:pPr>
      <w:r>
        <w:rPr/>
        <w:t>Van 12 tot en met 14 november 2021 vergaderde panel 2 voor de tweede keer, in virtuele vorm, en zette de beraadslagingen van de eerste zitting voort. Tijdens de tweede sessie stelden de panelleden „richtsnoeren” vast voor het opstellen van concrete aanbevelingen (bij hun derde sessie) voor elk van de vijf assen die tijdens de eerste sessie werden geïdentificeerd. In totaal hebben de aan panel 2 deelnemende burgers 124 begeleidingsgroepen opgesteld.</w:t>
      </w:r>
    </w:p>
    <w:p>
      <w:pPr>
        <w:pStyle w:val="Corpsdetexte"/>
        <w:rPr/>
      </w:pPr>
      <w:r>
        <w:rPr/>
        <w:t>Van 10 tot en met 12 december 2021 kwamen de burgers die deelnemen aan Panel 2 bijeen voor hun laatste sessie, georganiseerd aan het Europees Universitair Instituut in Florence, met de mogelijkheid om online deel te nemen. Op basis van de richtsnoeren die zij tijdens sessie 2 hadden ontwikkeld als basis voor hun werk, ontwikkelden en keurden de burgers 39 definitieve aanbevelingen goed.</w:t>
      </w:r>
    </w:p>
    <w:p>
      <w:pPr>
        <w:pStyle w:val="Titre4"/>
        <w:numPr>
          <w:ilvl w:val="3"/>
          <w:numId w:val="2"/>
        </w:numPr>
        <w:rPr/>
      </w:pPr>
      <w:bookmarkStart w:id="18" w:name="__RefHeading___Toc298210_1346298689"/>
      <w:bookmarkEnd w:id="18"/>
      <w:r>
        <w:rPr/>
        <w:t>Panel 3 Klimaatverandering en milieu; gezondheid</w:t>
      </w:r>
    </w:p>
    <w:p>
      <w:pPr>
        <w:pStyle w:val="Corpsdetexte"/>
        <w:rPr/>
      </w:pPr>
      <w:r>
        <w:rPr/>
        <w:t>Het panel over „Klimaatverandering en het milieu”; gezondheid" heeft van 1</w:t>
      </w:r>
      <w:r>
        <w:rPr>
          <w:vertAlign w:val="superscript"/>
        </w:rPr>
        <w:t>tot</w:t>
      </w:r>
      <w:r>
        <w:rPr/>
        <w:t xml:space="preserve"> en met 3 oktober in Straatsburg zijn eerste zitting gehouden. Het panel richtte zich op de effecten van klimaatverandering, milieukwesties en nieuwe gezondheidsuitdagingen voor de Europese Unie. Het had ook betrekking op de doelstellingen en strategieën van de EU, zoals landbouw, vervoer en mobiliteit, energie en de overgang naar koolstofvrije samenlevingen, onderzoek, gezondheidsstelsels, reacties op gezondheidscrises, preventie en een gezonde levensstijl. Het werk van deze eerste sessie eindigde met de goedkeuring van de vijf werkterreinen: „Better lifestyles”, „Protecting our environment and health”, „Reorienting our economy and consumption”, „Naar een duurzame samenleving” en „zorg voor iedereen”. Het eindverslag van de sessie is beschikbaar op het meertalige digitale platform.</w:t>
      </w:r>
    </w:p>
    <w:p>
      <w:pPr>
        <w:pStyle w:val="Corpsdetexte"/>
        <w:rPr/>
      </w:pPr>
      <w:r>
        <w:rPr/>
        <w:t>Van 19 tot en met 21 november 2021 kwam panel 3 voor de tweede keer bijeen, ditmaal in virtueel formaat, om de beraadslagingen van de eerste sessie voort te zetten. Tijdens de tweede sessie stelden de panelleden „richtsnoeren” vast voor het opstellen van concrete aanbevelingen (bij hun derde sessie) voor elk van de vijf assen die tijdens de eerste sessie werden geïdentificeerd. In totaal produceerden de burgers die aan panel 3 deelnamen 130 begeleidingsgroepen.</w:t>
      </w:r>
    </w:p>
    <w:p>
      <w:pPr>
        <w:pStyle w:val="Corpsdetexte"/>
        <w:rPr/>
      </w:pPr>
      <w:r>
        <w:rPr/>
        <w:t>Van 7 tot 9 januari 2022 verzamelden de burgers van panel 3 zich voor de laatste sessie die zij organiseerden in het Europacollege in Natolin en het Paleis voor Cultuur en Wetenschap, met de steun van de stad Warschau. Het was mogelijk om online deel te nemen. Op basis van de richtsnoeren die zij tijdens sessie 2 hadden ontwikkeld als basis voor hun werk, ontwikkelden en keurden de burgers 51 definitieve aanbevelingen goed.</w:t>
      </w:r>
    </w:p>
    <w:p>
      <w:pPr>
        <w:pStyle w:val="Titre4"/>
        <w:numPr>
          <w:ilvl w:val="3"/>
          <w:numId w:val="2"/>
        </w:numPr>
        <w:rPr/>
      </w:pPr>
      <w:bookmarkStart w:id="19" w:name="__RefHeading___Toc298212_1346298689"/>
      <w:bookmarkEnd w:id="19"/>
      <w:r>
        <w:rPr/>
        <w:t>Panel 4 De EU in de wereld; migratie</w:t>
      </w:r>
    </w:p>
    <w:p>
      <w:pPr>
        <w:pStyle w:val="Corpsdetexte"/>
        <w:rPr/>
      </w:pPr>
      <w:r>
        <w:rPr/>
        <mc:AlternateContent>
          <mc:Choice Requires="wps">
            <w:drawing>
              <wp:anchor behindDoc="0" distT="0" distB="0" distL="0" distR="0" simplePos="0" locked="0" layoutInCell="1" allowOverlap="1" relativeHeight="25">
                <wp:simplePos x="0" y="0"/>
                <wp:positionH relativeFrom="column">
                  <wp:align>center</wp:align>
                </wp:positionH>
                <wp:positionV relativeFrom="paragraph">
                  <wp:posOffset>635</wp:posOffset>
                </wp:positionV>
                <wp:extent cx="2971165" cy="2242185"/>
                <wp:effectExtent l="0" t="0" r="0" b="0"/>
                <wp:wrapSquare wrapText="largest"/>
                <wp:docPr id="24" name="Kader6"/>
                <a:graphic xmlns:a="http://schemas.openxmlformats.org/drawingml/2006/main">
                  <a:graphicData uri="http://schemas.microsoft.com/office/word/2010/wordprocessingShape">
                    <wps:wsp>
                      <wps:cNvSpPr/>
                      <wps:spPr>
                        <a:xfrm>
                          <a:off x="0" y="0"/>
                          <a:ext cx="2970360" cy="2241720"/>
                        </a:xfrm>
                        <a:prstGeom prst="rect">
                          <a:avLst/>
                        </a:prstGeom>
                        <a:solidFill>
                          <a:srgbClr val="ffffff"/>
                        </a:solidFill>
                        <a:ln>
                          <a:noFill/>
                        </a:ln>
                      </wps:spPr>
                      <wps:style>
                        <a:lnRef idx="0"/>
                        <a:fillRef idx="0"/>
                        <a:effectRef idx="0"/>
                        <a:fontRef idx="minor"/>
                      </wps:style>
                      <wps:txbx>
                        <w:txbxContent>
                          <w:p>
                            <w:pPr>
                              <w:pStyle w:val="P68B1DB1Lgende11"/>
                              <w:spacing w:before="120" w:after="120"/>
                              <w:rPr>
                                <w:color w:val="auto"/>
                              </w:rPr>
                            </w:pPr>
                            <w:r>
                              <w:rPr>
                                <w:color w:val="auto"/>
                              </w:rPr>
                              <w:drawing>
                                <wp:inline distT="0" distB="0" distL="0" distR="0">
                                  <wp:extent cx="2970530" cy="2033905"/>
                                  <wp:effectExtent l="0" t="0" r="0" b="0"/>
                                  <wp:docPr id="26" name="Afbeelding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Afbeelding9" descr=""/>
                                          <pic:cNvPicPr>
                                            <a:picLocks noChangeAspect="1" noChangeArrowheads="1"/>
                                          </pic:cNvPicPr>
                                        </pic:nvPicPr>
                                        <pic:blipFill>
                                          <a:blip r:embed="rId38"/>
                                          <a:stretch>
                                            <a:fillRect/>
                                          </a:stretch>
                                        </pic:blipFill>
                                        <pic:spPr bwMode="auto">
                                          <a:xfrm>
                                            <a:off x="0" y="0"/>
                                            <a:ext cx="2970530" cy="2033905"/>
                                          </a:xfrm>
                                          <a:prstGeom prst="rect">
                                            <a:avLst/>
                                          </a:prstGeom>
                                        </pic:spPr>
                                      </pic:pic>
                                    </a:graphicData>
                                  </a:graphic>
                                </wp:inline>
                              </w:drawing>
                            </w:r>
                            <w:r>
                              <w:rPr>
                                <w:color w:val="auto"/>
                              </w:rPr>
                              <w:t>Fotografie: panel 3 van Europese burgers</w:t>
                            </w:r>
                          </w:p>
                        </w:txbxContent>
                      </wps:txbx>
                      <wps:bodyPr lIns="0" rIns="0" tIns="0" bIns="0">
                        <a:noAutofit/>
                      </wps:bodyPr>
                    </wps:wsp>
                  </a:graphicData>
                </a:graphic>
              </wp:anchor>
            </w:drawing>
          </mc:Choice>
          <mc:Fallback>
            <w:pict>
              <v:rect id="shape_0" ID="Kader6" fillcolor="white" stroked="f" style="position:absolute;margin-left:0pt;margin-top:0.05pt;width:233.85pt;height:176.45pt;mso-position-horizontal:center">
                <w10:wrap type="square"/>
                <v:fill o:detectmouseclick="t" type="solid" color2="black"/>
                <v:stroke color="#3465a4" joinstyle="round" endcap="flat"/>
                <v:textbox>
                  <w:txbxContent>
                    <w:p>
                      <w:pPr>
                        <w:pStyle w:val="P68B1DB1Lgende11"/>
                        <w:spacing w:before="120" w:after="120"/>
                        <w:rPr>
                          <w:color w:val="auto"/>
                        </w:rPr>
                      </w:pPr>
                      <w:r>
                        <w:rPr>
                          <w:color w:val="auto"/>
                        </w:rPr>
                        <w:drawing>
                          <wp:inline distT="0" distB="0" distL="0" distR="0">
                            <wp:extent cx="2970530" cy="2033905"/>
                            <wp:effectExtent l="0" t="0" r="0" b="0"/>
                            <wp:docPr id="27" name="Afbeelding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Afbeelding9" descr=""/>
                                    <pic:cNvPicPr>
                                      <a:picLocks noChangeAspect="1" noChangeArrowheads="1"/>
                                    </pic:cNvPicPr>
                                  </pic:nvPicPr>
                                  <pic:blipFill>
                                    <a:blip r:embed="rId38"/>
                                    <a:stretch>
                                      <a:fillRect/>
                                    </a:stretch>
                                  </pic:blipFill>
                                  <pic:spPr bwMode="auto">
                                    <a:xfrm>
                                      <a:off x="0" y="0"/>
                                      <a:ext cx="2970530" cy="2033905"/>
                                    </a:xfrm>
                                    <a:prstGeom prst="rect">
                                      <a:avLst/>
                                    </a:prstGeom>
                                  </pic:spPr>
                                </pic:pic>
                              </a:graphicData>
                            </a:graphic>
                          </wp:inline>
                        </w:drawing>
                      </w:r>
                      <w:r>
                        <w:rPr>
                          <w:color w:val="auto"/>
                        </w:rPr>
                        <w:t>Fotografie: panel 3 van Europese burgers</w:t>
                      </w:r>
                    </w:p>
                  </w:txbxContent>
                </v:textbox>
              </v:rect>
            </w:pict>
          </mc:Fallback>
        </mc:AlternateContent>
      </w:r>
    </w:p>
    <w:p>
      <w:pPr>
        <w:pStyle w:val="Corpsdetexte"/>
        <w:rPr/>
      </w:pPr>
      <w:r>
        <w:rPr/>
        <w:t>Het vierde panel, getiteld „De EU in de wereld”; migratie" kwam van 15 tot 17 oktober voor het eerst bijeen in Straatsburg, tijdens welke deelnemers met name de rol van de EU in de internationale arena bespraken.</w:t>
      </w:r>
    </w:p>
    <w:p>
      <w:pPr>
        <w:pStyle w:val="Corpsdetexte"/>
        <w:rPr/>
      </w:pPr>
      <w:r>
        <mc:AlternateContent>
          <mc:Choice Requires="wps">
            <w:drawing>
              <wp:anchor behindDoc="0" distT="0" distB="0" distL="0" distR="0" simplePos="0" locked="0" layoutInCell="1" allowOverlap="1" relativeHeight="12">
                <wp:simplePos x="0" y="0"/>
                <wp:positionH relativeFrom="column">
                  <wp:align>center</wp:align>
                </wp:positionH>
                <wp:positionV relativeFrom="paragraph">
                  <wp:posOffset>635</wp:posOffset>
                </wp:positionV>
                <wp:extent cx="2570480" cy="2101215"/>
                <wp:effectExtent l="0" t="0" r="0" b="0"/>
                <wp:wrapTopAndBottom/>
                <wp:docPr id="28" name="Kader7"/>
                <a:graphic xmlns:a="http://schemas.openxmlformats.org/drawingml/2006/main">
                  <a:graphicData uri="http://schemas.microsoft.com/office/word/2010/wordprocessingShape">
                    <wps:wsp>
                      <wps:cNvSpPr/>
                      <wps:spPr>
                        <a:xfrm>
                          <a:off x="0" y="0"/>
                          <a:ext cx="2569680" cy="2100600"/>
                        </a:xfrm>
                        <a:prstGeom prst="rect">
                          <a:avLst/>
                        </a:prstGeom>
                        <a:solidFill>
                          <a:srgbClr val="ffffff"/>
                        </a:solidFill>
                        <a:ln>
                          <a:noFill/>
                        </a:ln>
                      </wps:spPr>
                      <wps:style>
                        <a:lnRef idx="0"/>
                        <a:fillRef idx="0"/>
                        <a:effectRef idx="0"/>
                        <a:fontRef idx="minor"/>
                      </wps:style>
                      <wps:txbx>
                        <w:txbxContent>
                          <w:p>
                            <w:pPr>
                              <w:pStyle w:val="P68B1DB1Lgende11"/>
                              <w:spacing w:before="120" w:after="120"/>
                              <w:rPr>
                                <w:color w:val="auto"/>
                              </w:rPr>
                            </w:pPr>
                            <w:r>
                              <w:rPr>
                                <w:color w:val="auto"/>
                              </w:rPr>
                              <w:drawing>
                                <wp:inline distT="0" distB="0" distL="0" distR="0">
                                  <wp:extent cx="2970530" cy="2036445"/>
                                  <wp:effectExtent l="0" t="0" r="0" b="0"/>
                                  <wp:docPr id="30" name="Afbeelding1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Afbeelding10" descr=""/>
                                          <pic:cNvPicPr>
                                            <a:picLocks noChangeAspect="1" noChangeArrowheads="1"/>
                                          </pic:cNvPicPr>
                                        </pic:nvPicPr>
                                        <pic:blipFill>
                                          <a:blip r:embed="rId39"/>
                                          <a:stretch>
                                            <a:fillRect/>
                                          </a:stretch>
                                        </pic:blipFill>
                                        <pic:spPr bwMode="auto">
                                          <a:xfrm>
                                            <a:off x="0" y="0"/>
                                            <a:ext cx="2970530" cy="2036445"/>
                                          </a:xfrm>
                                          <a:prstGeom prst="rect">
                                            <a:avLst/>
                                          </a:prstGeom>
                                        </pic:spPr>
                                      </pic:pic>
                                    </a:graphicData>
                                  </a:graphic>
                                </wp:inline>
                              </w:drawing>
                            </w:r>
                            <w:r>
                              <w:rPr>
                                <w:color w:val="auto"/>
                              </w:rPr>
                              <w:t>Fotografie: panel 4 van Europese burgers</w:t>
                              <w:br/>
                            </w:r>
                          </w:p>
                        </w:txbxContent>
                      </wps:txbx>
                      <wps:bodyPr lIns="0" rIns="0" tIns="0" bIns="0">
                        <a:noAutofit/>
                      </wps:bodyPr>
                    </wps:wsp>
                  </a:graphicData>
                </a:graphic>
              </wp:anchor>
            </w:drawing>
          </mc:Choice>
          <mc:Fallback>
            <w:pict>
              <v:rect id="shape_0" ID="Kader7" fillcolor="white" stroked="f" style="position:absolute;margin-left:15.75pt;margin-top:0.05pt;width:202.3pt;height:165.35pt;mso-position-horizontal:center">
                <w10:wrap type="square"/>
                <v:fill o:detectmouseclick="t" type="solid" color2="black"/>
                <v:stroke color="#3465a4" joinstyle="round" endcap="flat"/>
                <v:textbox>
                  <w:txbxContent>
                    <w:p>
                      <w:pPr>
                        <w:pStyle w:val="P68B1DB1Lgende11"/>
                        <w:spacing w:before="120" w:after="120"/>
                        <w:rPr>
                          <w:color w:val="auto"/>
                        </w:rPr>
                      </w:pPr>
                      <w:r>
                        <w:rPr>
                          <w:color w:val="auto"/>
                        </w:rPr>
                        <w:drawing>
                          <wp:inline distT="0" distB="0" distL="0" distR="0">
                            <wp:extent cx="2970530" cy="2036445"/>
                            <wp:effectExtent l="0" t="0" r="0" b="0"/>
                            <wp:docPr id="31" name="Afbeelding1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Afbeelding10" descr=""/>
                                    <pic:cNvPicPr>
                                      <a:picLocks noChangeAspect="1" noChangeArrowheads="1"/>
                                    </pic:cNvPicPr>
                                  </pic:nvPicPr>
                                  <pic:blipFill>
                                    <a:blip r:embed="rId39"/>
                                    <a:stretch>
                                      <a:fillRect/>
                                    </a:stretch>
                                  </pic:blipFill>
                                  <pic:spPr bwMode="auto">
                                    <a:xfrm>
                                      <a:off x="0" y="0"/>
                                      <a:ext cx="2970530" cy="2036445"/>
                                    </a:xfrm>
                                    <a:prstGeom prst="rect">
                                      <a:avLst/>
                                    </a:prstGeom>
                                  </pic:spPr>
                                </pic:pic>
                              </a:graphicData>
                            </a:graphic>
                          </wp:inline>
                        </w:drawing>
                      </w:r>
                      <w:r>
                        <w:rPr>
                          <w:color w:val="auto"/>
                        </w:rPr>
                        <w:t>Fotografie: panel 4 van Europese burgers</w:t>
                        <w:br/>
                      </w:r>
                    </w:p>
                  </w:txbxContent>
                </v:textbox>
              </v:rect>
            </w:pict>
          </mc:Fallback>
        </mc:AlternateContent>
      </w:r>
      <w:r>
        <w:rPr/>
        <w:t>Met name de doelstellingen en strategieën van de EU inzake veiligheid, defensie, handelsbeleid, humanitaire hulp en ontwikkelingssamenwerking, buitenlands beleid, nabuurschapsbeleid en uitbreiding van de EU, en de wijze waarop de EU met migratie moet omgaan. De burgers werden verwelkomd door medevoorzitter Dubravka Šuica. De werkzaamheden van deze eerste zitting werden afgerond met betrekking tot de goedkeuring van de vijf werkterreinen: „Zelfvoorziening en stabiliteit”, „De EU als internationale partner”, „Een sterke EU in een wereld in vrede”, „Migratie vanuit menselijk oogpunt” en „Verantwoordelijkheid en solidariteit in de hele EU”. Het eindverslag van de sessie is beschikbaar op het meertalige digitale platform.</w:t>
      </w:r>
    </w:p>
    <w:p>
      <w:pPr>
        <w:pStyle w:val="Corpsdetexte"/>
        <w:rPr/>
      </w:pPr>
      <w:r>
        <w:rPr/>
        <w:t>Van 16 t/m 28 november 2021 hield panel 4 zijn tweede online sessie, gebaseerd op de werkzaamheden die tijdens de eerste sessie zijn verricht. Tijdens de tweede sessie stelden de panelleden „richtsnoeren” vast voor het opstellen van concrete aanbevelingen (bij hun derde sessie) voor elk van de vijf assen die tijdens de eerste sessie werden geïdentificeerd. In totaal produceerden de burgers die aan panel 4 deelnamen 95 begeleidingsgroepen.</w:t>
      </w:r>
    </w:p>
    <w:p>
      <w:pPr>
        <w:pStyle w:val="Corpsdetexte"/>
        <w:rPr/>
      </w:pPr>
      <w:r>
        <w:rPr/>
        <w:t>Van 11 tot 13 februari 2022 kwamen panel 4 burgers bijeen voor hun laatste sessie, georganiseerd in het Maastricht Exhibition and Conference Centre (MECC) door Studio Europa Maastricht, in samenwerking met de Universiteit van Maastricht en het Europees Instituut voor Openbaar Bestuur (IEAP). Het was mogelijk om online deel te nemen.</w:t>
      </w:r>
    </w:p>
    <w:p>
      <w:pPr>
        <w:pStyle w:val="Corpsdetexte"/>
        <w:rPr/>
      </w:pPr>
      <w:r>
        <w:rPr/>
        <w:t>op basis van de richtsnoeren die zij tijdens sessie 2 hadden ontwikkeld als basis voor hun werk, ontwikkelden en keurden de burgers 40 definitieve aanbevelingen goed.</w:t>
      </w:r>
    </w:p>
    <w:p>
      <w:pPr>
        <w:pStyle w:val="Normal"/>
        <w:rPr/>
      </w:pPr>
      <w:r>
        <w:rPr/>
      </w:r>
    </w:p>
    <w:p>
      <w:pPr>
        <w:pStyle w:val="Titre3"/>
        <w:numPr>
          <w:ilvl w:val="2"/>
          <w:numId w:val="2"/>
        </w:numPr>
        <w:rPr/>
      </w:pPr>
      <w:bookmarkStart w:id="20" w:name="__RefHeading___Toc298214_1346298689"/>
      <w:bookmarkEnd w:id="20"/>
      <w:r>
        <w:rPr/>
        <w:t>2.</w:t>
        <w:tab/>
        <w:t>Nationale burgerpanels</w:t>
      </w:r>
    </w:p>
    <w:p>
      <w:pPr>
        <w:pStyle w:val="Corpsdetexte"/>
        <w:rPr/>
      </w:pPr>
      <w:r>
        <w:rPr/>
        <w:t>In overeenstemming met de gezamenlijke verklaring besprak de plenaire vergadering van de Conferentie aanbevelingen van nationale en Europese burgerpanels, gegroepeerd per thema. Ter ondersteuning van de lidstaten die van plan zijn nationale burgerpanels te organiseren, zijn richtsnoeren door de covoorzitters goedgekeurd en op 26 mei 2021 aan de raad van bestuur toegezonden. Zij volgden dezelfde beginselen als de Europese burgerpanels en bevatten beginselen van goed overleg, gebaseerd op een OESO-verslag</w:t>
      </w:r>
      <w:r>
        <w:rPr>
          <w:rStyle w:val="Ancredenotedebasdepage"/>
          <w:rStyle w:val="Ancredenotedebasdepage"/>
        </w:rPr>
        <w:footnoteReference w:id="5"/>
      </w:r>
      <w:r>
        <w:rPr/>
        <w:t>.</w:t>
      </w:r>
    </w:p>
    <w:p>
      <w:pPr>
        <w:pStyle w:val="Corpsdetexte"/>
        <w:rPr/>
      </w:pPr>
      <w:r>
        <w:rPr/>
        <w:t>Zes lidstaten — België, Frankrijk, Duitsland, Italië, Litouwen en Nederland — organiseerden panels van nationale burgers met inachtneming van de beginselen van deze richtsnoeren. De aanbevelingen van deze nationale burgerpanels werden gepresenteerd en besproken tijdens de plenaire vergaderingen van januari en maart, evenals in de plenaire werkgroepen, naast de aanbevelingen van de Europese burgerpanels over dezelfde onderwerpen.</w:t>
      </w:r>
    </w:p>
    <w:p>
      <w:pPr>
        <w:pStyle w:val="Titre4"/>
        <w:numPr>
          <w:ilvl w:val="3"/>
          <w:numId w:val="2"/>
        </w:numPr>
        <w:rPr/>
      </w:pPr>
      <w:bookmarkStart w:id="21" w:name="__RefHeading___Toc298216_1346298689"/>
      <w:bookmarkEnd w:id="21"/>
      <w:r>
        <w:rPr/>
        <w:t>1)</w:t>
        <w:tab/>
        <w:t>BELGIË</w:t>
      </w:r>
    </w:p>
    <w:p>
      <w:pPr>
        <w:pStyle w:val="Normal"/>
        <w:rPr/>
      </w:pPr>
      <w:r>
        <w:rPr/>
        <mc:AlternateContent>
          <mc:Choice Requires="wps">
            <w:drawing>
              <wp:anchor behindDoc="0" distT="0" distB="0" distL="0" distR="0" simplePos="0" locked="0" layoutInCell="1" allowOverlap="1" relativeHeight="16">
                <wp:simplePos x="0" y="0"/>
                <wp:positionH relativeFrom="column">
                  <wp:align>center</wp:align>
                </wp:positionH>
                <wp:positionV relativeFrom="paragraph">
                  <wp:posOffset>635</wp:posOffset>
                </wp:positionV>
                <wp:extent cx="2783205" cy="2115185"/>
                <wp:effectExtent l="0" t="0" r="0" b="0"/>
                <wp:wrapSquare wrapText="largest"/>
                <wp:docPr id="32" name="Kader8"/>
                <a:graphic xmlns:a="http://schemas.openxmlformats.org/drawingml/2006/main">
                  <a:graphicData uri="http://schemas.microsoft.com/office/word/2010/wordprocessingShape">
                    <wps:wsp>
                      <wps:cNvSpPr/>
                      <wps:spPr>
                        <a:xfrm>
                          <a:off x="0" y="0"/>
                          <a:ext cx="2782440" cy="2114640"/>
                        </a:xfrm>
                        <a:prstGeom prst="rect">
                          <a:avLst/>
                        </a:prstGeom>
                        <a:solidFill>
                          <a:srgbClr val="ffffff"/>
                        </a:solidFill>
                        <a:ln>
                          <a:noFill/>
                        </a:ln>
                      </wps:spPr>
                      <wps:style>
                        <a:lnRef idx="0"/>
                        <a:fillRef idx="0"/>
                        <a:effectRef idx="0"/>
                        <a:fontRef idx="minor"/>
                      </wps:style>
                      <wps:txbx>
                        <w:txbxContent>
                          <w:p>
                            <w:pPr>
                              <w:pStyle w:val="P68B1DB1Lgende11"/>
                              <w:spacing w:before="120" w:after="120"/>
                              <w:rPr>
                                <w:color w:val="auto"/>
                              </w:rPr>
                            </w:pPr>
                            <w:r>
                              <w:rPr>
                                <w:color w:val="auto"/>
                              </w:rPr>
                              <w:drawing>
                                <wp:inline distT="0" distB="0" distL="0" distR="0">
                                  <wp:extent cx="2970530" cy="2035810"/>
                                  <wp:effectExtent l="0" t="0" r="0" b="0"/>
                                  <wp:docPr id="34" name="Afbeelding1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Afbeelding11" descr=""/>
                                          <pic:cNvPicPr>
                                            <a:picLocks noChangeAspect="1" noChangeArrowheads="1"/>
                                          </pic:cNvPicPr>
                                        </pic:nvPicPr>
                                        <pic:blipFill>
                                          <a:blip r:embed="rId40"/>
                                          <a:stretch>
                                            <a:fillRect/>
                                          </a:stretch>
                                        </pic:blipFill>
                                        <pic:spPr bwMode="auto">
                                          <a:xfrm>
                                            <a:off x="0" y="0"/>
                                            <a:ext cx="2970530" cy="2035810"/>
                                          </a:xfrm>
                                          <a:prstGeom prst="rect">
                                            <a:avLst/>
                                          </a:prstGeom>
                                        </pic:spPr>
                                      </pic:pic>
                                    </a:graphicData>
                                  </a:graphic>
                                </wp:inline>
                              </w:drawing>
                            </w:r>
                            <w:r>
                              <w:rPr>
                                <w:color w:val="auto"/>
                              </w:rPr>
                              <w:t>Foto’s: Belgisch burgerpanel</w:t>
                            </w:r>
                          </w:p>
                        </w:txbxContent>
                      </wps:txbx>
                      <wps:bodyPr lIns="0" rIns="0" tIns="0" bIns="0">
                        <a:noAutofit/>
                      </wps:bodyPr>
                    </wps:wsp>
                  </a:graphicData>
                </a:graphic>
              </wp:anchor>
            </w:drawing>
          </mc:Choice>
          <mc:Fallback>
            <w:pict>
              <v:rect id="shape_0" ID="Kader8" fillcolor="white" stroked="f" style="position:absolute;margin-left:7.4pt;margin-top:0.05pt;width:219.05pt;height:166.45pt;mso-position-horizontal:center">
                <w10:wrap type="square"/>
                <v:fill o:detectmouseclick="t" type="solid" color2="black"/>
                <v:stroke color="#3465a4" joinstyle="round" endcap="flat"/>
                <v:textbox>
                  <w:txbxContent>
                    <w:p>
                      <w:pPr>
                        <w:pStyle w:val="P68B1DB1Lgende11"/>
                        <w:spacing w:before="120" w:after="120"/>
                        <w:rPr>
                          <w:color w:val="auto"/>
                        </w:rPr>
                      </w:pPr>
                      <w:r>
                        <w:rPr>
                          <w:color w:val="auto"/>
                        </w:rPr>
                        <w:drawing>
                          <wp:inline distT="0" distB="0" distL="0" distR="0">
                            <wp:extent cx="2970530" cy="2035810"/>
                            <wp:effectExtent l="0" t="0" r="0" b="0"/>
                            <wp:docPr id="35" name="Afbeelding1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Afbeelding11" descr=""/>
                                    <pic:cNvPicPr>
                                      <a:picLocks noChangeAspect="1" noChangeArrowheads="1"/>
                                    </pic:cNvPicPr>
                                  </pic:nvPicPr>
                                  <pic:blipFill>
                                    <a:blip r:embed="rId40"/>
                                    <a:stretch>
                                      <a:fillRect/>
                                    </a:stretch>
                                  </pic:blipFill>
                                  <pic:spPr bwMode="auto">
                                    <a:xfrm>
                                      <a:off x="0" y="0"/>
                                      <a:ext cx="2970530" cy="2035810"/>
                                    </a:xfrm>
                                    <a:prstGeom prst="rect">
                                      <a:avLst/>
                                    </a:prstGeom>
                                  </pic:spPr>
                                </pic:pic>
                              </a:graphicData>
                            </a:graphic>
                          </wp:inline>
                        </w:drawing>
                      </w:r>
                      <w:r>
                        <w:rPr>
                          <w:color w:val="auto"/>
                        </w:rPr>
                        <w:t>Foto’s: Belgisch burgerpanel</w:t>
                      </w:r>
                    </w:p>
                  </w:txbxContent>
                </v:textbox>
              </v:rect>
            </w:pict>
          </mc:Fallback>
        </mc:AlternateContent>
      </w:r>
    </w:p>
    <w:p>
      <w:pPr>
        <w:pStyle w:val="Corpsdetexte"/>
        <w:rPr/>
      </w:pPr>
      <w:r>
        <w:rPr/>
        <w:t>In oktober 2021 bracht een burgerpanel in drie weekenden 50 willekeurig geselecteerde burgers, vertegenwoordiger van de algemene bevolking, bijeen om het onderwerp Europese democratie te bespreken en hoe burgers meer betrokken kunnen worden bij Europese aangelegenheden.</w:t>
      </w:r>
    </w:p>
    <w:p>
      <w:pPr>
        <w:pStyle w:val="Corpsdetexte"/>
        <w:rPr/>
      </w:pPr>
      <w:r>
        <w:rPr/>
        <w:t>Dit panel werd georganiseerd onder auspiciën van Sophie Wilmès, Belgisch vicepremier en minister van Buitenlandse en Europese Zaken.</w:t>
      </w:r>
    </w:p>
    <w:p>
      <w:pPr>
        <w:pStyle w:val="Corpsdetexte"/>
        <w:rPr/>
      </w:pPr>
      <w:r>
        <w:rPr/>
        <w:t>De burgers hebben aanbevelingen gedaan over vijf thema’s die zij hadden gekozen, namelijk:</w:t>
      </w:r>
    </w:p>
    <w:p>
      <w:pPr>
        <w:pStyle w:val="Alineanegatifpuce"/>
        <w:numPr>
          <w:ilvl w:val="0"/>
          <w:numId w:val="3"/>
        </w:numPr>
        <w:rPr/>
      </w:pPr>
      <w:r>
        <w:rPr/>
        <w:t xml:space="preserve"> </w:t>
      </w:r>
      <w:r>
        <w:rPr/>
        <w:t>verbetering van de communicatie over de Europese Unie,</w:t>
      </w:r>
    </w:p>
    <w:p>
      <w:pPr>
        <w:pStyle w:val="Alineanegatifpuce"/>
        <w:numPr>
          <w:ilvl w:val="0"/>
          <w:numId w:val="3"/>
        </w:numPr>
        <w:rPr/>
      </w:pPr>
      <w:r>
        <w:rPr/>
        <w:t xml:space="preserve"> </w:t>
      </w:r>
      <w:r>
        <w:rPr/>
        <w:t>desinformatie over de EU identificeren en bestrijden,</w:t>
      </w:r>
    </w:p>
    <w:p>
      <w:pPr>
        <w:pStyle w:val="Alineanegatifpuce"/>
        <w:numPr>
          <w:ilvl w:val="0"/>
          <w:numId w:val="3"/>
        </w:numPr>
        <w:rPr/>
      </w:pPr>
      <w:r>
        <w:rPr/>
        <w:t xml:space="preserve"> </w:t>
      </w:r>
      <w:r>
        <w:rPr/>
        <w:t>burgerpanels als instrument voor participatie,</w:t>
      </w:r>
    </w:p>
    <w:p>
      <w:pPr>
        <w:pStyle w:val="Alineanegatifpuce"/>
        <w:numPr>
          <w:ilvl w:val="0"/>
          <w:numId w:val="3"/>
        </w:numPr>
        <w:rPr/>
      </w:pPr>
      <w:r>
        <w:rPr/>
        <w:t xml:space="preserve"> </w:t>
      </w:r>
      <w:r>
        <w:rPr/>
        <w:t>het referendum in Europese aangelegenheden,</w:t>
      </w:r>
    </w:p>
    <w:p>
      <w:pPr>
        <w:pStyle w:val="Alineanegatifpuce"/>
        <w:numPr>
          <w:ilvl w:val="0"/>
          <w:numId w:val="3"/>
        </w:numPr>
        <w:rPr/>
      </w:pPr>
      <w:r>
        <w:rPr/>
        <w:t xml:space="preserve"> </w:t>
      </w:r>
      <w:r>
        <w:rPr/>
        <w:t>verbetering van de bestaande participatie-instrumenten in de Europese Unie.</w:t>
      </w:r>
    </w:p>
    <w:p>
      <w:pPr>
        <w:pStyle w:val="Corpsdetexte"/>
        <w:rPr/>
      </w:pPr>
      <w:r>
        <w:rPr/>
        <w:t>Het werk van het Belgian Citizens’ Panel resulteerde in 115 aanbevelingen, die werden opgesteld, besproken en gestemd door de 50 willekeurig geselecteerde Belgische burgers.</w:t>
      </w:r>
    </w:p>
    <w:p>
      <w:pPr>
        <w:pStyle w:val="Corpsdetexte"/>
        <w:rPr/>
      </w:pPr>
      <w:r>
        <w:rPr/>
      </w:r>
    </w:p>
    <w:p>
      <w:pPr>
        <w:pStyle w:val="Titre4"/>
        <w:numPr>
          <w:ilvl w:val="3"/>
          <w:numId w:val="2"/>
        </w:numPr>
        <w:rPr/>
      </w:pPr>
      <w:bookmarkStart w:id="22" w:name="__RefHeading___Toc298218_1346298689"/>
      <w:bookmarkEnd w:id="22"/>
      <w:r>
        <w:rPr/>
        <w:t>2)</w:t>
        <w:tab/>
        <w:t>DUITSLAND</w:t>
      </w:r>
    </w:p>
    <w:p>
      <w:pPr>
        <w:pStyle w:val="Corpsdetexte"/>
        <w:rPr/>
      </w:pPr>
      <w:r>
        <w:rPr/>
        <w:t>In januari 2022 organiseerde het Duitse ministerie van Buitenlandse Zaken een panel van nationale burgers. 100 willekeurig geselecteerde burgers, vertegenwoordiger van de bevolking, namen deel aan dit online panel.</w:t>
      </w:r>
    </w:p>
    <w:p>
      <w:pPr>
        <w:pStyle w:val="Corpsdetexte"/>
        <w:rPr/>
      </w:pPr>
      <w:r>
        <w:rPr/>
        <w:t>Op 5 en 8 januari 2022 zijn er vijf lanceringsworkshops georganiseerd, die elk 20 deelnemers samenbrengen over de volgende thema’s:</w:t>
      </w:r>
    </w:p>
    <w:p>
      <w:pPr>
        <w:pStyle w:val="Corpsdetexte"/>
        <w:rPr/>
      </w:pPr>
      <w:r>
        <w:rPr/>
        <w:t>de rol van Europa in de wereld, het klimaat en het milieu,</w:t>
      </w:r>
    </w:p>
    <w:p>
      <w:pPr>
        <w:pStyle w:val="Corpsdetexte"/>
        <w:rPr/>
      </w:pPr>
      <w:r>
        <w:rPr/>
        <w:t xml:space="preserve">— </w:t>
      </w:r>
      <w:r>
        <w:rPr/>
        <w:t>de rechtsstaat en de waarden,</w:t>
      </w:r>
    </w:p>
    <w:p>
      <w:pPr>
        <w:pStyle w:val="Corpsdetexte"/>
        <w:rPr/>
      </w:pPr>
      <w:r>
        <w:rPr/>
        <w:t>een sterkere economie en sociale rechtvaardigheid.</w:t>
      </w:r>
    </w:p>
    <w:p>
      <w:pPr>
        <w:pStyle w:val="Corpsdetexte"/>
        <w:rPr/>
      </w:pPr>
      <w:r>
        <w:rPr/>
        <mc:AlternateContent>
          <mc:Choice Requires="wps">
            <w:drawing>
              <wp:anchor behindDoc="0" distT="0" distB="0" distL="0" distR="0" simplePos="0" locked="0" layoutInCell="1" allowOverlap="1" relativeHeight="2">
                <wp:simplePos x="0" y="0"/>
                <wp:positionH relativeFrom="column">
                  <wp:align>center</wp:align>
                </wp:positionH>
                <wp:positionV relativeFrom="paragraph">
                  <wp:posOffset>635</wp:posOffset>
                </wp:positionV>
                <wp:extent cx="2971165" cy="2132965"/>
                <wp:effectExtent l="0" t="0" r="0" b="0"/>
                <wp:wrapSquare wrapText="largest"/>
                <wp:docPr id="36" name="Kader15"/>
                <a:graphic xmlns:a="http://schemas.openxmlformats.org/drawingml/2006/main">
                  <a:graphicData uri="http://schemas.microsoft.com/office/word/2010/wordprocessingShape">
                    <wps:wsp>
                      <wps:cNvSpPr/>
                      <wps:spPr>
                        <a:xfrm>
                          <a:off x="0" y="0"/>
                          <a:ext cx="2970360" cy="2132280"/>
                        </a:xfrm>
                        <a:prstGeom prst="rect">
                          <a:avLst/>
                        </a:prstGeom>
                        <a:solidFill>
                          <a:srgbClr val="ffffff"/>
                        </a:solidFill>
                        <a:ln>
                          <a:noFill/>
                        </a:ln>
                      </wps:spPr>
                      <wps:style>
                        <a:lnRef idx="0"/>
                        <a:fillRef idx="0"/>
                        <a:effectRef idx="0"/>
                        <a:fontRef idx="minor"/>
                      </wps:style>
                      <wps:txbx>
                        <w:txbxContent>
                          <w:p>
                            <w:pPr>
                              <w:pStyle w:val="P68B1DB1Lgende11"/>
                              <w:spacing w:before="120" w:after="120"/>
                              <w:rPr>
                                <w:color w:val="auto"/>
                              </w:rPr>
                            </w:pPr>
                            <w:r>
                              <w:rPr>
                                <w:color w:val="auto"/>
                              </w:rPr>
                              <w:drawing>
                                <wp:inline distT="0" distB="0" distL="0" distR="0">
                                  <wp:extent cx="2970530" cy="1900555"/>
                                  <wp:effectExtent l="0" t="0" r="0" b="0"/>
                                  <wp:docPr id="38" name="Afbeelding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Afbeelding7" descr=""/>
                                          <pic:cNvPicPr>
                                            <a:picLocks noChangeAspect="1" noChangeArrowheads="1"/>
                                          </pic:cNvPicPr>
                                        </pic:nvPicPr>
                                        <pic:blipFill>
                                          <a:blip r:embed="rId41"/>
                                          <a:stretch>
                                            <a:fillRect/>
                                          </a:stretch>
                                        </pic:blipFill>
                                        <pic:spPr bwMode="auto">
                                          <a:xfrm>
                                            <a:off x="0" y="0"/>
                                            <a:ext cx="2970530" cy="1900555"/>
                                          </a:xfrm>
                                          <a:prstGeom prst="rect">
                                            <a:avLst/>
                                          </a:prstGeom>
                                        </pic:spPr>
                                      </pic:pic>
                                    </a:graphicData>
                                  </a:graphic>
                                </wp:inline>
                              </w:drawing>
                            </w:r>
                            <w:r>
                              <w:rPr>
                                <w:vanish/>
                                <w:color w:val="auto"/>
                              </w:rPr>
                              <w:br/>
                            </w:r>
                            <w:r>
                              <w:rPr>
                                <w:color w:val="auto"/>
                              </w:rPr>
                              <w:t>Fotografie: Duits burgerpanel</w:t>
                            </w:r>
                          </w:p>
                        </w:txbxContent>
                      </wps:txbx>
                      <wps:bodyPr lIns="0" rIns="0" tIns="0" bIns="0">
                        <a:noAutofit/>
                      </wps:bodyPr>
                    </wps:wsp>
                  </a:graphicData>
                </a:graphic>
              </wp:anchor>
            </w:drawing>
          </mc:Choice>
          <mc:Fallback>
            <w:pict>
              <v:rect id="shape_0" ID="Kader15" fillcolor="white" stroked="f" style="position:absolute;margin-left:0pt;margin-top:0.05pt;width:233.85pt;height:167.85pt;mso-position-horizontal:center">
                <w10:wrap type="square"/>
                <v:fill o:detectmouseclick="t" type="solid" color2="black"/>
                <v:stroke color="#3465a4" joinstyle="round" endcap="flat"/>
                <v:textbox>
                  <w:txbxContent>
                    <w:p>
                      <w:pPr>
                        <w:pStyle w:val="P68B1DB1Lgende11"/>
                        <w:spacing w:before="120" w:after="120"/>
                        <w:rPr>
                          <w:color w:val="auto"/>
                        </w:rPr>
                      </w:pPr>
                      <w:r>
                        <w:rPr>
                          <w:color w:val="auto"/>
                        </w:rPr>
                        <w:drawing>
                          <wp:inline distT="0" distB="0" distL="0" distR="0">
                            <wp:extent cx="2970530" cy="1900555"/>
                            <wp:effectExtent l="0" t="0" r="0" b="0"/>
                            <wp:docPr id="39" name="Afbeelding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Afbeelding7" descr=""/>
                                    <pic:cNvPicPr>
                                      <a:picLocks noChangeAspect="1" noChangeArrowheads="1"/>
                                    </pic:cNvPicPr>
                                  </pic:nvPicPr>
                                  <pic:blipFill>
                                    <a:blip r:embed="rId41"/>
                                    <a:stretch>
                                      <a:fillRect/>
                                    </a:stretch>
                                  </pic:blipFill>
                                  <pic:spPr bwMode="auto">
                                    <a:xfrm>
                                      <a:off x="0" y="0"/>
                                      <a:ext cx="2970530" cy="1900555"/>
                                    </a:xfrm>
                                    <a:prstGeom prst="rect">
                                      <a:avLst/>
                                    </a:prstGeom>
                                  </pic:spPr>
                                </pic:pic>
                              </a:graphicData>
                            </a:graphic>
                          </wp:inline>
                        </w:drawing>
                      </w:r>
                      <w:r>
                        <w:rPr>
                          <w:vanish/>
                          <w:color w:val="auto"/>
                        </w:rPr>
                        <w:br/>
                      </w:r>
                      <w:r>
                        <w:rPr>
                          <w:color w:val="auto"/>
                        </w:rPr>
                        <w:t>Fotografie: Duits burgerpanel</w:t>
                      </w:r>
                    </w:p>
                  </w:txbxContent>
                </v:textbox>
              </v:rect>
            </w:pict>
          </mc:Fallback>
        </mc:AlternateContent>
      </w:r>
    </w:p>
    <w:p>
      <w:pPr>
        <w:pStyle w:val="Corpsdetexte"/>
        <w:rPr/>
      </w:pPr>
      <w:r>
        <w:rPr/>
        <w:t>De 100 willekeurig geselecteerde burgers kwamen op 15 en 16 januari 2022 bijeen om de uitdagingen in verband met deze kwesties en mogelijke oplossingen te bespreken en namen hun aanbevelingen aan. De deelnemers ontwikkelden twee specifieke voorstellen voor elk van de bovengenoemde thema’s.</w:t>
      </w:r>
    </w:p>
    <w:p>
      <w:pPr>
        <w:pStyle w:val="Corpsdetexte"/>
        <w:rPr/>
      </w:pPr>
      <w:r>
        <w:rPr/>
        <w:t>De resultaten werden op 16 januari gepresenteerd tijdens een laatste online conferentie die werd bijgewoond door Annalena Baerbock, Duitse minister van Buitenlandse Zaken, en Anna Lührmann, viceminister van Europa en Klimaat.</w:t>
      </w:r>
    </w:p>
    <w:p>
      <w:pPr>
        <w:pStyle w:val="Corpsdetexte"/>
        <w:rPr/>
      </w:pPr>
      <w:r>
        <w:rPr/>
      </w:r>
    </w:p>
    <w:p>
      <w:pPr>
        <w:pStyle w:val="Titre4"/>
        <w:numPr>
          <w:ilvl w:val="3"/>
          <w:numId w:val="2"/>
        </w:numPr>
        <w:rPr/>
      </w:pPr>
      <w:bookmarkStart w:id="23" w:name="__RefHeading___Toc298220_1346298689"/>
      <w:bookmarkEnd w:id="23"/>
      <w:r>
        <w:rPr/>
        <w:t>3)</w:t>
        <w:tab/>
        <w:t>FRANKRIJK</w:t>
      </w:r>
    </w:p>
    <w:p>
      <w:pPr>
        <w:pStyle w:val="Corpsdetexte"/>
        <w:rPr/>
      </w:pPr>
      <w:r>
        <w:rPr/>
        <w:t>Burgerpanels werden in Frankrijk georganiseerd door het Franse ministerie van Europa en Buitenlandse Zaken, met steun van het ministerie van Betrekkingen met het parlement en de burgerparticipatie.</w:t>
      </w:r>
    </w:p>
    <w:p>
      <w:pPr>
        <w:pStyle w:val="Normal"/>
        <w:rPr/>
      </w:pPr>
      <w:r>
        <w:rPr/>
        <mc:AlternateContent>
          <mc:Choice Requires="wps">
            <w:drawing>
              <wp:anchor behindDoc="0" distT="0" distB="0" distL="0" distR="0" simplePos="0" locked="0" layoutInCell="1" allowOverlap="1" relativeHeight="21">
                <wp:simplePos x="0" y="0"/>
                <wp:positionH relativeFrom="column">
                  <wp:align>center</wp:align>
                </wp:positionH>
                <wp:positionV relativeFrom="paragraph">
                  <wp:posOffset>635</wp:posOffset>
                </wp:positionV>
                <wp:extent cx="2971165" cy="2244090"/>
                <wp:effectExtent l="0" t="0" r="0" b="0"/>
                <wp:wrapSquare wrapText="largest"/>
                <wp:docPr id="40" name="Kader9"/>
                <a:graphic xmlns:a="http://schemas.openxmlformats.org/drawingml/2006/main">
                  <a:graphicData uri="http://schemas.microsoft.com/office/word/2010/wordprocessingShape">
                    <wps:wsp>
                      <wps:cNvSpPr/>
                      <wps:spPr>
                        <a:xfrm>
                          <a:off x="0" y="0"/>
                          <a:ext cx="2970360" cy="2243520"/>
                        </a:xfrm>
                        <a:prstGeom prst="rect">
                          <a:avLst/>
                        </a:prstGeom>
                        <a:solidFill>
                          <a:srgbClr val="ffffff"/>
                        </a:solidFill>
                        <a:ln>
                          <a:noFill/>
                        </a:ln>
                      </wps:spPr>
                      <wps:style>
                        <a:lnRef idx="0"/>
                        <a:fillRef idx="0"/>
                        <a:effectRef idx="0"/>
                        <a:fontRef idx="minor"/>
                      </wps:style>
                      <wps:txbx>
                        <w:txbxContent>
                          <w:p>
                            <w:pPr>
                              <w:pStyle w:val="P68B1DB1Lgende11"/>
                              <w:spacing w:before="120" w:after="120"/>
                              <w:rPr>
                                <w:color w:val="auto"/>
                              </w:rPr>
                            </w:pPr>
                            <w:r>
                              <w:rPr>
                                <w:color w:val="auto"/>
                              </w:rPr>
                              <w:drawing>
                                <wp:inline distT="0" distB="0" distL="0" distR="0">
                                  <wp:extent cx="2970530" cy="2035810"/>
                                  <wp:effectExtent l="0" t="0" r="0" b="0"/>
                                  <wp:docPr id="42" name="Afbeelding1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Afbeelding12" descr=""/>
                                          <pic:cNvPicPr>
                                            <a:picLocks noChangeAspect="1" noChangeArrowheads="1"/>
                                          </pic:cNvPicPr>
                                        </pic:nvPicPr>
                                        <pic:blipFill>
                                          <a:blip r:embed="rId42"/>
                                          <a:stretch>
                                            <a:fillRect/>
                                          </a:stretch>
                                        </pic:blipFill>
                                        <pic:spPr bwMode="auto">
                                          <a:xfrm>
                                            <a:off x="0" y="0"/>
                                            <a:ext cx="2970530" cy="2035810"/>
                                          </a:xfrm>
                                          <a:prstGeom prst="rect">
                                            <a:avLst/>
                                          </a:prstGeom>
                                        </pic:spPr>
                                      </pic:pic>
                                    </a:graphicData>
                                  </a:graphic>
                                </wp:inline>
                              </w:drawing>
                            </w:r>
                            <w:r>
                              <w:rPr>
                                <w:color w:val="auto"/>
                              </w:rPr>
                              <w:t>Fotografie: panel van Franse burgers</w:t>
                            </w:r>
                          </w:p>
                        </w:txbxContent>
                      </wps:txbx>
                      <wps:bodyPr lIns="0" rIns="0" tIns="0" bIns="0">
                        <a:noAutofit/>
                      </wps:bodyPr>
                    </wps:wsp>
                  </a:graphicData>
                </a:graphic>
              </wp:anchor>
            </w:drawing>
          </mc:Choice>
          <mc:Fallback>
            <w:pict>
              <v:rect id="shape_0" ID="Kader9" fillcolor="white" stroked="f" style="position:absolute;margin-left:0pt;margin-top:0.05pt;width:233.85pt;height:176.6pt;mso-position-horizontal:center">
                <w10:wrap type="square"/>
                <v:fill o:detectmouseclick="t" type="solid" color2="black"/>
                <v:stroke color="#3465a4" joinstyle="round" endcap="flat"/>
                <v:textbox>
                  <w:txbxContent>
                    <w:p>
                      <w:pPr>
                        <w:pStyle w:val="P68B1DB1Lgende11"/>
                        <w:spacing w:before="120" w:after="120"/>
                        <w:rPr>
                          <w:color w:val="auto"/>
                        </w:rPr>
                      </w:pPr>
                      <w:r>
                        <w:rPr>
                          <w:color w:val="auto"/>
                        </w:rPr>
                        <w:drawing>
                          <wp:inline distT="0" distB="0" distL="0" distR="0">
                            <wp:extent cx="2970530" cy="2035810"/>
                            <wp:effectExtent l="0" t="0" r="0" b="0"/>
                            <wp:docPr id="43" name="Afbeelding1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Afbeelding12" descr=""/>
                                    <pic:cNvPicPr>
                                      <a:picLocks noChangeAspect="1" noChangeArrowheads="1"/>
                                    </pic:cNvPicPr>
                                  </pic:nvPicPr>
                                  <pic:blipFill>
                                    <a:blip r:embed="rId42"/>
                                    <a:stretch>
                                      <a:fillRect/>
                                    </a:stretch>
                                  </pic:blipFill>
                                  <pic:spPr bwMode="auto">
                                    <a:xfrm>
                                      <a:off x="0" y="0"/>
                                      <a:ext cx="2970530" cy="2035810"/>
                                    </a:xfrm>
                                    <a:prstGeom prst="rect">
                                      <a:avLst/>
                                    </a:prstGeom>
                                  </pic:spPr>
                                </pic:pic>
                              </a:graphicData>
                            </a:graphic>
                          </wp:inline>
                        </w:drawing>
                      </w:r>
                      <w:r>
                        <w:rPr>
                          <w:color w:val="auto"/>
                        </w:rPr>
                        <w:t>Fotografie: panel van Franse burgers</w:t>
                      </w:r>
                    </w:p>
                  </w:txbxContent>
                </v:textbox>
              </v:rect>
            </w:pict>
          </mc:Fallback>
        </mc:AlternateContent>
      </w:r>
    </w:p>
    <w:p>
      <w:pPr>
        <w:pStyle w:val="Corpsdetexte"/>
        <w:rPr/>
      </w:pPr>
      <w:r>
        <w:rPr/>
        <w:t>In september en begin oktober 2021 werden achttien burgerpanels georganiseerd in alle regio’s van Frankrijk, grootstedelijk en overzee. Elk panel bracht 30 tot 50 willekeurig geselecteerde burgers samen, die representatief zijn voor de diversiteit van de bevolking van de regio’s. In totaal namen meer dan 700 burgers deel aan de panels. De werkzaamheden van de regionale panels hebben geleid tot een lijst van 101 aspiraties, met 515 amendementen en 1 301 specifieke voorstellen.</w:t>
      </w:r>
    </w:p>
    <w:p>
      <w:pPr>
        <w:pStyle w:val="Corpsdetexte"/>
        <w:rPr/>
      </w:pPr>
      <w:r>
        <mc:AlternateContent>
          <mc:Choice Requires="wps">
            <w:drawing>
              <wp:anchor behindDoc="0" distT="0" distB="0" distL="0" distR="0" simplePos="0" locked="0" layoutInCell="1" allowOverlap="1" relativeHeight="30">
                <wp:simplePos x="0" y="0"/>
                <wp:positionH relativeFrom="column">
                  <wp:posOffset>82550</wp:posOffset>
                </wp:positionH>
                <wp:positionV relativeFrom="paragraph">
                  <wp:posOffset>2325370</wp:posOffset>
                </wp:positionV>
                <wp:extent cx="2806700" cy="2136140"/>
                <wp:effectExtent l="0" t="0" r="0" b="0"/>
                <wp:wrapSquare wrapText="largest"/>
                <wp:docPr id="44" name="Kader10"/>
                <a:graphic xmlns:a="http://schemas.openxmlformats.org/drawingml/2006/main">
                  <a:graphicData uri="http://schemas.microsoft.com/office/word/2010/wordprocessingShape">
                    <wps:wsp>
                      <wps:cNvSpPr/>
                      <wps:spPr>
                        <a:xfrm>
                          <a:off x="0" y="0"/>
                          <a:ext cx="2806200" cy="2135520"/>
                        </a:xfrm>
                        <a:prstGeom prst="rect">
                          <a:avLst/>
                        </a:prstGeom>
                        <a:solidFill>
                          <a:srgbClr val="ffffff"/>
                        </a:solidFill>
                        <a:ln>
                          <a:noFill/>
                        </a:ln>
                      </wps:spPr>
                      <wps:style>
                        <a:lnRef idx="0"/>
                        <a:fillRef idx="0"/>
                        <a:effectRef idx="0"/>
                        <a:fontRef idx="minor"/>
                      </wps:style>
                      <wps:txbx>
                        <w:txbxContent>
                          <w:p>
                            <w:pPr>
                              <w:pStyle w:val="P68B1DB1Lgende11"/>
                              <w:spacing w:before="120" w:after="120"/>
                              <w:rPr>
                                <w:color w:val="auto"/>
                              </w:rPr>
                            </w:pPr>
                            <w:r>
                              <w:rPr>
                                <w:color w:val="auto"/>
                              </w:rPr>
                              <w:drawing>
                                <wp:inline distT="0" distB="0" distL="0" distR="0">
                                  <wp:extent cx="2970530" cy="2040890"/>
                                  <wp:effectExtent l="0" t="0" r="0" b="0"/>
                                  <wp:docPr id="46" name="Afbeelding1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Afbeelding13" descr=""/>
                                          <pic:cNvPicPr>
                                            <a:picLocks noChangeAspect="1" noChangeArrowheads="1"/>
                                          </pic:cNvPicPr>
                                        </pic:nvPicPr>
                                        <pic:blipFill>
                                          <a:blip r:embed="rId43"/>
                                          <a:stretch>
                                            <a:fillRect/>
                                          </a:stretch>
                                        </pic:blipFill>
                                        <pic:spPr bwMode="auto">
                                          <a:xfrm>
                                            <a:off x="0" y="0"/>
                                            <a:ext cx="2970530" cy="2040890"/>
                                          </a:xfrm>
                                          <a:prstGeom prst="rect">
                                            <a:avLst/>
                                          </a:prstGeom>
                                        </pic:spPr>
                                      </pic:pic>
                                    </a:graphicData>
                                  </a:graphic>
                                </wp:inline>
                              </w:drawing>
                            </w:r>
                            <w:r>
                              <w:rPr>
                                <w:color w:val="auto"/>
                              </w:rPr>
                              <w:t>Fotografie: Italiaans burgerpanel</w:t>
                            </w:r>
                          </w:p>
                        </w:txbxContent>
                      </wps:txbx>
                      <wps:bodyPr lIns="0" rIns="0" tIns="0" bIns="0">
                        <a:noAutofit/>
                      </wps:bodyPr>
                    </wps:wsp>
                  </a:graphicData>
                </a:graphic>
              </wp:anchor>
            </w:drawing>
          </mc:Choice>
          <mc:Fallback>
            <w:pict>
              <v:rect id="shape_0" ID="Kader10" fillcolor="white" stroked="f" style="position:absolute;margin-left:6.5pt;margin-top:183.1pt;width:220.9pt;height:168.1pt">
                <w10:wrap type="square"/>
                <v:fill o:detectmouseclick="t" type="solid" color2="black"/>
                <v:stroke color="#3465a4" joinstyle="round" endcap="flat"/>
                <v:textbox>
                  <w:txbxContent>
                    <w:p>
                      <w:pPr>
                        <w:pStyle w:val="P68B1DB1Lgende11"/>
                        <w:spacing w:before="120" w:after="120"/>
                        <w:rPr>
                          <w:color w:val="auto"/>
                        </w:rPr>
                      </w:pPr>
                      <w:r>
                        <w:rPr>
                          <w:color w:val="auto"/>
                        </w:rPr>
                        <w:drawing>
                          <wp:inline distT="0" distB="0" distL="0" distR="0">
                            <wp:extent cx="2970530" cy="2040890"/>
                            <wp:effectExtent l="0" t="0" r="0" b="0"/>
                            <wp:docPr id="47" name="Afbeelding1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Afbeelding13" descr=""/>
                                    <pic:cNvPicPr>
                                      <a:picLocks noChangeAspect="1" noChangeArrowheads="1"/>
                                    </pic:cNvPicPr>
                                  </pic:nvPicPr>
                                  <pic:blipFill>
                                    <a:blip r:embed="rId43"/>
                                    <a:stretch>
                                      <a:fillRect/>
                                    </a:stretch>
                                  </pic:blipFill>
                                  <pic:spPr bwMode="auto">
                                    <a:xfrm>
                                      <a:off x="0" y="0"/>
                                      <a:ext cx="2970530" cy="2040890"/>
                                    </a:xfrm>
                                    <a:prstGeom prst="rect">
                                      <a:avLst/>
                                    </a:prstGeom>
                                  </pic:spPr>
                                </pic:pic>
                              </a:graphicData>
                            </a:graphic>
                          </wp:inline>
                        </w:drawing>
                      </w:r>
                      <w:r>
                        <w:rPr>
                          <w:color w:val="auto"/>
                        </w:rPr>
                        <w:t>Fotografie: Italiaans burgerpanel</w:t>
                      </w:r>
                    </w:p>
                  </w:txbxContent>
                </v:textbox>
              </v:rect>
            </w:pict>
          </mc:Fallback>
        </mc:AlternateContent>
      </w:r>
      <w:r>
        <w:rPr/>
        <w:t>In totaal zijn 100 burgers die de panels vertegenwoordigen op 16-17 oktober 2021 in Parijs bijeengekomen voor de nationale syntheseconferentie om de aanbevelingen op te stellen en aan te nemen. In totaal werden 14 prioritaire aanbevelingen in het kader van dit proces vastgesteld. Met betrekking tot de negen thema’s van de conferentie, werden de aanbevelingen voorgelegd aan de Franse regering, waaronder staatssecretaris Clément Beaune, en vormde de bijdrage van de Franse regering aan de conferentie.</w:t>
      </w:r>
    </w:p>
    <w:p>
      <w:pPr>
        <w:pStyle w:val="Titre4"/>
        <w:numPr>
          <w:ilvl w:val="3"/>
          <w:numId w:val="2"/>
        </w:numPr>
        <w:rPr/>
      </w:pPr>
      <w:bookmarkStart w:id="24" w:name="__RefHeading___Toc298222_1346298689"/>
      <w:bookmarkEnd w:id="24"/>
      <w:r>
        <w:rPr/>
        <w:t>4)</w:t>
        <w:tab/>
        <w:t>ITALIË</w:t>
      </w:r>
    </w:p>
    <w:p>
      <w:pPr>
        <w:pStyle w:val="Corpsdetexte"/>
        <w:rPr/>
      </w:pPr>
      <w:r>
        <w:rPr/>
        <w:t>In maart 2022 werd een burgerpanel georganiseerd door een onafhankelijke derde partij, onder toezicht van het Italiaanse ministerie van Europees beleid van het voorzitterschap van de Raad van Ministers.</w:t>
      </w:r>
    </w:p>
    <w:p>
      <w:pPr>
        <w:pStyle w:val="Corpsdetexte"/>
        <w:rPr/>
      </w:pPr>
      <w:r>
        <w:rPr/>
      </w:r>
    </w:p>
    <w:p>
      <w:pPr>
        <w:pStyle w:val="Corpsdetexte"/>
        <w:rPr/>
      </w:pPr>
      <w:r>
        <w:rPr/>
        <w:t>In totaal namen 55 willekeurig geselecteerde burgers, vertegenwoordiger van de Italiaanse samenleving en haar regio’s, deel. De deelnemers werden willekeurig geselecteerd om de aanwezigheid van verschillende geslachten, leeftijd, sociale afkomst, woonplaats en beroepsstatus te waarborgen.</w:t>
      </w:r>
    </w:p>
    <w:p>
      <w:pPr>
        <w:pStyle w:val="Corpsdetexte"/>
        <w:rPr/>
      </w:pPr>
      <w:r>
        <w:rPr/>
        <w:t>Burgers kwamen op 11 en 12 maart 2022 online bijeen om twee thema’s van de conferentie te bespreken:</w:t>
      </w:r>
    </w:p>
    <w:p>
      <w:pPr>
        <w:pStyle w:val="Alineanegatifpuce"/>
        <w:numPr>
          <w:ilvl w:val="0"/>
          <w:numId w:val="3"/>
        </w:numPr>
        <w:rPr/>
      </w:pPr>
      <w:r>
        <w:rPr/>
        <w:t xml:space="preserve"> „</w:t>
      </w:r>
      <w:r>
        <w:rPr/>
        <w:t>Een sterkere economie, sociale rechtvaardigheid en werkgelegenheid”, en</w:t>
      </w:r>
    </w:p>
    <w:p>
      <w:pPr>
        <w:pStyle w:val="Alineanegatifpuce"/>
        <w:numPr>
          <w:ilvl w:val="0"/>
          <w:numId w:val="3"/>
        </w:numPr>
        <w:rPr/>
      </w:pPr>
      <w:r>
        <w:rPr/>
        <w:t xml:space="preserve"> „</w:t>
      </w:r>
      <w:r>
        <w:rPr/>
        <w:t>Europa in de wereld”.</w:t>
      </w:r>
    </w:p>
    <w:p>
      <w:pPr>
        <w:pStyle w:val="Corpsdetexte"/>
        <w:rPr/>
      </w:pPr>
      <w:r>
        <w:rPr/>
        <w:t>Op 12 maart 2022 heeft het panel in totaal 58 aanbevelingen aangenomen, waaronder 33 over „Een sterkere economie, sociale rechtvaardigheid en werkgelegenheid” en 25 over „Europa als wereldspeler”. Op de laatste dag hebben de deelnemers de verificatie en validering van het eerste ontwerp van de tijdens de eerste fase van de werkzaamheden gedane aanbevelingen uitgevoerd.</w:t>
      </w:r>
    </w:p>
    <w:p>
      <w:pPr>
        <w:pStyle w:val="Corpsdetexte"/>
        <w:rPr/>
      </w:pPr>
      <w:r>
        <w:rPr/>
      </w:r>
    </w:p>
    <w:p>
      <w:pPr>
        <w:pStyle w:val="Titre4"/>
        <w:numPr>
          <w:ilvl w:val="3"/>
          <w:numId w:val="2"/>
        </w:numPr>
        <w:rPr/>
      </w:pPr>
      <w:bookmarkStart w:id="25" w:name="__RefHeading___Toc298224_1346298689"/>
      <w:bookmarkEnd w:id="25"/>
      <w:r>
        <w:rPr/>
        <w:t>5)</w:t>
        <w:tab/>
        <w:t>LITOUWEN</w:t>
      </w:r>
    </w:p>
    <w:p>
      <w:pPr>
        <w:pStyle w:val="Corpsdetexte"/>
        <w:rPr/>
      </w:pPr>
      <w:r>
        <w:rPr/>
        <w:t>Namens het ministerie van Buitenlandse Zaken werd in januari 2022 een nationaal burgerpanel georganiseerd door een onafhankelijke derde partij.</w:t>
      </w:r>
    </w:p>
    <w:p>
      <w:pPr>
        <w:pStyle w:val="Corpsdetexte"/>
        <w:rPr/>
      </w:pPr>
      <w:r>
        <w:rPr/>
        <mc:AlternateContent>
          <mc:Choice Requires="wps">
            <w:drawing>
              <wp:anchor behindDoc="0" distT="0" distB="0" distL="0" distR="0" simplePos="0" locked="0" layoutInCell="1" allowOverlap="1" relativeHeight="22">
                <wp:simplePos x="0" y="0"/>
                <wp:positionH relativeFrom="column">
                  <wp:align>center</wp:align>
                </wp:positionH>
                <wp:positionV relativeFrom="paragraph">
                  <wp:posOffset>635</wp:posOffset>
                </wp:positionV>
                <wp:extent cx="2971165" cy="2247265"/>
                <wp:effectExtent l="0" t="0" r="0" b="0"/>
                <wp:wrapSquare wrapText="largest"/>
                <wp:docPr id="48" name="Kader11"/>
                <a:graphic xmlns:a="http://schemas.openxmlformats.org/drawingml/2006/main">
                  <a:graphicData uri="http://schemas.microsoft.com/office/word/2010/wordprocessingShape">
                    <wps:wsp>
                      <wps:cNvSpPr/>
                      <wps:spPr>
                        <a:xfrm>
                          <a:off x="0" y="0"/>
                          <a:ext cx="2970360" cy="2246760"/>
                        </a:xfrm>
                        <a:prstGeom prst="rect">
                          <a:avLst/>
                        </a:prstGeom>
                        <a:solidFill>
                          <a:srgbClr val="ffffff"/>
                        </a:solidFill>
                        <a:ln>
                          <a:noFill/>
                        </a:ln>
                      </wps:spPr>
                      <wps:style>
                        <a:lnRef idx="0"/>
                        <a:fillRef idx="0"/>
                        <a:effectRef idx="0"/>
                        <a:fontRef idx="minor"/>
                      </wps:style>
                      <wps:txbx>
                        <w:txbxContent>
                          <w:p>
                            <w:pPr>
                              <w:pStyle w:val="P68B1DB1Lgende11"/>
                              <w:spacing w:before="120" w:after="120"/>
                              <w:rPr>
                                <w:color w:val="auto"/>
                              </w:rPr>
                            </w:pPr>
                            <w:r>
                              <w:rPr>
                                <w:color w:val="auto"/>
                              </w:rPr>
                              <w:drawing>
                                <wp:inline distT="0" distB="0" distL="0" distR="0">
                                  <wp:extent cx="2970530" cy="2038985"/>
                                  <wp:effectExtent l="0" t="0" r="0" b="0"/>
                                  <wp:docPr id="50" name="Afbeelding 1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Afbeelding 14" descr=""/>
                                          <pic:cNvPicPr>
                                            <a:picLocks noChangeAspect="1" noChangeArrowheads="1"/>
                                          </pic:cNvPicPr>
                                        </pic:nvPicPr>
                                        <pic:blipFill>
                                          <a:blip r:embed="rId44"/>
                                          <a:stretch>
                                            <a:fillRect/>
                                          </a:stretch>
                                        </pic:blipFill>
                                        <pic:spPr bwMode="auto">
                                          <a:xfrm>
                                            <a:off x="0" y="0"/>
                                            <a:ext cx="2970530" cy="2038985"/>
                                          </a:xfrm>
                                          <a:prstGeom prst="rect">
                                            <a:avLst/>
                                          </a:prstGeom>
                                        </pic:spPr>
                                      </pic:pic>
                                    </a:graphicData>
                                  </a:graphic>
                                </wp:inline>
                              </w:drawing>
                            </w:r>
                            <w:r>
                              <w:rPr>
                                <w:color w:val="auto"/>
                              </w:rPr>
                              <w:t>Fotografie: Litouws burgerpanel</w:t>
                            </w:r>
                          </w:p>
                        </w:txbxContent>
                      </wps:txbx>
                      <wps:bodyPr lIns="0" rIns="0" tIns="0" bIns="0">
                        <a:noAutofit/>
                      </wps:bodyPr>
                    </wps:wsp>
                  </a:graphicData>
                </a:graphic>
              </wp:anchor>
            </w:drawing>
          </mc:Choice>
          <mc:Fallback>
            <w:pict>
              <v:rect id="shape_0" ID="Kader11" fillcolor="white" stroked="f" style="position:absolute;margin-left:0pt;margin-top:0.05pt;width:233.85pt;height:176.85pt;mso-position-horizontal:center">
                <w10:wrap type="square"/>
                <v:fill o:detectmouseclick="t" type="solid" color2="black"/>
                <v:stroke color="#3465a4" joinstyle="round" endcap="flat"/>
                <v:textbox>
                  <w:txbxContent>
                    <w:p>
                      <w:pPr>
                        <w:pStyle w:val="P68B1DB1Lgende11"/>
                        <w:spacing w:before="120" w:after="120"/>
                        <w:rPr>
                          <w:color w:val="auto"/>
                        </w:rPr>
                      </w:pPr>
                      <w:r>
                        <w:rPr>
                          <w:color w:val="auto"/>
                        </w:rPr>
                        <w:drawing>
                          <wp:inline distT="0" distB="0" distL="0" distR="0">
                            <wp:extent cx="2970530" cy="2038985"/>
                            <wp:effectExtent l="0" t="0" r="0" b="0"/>
                            <wp:docPr id="51" name="Afbeelding 1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Afbeelding 14" descr=""/>
                                    <pic:cNvPicPr>
                                      <a:picLocks noChangeAspect="1" noChangeArrowheads="1"/>
                                    </pic:cNvPicPr>
                                  </pic:nvPicPr>
                                  <pic:blipFill>
                                    <a:blip r:embed="rId44"/>
                                    <a:stretch>
                                      <a:fillRect/>
                                    </a:stretch>
                                  </pic:blipFill>
                                  <pic:spPr bwMode="auto">
                                    <a:xfrm>
                                      <a:off x="0" y="0"/>
                                      <a:ext cx="2970530" cy="2038985"/>
                                    </a:xfrm>
                                    <a:prstGeom prst="rect">
                                      <a:avLst/>
                                    </a:prstGeom>
                                  </pic:spPr>
                                </pic:pic>
                              </a:graphicData>
                            </a:graphic>
                          </wp:inline>
                        </w:drawing>
                      </w:r>
                      <w:r>
                        <w:rPr>
                          <w:color w:val="auto"/>
                        </w:rPr>
                        <w:t>Fotografie: Litouws burgerpanel</w:t>
                      </w:r>
                    </w:p>
                  </w:txbxContent>
                </v:textbox>
              </v:rect>
            </w:pict>
          </mc:Fallback>
        </mc:AlternateContent>
      </w:r>
    </w:p>
    <w:p>
      <w:pPr>
        <w:pStyle w:val="Corpsdetexte"/>
        <w:rPr/>
      </w:pPr>
      <w:r>
        <w:rPr/>
        <w:t>Het bracht in totaal 25 willekeurig geselecteerde burgers van 18 tot 65 jaar bij elkaar, die representatief waren voor de verschillende sociaal-economische groepen en regio’s van Litouwen.</w:t>
      </w:r>
    </w:p>
    <w:p>
      <w:pPr>
        <w:pStyle w:val="Corpsdetexte"/>
        <w:rPr/>
      </w:pPr>
      <w:r>
        <w:rPr/>
        <w:t>Op 4 januari 2022 werd online een openingssessie georganiseerd en de burgers bespraken twee onderwerpen:</w:t>
      </w:r>
    </w:p>
    <w:p>
      <w:pPr>
        <w:pStyle w:val="Alineanegatifpuce"/>
        <w:numPr>
          <w:ilvl w:val="0"/>
          <w:numId w:val="3"/>
        </w:numPr>
        <w:rPr/>
      </w:pPr>
      <w:r>
        <w:rPr/>
        <w:t xml:space="preserve"> </w:t>
      </w:r>
      <w:r>
        <w:rPr/>
        <w:t>de rol en bevoegdheden van de EU in het buitenlands beleid;</w:t>
      </w:r>
    </w:p>
    <w:p>
      <w:pPr>
        <w:pStyle w:val="Alineanegatifpuce"/>
        <w:numPr>
          <w:ilvl w:val="0"/>
          <w:numId w:val="3"/>
        </w:numPr>
        <w:rPr/>
      </w:pPr>
      <w:r>
        <w:rPr/>
        <w:t xml:space="preserve"> </w:t>
      </w:r>
      <w:r>
        <w:rPr/>
        <w:t>de economische rol van de EU.</w:t>
      </w:r>
    </w:p>
    <w:p>
      <w:pPr>
        <w:pStyle w:val="Normal"/>
        <w:rPr/>
      </w:pPr>
      <w:r>
        <w:rPr/>
      </w:r>
    </w:p>
    <w:p>
      <w:pPr>
        <w:pStyle w:val="Corpsdetexte"/>
        <w:rPr/>
      </w:pPr>
      <w:r>
        <w:rPr/>
        <w:t>Op 15 januari 2022 kwamen de deelnemers persoonlijk bijeen om de belangrijkste conclusies van hun besprekingen te formuleren. Op 25 januari 2022 hebben zij 21 aanbevelingen aangenomen tijdens een virtuele zitting, waarvan 10 gericht waren op de rol en bevoegdheden van de EU in het buitenlands beleid en 11 op de economische rol van de EU.</w:t>
      </w:r>
    </w:p>
    <w:p>
      <w:pPr>
        <w:pStyle w:val="Corpsdetexte"/>
        <w:rPr/>
      </w:pPr>
      <w:r>
        <w:rPr/>
      </w:r>
    </w:p>
    <w:p>
      <w:pPr>
        <w:pStyle w:val="Titre4"/>
        <w:numPr>
          <w:ilvl w:val="3"/>
          <w:numId w:val="2"/>
        </w:numPr>
        <w:rPr/>
      </w:pPr>
      <w:bookmarkStart w:id="26" w:name="__RefHeading___Toc298226_1346298689"/>
      <w:bookmarkEnd w:id="26"/>
      <w:r>
        <w:rPr/>
        <w:t>6)</w:t>
        <w:tab/>
        <w:t>NEDERLAND</w:t>
      </w:r>
    </w:p>
    <w:p>
      <w:pPr>
        <w:pStyle w:val="Corpsdetexte"/>
        <w:rPr/>
      </w:pPr>
      <w:r>
        <w:rPr/>
        <w:t>Het burgerpanel werd georganiseerd door een onafhankelijke derde partij, met ingang van</w:t>
      </w:r>
      <w:r>
        <w:rPr>
          <w:vertAlign w:val="superscript"/>
        </w:rPr>
        <w:t>1</w:t>
      </w:r>
      <w:r>
        <w:rPr/>
        <w:t xml:space="preserve"> september de dialogen met de titel „Visions of Europe”. Ze werden opgesplitst in verschillende delen.</w:t>
      </w:r>
    </w:p>
    <w:p>
      <w:pPr>
        <w:pStyle w:val="Corpsdetexte"/>
        <w:rPr/>
      </w:pPr>
      <w:r>
        <w:rPr/>
        <w:t>Het onlinegedeelte, dat op</w:t>
      </w:r>
      <w:r>
        <w:rPr>
          <w:vertAlign w:val="superscript"/>
        </w:rPr>
        <w:t>1</w:t>
      </w:r>
      <w:r>
        <w:rPr/>
        <w:t xml:space="preserve"> september 2021 werd gelanceerd, bevatte een</w:t>
      </w:r>
      <w:r>
        <w:drawing>
          <wp:anchor behindDoc="0" distT="0" distB="0" distL="0" distR="0" simplePos="0" locked="0" layoutInCell="1" allowOverlap="1" relativeHeight="26">
            <wp:simplePos x="0" y="0"/>
            <wp:positionH relativeFrom="column">
              <wp:posOffset>1356995</wp:posOffset>
            </wp:positionH>
            <wp:positionV relativeFrom="paragraph">
              <wp:posOffset>1277620</wp:posOffset>
            </wp:positionV>
            <wp:extent cx="3610610" cy="2474595"/>
            <wp:effectExtent l="0" t="0" r="0" b="0"/>
            <wp:wrapTopAndBottom/>
            <wp:docPr id="52" name="Afbeelding 1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Afbeelding 16" descr=""/>
                    <pic:cNvPicPr>
                      <a:picLocks noChangeAspect="1" noChangeArrowheads="1"/>
                    </pic:cNvPicPr>
                  </pic:nvPicPr>
                  <pic:blipFill>
                    <a:blip r:embed="rId45"/>
                    <a:stretch>
                      <a:fillRect/>
                    </a:stretch>
                  </pic:blipFill>
                  <pic:spPr bwMode="auto">
                    <a:xfrm>
                      <a:off x="0" y="0"/>
                      <a:ext cx="3610610" cy="2474595"/>
                    </a:xfrm>
                    <a:prstGeom prst="rect">
                      <a:avLst/>
                    </a:prstGeom>
                  </pic:spPr>
                </pic:pic>
              </a:graphicData>
            </a:graphic>
          </wp:anchor>
        </w:drawing>
      </w:r>
      <w:r>
        <w:rPr/>
        <w:t>q</w:t>
      </w:r>
      <w:r>
        <w:rPr/>
        <w:t>uestio nary en een vereenvoudigd selectie-instrument waarmee burgers hun voorkeuren, wensen en aanbevelingen over de negen thema’s van de conferentie konden uiten. De vragenlijst werd uitgedeeld aan een geselecteerde representatieve en inclusieve groep van 4.000 burgers.</w:t>
      </w:r>
    </w:p>
    <w:p>
      <w:pPr>
        <w:pStyle w:val="Corpsdetexte"/>
        <w:rPr/>
      </w:pPr>
      <w:r>
        <w:rPr/>
      </w:r>
    </w:p>
    <w:p>
      <w:pPr>
        <w:pStyle w:val="Corpsdetexte"/>
        <w:rPr/>
      </w:pPr>
      <w:r>
        <w:rPr/>
        <w:t>In oktober en november 2021 werden uitvoerige debatten gehouden met burgers online en offline, met name om jongeren en moeilijk bereikbare doelgroepen te bereiken.</w:t>
      </w:r>
    </w:p>
    <w:p>
      <w:pPr>
        <w:pStyle w:val="Corpsdetexte"/>
        <w:rPr/>
      </w:pPr>
      <w:r>
        <w:rPr/>
        <w:t>Er zijn twee verslagen gepubliceerd, getiteld „Onze visie voor Europa”; adviezen, ideeën en aanbevelingen (Elze kijk op Europa; Meningen, ideeën en Aanbevelingen) en het samenbrengen van de 30 aanbevelingen van burgers over de negen thema’s van de conferentie.</w:t>
      </w:r>
    </w:p>
    <w:p>
      <w:pPr>
        <w:pStyle w:val="Corpsdetexte"/>
        <w:rPr/>
      </w:pPr>
      <w:r>
        <w:rPr/>
        <mc:AlternateContent>
          <mc:Choice Requires="wps">
            <w:drawing>
              <wp:anchor behindDoc="0" distT="0" distB="0" distL="0" distR="0" simplePos="0" locked="0" layoutInCell="1" allowOverlap="1" relativeHeight="67">
                <wp:simplePos x="0" y="0"/>
                <wp:positionH relativeFrom="column">
                  <wp:posOffset>25400</wp:posOffset>
                </wp:positionH>
                <wp:positionV relativeFrom="paragraph">
                  <wp:posOffset>591820</wp:posOffset>
                </wp:positionV>
                <wp:extent cx="2971165" cy="2225675"/>
                <wp:effectExtent l="0" t="0" r="0" b="0"/>
                <wp:wrapSquare wrapText="largest"/>
                <wp:docPr id="53" name="Kader12"/>
                <a:graphic xmlns:a="http://schemas.openxmlformats.org/drawingml/2006/main">
                  <a:graphicData uri="http://schemas.microsoft.com/office/word/2010/wordprocessingShape">
                    <wps:wsp>
                      <wps:cNvSpPr/>
                      <wps:spPr>
                        <a:xfrm>
                          <a:off x="0" y="0"/>
                          <a:ext cx="2970360" cy="2225160"/>
                        </a:xfrm>
                        <a:prstGeom prst="rect">
                          <a:avLst/>
                        </a:prstGeom>
                        <a:solidFill>
                          <a:srgbClr val="ffffff"/>
                        </a:solidFill>
                        <a:ln>
                          <a:noFill/>
                        </a:ln>
                      </wps:spPr>
                      <wps:style>
                        <a:lnRef idx="0"/>
                        <a:fillRef idx="0"/>
                        <a:effectRef idx="0"/>
                        <a:fontRef idx="minor"/>
                      </wps:style>
                      <wps:txbx>
                        <w:txbxContent>
                          <w:p>
                            <w:pPr>
                              <w:pStyle w:val="P68B1DB1Lgende11"/>
                              <w:spacing w:before="120" w:after="120"/>
                              <w:rPr>
                                <w:color w:val="auto"/>
                              </w:rPr>
                            </w:pPr>
                            <w:r>
                              <w:rPr>
                                <w:color w:val="auto"/>
                              </w:rPr>
                              <w:t>Nederlands</w:t>
                            </w:r>
                            <w:r>
                              <w:rPr>
                                <w:color w:val="auto"/>
                              </w:rPr>
                              <w:drawing>
                                <wp:inline distT="0" distB="0" distL="0" distR="0">
                                  <wp:extent cx="2970530" cy="2017395"/>
                                  <wp:effectExtent l="0" t="0" r="0" b="0"/>
                                  <wp:docPr id="55" name="Afbeelding 1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Afbeelding 15" descr=""/>
                                          <pic:cNvPicPr>
                                            <a:picLocks noChangeAspect="1" noChangeArrowheads="1"/>
                                          </pic:cNvPicPr>
                                        </pic:nvPicPr>
                                        <pic:blipFill>
                                          <a:blip r:embed="rId46"/>
                                          <a:stretch>
                                            <a:fillRect/>
                                          </a:stretch>
                                        </pic:blipFill>
                                        <pic:spPr bwMode="auto">
                                          <a:xfrm>
                                            <a:off x="0" y="0"/>
                                            <a:ext cx="2970530" cy="2017395"/>
                                          </a:xfrm>
                                          <a:prstGeom prst="rect">
                                            <a:avLst/>
                                          </a:prstGeom>
                                        </pic:spPr>
                                      </pic:pic>
                                    </a:graphicData>
                                  </a:graphic>
                                </wp:inline>
                              </w:drawing>
                            </w:r>
                            <w:r>
                              <w:rPr>
                                <w:color w:val="auto"/>
                              </w:rPr>
                              <w:t>Burgerpanel</w:t>
                            </w:r>
                          </w:p>
                        </w:txbxContent>
                      </wps:txbx>
                      <wps:bodyPr lIns="0" rIns="0" tIns="0" bIns="0">
                        <a:noAutofit/>
                      </wps:bodyPr>
                    </wps:wsp>
                  </a:graphicData>
                </a:graphic>
              </wp:anchor>
            </w:drawing>
          </mc:Choice>
          <mc:Fallback>
            <w:pict>
              <v:rect id="shape_0" ID="Kader12" fillcolor="white" stroked="f" style="position:absolute;margin-left:2pt;margin-top:46.6pt;width:233.85pt;height:175.15pt">
                <w10:wrap type="square"/>
                <v:fill o:detectmouseclick="t" type="solid" color2="black"/>
                <v:stroke color="#3465a4" joinstyle="round" endcap="flat"/>
                <v:textbox>
                  <w:txbxContent>
                    <w:p>
                      <w:pPr>
                        <w:pStyle w:val="P68B1DB1Lgende11"/>
                        <w:spacing w:before="120" w:after="120"/>
                        <w:rPr>
                          <w:color w:val="auto"/>
                        </w:rPr>
                      </w:pPr>
                      <w:r>
                        <w:rPr>
                          <w:color w:val="auto"/>
                        </w:rPr>
                        <w:t>Nederlands</w:t>
                      </w:r>
                      <w:r>
                        <w:rPr>
                          <w:color w:val="auto"/>
                        </w:rPr>
                        <w:drawing>
                          <wp:inline distT="0" distB="0" distL="0" distR="0">
                            <wp:extent cx="2970530" cy="2017395"/>
                            <wp:effectExtent l="0" t="0" r="0" b="0"/>
                            <wp:docPr id="56" name="Afbeelding 1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Afbeelding 15" descr=""/>
                                    <pic:cNvPicPr>
                                      <a:picLocks noChangeAspect="1" noChangeArrowheads="1"/>
                                    </pic:cNvPicPr>
                                  </pic:nvPicPr>
                                  <pic:blipFill>
                                    <a:blip r:embed="rId46"/>
                                    <a:stretch>
                                      <a:fillRect/>
                                    </a:stretch>
                                  </pic:blipFill>
                                  <pic:spPr bwMode="auto">
                                    <a:xfrm>
                                      <a:off x="0" y="0"/>
                                      <a:ext cx="2970530" cy="2017395"/>
                                    </a:xfrm>
                                    <a:prstGeom prst="rect">
                                      <a:avLst/>
                                    </a:prstGeom>
                                  </pic:spPr>
                                </pic:pic>
                              </a:graphicData>
                            </a:graphic>
                          </wp:inline>
                        </w:drawing>
                      </w:r>
                      <w:r>
                        <w:rPr>
                          <w:color w:val="auto"/>
                        </w:rPr>
                        <w:t>Burgerpanel</w:t>
                      </w:r>
                    </w:p>
                  </w:txbxContent>
                </v:textbox>
              </v:rect>
            </w:pict>
          </mc:Fallback>
        </mc:AlternateContent>
      </w:r>
    </w:p>
    <w:p>
      <w:pPr>
        <w:pStyle w:val="Normal"/>
        <w:rPr/>
      </w:pPr>
      <w:r>
        <w:rPr/>
      </w:r>
      <w:r>
        <w:br w:type="page"/>
      </w:r>
    </w:p>
    <w:p>
      <w:pPr>
        <w:pStyle w:val="Titre2"/>
        <w:numPr>
          <w:ilvl w:val="1"/>
          <w:numId w:val="2"/>
        </w:numPr>
        <w:rPr/>
      </w:pPr>
      <w:bookmarkStart w:id="27" w:name="__RefHeading___Toc298228_1346298689"/>
      <w:bookmarkEnd w:id="27"/>
      <w:r>
        <w:rPr/>
        <w:t>C.</w:t>
        <w:tab/>
        <w:t>Evenementen georganiseerd in het kader van de conferentie</w:t>
      </w:r>
    </w:p>
    <w:p>
      <w:pPr>
        <w:pStyle w:val="Titre3"/>
        <w:numPr>
          <w:ilvl w:val="2"/>
          <w:numId w:val="2"/>
        </w:numPr>
        <w:rPr/>
      </w:pPr>
      <w:bookmarkStart w:id="28" w:name="__RefHeading___Toc298230_1346298689"/>
      <w:bookmarkEnd w:id="28"/>
      <w:r>
        <w:rPr/>
        <w:t>1.</w:t>
        <w:tab/>
        <w:t>Nationale evenementen</w:t>
      </w:r>
    </w:p>
    <w:p>
      <w:pPr>
        <w:pStyle w:val="Corpsdetexte"/>
        <w:rPr/>
      </w:pPr>
      <w:r>
        <w:rPr/>
        <w:t xml:space="preserve">De lidstaten hebben aan de conferentie bijgedragen door middel van een breed scala aan evenementen en initiatieven. Enkele duizenden burgers uit de hele EU namen aan deze evenementen deel. Een </w:t>
      </w:r>
      <w:hyperlink r:id="rId47">
        <w:r>
          <w:rPr>
            <w:rStyle w:val="LienInternet"/>
          </w:rPr>
          <w:t>specifiek onderdeel</w:t>
        </w:r>
      </w:hyperlink>
      <w:r>
        <w:rPr/>
        <w:t xml:space="preserve"> van het meertalige digitale platform geeft een overzicht van de belangrijkste activiteiten die de autoriteiten van de lidstaten hebben georganiseerd of ondersteund. De evenementen werden gepresenteerd tijdens de plenaire vergaderingen van de conferentie op 23 oktober 2021 en 25 maart 2022 door vertegenwoordigers van nationale evenementen en/of nationale burgerpanels, maar zij droegen ook bij aan de conferentie via </w:t>
      </w:r>
      <w:hyperlink r:id="rId48">
        <w:r>
          <w:rPr>
            <w:rStyle w:val="LienInternet"/>
          </w:rPr>
          <w:t>platformverslagen</w:t>
        </w:r>
      </w:hyperlink>
      <w:r>
        <w:rPr/>
        <w:t>, waardoor het debat op Europees niveau werd verrijkt.</w:t>
      </w:r>
    </w:p>
    <w:p>
      <w:pPr>
        <w:pStyle w:val="Corpsdetexte"/>
        <w:rPr/>
      </w:pPr>
      <w:r>
        <w:rPr/>
        <w:t xml:space="preserve"> </w:t>
      </w:r>
      <w:r>
        <w:rPr/>
        <w:t>De belangrijkste doelstelling van deze evenementen en initiatieven was om naar de burgers te luisteren en hen te betrekken bij debatten over de Europese Unie. Inclusie en dialoog met burgers waren ook een prioriteit, met inspanningen om mensen te betrekken die gewoonlijk niet betrokken zijn bij EU-gerelateerde debatten.</w:t>
      </w:r>
    </w:p>
    <w:p>
      <w:pPr>
        <w:pStyle w:val="Corpsdetexte"/>
        <w:rPr/>
      </w:pPr>
      <w:r>
        <w:rPr/>
        <w:t>Er vonden verschillende soorten evenementen plaats, waarbij gecentraliseerde en gedecentraliseerde benaderingen werden gecombineerd, onder meer met verschillende vormen van steun voor bottom-up-initiatieven. Activiteiten en evenementen in de lidstaten werden georganiseerd door verschillende instellingen en actoren, waaronder nationale, regionale en lokale overheden, maatschappelijke organisaties, sociale partners, verenigingen en burgers. In sommige gevallen hebben ook niet-gouvernementele organisaties, culturele instellingen, denktanks, universiteiten en onderzoeksinstituten actief deelgenomen aan de organisatie van evenementen op de conferentie. In veel van deze activiteiten en evenementen is speciale nadruk gelegd op de deelname van de jongere generatie.</w:t>
      </w:r>
    </w:p>
    <w:p>
      <w:pPr>
        <w:pStyle w:val="Corpsdetexte"/>
        <w:rPr/>
      </w:pPr>
      <w:r>
        <w:rPr/>
        <w:drawing>
          <wp:anchor behindDoc="0" distT="0" distB="0" distL="0" distR="0" simplePos="0" locked="0" layoutInCell="1" allowOverlap="1" relativeHeight="68">
            <wp:simplePos x="0" y="0"/>
            <wp:positionH relativeFrom="column">
              <wp:posOffset>31750</wp:posOffset>
            </wp:positionH>
            <wp:positionV relativeFrom="paragraph">
              <wp:posOffset>123190</wp:posOffset>
            </wp:positionV>
            <wp:extent cx="2518410" cy="7244080"/>
            <wp:effectExtent l="0" t="0" r="0" b="0"/>
            <wp:wrapTopAndBottom/>
            <wp:docPr id="57" name="Afbeelding1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Afbeelding17" descr=""/>
                    <pic:cNvPicPr>
                      <a:picLocks noChangeAspect="1" noChangeArrowheads="1"/>
                    </pic:cNvPicPr>
                  </pic:nvPicPr>
                  <pic:blipFill>
                    <a:blip r:embed="rId49"/>
                    <a:stretch>
                      <a:fillRect/>
                    </a:stretch>
                  </pic:blipFill>
                  <pic:spPr bwMode="auto">
                    <a:xfrm>
                      <a:off x="0" y="0"/>
                      <a:ext cx="2518410" cy="7244080"/>
                    </a:xfrm>
                    <a:prstGeom prst="rect">
                      <a:avLst/>
                    </a:prstGeom>
                  </pic:spPr>
                </pic:pic>
              </a:graphicData>
            </a:graphic>
          </wp:anchor>
        </w:drawing>
      </w:r>
      <w:r>
        <w:br w:type="page"/>
      </w:r>
    </w:p>
    <w:p>
      <w:pPr>
        <w:pStyle w:val="Titre4"/>
        <w:numPr>
          <w:ilvl w:val="3"/>
          <w:numId w:val="2"/>
        </w:numPr>
        <w:rPr/>
      </w:pPr>
      <w:bookmarkStart w:id="29" w:name="__RefHeading___Toc298232_1346298689"/>
      <w:bookmarkEnd w:id="29"/>
      <w:r>
        <w:rPr/>
        <w:t>Overzicht van de belangrijkste evenementen en initiatieven in de lidstaten:</w:t>
      </w:r>
    </w:p>
    <w:p>
      <w:pPr>
        <w:pStyle w:val="P68B1DB1Corpsdetexte12"/>
        <w:rPr>
          <w:b/>
          <w:b/>
          <w:i/>
          <w:i/>
          <w:u w:val="single"/>
        </w:rPr>
      </w:pPr>
      <w:r>
        <w:rPr/>
        <w:t>1 België</w:t>
      </w:r>
    </w:p>
    <w:p>
      <w:pPr>
        <w:pStyle w:val="Corpsdetexte"/>
        <w:rPr/>
      </w:pPr>
      <w:r>
        <w:rPr/>
        <w:t>Verschillende evenementen zijn georganiseerd door de federale en regionale overheden. Verschillende debatten met burgers vonden plaats, bijvoorbeeld over de EU in de wereld en over klimaatverandering en het milieu. Er vond ook een gestructureerde dialoog met de burgers plaats over „Living in a border region” en een hackathon over „De impact van een gezonde levensstijl en klimaatverandering op de kwaliteit van leven” en „barrières voor de werkgelegenheid voor jongeren”.</w:t>
      </w:r>
    </w:p>
    <w:p>
      <w:pPr>
        <w:pStyle w:val="Corpsdetexte"/>
        <w:rPr/>
      </w:pPr>
      <w:r>
        <w:rPr/>
        <w:t>Daarnaast werd een evenement over digitalisering en de duurzame economie georganiseerd en werd een reeks debatten tussen jongeren en politici gehouden over het thema „Europa luisterend naar u”.</w:t>
      </w:r>
    </w:p>
    <w:p>
      <w:pPr>
        <w:pStyle w:val="P68B1DB1Corpsdetexte12"/>
        <w:rPr>
          <w:b/>
          <w:b/>
          <w:i/>
          <w:i/>
          <w:u w:val="single"/>
        </w:rPr>
      </w:pPr>
      <w:r>
        <w:rPr/>
        <w:t>2 Bulgarije</w:t>
      </w:r>
    </w:p>
    <w:p>
      <w:pPr>
        <w:pStyle w:val="Corpsdetexte"/>
        <w:rPr/>
      </w:pPr>
      <w:r>
        <w:rPr/>
        <w:t>De Bulgaarse oefening werd gelanceerd tijdens een ceremonie met als titel „Hoe de stem van de burgers te horen via de conferentie over de toekomst van Europa?”, waarbij overheidsinstanties en vertegenwoordigers van de burgers betrokken zijn. In het kader van de georganiseerde evenementen werd een dialoog over demografie en democratie tot stand gebracht.</w:t>
      </w:r>
    </w:p>
    <w:p>
      <w:pPr>
        <w:pStyle w:val="Corpsdetexte"/>
        <w:rPr/>
      </w:pPr>
      <w:r>
        <w:rPr/>
        <w:t>Verschillende lokale evenementen vonden plaats in grote universiteitssteden, met de hulp van Europe Direct-centra.</w:t>
      </w:r>
    </w:p>
    <w:p>
      <w:pPr>
        <w:pStyle w:val="P68B1DB1Corpsdetexte12"/>
        <w:rPr>
          <w:b/>
          <w:b/>
          <w:i/>
          <w:i/>
          <w:u w:val="single"/>
        </w:rPr>
      </w:pPr>
      <w:r>
        <w:rPr/>
        <w:t>3 Tsjechische Republiek</w:t>
      </w:r>
    </w:p>
    <w:p>
      <w:pPr>
        <w:pStyle w:val="Corpsdetexte"/>
        <w:rPr/>
      </w:pPr>
      <w:r>
        <w:rPr/>
        <w:t>Tsjechië organiseerde centrale discussies met het grote publiek en voorlichtingsevenementen voor relevante belanghebbenden. Deze evenementen werden aangevuld met jeugdevenementen en -evenementen met internationale deelname. In het bijzonder werd een transnationaal evenement met Duitse en Tsjechische burgers georganiseerd. In het hele land vonden verschillende regionale debatten plaats, evenals regionale seminars voor middelbare scholieren over het thema „Decide on Europe”.</w:t>
      </w:r>
    </w:p>
    <w:p>
      <w:pPr>
        <w:pStyle w:val="Normal"/>
        <w:rPr/>
      </w:pPr>
      <w:r>
        <w:rPr/>
      </w:r>
    </w:p>
    <w:p>
      <w:pPr>
        <w:pStyle w:val="P68B1DB1Corpsdetexte12"/>
        <w:tabs>
          <w:tab w:val="left" w:pos="1391" w:leader="none"/>
        </w:tabs>
        <w:rPr>
          <w:b/>
          <w:b/>
          <w:i/>
          <w:i/>
          <w:u w:val="single"/>
        </w:rPr>
      </w:pPr>
      <w:r>
        <w:rPr/>
        <w:t>4 Denemarken</w:t>
      </w:r>
    </w:p>
    <w:p>
      <w:pPr>
        <w:pStyle w:val="Corpsdetexte"/>
        <w:rPr/>
      </w:pPr>
      <w:r>
        <w:rPr/>
        <w:t>Er werd een breed en inclusief nationaal debat georganiseerd, waarin het maatschappelijk middenveld en andere niet-gouvernementele actoren een centrale rol speelden. Aan een groep van verschillende organisaties, waaronder ngo’s, de media, jongerenorganisaties, culturele instellingen, denktanks en onderzoeksinstituten, is een aangewezen pool van overheidsmiddelen toegekend ter ondersteuning van debatten en initiatieven van niet-gouvernementele organisaties. Meer dan 180 debatten vonden plaats, waarvan ongeveer de helft specifiek gericht was op jongeren. Daarnaast organiseerden de regering en het parlement een reeks officiële evenementen, zoals burgerraadplegingen en debatten.</w:t>
      </w:r>
    </w:p>
    <w:p>
      <w:pPr>
        <w:pStyle w:val="P68B1DB1Corpsdetexte12"/>
        <w:rPr>
          <w:b/>
          <w:b/>
          <w:i/>
          <w:i/>
          <w:u w:val="single"/>
        </w:rPr>
      </w:pPr>
      <w:r>
        <w:rPr/>
        <w:t>5 Duitsland</w:t>
      </w:r>
    </w:p>
    <w:p>
      <w:pPr>
        <w:pStyle w:val="Corpsdetexte"/>
        <w:rPr/>
      </w:pPr>
      <w:r>
        <w:rPr/>
        <w:t>Gebeurtenissen in Duitsland waren betrokken bij de federale regering, de Bondsdag, de federale staten en het maatschappelijk middenveld. Naast de evenementen die door de federale overheid werden georganiseerd, werden meer dan 50 regionale evenementen georganiseerd door de zestien federale staten van Duitsland en ongeveer 300 door het maatschappelijk middenveld.</w:t>
      </w:r>
    </w:p>
    <w:p>
      <w:pPr>
        <w:pStyle w:val="Corpsdetexte"/>
        <w:rPr/>
      </w:pPr>
      <w:r>
        <w:rPr/>
        <w:t>Grensoverschrijdende evenementen en dialogen met studenten en jongeren zijn een centraal onderdeel van vele initiatieven geweest, waardoor jongeren voorop lopen bij discussies die gericht zijn op het vormgeven van de toekomst van Europa.</w:t>
      </w:r>
    </w:p>
    <w:p>
      <w:pPr>
        <w:pStyle w:val="P68B1DB1Corpsdetexte12"/>
        <w:rPr>
          <w:b/>
          <w:b/>
          <w:i/>
          <w:i/>
          <w:u w:val="single"/>
        </w:rPr>
      </w:pPr>
      <w:r>
        <w:rPr/>
        <w:t>6 Estland</w:t>
      </w:r>
    </w:p>
    <w:p>
      <w:pPr>
        <w:pStyle w:val="Corpsdetexte"/>
        <w:rPr/>
      </w:pPr>
      <w:r>
        <w:rPr/>
        <w:t>Verschillende evenementen, seminars en debatten werden georganiseerd door de staatskanselier in samenwerking met de vertegenwoordiging van de Europese Commissie in Estland, het ministerie van Buitenlandse Zaken en andere ministeries, alsook het maatschappelijk middenveld en jongerenorganisaties. Met name werd een discussie gevoerd voor middelbare scholieren over belangrijke kwesties in verband met klimaatverandering, energiebeleid en de conferentie in het algemeen. Er werd ook een discussie gestart over „Estonische diplomatie voor het bereiken van klimaatdoelstellingen”.</w:t>
      </w:r>
    </w:p>
    <w:p>
      <w:pPr>
        <w:pStyle w:val="P68B1DB1Corpsdetexte12"/>
        <w:rPr>
          <w:b/>
          <w:b/>
          <w:i/>
          <w:i/>
          <w:u w:val="single"/>
        </w:rPr>
      </w:pPr>
      <w:r>
        <w:rPr/>
        <w:t>7 Ierland</w:t>
      </w:r>
    </w:p>
    <w:p>
      <w:pPr>
        <w:pStyle w:val="Corpsdetexte"/>
        <w:rPr/>
      </w:pPr>
      <w:r>
        <w:rPr/>
        <w:t>Integratie en dialoog met de hele bevolking, met name jongeren, vormden het centrale thema van de in Ierland georganiseerde activiteiten.</w:t>
      </w:r>
    </w:p>
    <w:p>
      <w:pPr>
        <w:pStyle w:val="Corpsdetexte"/>
        <w:rPr/>
      </w:pPr>
      <w:r>
        <w:rPr/>
        <w:t>In samenwerking met de European Movement Ireland (EMI) is in 2021 en 2022 een programma van regionale en sectorale verbintenissen gestart. De eerste fase van de regionale bijeenkomsten vond plaats in juni en juli in de vorm van virtueel overleg. De tweede fase van regionale evenementen vond plaats in de vorm van face-to-face openbare bijeenkomsten voor begin 2022. Sinds juli is er een programma van door de overheid geleide gebeurtenissen gaande.</w:t>
      </w:r>
    </w:p>
    <w:p>
      <w:pPr>
        <w:pStyle w:val="P68B1DB1Corpsdetexte12"/>
        <w:rPr>
          <w:b/>
          <w:b/>
          <w:i/>
          <w:i/>
          <w:u w:val="single"/>
        </w:rPr>
      </w:pPr>
      <w:r>
        <w:rPr/>
        <w:t>8 Griekenland</w:t>
      </w:r>
    </w:p>
    <w:p>
      <w:pPr>
        <w:pStyle w:val="Corpsdetexte"/>
        <w:rPr/>
      </w:pPr>
      <w:r>
        <w:rPr/>
        <w:t>Het ministerie van Buitenlandse Zaken was verantwoordelijk voor de coördinatie van de nationale dialoog. Centrale en lokale overheden en het maatschappelijk middenveld werden sterk aangemoedigd om discussies en andere evenementen te organiseren. Zo vonden er evenementen plaats over Euro-mediterrane samenwerking, de Westelijke Balkan, de demografische uitdaging, migratie en democratie, waarbij burgers en verschillende belanghebbenden werden betrokken.</w:t>
      </w:r>
    </w:p>
    <w:p>
      <w:pPr>
        <w:pStyle w:val="P68B1DB1Corpsdetexte12"/>
        <w:rPr>
          <w:b/>
          <w:b/>
          <w:i/>
          <w:i/>
          <w:u w:val="single"/>
        </w:rPr>
      </w:pPr>
      <w:r>
        <w:rPr/>
        <w:t>9 Spanje</w:t>
      </w:r>
    </w:p>
    <w:p>
      <w:pPr>
        <w:pStyle w:val="Corpsdetexte"/>
        <w:rPr/>
      </w:pPr>
      <w:r>
        <w:rPr/>
        <w:t>Het Spaanse kader omvatte zes evenementen op nationaal niveau (bv. een raadpleging van Spaanse burgers over de toekomst van Europa) en ongeveer 20 op regionaal niveau. Er werd ook een evenement georganiseerd met Portugese en Spaanse burgers om belangrijke onderwerpen te bespreken die van belang zijn voor de toekomst van hun regio’s en voor de EU. Op regionaal en lokaal niveau hebben de autoriteiten evenementen georganiseerd over verschillende onderwerpen, zoals grensoverschrijdende samenwerking, de gevolgen van demografische veranderingen, duurzaam vervoer en mobiliteit, klimaatverandering, migratie en de toekomst van de ultraperifere gebieden.</w:t>
      </w:r>
    </w:p>
    <w:p>
      <w:pPr>
        <w:pStyle w:val="Normal"/>
        <w:rPr/>
      </w:pPr>
      <w:r>
        <w:rPr/>
      </w:r>
    </w:p>
    <w:p>
      <w:pPr>
        <w:pStyle w:val="P68B1DB1Corpsdetexte12"/>
        <w:rPr>
          <w:b/>
          <w:b/>
          <w:i/>
          <w:i/>
          <w:u w:val="single"/>
        </w:rPr>
      </w:pPr>
      <w:r>
        <w:rPr/>
        <w:t>10 Frankrijk</w:t>
      </w:r>
    </w:p>
    <w:p>
      <w:pPr>
        <w:pStyle w:val="Corpsdetexte"/>
        <w:rPr/>
      </w:pPr>
      <w:r>
        <w:rPr/>
        <w:t>De Franse regering heeft van mei tot juli 2021 een uitgebreid online consult voor jongeren gehouden. Vijftigduizend jonge Fransen spraken hun mening uit en steunden zestien belangrijke ideeën voor de toekomst van Europa. De resultaten van deze exercitie zijn samen met de resultaten van het Franse Burgerpanel opgesteld in een eindverslag, dat de bijdrage van Frankrijk aan de conferentie vormt. De Franse regering moedigde ook alle Franse actoren die dat wensten (verenigingen, lokale overheden, gekozen ambtenaren, vertegenwoordigers van het maatschappelijk middenveld) aan om evenementen te organiseren.</w:t>
      </w:r>
    </w:p>
    <w:p>
      <w:pPr>
        <w:pStyle w:val="P68B1DB1Corpsdetexte12"/>
        <w:rPr>
          <w:b/>
          <w:b/>
          <w:i/>
          <w:i/>
          <w:u w:val="single"/>
        </w:rPr>
      </w:pPr>
      <w:r>
        <w:rPr/>
        <w:t>11 Kroatië</w:t>
      </w:r>
    </w:p>
    <w:p>
      <w:pPr>
        <w:pStyle w:val="Corpsdetexte"/>
        <w:rPr/>
      </w:pPr>
      <w:r>
        <w:rPr/>
        <w:t>Er is een werkgroep voor de coördinatie van de activiteiten opgericht die ideeën en plannen heeft verzameld om activiteiten op nationaal niveau uit te voeren. Ministeries, centrale overheidsdiensten, agentschappen voor regionale ontwikkeling, universiteiten, ngo’s en instituten organiseerden evenementen in de vorm van conferenties, burgerdialogen en debatten met burgers, openbare discussies en educatieve workshops, met bijzondere aandacht voor jongeren.</w:t>
      </w:r>
    </w:p>
    <w:p>
      <w:pPr>
        <w:pStyle w:val="Corpsdetexte"/>
        <w:rPr/>
      </w:pPr>
      <w:r>
        <w:rPr/>
        <w:t>Onderwerpen die aan bod komen zijn migratie, demografie, klimaatneutraliteit en de circulaire economie. Sommige evenementen werden georganiseerd met andere lidstaten en naburige niet-EU-landen.</w:t>
      </w:r>
    </w:p>
    <w:p>
      <w:pPr>
        <w:pStyle w:val="P68B1DB1Corpsdetexte12"/>
        <w:rPr>
          <w:b/>
          <w:b/>
          <w:i/>
          <w:i/>
          <w:u w:val="single"/>
        </w:rPr>
      </w:pPr>
      <w:r>
        <w:rPr/>
        <w:t>12 Italië</w:t>
      </w:r>
    </w:p>
    <w:p>
      <w:pPr>
        <w:pStyle w:val="Corpsdetexte"/>
        <w:rPr/>
      </w:pPr>
      <w:r>
        <w:rPr/>
        <w:t>Er zijn verschillende evenementen opgezet, met name gericht op jongeren, om zoveel mogelijk burgers te bereiken, onder meer met de actieve steun van lokale overheden. Er werd een mediacampagne gelanceerd om deze gebeurtenissen zoveel mogelijk onder de aandacht te brengen. Deze activiteiten omvatten het Jeugdforum EU-Balkan, georganiseerd met jongeren uit de Westelijke Balkan, het Jeugdforum „Med Dialogues”, waarbij jongeren uit het zuidelijke nabuurschap betrokken zijn, evenals wedstrijden voor middelbare en universitaire studenten met de titel „Europa is in uw handen”.</w:t>
      </w:r>
    </w:p>
    <w:p>
      <w:pPr>
        <w:pStyle w:val="P68B1DB1Corpsdetexte12"/>
        <w:rPr>
          <w:b/>
          <w:b/>
          <w:i/>
          <w:i/>
          <w:u w:val="single"/>
        </w:rPr>
      </w:pPr>
      <w:r>
        <w:rPr/>
        <w:t>13 Cyprus</w:t>
      </w:r>
    </w:p>
    <w:p>
      <w:pPr>
        <w:pStyle w:val="Corpsdetexte"/>
        <w:rPr/>
      </w:pPr>
      <w:r>
        <w:rPr/>
        <w:t>Er zijn een aantal op jongeren gerichte activiteiten georganiseerd, waarbij veel actoren zijn betrokken. Er vond een kick-off evenement plaats, inclusief een discussie met de jongere generatie over hun verwachtingen, zorgen en visie voor Europa en Cyprus binnen de EU. Er is ook een open dialoog gevoerd over de rol van jongeren in het debat over Europa en de problemen waarmee zij op nationaal en Europees niveau worden geconfronteerd. Er vond ook een evenement plaats om de toekomst van de Europese veiligheid en defensie te bespreken.</w:t>
      </w:r>
    </w:p>
    <w:p>
      <w:pPr>
        <w:pStyle w:val="P68B1DB1Corpsdetexte12"/>
        <w:rPr>
          <w:b/>
          <w:b/>
          <w:i/>
          <w:i/>
          <w:u w:val="single"/>
        </w:rPr>
      </w:pPr>
      <w:r>
        <w:rPr/>
        <w:t>14 Letland</w:t>
      </w:r>
    </w:p>
    <w:p>
      <w:pPr>
        <w:pStyle w:val="Corpsdetexte"/>
        <w:rPr/>
      </w:pPr>
      <w:r>
        <w:rPr/>
        <w:t>Er zijn verschillende evenementen georganiseerd, waaronder een landelijke online discussie met studenten getiteld „The Future Is in Your Hands” over economische, sociale en veiligheidskwesties. Er is een nationale enquête en discussies in denktanks opgezet om de publieke opinie te verzamelen over de standpunten van de burgers over de toekomstige prioriteiten van de Europese Unie over alle thema’s van de conferentie. Er werden regionale face-to-face discussies gehouden om het bewustzijn van de conferentie onder 55-plussers te vergroten en er werden face-to-face discussies gevoerd met middelbare scholieren.</w:t>
      </w:r>
    </w:p>
    <w:p>
      <w:pPr>
        <w:pStyle w:val="P68B1DB1Corpsdetexte12"/>
        <w:rPr>
          <w:b/>
          <w:b/>
          <w:i/>
          <w:i/>
          <w:u w:val="single"/>
        </w:rPr>
      </w:pPr>
      <w:r>
        <w:rPr/>
        <w:t>15 Litouwen</w:t>
      </w:r>
    </w:p>
    <w:p>
      <w:pPr>
        <w:pStyle w:val="Corpsdetexte"/>
        <w:rPr/>
      </w:pPr>
      <w:r>
        <w:rPr/>
        <w:t>De evenementen werden hoofdzakelijk op gedecentraliseerde basis georganiseerd en de nadruk werd gelegd op de verschillende regio’s van Litouwen en jongeren (bijvoorbeeld in het kader van het jongerendebat in de Baltische staten). Er vonden een reeks burgerdialogen (over democratie, digitalisering, klimaatverandering, enz.), transnationale dialogen (bv. met Frankrijk, Ierland en Italië) en evenementen van het maatschappelijk middenveld plaats. Daarnaast werden scholen aangemoedigd om de kwestie van de toekomst van Europa aan te pakken.</w:t>
      </w:r>
    </w:p>
    <w:p>
      <w:pPr>
        <w:pStyle w:val="Normal"/>
        <w:rPr/>
      </w:pPr>
      <w:r>
        <w:rPr/>
      </w:r>
    </w:p>
    <w:p>
      <w:pPr>
        <w:pStyle w:val="P68B1DB1Corpsdetexte12"/>
        <w:rPr>
          <w:b/>
          <w:b/>
          <w:i/>
          <w:i/>
          <w:u w:val="single"/>
        </w:rPr>
      </w:pPr>
      <w:r>
        <w:rPr/>
        <w:t>16 Luxemburg</w:t>
      </w:r>
    </w:p>
    <w:p>
      <w:pPr>
        <w:pStyle w:val="Corpsdetexte"/>
        <w:rPr/>
      </w:pPr>
      <w:r>
        <w:rPr/>
        <w:t>Op nationaal niveau werd een aantal evenementen georganiseerd met een open, inclusieve en transparante aanpak. Zo organiseerde het parlement een aantal evenementen in nieuwe formaten, zoals „bistrot talks”. Er werd ook een hackathon voor studenten en jonge ondernemers georganiseerd om het digitale kompas en de industriële strategie van de EU te bespreken.</w:t>
      </w:r>
    </w:p>
    <w:p>
      <w:pPr>
        <w:pStyle w:val="Corpsdetexte"/>
        <w:rPr/>
      </w:pPr>
      <w:r>
        <w:rPr/>
        <w:t>Daarnaast vond een trinationale uitwisseling plaats tussen Duitse, Franse en Luxemburgse middelbare scholieren.</w:t>
      </w:r>
    </w:p>
    <w:p>
      <w:pPr>
        <w:pStyle w:val="P68B1DB1Corpsdetexte12"/>
        <w:rPr>
          <w:b/>
          <w:b/>
          <w:i/>
          <w:i/>
          <w:u w:val="single"/>
        </w:rPr>
      </w:pPr>
      <w:r>
        <w:rPr/>
        <w:t>17 Hongarije</w:t>
      </w:r>
    </w:p>
    <w:p>
      <w:pPr>
        <w:pStyle w:val="Corpsdetexte"/>
        <w:rPr/>
      </w:pPr>
      <w:r>
        <w:rPr/>
        <w:t>Een breed scala aan evenementen in de samenleving (meer dan 800) werden georganiseerd. Institutionele evenementen omvatten internationale conferenties op hoog niveau die door verschillende ministeries worden georganiseerd (bv. over de uitbreiding van de EU en de digitale agenda) en rondetafelgesprekken met studenten en jongerenorganisaties (bv. over Europese integratie). Verschillende organisaties organiseerden panels om de volgende onderwerpen te bespreken: de EU-instellingen; een sterkere economie, sociale rechtvaardigheid en werkgelegenheid, digitale transformatie, onderwijs, cultuur, jeugd en sport; waarden en rechten, de rechtsstaat en veiligheid; NGO’s; migratie; maar ook demografie, familie, gezondheid, klimaatverandering en het milieu.</w:t>
      </w:r>
    </w:p>
    <w:p>
      <w:pPr>
        <w:pStyle w:val="P68B1DB1Corpsdetexte12"/>
        <w:rPr>
          <w:b/>
          <w:b/>
          <w:i/>
          <w:i/>
          <w:u w:val="single"/>
        </w:rPr>
      </w:pPr>
      <w:r>
        <w:rPr/>
        <w:t>18 Malta</w:t>
      </w:r>
    </w:p>
    <w:p>
      <w:pPr>
        <w:pStyle w:val="Corpsdetexte"/>
        <w:rPr/>
      </w:pPr>
      <w:r>
        <w:rPr/>
        <w:t>Na een kick-off-evenement werd een nationaal coördinatiecomité opgericht om het initiatief via verschillende communicatiekanalen te promoten en het debat te leiden via nationale en lokale evenementen.</w:t>
      </w:r>
    </w:p>
    <w:p>
      <w:pPr>
        <w:pStyle w:val="Corpsdetexte"/>
        <w:rPr/>
      </w:pPr>
      <w:r>
        <w:rPr/>
        <w:t>Thematische openbare dialogen (bijvoorbeeld over gezondheid, Europese waarden en de toekomst van werk voor een eerlijke samenleving), persconferenties, raadplegingen met belanghebbenden uit de relevante sectoren en interactieve sessies met kinderen en studenten werden georganiseerd in fysieke of hybride vorm.</w:t>
      </w:r>
    </w:p>
    <w:p>
      <w:pPr>
        <w:pStyle w:val="Corpsdetexte"/>
        <w:rPr/>
      </w:pPr>
      <w:r>
        <w:rPr/>
      </w:r>
    </w:p>
    <w:p>
      <w:pPr>
        <w:pStyle w:val="P68B1DB1Corpsdetexte12"/>
        <w:rPr>
          <w:b/>
          <w:b/>
          <w:i/>
          <w:i/>
          <w:u w:val="single"/>
        </w:rPr>
      </w:pPr>
      <w:r>
        <w:rPr/>
        <w:t>19 Nederland</w:t>
      </w:r>
    </w:p>
    <w:p>
      <w:pPr>
        <w:pStyle w:val="Corpsdetexte"/>
        <w:rPr/>
      </w:pPr>
      <w:r>
        <w:rPr/>
        <w:t>In Nederland werd de nadruk gelegd op de organisatie van het nationale burgerpanel „Visions of Europe — Kijk op Europa”, dat zowel online als face-to-face plaatsvond. Het was gebaseerd op een tweefasenbenadering: de eerste was het verzamelen van de reflecties en meningen van burgers over het „wat”, namelijk wat ze verwachtten en wilden; de tweede fase probeerde vervolgens hun onderliggende opvattingen (het „waarom” en „hoe”) te begrijpen door middel van groepsdialogen.</w:t>
      </w:r>
    </w:p>
    <w:p>
      <w:pPr>
        <w:pStyle w:val="Corpsdetexte"/>
        <w:rPr/>
      </w:pPr>
      <w:r>
        <w:rPr/>
      </w:r>
    </w:p>
    <w:p>
      <w:pPr>
        <w:pStyle w:val="P68B1DB1Corpsdetexte12"/>
        <w:rPr>
          <w:b/>
          <w:b/>
          <w:i/>
          <w:i/>
          <w:u w:val="single"/>
        </w:rPr>
      </w:pPr>
      <w:r>
        <w:rPr/>
        <w:t>20 Oostenrijk</w:t>
      </w:r>
    </w:p>
    <w:p>
      <w:pPr>
        <w:pStyle w:val="Corpsdetexte"/>
        <w:rPr/>
      </w:pPr>
      <w:r>
        <w:rPr/>
        <w:t>De besprekingen vonden plaats in verschillende formaten, op federaal, regionaal en lokaal niveau. „Toekomstige laboratoria” en „toekomstige dialogen” maakten diepgaande uitwisselingen mogelijk met deskundigen op hoog niveau over verschillende onderwerpen en konden uitgebreidere oplossingen voor de toekomst zoeken. Daarnaast werden een aantal evenementen georganiseerd door en voor Oostenrijkse gemeenteraadsleden die verantwoordelijk zijn voor Europese aangelegenheden. Verschillende evenementen gericht op jongeren en studenten.</w:t>
      </w:r>
    </w:p>
    <w:p>
      <w:pPr>
        <w:pStyle w:val="P68B1DB1Corpsdetexte12"/>
        <w:rPr>
          <w:b/>
          <w:b/>
          <w:i/>
          <w:i/>
          <w:u w:val="single"/>
        </w:rPr>
      </w:pPr>
      <w:r>
        <w:rPr/>
        <w:t>21 Polen</w:t>
      </w:r>
    </w:p>
    <w:p>
      <w:pPr>
        <w:pStyle w:val="Corpsdetexte"/>
        <w:rPr/>
      </w:pPr>
      <w:r>
        <w:rPr/>
        <w:t>De evenementen werden voornamelijk georganiseerd in het kader van een gedecentraliseerde aanpak. Op regionaal niveau organiseerden de regionale centra voor internationaal debat publieke evenementen in de 16 Poolse regio’s in fysieke en virtuele vorm. De discussiethema’s hadden betrekking op de thematische gebieden van de conferentie, zoals solidariteit in tijden van crisis, landbouw en nieuwe technologieën.</w:t>
      </w:r>
    </w:p>
    <w:p>
      <w:pPr>
        <w:pStyle w:val="Corpsdetexte"/>
        <w:rPr/>
      </w:pPr>
      <w:r>
        <w:rPr/>
        <w:t>Er werd ook een nationaal debat gehouden over klimaat, digitalisering, de interne markt, gezondheid, de EU in de wereld en migratie.</w:t>
      </w:r>
    </w:p>
    <w:p>
      <w:pPr>
        <w:pStyle w:val="P68B1DB1Corpsdetexte12"/>
        <w:rPr>
          <w:b/>
          <w:b/>
          <w:i/>
          <w:i/>
          <w:u w:val="single"/>
        </w:rPr>
      </w:pPr>
      <w:r>
        <w:rPr/>
        <w:t>22 Portugal</w:t>
      </w:r>
    </w:p>
    <w:p>
      <w:pPr>
        <w:pStyle w:val="Corpsdetexte"/>
        <w:rPr/>
      </w:pPr>
      <w:r>
        <w:rPr/>
        <w:t>Na het eerste burgerevenement in Lissabon, dat de deelname van burgers aan de conferentie startte, werden veel evenementen georganiseerd in samenwerking met onder meer lokale overheden, universiteiten, scholen, sociale partners, jeugdorganisaties en lokale maatschappelijke organisaties. Zo werd met Spanje een transnationaal evenement georganiseerd om belangrijke onderwerpen te bespreken die van belang zijn voor de toekomst van de regio’s van beide landen en de EU. Daarnaast vonden gedecentraliseerde nationale evenementen plaats over verschillende onderwerpen zoals migratie en internationale partnerschappen, de toekomst van de Europese democratie en digitale transformatie.</w:t>
      </w:r>
    </w:p>
    <w:p>
      <w:pPr>
        <w:pStyle w:val="P68B1DB1Corpsdetexte12"/>
        <w:rPr>
          <w:b/>
          <w:b/>
          <w:i/>
          <w:i/>
          <w:u w:val="single"/>
        </w:rPr>
      </w:pPr>
      <w:r>
        <w:rPr/>
        <w:t>23 Roemenië</w:t>
      </w:r>
    </w:p>
    <w:p>
      <w:pPr>
        <w:pStyle w:val="Corpsdetexte"/>
        <w:rPr/>
      </w:pPr>
      <w:r>
        <w:rPr/>
        <w:t>De evenementen werden voornamelijk georganiseerd of mede georganiseerd door de administratie en instituten in het bijzonder, met de actieve deelname van het maatschappelijk middenveld en jongerenorganisaties.</w:t>
      </w:r>
    </w:p>
    <w:p>
      <w:pPr>
        <w:pStyle w:val="Corpsdetexte"/>
        <w:rPr/>
      </w:pPr>
      <w:r>
        <w:rPr/>
        <w:t>De besprekingen waren gericht op een breed scala aan onderwerpen, zoals de digitale transitie, onderwijs, gezondheid, milieu, duurzame ontwikkeling, economie, landbouw en strategische partnerschappen van de EU. De evenementen vonden plaats in de hoofdstad en op lokaal niveau, en alle leeftijdsgroepen namen deel.</w:t>
      </w:r>
    </w:p>
    <w:p>
      <w:pPr>
        <w:pStyle w:val="P68B1DB1Corpsdetexte12"/>
        <w:rPr>
          <w:b/>
          <w:b/>
          <w:i/>
          <w:i/>
          <w:u w:val="single"/>
        </w:rPr>
      </w:pPr>
      <w:r>
        <w:rPr/>
        <w:t>24 Slovenië</w:t>
      </w:r>
    </w:p>
    <w:p>
      <w:pPr>
        <w:pStyle w:val="Corpsdetexte"/>
        <w:rPr/>
      </w:pPr>
      <w:r>
        <w:rPr/>
        <w:t>Het idee was om een breed debat aan te moedigen waarin het maatschappelijk middenveld een centrale rol speelde, evenals de deelname van jongeren in het bijzonder.</w:t>
      </w:r>
    </w:p>
    <w:p>
      <w:pPr>
        <w:pStyle w:val="Corpsdetexte"/>
        <w:rPr/>
      </w:pPr>
      <w:r>
        <w:rPr/>
        <w:t>De regering organiseerde een kick-off evenement, gevolgd door verschillende initiatieven, zoals het Strategisch Forum van Bled, waarvan het hoofdthema de toekomst van Europa was, met bijzondere aandacht voor de uitbreiding van de EU en de Westelijke Balkan. Andere evenementen waren gericht op onderwerpen als monetair beleid, klimaatneutraliteit, jeugd en de rol van de EU in een multipolaire internationale omgeving.</w:t>
      </w:r>
    </w:p>
    <w:p>
      <w:pPr>
        <w:pStyle w:val="P68B1DB1Corpsdetexte12"/>
        <w:rPr>
          <w:b/>
          <w:b/>
          <w:i/>
          <w:i/>
          <w:u w:val="single"/>
        </w:rPr>
      </w:pPr>
      <w:r>
        <w:rPr/>
        <w:t>25 Slowakije</w:t>
      </w:r>
    </w:p>
    <w:p>
      <w:pPr>
        <w:pStyle w:val="Corpsdetexte"/>
        <w:rPr/>
      </w:pPr>
      <w:r>
        <w:rPr/>
        <w:t>De evenementen werden georganiseerd rond twee hoofdpijlers. De eerste pijler was het WeAreEU-project, gericht op het grote publiek, inclusief discussies met studenten en openbare raadplegingen, met inbegrip van een reeks regionale evenementen georganiseerd in het kader van de WeAreEU Road Show. De tweede pijler was de nationale conventie over de EU, waarin de nadruk lag op input van deskundigen en analyses over onderwerpen als de interne markt, desinformatie en populisme, en de digitale en ecologische transities.</w:t>
      </w:r>
    </w:p>
    <w:p>
      <w:pPr>
        <w:pStyle w:val="P68B1DB1Corpsdetexte12"/>
        <w:rPr>
          <w:b/>
          <w:b/>
          <w:i/>
          <w:i/>
          <w:u w:val="single"/>
        </w:rPr>
      </w:pPr>
      <w:r>
        <w:rPr/>
        <w:t>26 Finland</w:t>
      </w:r>
    </w:p>
    <w:p>
      <w:pPr>
        <w:pStyle w:val="Corpsdetexte"/>
        <w:rPr/>
      </w:pPr>
      <w:r>
        <w:rPr/>
        <w:t>De regering organiseerde een reeks regionale raadplegingen, waaronder „het evenement van de meest noordelijke conferentie in de EU”, over verschillende onderwerpen, zoals duurzame groei, onderwijs en de rechtsstaat. Er is ook een enquête ingesteld om de discussie te informeren.</w:t>
      </w:r>
    </w:p>
    <w:p>
      <w:pPr>
        <w:pStyle w:val="Corpsdetexte"/>
        <w:spacing w:before="6264" w:after="57"/>
        <w:rPr/>
      </w:pPr>
      <w:r>
        <w:rPr/>
        <w:t xml:space="preserve">De regering heeft evenementen georganiseerd in samenwerking met steden, lokale overheden, universiteiten, ngo’s en jongerenorganisaties, alsook met het Finse parlement, het Europees Parlement en de </w:t>
      </w:r>
      <w:r>
        <w:drawing>
          <wp:anchor behindDoc="0" distT="0" distB="0" distL="0" distR="0" simplePos="0" locked="0" layoutInCell="1" allowOverlap="1" relativeHeight="23">
            <wp:simplePos x="0" y="0"/>
            <wp:positionH relativeFrom="column">
              <wp:posOffset>5080</wp:posOffset>
            </wp:positionH>
            <wp:positionV relativeFrom="paragraph">
              <wp:posOffset>3077845</wp:posOffset>
            </wp:positionV>
            <wp:extent cx="6120130" cy="3977640"/>
            <wp:effectExtent l="0" t="0" r="0" b="0"/>
            <wp:wrapSquare wrapText="largest"/>
            <wp:docPr id="58" name="Afbeelding1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Afbeelding18" descr=""/>
                    <pic:cNvPicPr>
                      <a:picLocks noChangeAspect="1" noChangeArrowheads="1"/>
                    </pic:cNvPicPr>
                  </pic:nvPicPr>
                  <pic:blipFill>
                    <a:blip r:embed="rId50"/>
                    <a:stretch>
                      <a:fillRect/>
                    </a:stretch>
                  </pic:blipFill>
                  <pic:spPr bwMode="auto">
                    <a:xfrm>
                      <a:off x="0" y="0"/>
                      <a:ext cx="6120130" cy="3977640"/>
                    </a:xfrm>
                    <a:prstGeom prst="rect">
                      <a:avLst/>
                    </a:prstGeom>
                  </pic:spPr>
                </pic:pic>
              </a:graphicData>
            </a:graphic>
          </wp:anchor>
        </w:drawing>
      </w:r>
      <w:r>
        <w:rPr/>
        <w:t>v</w:t>
      </w:r>
      <w:r>
        <w:rPr/>
        <w:t>oorlichtingsbureaus van de Europese Commissie in Finland.</w:t>
      </w:r>
    </w:p>
    <w:p>
      <w:pPr>
        <w:pStyle w:val="Normal"/>
        <w:rPr/>
      </w:pPr>
      <w:r>
        <w:rPr/>
      </w:r>
    </w:p>
    <w:p>
      <w:pPr>
        <w:pStyle w:val="P68B1DB1Corpsdetexte12"/>
        <w:rPr>
          <w:b/>
          <w:b/>
          <w:i/>
          <w:i/>
          <w:u w:val="single"/>
        </w:rPr>
      </w:pPr>
      <w:r>
        <w:rPr/>
        <w:t>27 Zweden</w:t>
      </w:r>
    </w:p>
    <w:p>
      <w:pPr>
        <w:pStyle w:val="Corpsdetexte"/>
        <w:rPr/>
      </w:pPr>
      <w:r>
        <w:rPr/>
        <w:t>De evenementen werden hoofdzakelijk op gedecentraliseerde basis georganiseerd als een gezamenlijke oefening tussen de regering, het nationale parlement, politieke partijen, sociale partners, lokale en regionale vertegenwoordigers, maatschappelijke organisaties en andere relevante actoren in de samenleving.</w:t>
      </w:r>
    </w:p>
    <w:p>
      <w:pPr>
        <w:pStyle w:val="Corpsdetexte"/>
        <w:rPr/>
      </w:pPr>
      <w:r>
        <w:rPr/>
        <w:t>Zo besprak de Zweedse minister van Europese Zaken de toekomst van Europa met studenten van verschillende scholen en nam hij deel aan vergaderingen op gemeentelijk niveau om de toekomst van Europa en de democratie met de burgers te bespreken. Digitale media zijn ook gebruikt om deel te nemen aan dialogen met burgers via bijvoorbeeld Q &amp; A-sessies.</w:t>
      </w:r>
    </w:p>
    <w:p>
      <w:pPr>
        <w:pStyle w:val="Corpsdetexte"/>
        <w:rPr/>
      </w:pPr>
      <w:r>
        <w:rPr/>
        <w:t>Bovenstaande beschrijvingen zijn niet uitputtend. Meer informatie over nationale evenementen is te vinden in een specifiek onderdeel van het meertalige digitale platform.</w:t>
      </w:r>
    </w:p>
    <w:p>
      <w:pPr>
        <w:pStyle w:val="Corpsdetexte"/>
        <w:rPr/>
      </w:pPr>
      <w:r>
        <w:rPr/>
      </w:r>
    </w:p>
    <w:p>
      <w:pPr>
        <w:pStyle w:val="Corpsdetexte"/>
        <w:rPr/>
      </w:pPr>
      <w:r>
        <w:rPr/>
      </w:r>
      <w:r>
        <w:br w:type="page"/>
      </w:r>
    </w:p>
    <w:p>
      <w:pPr>
        <w:pStyle w:val="Titre3"/>
        <w:numPr>
          <w:ilvl w:val="2"/>
          <w:numId w:val="2"/>
        </w:numPr>
        <w:rPr/>
      </w:pPr>
      <w:bookmarkStart w:id="30" w:name="__RefHeading___Toc298234_1346298689"/>
      <w:bookmarkEnd w:id="30"/>
      <w:r>
        <w:rPr/>
        <w:t>2.</w:t>
        <w:tab/>
        <w:t xml:space="preserve">Ontmoeting van jonge Europeanen </w:t>
      </w:r>
    </w:p>
    <w:p>
      <w:pPr>
        <w:pStyle w:val="Normal"/>
        <w:rPr/>
      </w:pPr>
      <w:r>
        <w:rPr/>
        <w:t xml:space="preserve">Het </w:t>
      </w:r>
      <w:hyperlink r:id="rId51">
        <w:r>
          <w:rPr>
            <w:rStyle w:val="LienInternet"/>
          </w:rPr>
          <w:t>Europees Jongerenevenement (EYE 2021)</w:t>
        </w:r>
      </w:hyperlink>
      <w:r>
        <w:rPr/>
        <w:t xml:space="preserve"> vond plaats op 8-9 oktober 2021 en bracht 10.000 jongeren online en het Europees Parlement in Straatsburg bijeen om vorm te geven aan en ideeën uit te wisselen over de toekomst van Europa. Het EYE </w:t>
      </w:r>
      <w:r>
        <w:rPr>
          <w:i/>
        </w:rPr>
        <w:t>was een unieke kans voor jongeren van 16 tot 30 jaar om persoonlijk en online te communiceren, elkaar te inspireren en van gedachten te wisselen met deskundigen, activisten, beïnvloeders en besluitvormers, in het hart van de Europese democratie</w:t>
      </w:r>
      <w:r>
        <w:rPr/>
        <w:t>.</w:t>
      </w:r>
    </w:p>
    <w:p>
      <w:pPr>
        <w:pStyle w:val="Normal"/>
        <w:spacing w:before="6132" w:after="57"/>
        <w:rPr/>
      </w:pPr>
      <w:r>
        <w:rPr/>
        <w:t xml:space="preserve">Sinds mei 2021 zijn in samenwerking met pan-Europese jeugdorganisaties meer dan 2000 voorstellen van jonge burgers uit de hele Europese Unie </w:t>
      </w:r>
      <w:r>
        <w:drawing>
          <wp:anchor behindDoc="0" distT="0" distB="0" distL="0" distR="0" simplePos="0" locked="0" layoutInCell="1" allowOverlap="1" relativeHeight="24">
            <wp:simplePos x="0" y="0"/>
            <wp:positionH relativeFrom="column">
              <wp:posOffset>53340</wp:posOffset>
            </wp:positionH>
            <wp:positionV relativeFrom="paragraph">
              <wp:posOffset>2400300</wp:posOffset>
            </wp:positionV>
            <wp:extent cx="5980430" cy="3893820"/>
            <wp:effectExtent l="0" t="0" r="0" b="0"/>
            <wp:wrapTopAndBottom/>
            <wp:docPr id="59" name="Afbeelding1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Afbeelding19" descr=""/>
                    <pic:cNvPicPr>
                      <a:picLocks noChangeAspect="1" noChangeArrowheads="1"/>
                    </pic:cNvPicPr>
                  </pic:nvPicPr>
                  <pic:blipFill>
                    <a:blip r:embed="rId52"/>
                    <a:stretch>
                      <a:fillRect/>
                    </a:stretch>
                  </pic:blipFill>
                  <pic:spPr bwMode="auto">
                    <a:xfrm>
                      <a:off x="0" y="0"/>
                      <a:ext cx="5980430" cy="3893820"/>
                    </a:xfrm>
                    <a:prstGeom prst="rect">
                      <a:avLst/>
                    </a:prstGeom>
                  </pic:spPr>
                </pic:pic>
              </a:graphicData>
            </a:graphic>
          </wp:anchor>
        </w:drawing>
      </w:r>
      <w:r>
        <w:rPr/>
        <w:t>o</w:t>
      </w:r>
      <w:r>
        <w:rPr/>
        <w:t xml:space="preserve">nline verzameld. Daarnaast waren verschillende sessies, zowel online voor het evenement als tijdens het EYE in Straatsburg, gericht op de conferentie over de toekomst van Europa. Na het evenement werden de 20 hoofdideeën van de deelnemers, twee ideeën per thema van de conferentie, verzameld in het </w:t>
      </w:r>
      <w:hyperlink r:id="rId53">
        <w:r>
          <w:rPr>
            <w:rStyle w:val="LienInternet"/>
          </w:rPr>
          <w:t>verslag over de jongerenideeën voor</w:t>
        </w:r>
      </w:hyperlink>
      <w:r>
        <w:rPr/>
        <w:t xml:space="preserve"> de conferentie over de toekomst van Europa, gepubliceerd in 23 talen.</w:t>
      </w:r>
    </w:p>
    <w:p>
      <w:pPr>
        <w:pStyle w:val="Normal"/>
        <w:rPr/>
      </w:pPr>
      <w:r>
        <w:rPr/>
        <w:t xml:space="preserve">Het verslag over jongerenideeën werd op 23 oktober aan de plenaire vergadering van de conferentie gepresenteerd door jonge deelnemers van de Europese burgerpanels die ook aan het EYE 2021 deelnamen. Alle verzamelde ideeën zijn beschikbaar op: </w:t>
      </w:r>
      <w:hyperlink r:id="rId54">
        <w:r>
          <w:rPr>
            <w:rStyle w:val="LienInternet"/>
          </w:rPr>
          <w:t>zoeken.youthideas.eu.</w:t>
        </w:r>
      </w:hyperlink>
    </w:p>
    <w:p>
      <w:pPr>
        <w:pStyle w:val="Titre3"/>
        <w:numPr>
          <w:ilvl w:val="2"/>
          <w:numId w:val="2"/>
        </w:numPr>
        <w:rPr/>
      </w:pPr>
      <w:bookmarkStart w:id="31" w:name="__RefHeading___Toc298236_1346298689"/>
      <w:bookmarkEnd w:id="31"/>
      <w:r>
        <w:rPr/>
        <w:t>3.</w:t>
        <w:tab/>
        <w:t>Andere evenementen</w:t>
      </w:r>
    </w:p>
    <w:p>
      <w:pPr>
        <w:pStyle w:val="Normal"/>
        <w:rPr/>
      </w:pPr>
      <w:r>
        <w:rPr/>
        <w:t>Naast bovenstaande evenementen hebben veel andere instellingen en belanghebbenden burgers samengebracht om de toekomst van Europa te bespreken</w:t>
      </w:r>
      <w:r>
        <w:rPr>
          <w:rStyle w:val="Ancredenotedebasdepage"/>
          <w:rStyle w:val="Ancredenotedebasdepage"/>
        </w:rPr>
        <w:footnoteReference w:id="6"/>
      </w:r>
      <w:r>
        <w:rPr/>
        <w:t>.</w:t>
      </w:r>
    </w:p>
    <w:p>
      <w:pPr>
        <w:pStyle w:val="Normal"/>
        <w:rPr/>
      </w:pPr>
      <w:r>
        <w:rPr/>
        <w:t>Tijdens de Conferentie over de toekomst van Europa heeft het Europees Economisch en Sociaal Comité (EESC) zich ingezet om het bekend te maken en zijn uitgebreide netwerk van maatschappelijke organisaties in de lidstaten te helpen nationale raadplegingen te organiseren. In totaal steunde het de inzet van 75 evenementen, waarvan 33 op nationaal niveau en 42 op centraal niveau. Van deze evenementen publiceerde 60 % rapporten op het conferentieplatform en alleen al deze 45 evenementen brachten meer dan 7300 deelnemers samen. In het bijzonder is het EESC in juni 2021 begonnen met zijn activiteiten met een grote conferentie</w:t>
      </w:r>
      <w:hyperlink r:id="rId55">
        <w:r>
          <w:rPr>
            <w:rStyle w:val="LienInternet"/>
          </w:rPr>
          <w:t>— Het Europese project terugbrengen naar de burgers</w:t>
        </w:r>
      </w:hyperlink>
      <w:r>
        <w:rPr/>
        <w:t>— en organiseerde het in november 2021 in Lissabon het seminar „</w:t>
      </w:r>
      <w:hyperlink r:id="rId56">
        <w:r>
          <w:rPr>
            <w:rStyle w:val="LienInternet"/>
          </w:rPr>
          <w:t>Connecting EU</w:t>
        </w:r>
      </w:hyperlink>
      <w:r>
        <w:rPr/>
        <w:t>” en een evenement op hoog niveau in Brussel in februari 2022 „</w:t>
      </w:r>
      <w:hyperlink r:id="rId57">
        <w:r>
          <w:rPr>
            <w:rStyle w:val="LienInternet"/>
          </w:rPr>
          <w:t>Europa samen vormgeven”</w:t>
        </w:r>
      </w:hyperlink>
      <w:r>
        <w:rPr/>
        <w:t>. Het Comité moedigt ook het gebruik van het onlineplatform aan, waar het 60 nieuwe ideeën heeft geüpload, en lanceerde een uitgebreide campagne voor sociale media, met een potentieel publiek van 32 miljoen mensen op Twitter, om nationale evenementen in het Engels en in de lokale taal te promoten en informatie te verstrekken voor en na elke plenaire vergadering en conferentiegerelateerde vergaderingen.</w:t>
      </w:r>
    </w:p>
    <w:p>
      <w:pPr>
        <w:pStyle w:val="Normal"/>
        <w:rPr/>
      </w:pPr>
      <w:r>
        <w:rPr/>
        <w:t xml:space="preserve">Het Europees Comité van de Regio’s (CvdR) organiseerde thematische debatten in zijn commissies en plenaire vergaderingen, evenals 140 evenementen op lokaal, grensoverschrijdend en interregionaal niveau met 10.000 burgers en 200 lokale politici. Daarnaast is in oktober 2021 de eerste </w:t>
      </w:r>
      <w:hyperlink r:id="rId58">
        <w:r>
          <w:rPr>
            <w:rStyle w:val="LienInternet"/>
          </w:rPr>
          <w:t>enquête onder 1,2 miljoen lokale politici</w:t>
        </w:r>
      </w:hyperlink>
      <w:r>
        <w:rPr/>
        <w:t xml:space="preserve"> in de EU-27 over hun visie op de toekomst van Europa gepubliceerd. Daarnaast stelde de Cdr </w:t>
      </w:r>
      <w:hyperlink r:id="rId59">
        <w:r>
          <w:rPr>
            <w:rStyle w:val="LienInternet"/>
          </w:rPr>
          <w:t>44 ideeën</w:t>
        </w:r>
      </w:hyperlink>
      <w:r>
        <w:rPr/>
        <w:t xml:space="preserve"> voor op het meertalige digitale platform. Begin 2022 presenteerde</w:t>
      </w:r>
      <w:hyperlink r:id="rId60">
        <w:r>
          <w:rPr>
            <w:rStyle w:val="LienInternet"/>
          </w:rPr>
          <w:t xml:space="preserve"> een onafhankelijke groep op hoog niveau voor Europese democratie</w:t>
        </w:r>
      </w:hyperlink>
      <w:r>
        <w:rPr/>
        <w:t xml:space="preserve"> ideeën over de verbetering van de democratie in de EU. Het CvdR heeft een resolutie met voorstellen voor het eindverslag van de conferentie aangenomen en tijdens de </w:t>
      </w:r>
      <w:hyperlink r:id="rId61">
        <w:r>
          <w:rPr>
            <w:rStyle w:val="LienInternet"/>
          </w:rPr>
          <w:t>Europese top van regio’s en steden in maart 2022 is een manifest van 12 punten goedgekeurd dat namens de miljoen lokale en regionale politici in de</w:t>
        </w:r>
      </w:hyperlink>
      <w:r>
        <w:rPr/>
        <w:t xml:space="preserve"> EU is opgesteld. In een verslag</w:t>
      </w:r>
      <w:hyperlink r:id="rId62">
        <w:r>
          <w:rPr>
            <w:rStyle w:val="LienInternet"/>
          </w:rPr>
          <w:t>getiteld Burgers, lokale politici en de toekomst van Europa</w:t>
        </w:r>
      </w:hyperlink>
      <w:r>
        <w:rPr/>
        <w:t>(maart 2022) worden alle activiteiten van het CvdR in het kader van de conferentie samengevat.</w:t>
      </w:r>
    </w:p>
    <w:p>
      <w:pPr>
        <w:pStyle w:val="Normal"/>
        <w:rPr/>
      </w:pPr>
      <w:r>
        <w:rPr/>
      </w:r>
    </w:p>
    <w:p>
      <w:pPr>
        <w:pStyle w:val="Normal"/>
        <w:rPr/>
      </w:pPr>
      <w:r>
        <w:rPr/>
        <w:t xml:space="preserve">De drie werkgeversorganisaties die betrokken zijn bij het sociaal partnerschap van de EU, </w:t>
      </w:r>
      <w:hyperlink r:id="rId63">
        <w:r>
          <w:rPr>
            <w:rStyle w:val="LienInternet"/>
          </w:rPr>
          <w:t>BusinessEurope</w:t>
        </w:r>
      </w:hyperlink>
      <w:r>
        <w:rPr/>
        <w:t xml:space="preserve">, </w:t>
      </w:r>
      <w:hyperlink r:id="rId64">
        <w:r>
          <w:rPr>
            <w:rStyle w:val="LienInternet"/>
          </w:rPr>
          <w:t>SGI Europe</w:t>
        </w:r>
      </w:hyperlink>
      <w:r>
        <w:rPr/>
        <w:t xml:space="preserve"> en </w:t>
      </w:r>
      <w:hyperlink r:id="rId65">
        <w:r>
          <w:rPr>
            <w:rStyle w:val="LienInternet"/>
          </w:rPr>
          <w:t>UEAPME</w:t>
        </w:r>
      </w:hyperlink>
      <w:r>
        <w:rPr/>
        <w:t>, hebben allemaal hun prioriteiten en bijdragen op het digitale platform gepubliceerd en gepresenteerd aan de relevante werkgroepen en plenaire vergaderingen. Bovendien hebben alle partijen de conferentie, zowel intern als extern, gepromoot en evenementen georganiseerd en een dialoog gevoerd met belanghebbenden in verschillende fora. Het Europees Verbond van Vakverenigingen (EVV) heeft gemobiliseerd om bij te dragen aan de conferentie en heeft deelgenomen aan vergaderingen van de voltallige vergadering en werkgroepen. Het EVV identificeerde vakbondsvoorstellen voor een eerlijkere toekomst voor Europa en publiceerde deze op het onlineplatform (deze waren een van de meest ondersteunde voorstellen). Het EVV en zijn filialen organiseerden evenementen en communicatieactiviteiten om vakbondsvoorstellen te presenteren en te bespreken.</w:t>
      </w:r>
    </w:p>
    <w:p>
      <w:pPr>
        <w:pStyle w:val="Normal"/>
        <w:rPr/>
      </w:pPr>
      <w:r>
        <w:rPr/>
        <w:t xml:space="preserve">Vertegenwoordigers van het maatschappelijk middenveld — </w:t>
      </w:r>
      <w:hyperlink r:id="rId66">
        <w:r>
          <w:rPr>
            <w:rStyle w:val="LienInternet"/>
          </w:rPr>
          <w:t>de Conventie van het maatschappelijk middenveld voor de conferentie over de toekomst</w:t>
        </w:r>
      </w:hyperlink>
      <w:r>
        <w:rPr/>
        <w:t xml:space="preserve"> van Europa en de </w:t>
      </w:r>
      <w:hyperlink r:id="rId67">
        <w:r>
          <w:rPr>
            <w:rStyle w:val="LienInternet"/>
          </w:rPr>
          <w:t>Europese internationale beweging</w:t>
        </w:r>
      </w:hyperlink>
      <w:r>
        <w:rPr/>
        <w:t xml:space="preserve"> — organiseerden </w:t>
      </w:r>
      <w:hyperlink r:id="rId68">
        <w:r>
          <w:rPr>
            <w:rStyle w:val="LienInternet"/>
          </w:rPr>
          <w:t>tal van evenementen</w:t>
        </w:r>
      </w:hyperlink>
      <w:r>
        <w:rPr/>
        <w:t xml:space="preserve"> in heel Europa en waren </w:t>
      </w:r>
      <w:hyperlink r:id="rId69">
        <w:r>
          <w:rPr>
            <w:rStyle w:val="LienInternet"/>
          </w:rPr>
          <w:t>actief op plenair niveau</w:t>
        </w:r>
      </w:hyperlink>
      <w:r>
        <w:rPr/>
        <w:t xml:space="preserve">. Het maatschappelijk middenveld heeft via </w:t>
      </w:r>
      <w:hyperlink r:id="rId70">
        <w:r>
          <w:rPr>
            <w:rStyle w:val="LienInternet"/>
          </w:rPr>
          <w:t>thematische groepen</w:t>
        </w:r>
      </w:hyperlink>
      <w:r>
        <w:rPr/>
        <w:t xml:space="preserve"> honderden maatschappelijke organisaties bij een bottom-upbenadering betrokken om gezamenlijke en alomvattende voorstellen te ontwikkelen op </w:t>
      </w:r>
      <w:hyperlink r:id="rId71">
        <w:r>
          <w:rPr>
            <w:rStyle w:val="LienInternet"/>
          </w:rPr>
          <w:t>verschillende beleidsterreinen die door de conferentie worden bestreken</w:t>
        </w:r>
      </w:hyperlink>
      <w:r>
        <w:rPr/>
        <w:t>. De ideeën vormden de conferentie via het platform, werkgroepen, plenaire vergaderingen en in direct contact met de raad van bestuur, de covoorzitters en het gezamenlijk secretariaat.</w:t>
      </w:r>
    </w:p>
    <w:p>
      <w:pPr>
        <w:pStyle w:val="Normal"/>
        <w:rPr/>
      </w:pPr>
      <w:r>
        <w:rPr/>
        <w:t>Vertegenwoordigingen van de Europese Commissie in de lidstaten, Europe Direct-centra, Europese documentatiecentra en verbindingsbureaus van het EP hebben burgers actief geïnformeerd over de conferentie over de toekomst van Europa. De vertegenwoordigingen van de Europese Commissie meldden 1400 activiteiten die hebben bijgedragen aan de communicatie en uitvoering van de conferentie in heel Europa. Zij organiseerden of namen actief deel aan meer dan 850 evenementen, waarvan ongeveer 65 % gericht was op jongeren en vrouwen om hun deelname aan de conferentie in het algemeen aan te moedigen. De verbindingsbureaus van het EP hebben meer dan 1300 promotieactiviteiten in de lidstaten georganiseerd.</w:t>
      </w:r>
    </w:p>
    <w:p>
      <w:pPr>
        <w:pStyle w:val="Normal"/>
        <w:rPr/>
      </w:pPr>
      <w:r>
        <w:rPr/>
        <w:t>Thematische workshops over de belangrijkste onderwerpen van de conferentie werden ook georganiseerd in aanwezigheid van EP-leden, burgers, belanghebbenden, nationale en regionale overheden en lokale media, om de zichtbaarheid van de conferentie te vergroten. De Europese documentatiecentra rapporteerden meer dan 120 acties in verband met de communicatie van de conferentie.</w:t>
      </w:r>
    </w:p>
    <w:p>
      <w:pPr>
        <w:pStyle w:val="Normal"/>
        <w:rPr/>
      </w:pPr>
      <w:r>
        <w:rPr/>
        <w:t>Europe Direct-centra rapporteerden meer dan 1000 thematische evenementen op de conferentie en meer dan 600 promotionele activiteiten, waaronder een breed scala aan jeugdgroepen en -organisaties. De Europese documentatiecentra rapporteerden meer dan 120 acties in verband met de communicatie van de conferentie.</w:t>
      </w:r>
    </w:p>
    <w:p>
      <w:pPr>
        <w:sectPr>
          <w:footnotePr>
            <w:numFmt w:val="upperRoman"/>
          </w:foot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1"/>
        <w:numPr>
          <w:ilvl w:val="0"/>
          <w:numId w:val="2"/>
        </w:numPr>
        <w:rPr/>
      </w:pPr>
      <w:bookmarkStart w:id="32" w:name="__RefHeading___Toc298238_1346298689"/>
      <w:bookmarkEnd w:id="32"/>
      <w:r>
        <w:rPr/>
        <w:t>III. De voltallige vergadering van de conferentie</w:t>
      </w:r>
    </w:p>
    <w:p>
      <w:pPr>
        <w:pStyle w:val="Normal"/>
        <w:rPr/>
      </w:pPr>
      <w:r>
        <w:rPr/>
      </w:r>
      <w:r>
        <w:br w:type="page"/>
      </w:r>
    </w:p>
    <w:p>
      <w:pPr>
        <w:pStyle w:val="Titre2"/>
        <w:numPr>
          <w:ilvl w:val="1"/>
          <w:numId w:val="2"/>
        </w:numPr>
        <w:rPr/>
      </w:pPr>
      <w:bookmarkStart w:id="33" w:name="__RefHeading___Toc298240_1346298689"/>
      <w:bookmarkEnd w:id="33"/>
      <w:r>
        <w:rPr/>
        <w:t>A. Rol en werking van de voltallige vergadering</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Corpsdetexte"/>
        <w:rPr/>
      </w:pPr>
      <w:r>
        <w:rPr/>
        <w:t>Er is een plenaire vergadering van de conferentie opgericht om de aanbevelingen van de nationale en Europese burgerpanels te bespreken, gegroepeerd per thema, en zonder dat het resultaat van de debatten vooraf wordt bepaald of de reikwijdte ervan beperkt is tot vooraf bepaalde beleidsterreinen.</w:t>
      </w:r>
    </w:p>
    <w:p>
      <w:pPr>
        <w:pStyle w:val="Corpsdetexte"/>
        <w:rPr/>
      </w:pPr>
      <w:r>
        <w:rPr/>
        <w:t>De bijdragen die op het meertalige platform werden verzameld, werden ook besproken, in voorkomend geval. De voltallige vergadering heeft een unieke samenstelling: het omvatte voor het eerst burgers die evenementen en panels van Europese en nationale burgers vertegenwoordigen, vertegenwoordigers van de EU-instellingen en haar adviesorganen, verkozen vertegenwoordigers op nationaal, regionaal en lokaal niveau, alsook vertegenwoordigers van het maatschappelijk middenveld en de sociale partners.</w:t>
      </w:r>
    </w:p>
    <w:p>
      <w:pPr>
        <w:pStyle w:val="Corpsdetexte"/>
        <w:rPr/>
      </w:pPr>
      <w:r>
        <w:rPr/>
        <w:t>De aanbevelingen werden door de burgers gepresenteerd en met hen besproken; de plenaire vergadering diende vervolgens zijn voorstellen op consensuele basis voor te leggen</w:t>
      </w:r>
      <w:r>
        <w:rPr>
          <w:rStyle w:val="Ancredenotedebasdepage"/>
          <w:rStyle w:val="Ancredenotedebasdepage"/>
        </w:rPr>
        <w:footnoteReference w:id="7"/>
      </w:r>
      <w:r>
        <w:rPr/>
        <w:t xml:space="preserve"> aan de raad van bestuur. De plenaire vergadering van de Conferentie is tussen juni 2021 en april 2022 zeven keer bijeengekomen.</w:t>
      </w:r>
    </w:p>
    <w:p>
      <w:pPr>
        <w:pStyle w:val="Corpsdetexte"/>
        <w:rPr/>
      </w:pPr>
      <w:r>
        <w:rPr/>
        <w:t>De plenaire vergadering van de conferentie bestond uit 108 vertegenwoordigers van het Europees Parlement, 54 vertegenwoordigers van de Raad en drie vertegenwoordigers van</w:t>
      </w:r>
      <w:r>
        <w:rPr>
          <w:rStyle w:val="Ancredenotedebasdepage"/>
          <w:rStyle w:val="Ancredenotedebasdepage"/>
        </w:rPr>
        <w:footnoteReference w:id="8"/>
      </w:r>
      <w:r>
        <w:rPr/>
        <w:t>de Europese Commissie, 108 vertegenwoordigers van alle nationale parlementen op gelijke voet, en burgers.</w:t>
      </w:r>
    </w:p>
    <w:p>
      <w:pPr>
        <w:pStyle w:val="Corpsdetexte"/>
        <w:rPr/>
      </w:pPr>
      <w:r>
        <w:rPr/>
        <w:t>Tachtig vertegenwoordigers van de Europese burgerpanels, waarvan ten minste een derde onder de 25 jaar, namen ook deel aan de voorzitter van het Europees Jeugdforum en 27</w:t>
      </w:r>
      <w:r>
        <w:rPr>
          <w:rStyle w:val="Ancredenotedebasdepage"/>
          <w:rStyle w:val="Ancredenotedebasdepage"/>
        </w:rPr>
        <w:footnoteReference w:id="9"/>
      </w:r>
      <w:r>
        <w:rPr/>
        <w:t xml:space="preserve"> vertegenwoordigers van nationale evenementen en/of nationale burgerpanels.</w:t>
      </w:r>
    </w:p>
    <w:p>
      <w:pPr>
        <w:pStyle w:val="Corpsdetexte"/>
        <w:rPr/>
      </w:pPr>
      <w:r>
        <w:rPr/>
        <w:t>Achttien vertegenwoordigers van het Comité van de Regio’s en 18 vertegenwoordigers van het Economisch en Sociaal Comité, zes gekozen vertegenwoordigers van regionale overheden en zes gekozen vertegenwoordigers van lokale overheden, 12 vertegenwoordigers van de sociale partners en acht vertegenwoordigers van het maatschappelijk middenveld namen ook deel. De hoge vertegenwoordiger van de Unie voor buitenlandse zaken en veiligheidsbeleid werd uitgenodigd om de internationale rol van de EU te bespreken.</w:t>
      </w:r>
    </w:p>
    <w:p>
      <w:pPr>
        <w:pStyle w:val="Corpsdetexte"/>
        <w:rPr/>
      </w:pPr>
      <w:r>
        <w:rPr/>
        <w:t>Ook werden vertegenwoordigers van belangrijke belanghebbenden, zoals vertegenwoordigers van partners uit de Westelijke Balkan, Oekraïne, religieuze, filosofische en niet-confessionele groepen uitgenodigd.</w:t>
      </w:r>
    </w:p>
    <w:p>
      <w:pPr>
        <w:pStyle w:val="Corpsdetexte"/>
        <w:rPr/>
      </w:pPr>
      <w:r>
        <w:rPr/>
        <w:t>De vergaderingen van de voltallige vergadering werden gezamenlijk voorgezeten door de covoorzitters van de Conferentie. De plenaire vergaderingen van de conferentie vonden plaats in de gebouwen van het Europees Parlement in Straatsburg. Vanwege de toepasselijke gezondheids- en veiligheidsvoorschriften werden de eerste vijf vergaderingen van de plenaire vergadering van de Conferentie in hybride vorm gehouden, terwijl de laatste twee in persoon werden gehouden. De plenaire vergaderingen van de conferentie werden live gestreamd en alle vergaderdocumenten werden ter beschikking gesteld van het publiek op het meertalige digitale platform.</w:t>
      </w:r>
    </w:p>
    <w:p>
      <w:pPr>
        <w:pStyle w:val="Normal"/>
        <w:rPr/>
      </w:pPr>
      <w:r>
        <w:rPr/>
      </w:r>
    </w:p>
    <w:p>
      <w:pPr>
        <w:pStyle w:val="Normal"/>
        <w:rPr/>
      </w:pPr>
      <w:r>
        <w:rPr/>
      </w:r>
    </w:p>
    <w:p>
      <w:pPr>
        <w:sectPr>
          <w:footnotePr>
            <w:numFmt w:val="upperRoman"/>
          </w:foot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2"/>
        <w:numPr>
          <w:ilvl w:val="1"/>
          <w:numId w:val="2"/>
        </w:numPr>
        <w:rPr/>
      </w:pPr>
      <w:bookmarkStart w:id="34" w:name="__RefHeading___Toc298242_1346298689"/>
      <w:bookmarkEnd w:id="34"/>
      <w:r>
        <w:rPr/>
        <w:t>B. Werkgroepen</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Overeenkomstig het reglement van orde van de Conferentie hebben de covoorzitters de plenaire vergadering van de Conferentie voorgesteld negen thematische werkgroepen op te richten op basis van de thema’s van het meertalig digitaal platform, teneinde input te leveren voor de voorbereiding van de debatten en voorstellen van de plenaire vergadering van de Conferentie, overeenkomstig de parameters van de gezamenlijke verklaring. In oktober 2021 hebben de covoorzitters overeenstemming bereikt over het mandaat voor de werkgroepen. De verschillende werkgroepen hadden betrekking op de volgende thema’s: Klimaatverandering en het milieu; Gezondheid; Een sterkere economie, sociale rechtvaardigheid en werkgelegenheid; De EU in de wereld; Waarden en rechten, de rechtsstaat, veiligheid; Digitale transformatie; Europese democratie; Migratie; onderwijs, cultuur, jeugd en sport.</w:t>
      </w:r>
    </w:p>
    <w:p>
      <w:pPr>
        <w:pStyle w:val="Normal"/>
        <w:rPr/>
      </w:pPr>
      <w:r>
        <w:rPr/>
        <w:t>De werkgroepen presenteerden hun bijdrage aan de plenaire vergadering van de Conferentie door de aanbevelingen van de respectieve nationale en Europese burgerpanels te bestuderen, evenals de bijdragen die zijn gepubliceerd over het meertalige digitale platform over de negen thema’s die in het kader van de conferentie zijn verzameld. De leden van de voltallige vergadering van de conferentie zijn als volgt verdeeld over de negen werkgroepen: twaalf leden per werkgroep voor het Europees Parlement en de nationale parlementen, zes voor de Raad, drie voor vertegenwoordigers van nationale burgerpanels of nationale evenementen, twee voor het Comité van de Regio’s en twee voor het Economisch en Sociaal Comité, één voor de sociale partners, één voor het maatschappelijk middenveld en één voor verkozen leden van lokale en regionale overheden, en vertegenwoordigers van Europese burgerpanels. Vertegenwoordigers van de Europese burgerpanels namen deel aan de werkzaamheden van de werkgroep die verantwoordelijk is voor hun panel. Daarnaast zijn specifieke regelingen getroffen om leden van het college van commissarissen in staat te stellen deel te nemen aan werkgroepen volgens hun portefeuilles.</w:t>
      </w:r>
    </w:p>
    <w:p>
      <w:pPr>
        <w:pStyle w:val="Normal"/>
        <w:rPr/>
      </w:pPr>
      <w:r>
        <w:rPr/>
        <w:t>De werkgroepen hebben levendige debatten gehouden en gewerkt aan ontwerpvoorstellen die zijn opgesteld onder leiding van de voorzitter en de woordvoerder, geselecteerd uit de vertegenwoordigers van de Europese burgerpanels in de werkgroep, met de hulp van het gezamenlijk secretariaat. De werkgroepen zouden werken op basis van de consensus in artikel 17 van het reglement van orde van de Conferentie. Vervolgens presenteren de voorzitter en de woordvoerder de resultaten van de werkgroep aan de voltallige vergadering. De voorzitter van de werkgroep wordt bijgestaan door het gezamenlijk secretariaat. Het gezamenlijke conferentiesecretariaat heeft de syntheseverslagen van elke vergadering van de werkgroep opgesteld onder leiding van de voorzitter en in overleg met de leden van de werkgroep.</w:t>
      </w:r>
    </w:p>
    <w:p>
      <w:pPr>
        <w:pStyle w:val="Normal"/>
        <w:rPr/>
      </w:pPr>
      <w:r>
        <w:rPr/>
        <w:t>De werkgroepen vergaderden in de marge van de plenaire vergaderingen van de Conferentie tussen oktober 2021 en 8 april 2022, alsook online in december 2021. Sommige werkgroepen hebben extra vergaderingen gehouden. De werkgroepvergaderingen werden vanaf 20 januari 2022 live uitgezonden. Hun syntheseverslagen zijn naar behoren gepubliceerd in de afdeling „Conference Plenary Assembly” over het meertalige digitale platform.</w:t>
      </w:r>
    </w:p>
    <w:p>
      <w:pPr>
        <w:pStyle w:val="Normal"/>
        <w:rPr/>
      </w:pPr>
      <w:r>
        <w:rPr/>
      </w:r>
    </w:p>
    <w:p>
      <w:pPr>
        <w:pStyle w:val="Normal"/>
        <w:rPr/>
      </w:pPr>
      <w:r>
        <w:rPr/>
      </w:r>
    </w:p>
    <w:p>
      <w:pPr>
        <w:sectPr>
          <w:footnotePr>
            <w:numFmt w:val="upperRoman"/>
          </w:foot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2"/>
        <w:numPr>
          <w:ilvl w:val="1"/>
          <w:numId w:val="2"/>
        </w:numPr>
        <w:rPr/>
      </w:pPr>
      <w:bookmarkStart w:id="35" w:name="__RefHeading___Toc298244_1346298689"/>
      <w:bookmarkEnd w:id="35"/>
      <w:r>
        <w:rPr/>
        <w:t>C. Chronologische samenvatting</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INAUGURELE PLENAIRE VERGADERING VAN DE CONFERENTIE, 19 JUNI 2021</w:t>
      </w:r>
    </w:p>
    <w:p>
      <w:pPr>
        <w:pStyle w:val="Normal"/>
        <w:rPr/>
      </w:pPr>
      <w:r>
        <w:rPr/>
        <w:t>De eerste plenaire vergadering van de conferentie werd op 19 juni 2021 in hybride vorm gehouden</w:t>
      </w:r>
      <w:r>
        <w:rPr>
          <w:rStyle w:val="Ancredenotedebasdepage"/>
          <w:rStyle w:val="Ancredenotedebasdepage"/>
        </w:rPr>
        <w:footnoteReference w:id="10"/>
      </w:r>
      <w:r>
        <w:rPr/>
        <w:t>. Het liet de leden van de plenaire vergadering toe om naar een presentatie te luisteren en een algemeen debat te houden over het doel en de verwachtingen van de conferentie. De covoorzitters onderstreepten het ongekende karakter van deze oefening van deliberatieve democratie op EU-niveau, die de representatieve democratie versterkt en de burgers centraal stelt in de beleidsvorming in de Europese Unie. De covoorzitters schetsen ook de werking van de drie pijlers van de conferentie: het meertalige digitale platform, de Europese en nationale burgerpanels en de plenaire vergadering.</w:t>
      </w:r>
    </w:p>
    <w:p>
      <w:pPr>
        <w:pStyle w:val="Normal"/>
        <w:rPr/>
      </w:pPr>
      <w:r>
        <w:rPr/>
        <w:t>Daarnaast werden de leden van de plenaire vergadering op de hoogte gebracht van het voornemen om negen thematische werkgroepen op te richten, evenals het tijdschema van de conferentie. In het daaropvolgende debat, waarin meer dan 150 deelnemers het woord namen, werd een breed scala aan onderwerpen besproken. Aangezien de selectie van deelnemers aan de Europese burgerpanels nog niet is afgerond, hebben de voorzitter van het Europees Jeugdforum en 27 vertegenwoordigers van nationale evenementen en/of nationale burgerpanels deelgenomen om de burgercomponent te vertegenwoordigen.</w:t>
      </w:r>
    </w:p>
    <w:p>
      <w:pPr>
        <w:pStyle w:val="Normal"/>
        <w:rPr/>
      </w:pPr>
      <w:r>
        <w:rPr>
          <w:b/>
          <w:i/>
          <w:u w:val="single"/>
        </w:rPr>
        <w:t>TWEEDE VOLTALLIGE VERGADERING VAN DE CONFERENTIE, 22-23 OKTOBER 2021</w:t>
      </w:r>
      <w:r>
        <w:rPr/>
        <w:t xml:space="preserve"> </w:t>
      </w:r>
    </w:p>
    <w:p>
      <w:pPr>
        <w:pStyle w:val="Normal"/>
        <w:rPr/>
      </w:pPr>
      <w:r>
        <w:rPr/>
        <w:t>De tweede plenaire vergadering van de conferentie werd op 22-23 oktober 2021 in hybride vorm gehouden, waaraan voor het eerst vertegenwoordigers van de Europese burgerpanels deelnamen. De leden van de plenaire vergadering kregen de gelegenheid om een presentatie te horen over de stand van zaken van de vier Europese burgerpanels en een debat te houden. Daarnaast konden vertegenwoordigers van nationale evenementen en panels de op nationaal niveau georganiseerde evenementen presenteren. Aan de plenaire vergadering van de Conferentie is een verslag over het Europees Jongerenevenement (EYE) voorgelegd; het gaf een overzicht van de 20 concrete ideeën die werden geselecteerd door de jonge burgers die aan de bijeenkomst deelnamen.</w:t>
      </w:r>
    </w:p>
    <w:p>
      <w:pPr>
        <w:pStyle w:val="Normal"/>
        <w:rPr/>
      </w:pPr>
      <w:r>
        <w:rPr/>
        <w:t>In het daaropvolgende debat werd de nadruk gelegd op het innovatieve karakter van het meertalige digitale platform, dat de burgers een stem gaf in het hoofdstuk en een plaats gaf om te debatteren in alle officiële talen van de EU. Dit debat was gebaseerd op het tweede tussentijds verslag over het platform. De partners van de Westelijke Balkan werden uitgenodigd om als belangrijkste belanghebbenden aan deze plenaire vergadering deel te nemen.</w:t>
      </w:r>
    </w:p>
    <w:p>
      <w:pPr>
        <w:pStyle w:val="Normal"/>
        <w:rPr/>
      </w:pPr>
      <w:r>
        <w:rPr>
          <w:b/>
          <w:i/>
          <w:u w:val="single"/>
        </w:rPr>
        <w:t>DERDE PLENAIRE VERGADERING VAN DE CONFERENTIE, 21-22 JANUARI 2022</w:t>
      </w:r>
      <w:r>
        <w:rPr/>
        <w:t xml:space="preserve"> </w:t>
      </w:r>
    </w:p>
    <w:p>
      <w:pPr>
        <w:pStyle w:val="Normal"/>
        <w:rPr/>
      </w:pPr>
      <w:r>
        <w:rPr/>
        <w:t>De derde voltallige vergadering van de conferentie, die op 21-22 januari 2022 plaatsvond, was de eerste die gewijd was aan de officiële presentatie van aanbevelingen van Europese burgerpanels en aanverwante nationale burgerpanels. Deze plenaire vergadering vond als eerste plaats na de definitieve afronding van de aanbevelingen van enkele Europese burgerpanels, namelijk: panelen 2 (Europese democratie; waarden en rechten, rechtsstaat, veiligheid) en 3 (klimaatverandering en milieu; gezondheid). De plenaire vergadering werd in hybride vorm gehouden, met deelname van meer dan 400 leden van de plenaire vergadering ter plaatse of op afstand.</w:t>
      </w:r>
    </w:p>
    <w:p>
      <w:pPr>
        <w:pStyle w:val="Normal"/>
        <w:rPr/>
      </w:pPr>
      <w:r>
        <w:rPr/>
        <w:t>Deze plenaire vergadering werd ook gekenmerkt door het overlijden, kort daarvoor, van de voorzitter van het Europees Parlement, David Maria Sassoli. De medevoorzitters brachten bij de opening van de vergadering een eerbetoon aan zijn herinnering. De debatten van deze plenaire vergadering werden per thema georganiseerd over de thema’s van de Europese burgerpanels 2 en 3.</w:t>
      </w:r>
    </w:p>
    <w:p>
      <w:pPr>
        <w:pStyle w:val="Normal"/>
        <w:rPr/>
      </w:pPr>
      <w:r>
        <w:rPr/>
        <w:t>De discussies vonden plaats in een innovatief interactief formaat, met momenten gewijd aan feedback van burgers en een speciaal systeem van „blauwe kaart”-vragen die spontane en levendige uitwisselingen over aanbevelingen van burgers mogelijk maakten.</w:t>
      </w:r>
    </w:p>
    <w:p>
      <w:pPr>
        <w:pStyle w:val="Normal"/>
        <w:rPr/>
      </w:pPr>
      <w:r>
        <w:rPr>
          <w:b/>
          <w:i/>
          <w:u w:val="single"/>
        </w:rPr>
        <w:t>VIERDE PLENAIRE VERGADERING VAN DE CONFERENTIE, 11-12 MAART 2022</w:t>
      </w:r>
      <w:r>
        <w:rPr/>
        <w:t xml:space="preserve"> </w:t>
      </w:r>
    </w:p>
    <w:p>
      <w:pPr>
        <w:pStyle w:val="Normal"/>
        <w:rPr/>
      </w:pPr>
      <w:r>
        <w:rPr/>
        <w:t>De vierde plenaire vergadering van de conferentie was ook gewijd aan de presentatie van aanbevelingen van de Europese burgerpanels en aanverwante nationale burgerpanels. Deze plenaire vergadering vond plaats na de definitieve afronding van de aanbevelingen van de twee resterende Europese burgerpanels, namelijk: panels 1 (Een sterkere economie, sociale rechtvaardigheid en werkgelegenheid; onderwijs, cultuur, jeugd en sport; digitale transformatie) en 4 (de EU in de wereld; migratie).</w:t>
      </w:r>
    </w:p>
    <w:p>
      <w:pPr>
        <w:pStyle w:val="Normal"/>
        <w:rPr/>
      </w:pPr>
      <w:r>
        <w:rPr/>
        <w:t>Net als tijdens de zitting van januari werden de debatten van deze plenaire vergadering per thema georganiseerd. De onderwerpen die deze keer werden besproken waren die van de Europese burgerpanels 1 en 4. Discussies over de aanbevelingen van de burgers hebben opnieuw geleid tot levendige en diepgaande uitwisselingen, ondersteund door een innovatief interactief formaat.</w:t>
      </w:r>
    </w:p>
    <w:p>
      <w:pPr>
        <w:pStyle w:val="Normal"/>
        <w:rPr/>
      </w:pPr>
      <w:r>
        <w:rPr>
          <w:b/>
          <w:i/>
          <w:u w:val="single"/>
        </w:rPr>
        <w:t>VIJFDE PLENAIRE VERGADERING VAN DE CONFERENTIE, 25-26 MAART 2022</w:t>
      </w:r>
      <w:r>
        <w:rPr/>
        <w:t xml:space="preserve"> </w:t>
      </w:r>
    </w:p>
    <w:p>
      <w:pPr>
        <w:pStyle w:val="Normal"/>
        <w:rPr/>
      </w:pPr>
      <w:r>
        <w:rPr/>
        <w:t>De vijfde voltallige vergadering markeerde de intrede van de conferentie in de volgende fase, met de start van het proces van de vaststelling van de voorstellen van de plenaire vergadering op basis van aanbevelingen van de burgers. Daarom hebben de leden van de plenaire vergadering, die zich in het kleinere thematische kader van de werkgroepen hebben voorbereid, voor het eerst debatten gehouden over de negen thema’s van de conferentie: een sterkere economie, sociale rechtvaardigheid en werkgelegenheid; onderwijs, cultuur, jeugd en sport; digitale transformatie; Europese democratie; waarden en rechten, de rechtsstaat, veiligheid; klimaatverandering en het milieu; gezondheid; de EU in de wereld; migratie. Deze plenaire vergadering was ook een gelegenheid voor vertegenwoordigers van nationale evenementen in de 27 EU-lidstaten om de resultaten van hun initiatieven te presenteren.</w:t>
      </w:r>
    </w:p>
    <w:p>
      <w:pPr>
        <w:pStyle w:val="Normal"/>
        <w:rPr/>
      </w:pPr>
      <w:r>
        <w:rPr>
          <w:b/>
          <w:i/>
          <w:u w:val="single"/>
        </w:rPr>
        <w:t>ZESDE PLENAIRE VERGADERING VAN DE CONFERENTIE, 8-9 APRIL 2022</w:t>
      </w:r>
      <w:r>
        <w:rPr/>
        <w:t xml:space="preserve"> </w:t>
      </w:r>
    </w:p>
    <w:p>
      <w:pPr>
        <w:pStyle w:val="Normal"/>
        <w:rPr/>
      </w:pPr>
      <w:r>
        <w:rPr/>
        <w:t>Tijdens de zesde plenaire vergadering van de conferentie is de afronding van de ontwerpvoorstellen van de plenaire vergadering afgerond.</w:t>
      </w:r>
    </w:p>
    <w:p>
      <w:pPr>
        <w:pStyle w:val="Normal"/>
        <w:rPr/>
      </w:pPr>
      <w:r>
        <w:rPr/>
        <w:t>Nadat de laatste vergaderingen van de thematische werkgroepen waren afgerond, gaven alle leden van de plenaire vergadering, via negen inhoudelijke debatten, hun standpunten en opmerkingen over de ontwerpvoorstellen die zij de afgelopen maanden hadden opgesteld. Deze uitwisseling was ook een gelegenheid voor hen om na te denken over het unieke proces van het opstellen van voorstellen van de plenaire vergadering, op basis van aanbevelingen van de burgers, en over de werkzaamheden die sinds hun formulering zijn verricht. De burgers benadrukten met name de unieke menselijke ervaring en de toegevoegde waarde van dit beraadslagingsproces, dat hen in het kader van dit gezamenlijke project verenigde. Dit debat is verwerkt in de definitieve ontwerpvoorstellen die aan de meest recente plenaire vergadering van de Conferentie moeten worden voorgelegd.</w:t>
      </w:r>
    </w:p>
    <w:p>
      <w:pPr>
        <w:pStyle w:val="Normal"/>
        <w:rPr/>
      </w:pPr>
      <w:r>
        <w:rPr>
          <w:b/>
          <w:i/>
          <w:u w:val="single"/>
        </w:rPr>
        <w:t>ZEVENDE PLENAIRE VERGADERING VAN DE CONFERENTIE, 29-30 APRIL 2022</w:t>
      </w:r>
      <w:r>
        <w:rPr/>
        <w:t xml:space="preserve"> </w:t>
      </w:r>
    </w:p>
    <w:p>
      <w:pPr>
        <w:pStyle w:val="Normal"/>
        <w:rPr/>
      </w:pPr>
      <w:r>
        <w:rPr/>
        <w:t>De zevende en laatste plenaire vergadering van de Conferentie over de toekomst van Europa was een belangrijke mijlpaal en sloot een proces van intensieve beraadslagingen af dat enkele maanden duurde met de formulering van 49 voorstellen. De 49 voorstellen zijn op consensuele basis door de plenaire vergadering aan de raad van bestuur voorgelegd en geformuleerd. Deze consensus werd bereikt tussen de vertegenwoordigers van het Europees Parlement, de Raad, de Europese Commissie en de nationale parlementen.</w:t>
      </w:r>
    </w:p>
    <w:p>
      <w:pPr>
        <w:pStyle w:val="Normal"/>
        <w:rPr/>
      </w:pPr>
      <w:r>
        <w:rPr/>
        <w:t xml:space="preserve">Ook vertegenwoordigers van het Comité van de Regio’s en het Europees Economisch en Sociaal Comité, regionale en lokale gekozen vertegenwoordigers en vertegenwoordigers van de sociale partners en het maatschappelijk middenveld spraken hun steun uit voor het proces en steunden de voorstellen. </w:t>
      </w:r>
    </w:p>
    <w:p>
      <w:pPr>
        <w:pStyle w:val="Normal"/>
        <w:rPr/>
      </w:pPr>
      <w:r>
        <w:rPr/>
        <w:t>De burgercomponent presenteerde zijn definitieve standpunt over de voorstellen (zie de kernboodschappen hieronder).</w:t>
      </w:r>
    </w:p>
    <w:p>
      <w:pPr>
        <w:sectPr>
          <w:footnotePr>
            <w:numFmt w:val="upperRoman"/>
          </w:footnotePr>
          <w:type w:val="continuous"/>
          <w:pgSz w:w="11906" w:h="16838"/>
          <w:pgMar w:left="1134" w:right="1134" w:header="1134" w:top="1700" w:footer="1134" w:bottom="1727" w:gutter="0"/>
          <w:cols w:num="2" w:space="170" w:equalWidth="true" w:sep="false"/>
          <w:formProt w:val="false"/>
          <w:textDirection w:val="lrTb"/>
          <w:docGrid w:type="default" w:linePitch="312" w:charSpace="0"/>
        </w:sectPr>
      </w:pPr>
    </w:p>
    <w:p>
      <w:pPr>
        <w:pStyle w:val="Normal"/>
        <w:rPr/>
      </w:pPr>
      <w:r>
        <w:rPr/>
      </w:r>
    </w:p>
    <w:p>
      <w:pPr>
        <w:pStyle w:val="P68B1DB1Normal13"/>
        <w:shd w:val="clear" w:fill="EEEEEE"/>
        <w:rPr>
          <w:i/>
          <w:i/>
          <w:sz w:val="20"/>
        </w:rPr>
      </w:pPr>
      <w:r>
        <w:rPr/>
        <w:t>Tijdens de slotzitting (29-30 april 2022) hebben de 108 burgers van de burgercomponent hun definitieve standpunt over de plenaire voorstellen gepresenteerd. Hun presentatie werd gezamenlijk bedacht en gepresenteerd door 17 van hen in de vorm van een narratieve toespraak, tijdens het laatste debat. Onderstaande tekst is een samenvatting van de kernboodschappen van hun interventies.</w:t>
      </w:r>
    </w:p>
    <w:p>
      <w:pPr>
        <w:pStyle w:val="P68B1DB1Normal14"/>
        <w:shd w:val="clear" w:fill="EEEEEE"/>
        <w:jc w:val="center"/>
        <w:rPr>
          <w:sz w:val="20"/>
        </w:rPr>
      </w:pPr>
      <w:r>
        <w:rPr/>
        <w:t>**</w:t>
      </w:r>
    </w:p>
    <w:p>
      <w:pPr>
        <w:pStyle w:val="P68B1DB1Normal14"/>
        <w:shd w:val="clear" w:fill="EEEEEE"/>
        <w:rPr>
          <w:sz w:val="20"/>
        </w:rPr>
      </w:pPr>
      <w:r>
        <w:rPr/>
        <w:t>Om te beginnen danken wij het Europees Parlement, de Raad en de Commissie voor het feit dat zij ons de kans hebben geboden de toekomst van Europa vorm te geven. We hebben ontmoetingen gehad met Europese collega’s uit de hele Unie, van verschillende panels en evenementen, met politieke vertegenwoordigers en sociale actoren, en hebben onze horizon verbreed. We zijn opgegroeid als Europeanen. Hiervoor hebben we allemaal offers gebracht: we werden uit ons dagelijks leven gehaald, vrij genomen en brachten voor de leden van de Europese burgerpanels negen weekenden weg van onze gezinnen. Maar we hadden een ongelooflijke en unieke ervaring. Voor ons was het geen tijdverspilling.</w:t>
      </w:r>
    </w:p>
    <w:p>
      <w:pPr>
        <w:pStyle w:val="P68B1DB1Normal14"/>
        <w:shd w:val="clear" w:fill="EEEEEE"/>
        <w:rPr>
          <w:sz w:val="20"/>
        </w:rPr>
      </w:pPr>
      <w:r>
        <w:rPr/>
        <w:t>Er waren ups en downs onderweg. We kregen niet altijd een antwoord op onze vragen. Wij weten dat het tijd zal kosten om de voorstellen ten uitvoer te leggen. Maar wij zijn ervan overtuigd dat u zult doen wat nodig is om dit te bereiken, uit respect voor ons gezamenlijke werk. Als wij, de burgers, in staat zijn geweest onze verschillen, taalbarrières te overwinnen, samen te werken en onszelf naar uw niveau te tillen, kunt u dat ook.</w:t>
      </w:r>
    </w:p>
    <w:p>
      <w:pPr>
        <w:pStyle w:val="P68B1DB1Normal14"/>
        <w:shd w:val="clear" w:fill="EEEEEE"/>
        <w:jc w:val="center"/>
        <w:rPr>
          <w:sz w:val="20"/>
        </w:rPr>
      </w:pPr>
      <w:r>
        <w:rPr/>
        <w:t>**</w:t>
      </w:r>
    </w:p>
    <w:p>
      <w:pPr>
        <w:pStyle w:val="P68B1DB1Normal14"/>
        <w:shd w:val="clear" w:fill="EEEEEE"/>
        <w:rPr>
          <w:sz w:val="20"/>
        </w:rPr>
      </w:pPr>
      <w:r>
        <w:rPr/>
        <w:t>We hebben allemaal een lange weg afgelegd en nu ons werk in de plenaire vergadering voorbij is, kunnen we er trots op zijn. We zien acht horizontale thema’s die een duidelijk en krachtig mandaat geven voor de toekomst van Europa.</w:t>
      </w:r>
    </w:p>
    <w:p>
      <w:pPr>
        <w:pStyle w:val="P68B1DB1Normal14"/>
        <w:shd w:val="clear" w:fill="EEEEEE"/>
        <w:rPr>
          <w:sz w:val="20"/>
        </w:rPr>
      </w:pPr>
      <w:r>
        <w:rPr>
          <w:b/>
        </w:rPr>
        <w:t>Ten eerste</w:t>
      </w:r>
      <w:r>
        <w:rPr/>
        <w:t xml:space="preserve"> een Europese Unie die gebaseerd is op solidariteit, sociale rechtvaardigheid en gelijkheid. Een grote zorg voor de burgers is het vinden van gelijke voorwaarden en rechten op verschillende gebieden: gezondheidszorg, sociale diensten, levenslang leren, gelijke kansen voor mensen die in plattelands- en stedelijke gebieden wonen, rekening houdend met demografische overwegingen. In de toekomst mogen Europeanen in alle lidstaten en regio’s niet langer worden gediscrimineerd op grond van hun leeftijd, verblijfplaats, nationaliteit, geslacht, godsdienst of politieke voorkeuren. Ze moeten een fatsoenlijke levensstandaard, lonen en arbeidsomstandigheden krijgen. De EU moet meer zijn dan een economische unie. De lidstaten moeten meer solidariteit met elkaar tonen. We zijn een gezin en we moeten ons als zodanig gedragen in crisissituaties.</w:t>
      </w:r>
    </w:p>
    <w:p>
      <w:pPr>
        <w:pStyle w:val="P68B1DB1Normal14"/>
        <w:shd w:val="clear" w:fill="EEEEEE"/>
        <w:rPr>
          <w:sz w:val="20"/>
        </w:rPr>
      </w:pPr>
      <w:r>
        <w:rPr>
          <w:b/>
        </w:rPr>
        <w:t>Ten tweede</w:t>
      </w:r>
      <w:r>
        <w:rPr/>
        <w:t xml:space="preserve"> moet de EU snel durven en handelen om leider te worden op het gebied van milieu en klimaat, de transitie naar groene energie te versnellen, haar spoorwegnet te verbeteren, duurzaam vervoer en een werkelijk circulaire economie aan te moedigen. Er is geen tijd om te verspillen. De EU moet op veel beleidsterreinen veranderingen doorvoeren: landbouw, biodiversiteit, economie, energie, vervoer, onderwijs, gezondheid, digitale transformatie en klimaatdiplomatie. We hebben de onderzoekscapaciteiten, economische kracht en geopolitieke invloed om dit te doen. Als we van klimaat een prioriteit maken, kunnen we hopen op een welvarende toekomst.</w:t>
      </w:r>
    </w:p>
    <w:p>
      <w:pPr>
        <w:pStyle w:val="P68B1DB1Normal14"/>
        <w:shd w:val="clear" w:fill="EEEEEE"/>
        <w:rPr>
          <w:sz w:val="20"/>
        </w:rPr>
      </w:pPr>
      <w:r>
        <w:rPr>
          <w:b/>
        </w:rPr>
        <w:t>Ten derde</w:t>
      </w:r>
      <w:r>
        <w:rPr/>
        <w:t xml:space="preserve"> heeft Europa een democratischere Unie nodig. Europese burgers houden van de EU, maar laten we eerlijk zijn: het is niet altijd makkelijk. U riep ons op om u te helpen en u vroeg ons: hoe moet de Europese democratie er in de toekomst uitzien? En wij antwoordden u: Wij, de burgers, willen een Europa waarin besluiten op transparante en snelle wijze worden genomen, waar het unanimiteitsbeginsel wordt heroverwogen en waar wij, de burgers, regelmatig en serieus bij betrokken zijn.</w:t>
      </w:r>
    </w:p>
    <w:p>
      <w:pPr>
        <w:pStyle w:val="P68B1DB1Normal14"/>
        <w:shd w:val="clear" w:fill="EEEEEE"/>
        <w:rPr>
          <w:sz w:val="20"/>
        </w:rPr>
      </w:pPr>
      <w:r>
        <w:rPr>
          <w:b/>
        </w:rPr>
        <w:t>Ten vierde</w:t>
      </w:r>
      <w:r>
        <w:rPr/>
        <w:t xml:space="preserve"> heeft de EU op sommige gebieden meer harmonisatie nodig en moet zij als Unie dichter bij elkaar komen. De oorlog slaat toe aan onze poorten in het Oosten, wat ons oproept om meer verenigd dan ooit te zijn en de EU meer vaardigheden op het gebied van buitenlandse zaken te geven. Deze conferentie kan als basis dienen voor de totstandbrenging van een meer verenigd en politiek coherent Europa. Het komt allemaal neer op dit woord: De Unie. We kunnen onszelf niet als zodanig omschrijven als we er niet in slagen de samenwerking te bereiken die deze conferentie heeft geïllustreerd.</w:t>
      </w:r>
    </w:p>
    <w:p>
      <w:pPr>
        <w:pStyle w:val="P68B1DB1Normal14"/>
        <w:shd w:val="clear" w:fill="EEEEEE"/>
        <w:rPr>
          <w:sz w:val="20"/>
        </w:rPr>
      </w:pPr>
      <w:r>
        <w:rPr>
          <w:b/>
        </w:rPr>
        <w:t>Ten vijfde</w:t>
      </w:r>
      <w:r>
        <w:rPr/>
        <w:t xml:space="preserve"> moet de EU autonomie verwerven en haar mondiale concurrentievermogen waarborgen. Tijdens dit proces hebben we gesproken over het bereiken van dit doel op belangrijke strategische gebieden: landbouw, energie, industrie, gezondheid. We moeten voorkomen dat we voor veel gevoelige producten afhankelijk zijn van derde landen. We moeten voortbouwen op het talent van onze beroepsbevolking, braindrain voorkomen en burgers in alle stadia van hun leven adequate vaardighedenopleidingen bieden, ongeacht waar ze in de EU wonen. We kunnen geen enorme verschillen hebben binnen de EU en jongeren zonder perspectief in het ene land, gedwongen om naar een ander land te gaan.</w:t>
      </w:r>
    </w:p>
    <w:p>
      <w:pPr>
        <w:pStyle w:val="P68B1DB1Normal14"/>
        <w:shd w:val="clear" w:fill="EEEEEE"/>
        <w:rPr>
          <w:sz w:val="20"/>
        </w:rPr>
      </w:pPr>
      <w:r>
        <w:rPr>
          <w:b/>
        </w:rPr>
        <w:t>Ten</w:t>
      </w:r>
      <w:r>
        <w:rPr/>
        <w:t xml:space="preserve"> zesde is de toekomst van de EU gebaseerd op haar waarden. Deze hebben ons werk geleid. Toen we begonnen, had niemand zich kunnen voorstellen dat er een oorlog zou uitbreken op ons continent. Deze strijd voor vrijheid maakt ons bewust van de kans die we hebben om in een vreedzame unie te leven. Achter al onze voorstellen komen deze waarden tot uitdrukking: een humane en waardige opvang van migranten, gelijke toegang tot gezondheid, de strijd tegen corruptie, de oproep tot bescherming van de natuur en de biodiversiteit, en een democratischere Unie.</w:t>
      </w:r>
    </w:p>
    <w:p>
      <w:pPr>
        <w:pStyle w:val="P68B1DB1Normal14"/>
        <w:shd w:val="clear" w:fill="EEEEEE"/>
        <w:rPr>
          <w:sz w:val="20"/>
        </w:rPr>
      </w:pPr>
      <w:r>
        <w:rPr>
          <w:b/>
        </w:rPr>
        <w:t>Zevende</w:t>
      </w:r>
      <w:r>
        <w:rPr/>
        <w:t>, in de toekomst moeten burgers zich meer Europees voelen en de EU beter leren kennen. Dit is een horizontale kwestie die het werk van alle panelen heeft ondersteund. Digitale transformatie, onderwijs, mobiliteit en uitwisselingen kunnen inhoud geven aan deze Europese identiteit, die onze nationale identiteit aanvult, zonder ze in twijfel te trekken. Velen van ons voelden zich vóór deze conferentie niet Europees: het kwam hier langzaam naar voren door met elkaar uit te wisselen. We hadden het geluk om deze kans te hebben, maar velen niet. Daarom zijn informatie, communicatie en bewustzijn zo belangrijk.</w:t>
      </w:r>
    </w:p>
    <w:p>
      <w:pPr>
        <w:pStyle w:val="P68B1DB1Normal14"/>
        <w:shd w:val="clear" w:fill="EEEEEE"/>
        <w:rPr>
          <w:sz w:val="20"/>
        </w:rPr>
      </w:pPr>
      <w:r>
        <w:rPr/>
        <w:t xml:space="preserve">Tot slot is onderwijs en empowerment van burgers in het algemeen een </w:t>
      </w:r>
      <w:r>
        <w:rPr>
          <w:b/>
        </w:rPr>
        <w:t>achtste</w:t>
      </w:r>
      <w:r>
        <w:rPr/>
        <w:t xml:space="preserve"> transversaal thema, uiterst belangrijk voor ons. Voor deze conferentie heb je besloten om burgers vanaf 16 jaar uit te nodigen. We zijn daar dankbaar voor, omdat het meer dan ooit nodig is om jongeren sterker te maken. De hoge jeugdonthouding laat zien dat het verband tussen jeugd en politiek opnieuw moet worden verbonden. Zij moeten ook economisch en sociaal verantwoording afleggen: het is nog steeds te moeilijk om de arbeidsmarkt te betreden, om iemands sociale rechten te doen gelden. Tijdens de COVID-19-pandemie voelden ze zich verlaten en hebben velen nog steeds de gevolgen voor hun geestelijke gezondheid. Maar alle Europeanen moeten de macht krijgen, niet alleen jongeren: door middel van mobiliteitsprogramma’s en een leven lang leren moeten we de horizon van alle Europeanen verbreden. We moeten burgers ook opleiden in democratie, burgerparticipatie en mediageletterdheid. We hebben een echt holistische aanpak nodig.</w:t>
      </w:r>
    </w:p>
    <w:p>
      <w:pPr>
        <w:pStyle w:val="P68B1DB1Normal14"/>
        <w:shd w:val="clear" w:fill="EEEEEE"/>
        <w:jc w:val="center"/>
        <w:rPr>
          <w:sz w:val="20"/>
        </w:rPr>
      </w:pPr>
      <w:r>
        <w:rPr/>
        <w:t>**</w:t>
      </w:r>
    </w:p>
    <w:p>
      <w:pPr>
        <w:pStyle w:val="P68B1DB1Normal14"/>
        <w:shd w:val="clear" w:fill="EEEEEE"/>
        <w:rPr>
          <w:sz w:val="20"/>
        </w:rPr>
      </w:pPr>
      <w:r>
        <w:rPr/>
        <w:t>Niemand wist wat het resultaat zou zijn. 27 landen, 24 talen, verschillende leeftijden. En toch, toen we samenwerkten, voelden we ons verbonden: onze hersenen, onze gedachten, onze ervaringen. We zijn geen deskundigen uit de EU of een van de thema’s van de conferentie, maar we zijn echte experts, en we hebben onze verhalen. We gaan naar het werk, we wonen op het platteland en in de buitenwijken, we werken ’s nachts, we studeren, we hebben kinderen, we nemen het openbaar vervoer. We kunnen vertrouwen op onze diversiteit. Er werd consensus bereikt over de voorstellen tussen de vier verschillende componenten en binnen de burgercomponent. Wij zijn het eens en steunen alle voorstellen die nu in uw handen zijn. We spreken een afwijkend standpunt uit over maatregel 38.4, derde punt, omdat het niet afkomstig is van Europese panels of nationale panels en onvoldoende is besproken in de werkgroep van het geheel. Daarom geven wij geen commentaar op de inhoud of de relevantie van deze maatregel. Met dit in het achterhoofd nodigen wij u uit om deze voorstellen als geheel te overwegen, om ze uit te voeren, en niet alleen die welke het meest bij u passen en gemakkelijk toepasbaar zijn. Doe het transparant. We hebben met toewijding en passie aan deze voorstellen gewerkt, we zijn trots op ons werk: respecteer hem.</w:t>
      </w:r>
    </w:p>
    <w:p>
      <w:pPr>
        <w:pStyle w:val="P68B1DB1Normal14"/>
        <w:shd w:val="clear" w:fill="EEEEEE"/>
        <w:rPr>
          <w:sz w:val="20"/>
        </w:rPr>
      </w:pPr>
      <w:r>
        <w:rPr/>
        <w:t>De conferentie over de toekomst van Europa heeft een pandemie doorgemaakt en is getuige geweest van een oorlog in Europa, die blijk gaf van zijn volledige solidariteit met het Oekraïense volk. Het jaar was hectisch voor de deelnemers en voor alle Europeanen. Maar de Conferentie zette haar werk voort, tegen de wind en de getijden. Sta ons namens de burgers van de Conferentie toe om u een eenvoudig bericht te sturen: we voelen ons Europees, we voelen ons geëngageerd en geluisterd in het democratiseringsproces, we geloven in de EU en we willen erin blijven geloven. Dus, vanuit de grond van ons hart, lees de voorstellen goed en implementeer ze, in het belang van de toekomst van Europa.</w:t>
      </w:r>
    </w:p>
    <w:p>
      <w:pPr>
        <w:pStyle w:val="Normal"/>
        <w:shd w:val="clear" w:fill="EEEEEE"/>
        <w:rPr/>
      </w:pPr>
      <w:r>
        <w:rPr/>
      </w:r>
      <w:r>
        <w:br w:type="page"/>
      </w:r>
    </w:p>
    <w:p>
      <w:pPr>
        <w:pStyle w:val="Corpsdetexte"/>
        <w:rPr/>
      </w:pPr>
      <w:r>
        <w:rPr/>
        <w:t>Vertegenwoordigers van de afdeling Raad van de voltallige vergadering onthielden zich van commentaar op de inhoud van de voorstellen, maar steunden in plaats daarvan de activiteiten van de burgers en namen nota van hun aanbevelingen. Na 9 mei 2022 zal de Raad bepalen hoe gevolg moet worden gegeven aan de resultaten van de conferentie, binnen zijn eigen bevoegdheidssfeer en in overeenstemming met de Verdragen.</w:t>
      </w:r>
    </w:p>
    <w:p>
      <w:pPr>
        <w:pStyle w:val="Normal"/>
        <w:rPr/>
      </w:pPr>
      <w:r>
        <w:rPr/>
      </w:r>
    </w:p>
    <w:p>
      <w:pPr>
        <w:pStyle w:val="Corpsdetexte"/>
        <w:rPr/>
      </w:pPr>
      <w:r>
        <w:rPr/>
        <w:t>De raad van bestuur van de Conferentie over de toekomst van Europa neemt nota van de voorstellen van de voltallige vergadering en presenteert deze als het eindresultaat van de conferentie. Als leidraad voor de toekomst van Europa werden deze voorstellen na bijna een jaar beraadslagingen binnen het kader van de gezamenlijke verklaring en het reglement van orde van de Conferentie verkregen.</w:t>
      </w:r>
    </w:p>
    <w:p>
      <w:pPr>
        <w:pStyle w:val="Normal"/>
        <w:rPr/>
      </w:pPr>
      <w:r>
        <w:rPr/>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Normal"/>
        <w:spacing w:before="9574" w:after="57"/>
        <w:rPr/>
      </w:pPr>
      <w:r>
        <w:rPr/>
        <w:drawing>
          <wp:anchor behindDoc="0" distT="0" distB="0" distL="0" distR="0" simplePos="0" locked="0" layoutInCell="1" allowOverlap="1" relativeHeight="5">
            <wp:simplePos x="0" y="0"/>
            <wp:positionH relativeFrom="column">
              <wp:align>center</wp:align>
            </wp:positionH>
            <wp:positionV relativeFrom="paragraph">
              <wp:posOffset>635</wp:posOffset>
            </wp:positionV>
            <wp:extent cx="6120130" cy="6079490"/>
            <wp:effectExtent l="0" t="0" r="0" b="0"/>
            <wp:wrapSquare wrapText="largest"/>
            <wp:docPr id="60" name="Afbeelding2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Afbeelding20" descr=""/>
                    <pic:cNvPicPr>
                      <a:picLocks noChangeAspect="1" noChangeArrowheads="1"/>
                    </pic:cNvPicPr>
                  </pic:nvPicPr>
                  <pic:blipFill>
                    <a:blip r:embed="rId72"/>
                    <a:stretch>
                      <a:fillRect/>
                    </a:stretch>
                  </pic:blipFill>
                  <pic:spPr bwMode="auto">
                    <a:xfrm>
                      <a:off x="0" y="0"/>
                      <a:ext cx="6120130" cy="6079490"/>
                    </a:xfrm>
                    <a:prstGeom prst="rect">
                      <a:avLst/>
                    </a:prstGeom>
                  </pic:spPr>
                </pic:pic>
              </a:graphicData>
            </a:graphic>
          </wp:anchor>
        </w:drawing>
      </w:r>
      <w:r>
        <w:br w:type="page"/>
      </w:r>
    </w:p>
    <w:p>
      <w:pPr>
        <w:pStyle w:val="Titre1"/>
        <w:numPr>
          <w:ilvl w:val="0"/>
          <w:numId w:val="2"/>
        </w:numPr>
        <w:rPr/>
      </w:pPr>
      <w:bookmarkStart w:id="36" w:name="__RefHeading___Toc298246_1346298689"/>
      <w:bookmarkEnd w:id="36"/>
      <w:r>
        <w:rPr/>
        <w:t xml:space="preserve">IV. De voorstellen van de voltallige vergadering </w:t>
      </w:r>
      <w:r>
        <w:br w:type="page"/>
      </w:r>
    </w:p>
    <w:p>
      <w:pPr>
        <w:pStyle w:val="Normal"/>
        <w:rPr/>
      </w:pPr>
      <w:r>
        <w:rPr/>
        <w:drawing>
          <wp:anchor behindDoc="0" distT="0" distB="0" distL="0" distR="0" simplePos="0" locked="0" layoutInCell="1" allowOverlap="1" relativeHeight="3">
            <wp:simplePos x="0" y="0"/>
            <wp:positionH relativeFrom="column">
              <wp:posOffset>1270</wp:posOffset>
            </wp:positionH>
            <wp:positionV relativeFrom="paragraph">
              <wp:posOffset>635</wp:posOffset>
            </wp:positionV>
            <wp:extent cx="913765" cy="913765"/>
            <wp:effectExtent l="0" t="0" r="0" b="0"/>
            <wp:wrapSquare wrapText="largest"/>
            <wp:docPr id="61" name="Afbeelding 2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Afbeelding 21" descr=""/>
                    <pic:cNvPicPr>
                      <a:picLocks noChangeAspect="1" noChangeArrowheads="1"/>
                    </pic:cNvPicPr>
                  </pic:nvPicPr>
                  <pic:blipFill>
                    <a:blip r:embed="rId73"/>
                    <a:stretch>
                      <a:fillRect/>
                    </a:stretch>
                  </pic:blipFill>
                  <pic:spPr bwMode="auto">
                    <a:xfrm>
                      <a:off x="0" y="0"/>
                      <a:ext cx="913765" cy="913765"/>
                    </a:xfrm>
                    <a:prstGeom prst="rect">
                      <a:avLst/>
                    </a:prstGeom>
                  </pic:spPr>
                </pic:pic>
              </a:graphicData>
            </a:graphic>
          </wp:anchor>
        </w:drawing>
      </w:r>
    </w:p>
    <w:p>
      <w:pPr>
        <w:pStyle w:val="Normal"/>
        <w:rPr/>
      </w:pPr>
      <w:r>
        <w:rPr/>
      </w:r>
    </w:p>
    <w:p>
      <w:pPr>
        <w:pStyle w:val="Normal"/>
        <w:rPr/>
      </w:pPr>
      <w:r>
        <w:rPr/>
      </w:r>
    </w:p>
    <w:p>
      <w:pPr>
        <w:pStyle w:val="Normal"/>
        <w:rPr/>
      </w:pPr>
      <w:r>
        <w:rPr/>
      </w:r>
    </w:p>
    <w:p>
      <w:pPr>
        <w:pStyle w:val="Titre2"/>
        <w:numPr>
          <w:ilvl w:val="1"/>
          <w:numId w:val="2"/>
        </w:numPr>
        <w:rPr/>
      </w:pPr>
      <w:bookmarkStart w:id="37" w:name="__RefHeading___Toc298248_1346298689"/>
      <w:bookmarkEnd w:id="37"/>
      <w:r>
        <w:rPr/>
        <w:t>Klimaatverandering en milieu</w:t>
      </w:r>
    </w:p>
    <w:p>
      <w:pPr>
        <w:pStyle w:val="Titre3"/>
        <w:numPr>
          <w:ilvl w:val="2"/>
          <w:numId w:val="2"/>
        </w:numPr>
        <w:rPr/>
      </w:pPr>
      <w:bookmarkStart w:id="38" w:name="__RefHeading___Toc298250_1346298689"/>
      <w:bookmarkEnd w:id="38"/>
      <w:r>
        <w:rPr/>
        <w:t>1. Voorstel: Landbouw, voedselproductie, biodiversiteit en ecosystemen, vervuiling</w:t>
      </w:r>
    </w:p>
    <w:p>
      <w:pPr>
        <w:pStyle w:val="P68B1DB1Normal15"/>
        <w:rPr>
          <w:b/>
          <w:b/>
        </w:rPr>
      </w:pPr>
      <w:r>
        <w:rPr/>
        <w:t>Doel: Veilige, duurzame, eerlijke, klimaatresponsieve en betaalbare voedselproductie die de beginselen van duurzaamheid en het milieu eerbiedigt en de biodiversiteit en ecosystemen beschermt en tegelijkertijd de voedselzekerheid waarborgt.</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Maatregelen:</w:t>
      </w:r>
    </w:p>
    <w:p>
      <w:pPr>
        <w:pStyle w:val="Puce3"/>
        <w:rPr/>
      </w:pPr>
      <w:r>
        <w:rPr/>
        <w:t>1.</w:t>
        <w:tab/>
        <w:t>De concepten van groene en blauwe economieën voorop te stellen door efficiënte en milieuvriendelijke en klimaatvriendelijke landbouw en visserij in de EU en de rest van de wereld te bevorderen, met inbegrip van biologische landbouw en andere innovatieve en duurzame vormen van landbouw, zoals verticale landbouw, die meer productie mogelijk maken met minder input en tegelijkertijd de emissies en milieueffecten verminderen, maar door de productiviteit en voedselzekerheid te blijven waarborgen (Panel 3 — Aanbevelingen 1, 2 en 10; panel 2 — Aanbeveling 4).</w:t>
      </w:r>
    </w:p>
    <w:p>
      <w:pPr>
        <w:pStyle w:val="Puce3"/>
        <w:rPr/>
      </w:pPr>
      <w:r>
        <w:rPr/>
        <w:t>2.</w:t>
        <w:tab/>
        <w:t>Subsidies heroriënteren en stimulansen voor biologische en duurzame landbouw versterken die voldoen aan specifieke milieunormen en bijdragen tot de verwezenlijking van mondiale klimaatdoelstellingen (Panel 3 — Aanbevelingen 1 en 12).</w:t>
      </w:r>
    </w:p>
    <w:p>
      <w:pPr>
        <w:pStyle w:val="Puce3"/>
        <w:rPr/>
      </w:pPr>
      <w:r>
        <w:rPr/>
        <w:t>3.</w:t>
        <w:tab/>
        <w:t>De beginselen van de circulaire economie toepassen op de landbouw en maatregelen ter bestrijding van voedselverspilling aanmoedigen (debat in de werkgroep, meertalig digitaal platform — NPC).</w:t>
      </w:r>
    </w:p>
    <w:p>
      <w:pPr>
        <w:pStyle w:val="Puce3"/>
        <w:rPr/>
      </w:pPr>
      <w:r>
        <w:rPr/>
        <w:t>4.</w:t>
        <w:tab/>
        <w:t>Het gebruik van pesticiden en chemische meststoffen aanzienlijk verminderen, in overeenstemming met de bestaande doelstellingen, en tegelijkertijd de voedselveiligheid blijven waarborgen, en onderzoek ondersteunen om duurzamere en op de natuur gebaseerde alternatieven te ontwikkelen (panel 3 — Aanbeveling 10, debat in de werkgroep).</w:t>
      </w:r>
    </w:p>
    <w:p>
      <w:pPr>
        <w:pStyle w:val="Puce3"/>
        <w:rPr/>
      </w:pPr>
      <w:r>
        <w:rPr/>
        <w:t>5.</w:t>
        <w:tab/>
        <w:t>Invoering van certificering van koolstofverwijderingen op basis van robuuste, robuuste en transparante koolstofboekhouding (plenair debat).</w:t>
      </w:r>
    </w:p>
    <w:p>
      <w:pPr>
        <w:pStyle w:val="Puce3"/>
        <w:rPr/>
      </w:pPr>
      <w:r>
        <w:rPr/>
        <w:t>6.</w:t>
        <w:tab/>
        <w:t>Vergroting van onderzoek en innovatie, met name op het gebied van technologische oplossingen in verband met duurzame productie, resistentie tegen plagen en precisielandbouw, alsmede communicatie, adviessystemen en opleiding voor landbouwers en landbouwers (panel 3 — aanbeveling 10, debat in de werkgroep, plenair debat).</w:t>
      </w:r>
    </w:p>
    <w:p>
      <w:pPr>
        <w:pStyle w:val="Puce3"/>
        <w:rPr/>
      </w:pPr>
      <w:r>
        <w:rPr/>
        <w:t>7.</w:t>
        <w:tab/>
        <w:t>Sociale dumping uit te bannen en een rechtvaardige groene transitie naar betere banen in de landbouwsector te bevorderen, met hoogwaardige veiligheid, gezondheid en arbeidsomstandigheden (debat in de werkgroep).</w:t>
      </w:r>
    </w:p>
    <w:p>
      <w:pPr>
        <w:pStyle w:val="Puce3"/>
        <w:rPr/>
      </w:pPr>
      <w:r>
        <w:rPr/>
        <w:t>8.</w:t>
        <w:tab/>
        <w:t>Bespreek aspecten zoals het gebruik van plastic in landbouwfilms en manieren om het waterverbruik in de landbouw (PNM) te verminderen.</w:t>
      </w:r>
    </w:p>
    <w:p>
      <w:pPr>
        <w:pStyle w:val="Puce3"/>
        <w:rPr/>
      </w:pPr>
      <w:r>
        <w:rPr/>
        <w:t>9.</w:t>
        <w:tab/>
        <w:t>Met redenen omklede vleeshouderij en -productie richtten zich op dierenwelzijn en duurzaamheid door middel van maatregelen zoals duidelijke etikettering, hoge kwaliteit en gemeenschappelijke veehouderij- en transportnormen, waardoor het verband tussen vee en diervoeder wordt versterkt (panel 3 — Aanbevelingen 16 en 30).</w:t>
      </w:r>
    </w:p>
    <w:p>
      <w:pPr>
        <w:sectPr>
          <w:footnotePr>
            <w:numFmt w:val="upperRoman"/>
          </w:foot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3"/>
        <w:numPr>
          <w:ilvl w:val="2"/>
          <w:numId w:val="2"/>
        </w:numPr>
        <w:rPr/>
      </w:pPr>
      <w:bookmarkStart w:id="39" w:name="__RefHeading___Toc298252_1346298689"/>
      <w:bookmarkEnd w:id="39"/>
      <w:r>
        <w:rPr/>
        <w:t>2. Voorstel: Landbouw, voedselproductie, biodiversiteit en ecosystemen, vervuiling</w:t>
      </w:r>
    </w:p>
    <w:p>
      <w:pPr>
        <w:pStyle w:val="P68B1DB1Normal15"/>
        <w:rPr>
          <w:b/>
          <w:b/>
        </w:rPr>
      </w:pPr>
      <w:r>
        <w:rPr/>
        <w:t>Doel: Beschermen en herstellen van biodiversiteit, landschap en oceanen, en elimineren van vervuiling.</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Normal"/>
        <w:rPr/>
      </w:pPr>
      <w:bookmarkStart w:id="40" w:name="__RefHeading___Toc298254_1346298689"/>
      <w:bookmarkEnd w:id="40"/>
      <w:r>
        <w:rPr/>
        <w:t>Maatregelen:</w:t>
      </w:r>
    </w:p>
    <w:p>
      <w:pPr>
        <w:pStyle w:val="Puce3"/>
        <w:tabs>
          <w:tab w:val="clear" w:pos="720"/>
        </w:tabs>
        <w:rPr/>
      </w:pPr>
      <w:r>
        <w:rPr/>
        <w:t>1.</w:t>
        <w:tab/>
        <w:t>Het creëren, herstellen, beheren en uitbreiden van beschermde gebieden voor het behoud van biodiversiteit (aanbeveling FR, panel 3 — Aanbeveling 11).</w:t>
      </w:r>
    </w:p>
    <w:p>
      <w:pPr>
        <w:pStyle w:val="Puce3"/>
        <w:tabs>
          <w:tab w:val="clear" w:pos="720"/>
        </w:tabs>
        <w:rPr/>
      </w:pPr>
      <w:r>
        <w:rPr/>
        <w:t>2.</w:t>
        <w:tab/>
        <w:t>Het opzetten van een dwang- en beloningssysteem ter bestrijding van verontreiniging, waarbij het beginsel „de vervuiler betaalt” wordt toegepast, dat ook moet worden geïntegreerd in belastingmaatregelen en met een beter bewustzijn en stimulansen (panel 3 — aanbeveling 32, FR-aanbeveling, plenair debat).</w:t>
      </w:r>
    </w:p>
    <w:p>
      <w:pPr>
        <w:pStyle w:val="Puce3"/>
        <w:tabs>
          <w:tab w:val="clear" w:pos="720"/>
        </w:tabs>
        <w:rPr/>
      </w:pPr>
      <w:r>
        <w:rPr/>
        <w:t>3.</w:t>
        <w:tab/>
        <w:t>Verruiming van de rol van gemeenten in de stedenbouw en de bouw van nieuwe gebouwen die blauwe en groene infrastructuur ondersteunen, verdere verzegeling van grond voorkomen en er een einde aan maken, verplichte groene ruimten voor nieuwe constructies om de biodiversiteit en stedelijke bossen te bevorderen (panel 3 — aanbeveling 5, paneel 1 — aanbeveling 18, aanbeveling FR).</w:t>
      </w:r>
    </w:p>
    <w:p>
      <w:pPr>
        <w:pStyle w:val="Puce3"/>
        <w:tabs>
          <w:tab w:val="clear" w:pos="720"/>
        </w:tabs>
        <w:rPr/>
      </w:pPr>
      <w:r>
        <w:rPr/>
        <w:t>4.</w:t>
        <w:tab/>
        <w:t>Bescherming van insecten, met name inheemse en bestuivende soorten, onder meer door bescherming tegen invasieve soorten en betere handhaving van bestaande regels (panel 1 — Aanbeveling 18).</w:t>
      </w:r>
    </w:p>
    <w:p>
      <w:pPr>
        <w:pStyle w:val="Puce3"/>
        <w:tabs>
          <w:tab w:val="clear" w:pos="720"/>
        </w:tabs>
        <w:rPr/>
      </w:pPr>
      <w:r>
        <w:rPr/>
        <w:t>5.</w:t>
        <w:tab/>
        <w:t>Bebossing en herbebossing ondersteunen, met inbegrip van door brand verwoeste bossen, een verantwoord bosbeheer toepassen en een beter gebruik van hout aanmoedigen om andere materialen te vervangen. In alle EU-lidstaten bindende nationale streefcijfers vaststellen voor herbebossing door inheemse bomen en lokale flora, rekening houdend met verschillende nationale situaties en specifieke kenmerken (panel 3 — aanbeveling 14, panel 1 — aanbeveling 18).</w:t>
      </w:r>
    </w:p>
    <w:p>
      <w:pPr>
        <w:pStyle w:val="Puce3"/>
        <w:tabs>
          <w:tab w:val="clear" w:pos="720"/>
        </w:tabs>
        <w:rPr/>
      </w:pPr>
      <w:r>
        <w:rPr/>
        <w:t>6.</w:t>
        <w:tab/>
        <w:t>Handhaving en uitbreiding van het verbod op kunststoffen voor eenmalig gebruik (SMP).</w:t>
      </w:r>
    </w:p>
    <w:p>
      <w:pPr>
        <w:pStyle w:val="Puce3"/>
        <w:tabs>
          <w:tab w:val="clear" w:pos="720"/>
        </w:tabs>
        <w:rPr/>
      </w:pPr>
      <w:r>
        <w:rPr/>
        <w:t>7.</w:t>
        <w:tab/>
        <w:t>Bescherming van waterbronnen en bestrijding van verontreiniging van rivieren en oceanen, onder meer door onderzoek en bestrijding van microplasticverontreiniging, en bevordering van milieuvriendelijk vervoer met behulp van de beste beschikbare technologieën en het opzetten van onderzoek en financiering van de Unie voor alternatieve maritieme brandstoffen en -technologieën (NMP, debat in de werkgroep).</w:t>
      </w:r>
    </w:p>
    <w:p>
      <w:pPr>
        <w:pStyle w:val="Puce3"/>
        <w:tabs>
          <w:tab w:val="clear" w:pos="720"/>
        </w:tabs>
        <w:rPr/>
      </w:pPr>
      <w:r>
        <w:rPr/>
        <w:t>8.</w:t>
        <w:tab/>
        <w:t>Beperk lichtvervuiling (debat in de WG).</w:t>
      </w:r>
    </w:p>
    <w:p>
      <w:pPr>
        <w:pStyle w:val="Normal"/>
        <w:rPr/>
      </w:pPr>
      <w:r>
        <w:rPr/>
      </w:r>
    </w:p>
    <w:p>
      <w:pPr>
        <w:sectPr>
          <w:footnotePr>
            <w:numFmt w:val="upperRoman"/>
          </w:foot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3"/>
        <w:numPr>
          <w:ilvl w:val="2"/>
          <w:numId w:val="2"/>
        </w:numPr>
        <w:rPr/>
      </w:pPr>
      <w:bookmarkStart w:id="41" w:name="__RefHeading___Toc298256_1346298689"/>
      <w:bookmarkEnd w:id="41"/>
      <w:r>
        <w:rPr/>
        <w:t>3. Voorstel: Klimaatverandering, energie, vervoer</w:t>
      </w:r>
    </w:p>
    <w:p>
      <w:pPr>
        <w:pStyle w:val="P68B1DB1Normal15"/>
        <w:rPr>
          <w:b/>
          <w:b/>
        </w:rPr>
      </w:pPr>
      <w:r>
        <w:rPr/>
        <w:t>Doel: De Europese energiezekerheid te vergroten en de energieonafhankelijkheid van de Unie te verwezenlijken en tegelijkertijd een rechtvaardige transitie te waarborgen en de Europeanen voldoende duurzame en betaalbare energie te bieden. Klimaatverandering aanpakken door de EU een leidende rol te geven in het duurzame energiebeleid en de mondiale klimaatbeschermingsdoelstellingen te eerbiedigen.</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Normal"/>
        <w:rPr/>
      </w:pPr>
      <w:bookmarkStart w:id="42" w:name="__RefHeading___Toc298258_1346298689"/>
      <w:bookmarkEnd w:id="42"/>
      <w:r>
        <w:rPr/>
        <w:t>Maatregelen:</w:t>
      </w:r>
    </w:p>
    <w:p>
      <w:pPr>
        <w:pStyle w:val="Puce3"/>
        <w:tabs>
          <w:tab w:val="clear" w:pos="720"/>
        </w:tabs>
        <w:rPr/>
      </w:pPr>
      <w:r>
        <w:rPr/>
        <w:t>1.</w:t>
        <w:tab/>
        <w:t>De groene transitie tot stand brengen en waar mogelijk versnellen, onder meer door meer te investeren in hernieuwbare energie, om de externe energieafhankelijkheid te verminderen, waarbij ook de rol van lokale en regionale overheden in de groene transitie wordt erkend (debat in de werkgroep).</w:t>
      </w:r>
    </w:p>
    <w:p>
      <w:pPr>
        <w:pStyle w:val="Puce3"/>
        <w:tabs>
          <w:tab w:val="clear" w:pos="720"/>
        </w:tabs>
        <w:rPr/>
      </w:pPr>
      <w:r>
        <w:rPr/>
        <w:t>2.</w:t>
        <w:tab/>
        <w:t>In het kader van het energiebeleid de geopolitieke en veiligheidsimplicaties van alle energieleveranciers uit derde landen onderzoeken, met name op het gebied van mensenrechten, ecologie, goed bestuur en de rechtsstaat (debat in de werkgroep).</w:t>
      </w:r>
    </w:p>
    <w:p>
      <w:pPr>
        <w:pStyle w:val="Puce3"/>
        <w:tabs>
          <w:tab w:val="clear" w:pos="720"/>
        </w:tabs>
        <w:rPr/>
      </w:pPr>
      <w:r>
        <w:rPr/>
        <w:t>3.</w:t>
        <w:tab/>
        <w:t>De afhankelijkheid van olie- en gasinvoer verminderen door middel van energie-efficiëntieprojecten, steun voor betaalbaar openbaar vervoer, een spoorwegnet voor hogesnelheidsgoederen en de uitbreiding van de schone en hernieuwbare energievoorziening (panel 4 — aanbeveling 2, panel 1 — aanbeveling 10, FR en DE-aanbevelingen).</w:t>
      </w:r>
    </w:p>
    <w:p>
      <w:pPr>
        <w:pStyle w:val="Puce3"/>
        <w:tabs>
          <w:tab w:val="clear" w:pos="720"/>
        </w:tabs>
        <w:rPr/>
      </w:pPr>
      <w:r>
        <w:rPr/>
        <w:t>4.</w:t>
        <w:tab/>
        <w:t>De kwaliteit en de interconnectiviteit verbeteren, zorgen voor onderhoud en transformatie van elektriciteitsinfrastructuur en -netwerken om de veiligheid te verbeteren en de overgang naar hernieuwbare energiebronnen mogelijk te maken (panel 1 — aanbeveling 10, debat in de werkgroep).</w:t>
      </w:r>
    </w:p>
    <w:p>
      <w:pPr>
        <w:pStyle w:val="Puce3"/>
        <w:tabs>
          <w:tab w:val="clear" w:pos="720"/>
        </w:tabs>
        <w:rPr/>
      </w:pPr>
      <w:r>
        <w:rPr/>
        <w:t>5.</w:t>
        <w:tab/>
        <w:t>Investeren in technologieën die hernieuwbare energie kunnen produceren, zoals efficiënte productie van groene waterstof, met name in sectoren die moeilijk te elektrificeren zijn (panel 3 — aanbeveling 31, debat in de werkgroep).</w:t>
      </w:r>
    </w:p>
    <w:p>
      <w:pPr>
        <w:pStyle w:val="Puce3"/>
        <w:tabs>
          <w:tab w:val="clear" w:pos="720"/>
        </w:tabs>
        <w:rPr/>
      </w:pPr>
      <w:r>
        <w:rPr/>
        <w:t>6.</w:t>
        <w:tab/>
        <w:t>Investeren in de exploratie van nieuwe energiebronnen en milieuvriendelijke opslagmethoden en, in afwachting van een tastbare oplossing, extra investeringen doen in bestaande optimale oplossingen voor energieproductie en -opslag (Panel 3 — Aanbevelingen 9 en 31).</w:t>
      </w:r>
    </w:p>
    <w:p>
      <w:pPr>
        <w:pStyle w:val="Puce3"/>
        <w:tabs>
          <w:tab w:val="clear" w:pos="720"/>
        </w:tabs>
        <w:rPr/>
      </w:pPr>
      <w:r>
        <w:rPr/>
        <w:t>7.</w:t>
        <w:tab/>
        <w:t>CO2-filters</w:t>
      </w:r>
      <w:r>
        <w:rPr>
          <w:vertAlign w:val="subscript"/>
        </w:rPr>
        <w:t>verplicht</w:t>
      </w:r>
      <w:r>
        <w:rPr/>
        <w:t xml:space="preserve"> stellen in elektriciteitscentrales voor fossiele brandstoffen en financiële steun verlenen aan lidstaten die geen financiële middelen hebben om CO2-filters uit te voeren (</w:t>
      </w:r>
      <w:r>
        <w:rPr>
          <w:vertAlign w:val="subscript"/>
        </w:rPr>
        <w:t>panel</w:t>
      </w:r>
      <w:r>
        <w:rPr/>
        <w:t xml:space="preserve"> 3 — Aanbeveling 29).</w:t>
      </w:r>
    </w:p>
    <w:p>
      <w:pPr>
        <w:pStyle w:val="Puce3"/>
        <w:tabs>
          <w:tab w:val="clear" w:pos="720"/>
        </w:tabs>
        <w:rPr/>
      </w:pPr>
      <w:r>
        <w:rPr/>
        <w:t>8.</w:t>
        <w:tab/>
        <w:t>Zorgen voor een rechtvaardige transitie, de bescherming van werknemers en banen door middel van adequate financiering voor transitie en verder onderzoek, hervorming van het belastingstelsel door middel van eerlijkere belastingheffing en maatregelen tegen belastingfraude en zorgen voor een inclusieve aanpak van bestuur bij de beleidsvorming op alle niveaus (bv. ambitieuze omscholings- en bijscholingsmaatregelen, sterke sociale bescherming, het in handen houden van overheidsdiensten in de handen van de staat, handhaving van de gezondheids- en veiligheidsvoorschriften op het werk) (Plenair debat, debat in de werkgroep, NPC).</w:t>
      </w:r>
    </w:p>
    <w:p>
      <w:pPr>
        <w:pStyle w:val="Puce3"/>
        <w:tabs>
          <w:tab w:val="clear" w:pos="720"/>
        </w:tabs>
        <w:rPr/>
      </w:pPr>
      <w:r>
        <w:rPr/>
        <w:t>9.</w:t>
        <w:tab/>
        <w:t>Invoering van een investeringspakket voor klimaatvriendelijke technologieën en innovaties, dat moet worden gefinancierd door middel van klimaatgerelateerde invoerrechten en heffingen op klimaatgerelateerde koolstofaanpassing (DE-aanbeveling).</w:t>
      </w:r>
    </w:p>
    <w:p>
      <w:pPr>
        <w:pStyle w:val="Puce3"/>
        <w:tabs>
          <w:tab w:val="clear" w:pos="720"/>
        </w:tabs>
        <w:rPr/>
      </w:pPr>
      <w:r>
        <w:rPr/>
        <w:t>10.</w:t>
        <w:tab/>
        <w:t>Aan het einde van een overgangsperiode mogen fossiele brandstoffen geen subsidies meer ontvangen en zou er geen financiering voor traditionele gasinfrastructuur moeten plaatsvinden (debat in de werkgroep).</w:t>
      </w:r>
    </w:p>
    <w:p>
      <w:pPr>
        <w:pStyle w:val="Puce3"/>
        <w:tabs>
          <w:tab w:val="clear" w:pos="720"/>
        </w:tabs>
        <w:rPr/>
      </w:pPr>
      <w:r>
        <w:rPr/>
        <w:t>11.</w:t>
        <w:tab/>
        <w:t>Het leiderschap en de rol en verantwoordelijkheid van de EU vergroten om ambitieuze klimaatactie en een rechtvaardige transitie te bevorderen en bij te dragen aan het reageren op verlies en schade op het internationale toneel, waar de VN centraal moeten staan in de actie (aanbeveling, debat over de werkgroep).</w:t>
      </w:r>
    </w:p>
    <w:p>
      <w:pPr>
        <w:sectPr>
          <w:footnotePr>
            <w:numFmt w:val="upperRoman"/>
          </w:foot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3"/>
        <w:numPr>
          <w:ilvl w:val="2"/>
          <w:numId w:val="2"/>
        </w:numPr>
        <w:rPr/>
      </w:pPr>
      <w:bookmarkStart w:id="43" w:name="__RefHeading___Toc298260_1346298689"/>
      <w:bookmarkEnd w:id="43"/>
      <w:r>
        <w:rPr/>
        <w:t>4. Voorstel: Klimaatverandering, energie, vervoer</w:t>
      </w:r>
    </w:p>
    <w:p>
      <w:pPr>
        <w:pStyle w:val="P68B1DB1Normal15"/>
        <w:rPr>
          <w:b/>
          <w:b/>
        </w:rPr>
      </w:pPr>
      <w:r>
        <w:rPr/>
        <w:t>Doel: Zorgen voor moderne, veilige, ecologische en kwaliteitsvolle infrastructuur die connectiviteit garandeert, ook in plattelands- en eilandgebieden, onder meer via betaalbaar openbaar vervoer.</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Normal"/>
        <w:rPr/>
      </w:pPr>
      <w:bookmarkStart w:id="44" w:name="__RefHeading___Toc298262_1346298689"/>
      <w:bookmarkEnd w:id="44"/>
      <w:r>
        <w:rPr/>
        <w:t>Maatregelen:</w:t>
      </w:r>
    </w:p>
    <w:p>
      <w:pPr>
        <w:pStyle w:val="Puce3"/>
        <w:tabs>
          <w:tab w:val="clear" w:pos="720"/>
        </w:tabs>
        <w:rPr/>
      </w:pPr>
      <w:r>
        <w:rPr/>
        <w:t>1.</w:t>
        <w:tab/>
        <w:t>Het openbaar vervoer ondersteunen en een efficiënt, betrouwbaar en betaalbaar Europees openbaar vervoersnetwerk ontwikkelen, met name in plattelands- en eilandgebieden, door middel van aanvullende stimulansen voor het gebruik van het openbaar vervoer (panel 3 — Aanbeveling 36, panel 4 — aanbeveling 2).</w:t>
      </w:r>
    </w:p>
    <w:p>
      <w:pPr>
        <w:pStyle w:val="Puce3"/>
        <w:tabs>
          <w:tab w:val="clear" w:pos="720"/>
        </w:tabs>
        <w:rPr/>
      </w:pPr>
      <w:r>
        <w:rPr/>
        <w:t>2.</w:t>
        <w:tab/>
        <w:t>Investeer in hogesnelheidsnachttreinen en stel één standaard voor milieuvriendelijke spoorwegtechnologie in Europa om een geloofwaardig alternatief te bieden en de mogelijkheid te vergemakkelijken om korteafstandsvluchten te vervangen en te ontmoedigen (debat in de WG, NPM).</w:t>
      </w:r>
    </w:p>
    <w:p>
      <w:pPr>
        <w:pStyle w:val="Puce3"/>
        <w:tabs>
          <w:tab w:val="clear" w:pos="720"/>
        </w:tabs>
        <w:rPr/>
      </w:pPr>
      <w:r>
        <w:rPr/>
        <w:t>3.</w:t>
        <w:tab/>
        <w:t>De aankoop aanmoedigen, rekening houdend met hun betaalbaarheid voor huishoudens, en het (gedeelde) gebruik van elektrische voertuigen die voldoen aan een goede batterijduur, alsook investeringen in de noodzakelijke laadinfrastructuur en investeringen in de ontwikkeling van andere schone technologieën voor voertuigen waarvan de elektrificatie moeilijk te bereiken is (panel 3 — aanbeveling 38).</w:t>
      </w:r>
    </w:p>
    <w:p>
      <w:pPr>
        <w:pStyle w:val="Puce3"/>
        <w:tabs>
          <w:tab w:val="clear" w:pos="720"/>
        </w:tabs>
        <w:rPr/>
      </w:pPr>
      <w:r>
        <w:rPr/>
        <w:t>4.</w:t>
        <w:tab/>
        <w:t>Breedbandconnectiviteit tot stand brengen met internet en mobiel netwerk in plattelands- en eilandgebieden (panel 3 — Aanbeveling 36).</w:t>
      </w:r>
    </w:p>
    <w:p>
      <w:pPr>
        <w:pStyle w:val="Puce3"/>
        <w:tabs>
          <w:tab w:val="clear" w:pos="720"/>
        </w:tabs>
        <w:rPr/>
      </w:pPr>
      <w:r>
        <w:rPr/>
        <w:t>5.</w:t>
        <w:tab/>
        <w:t>Verbetering van de bestaande vervoersinfrastructuur vanuit ecologisch oogpunt (panel 3 — Aanbeveling 37).</w:t>
      </w:r>
    </w:p>
    <w:p>
      <w:pPr>
        <w:pStyle w:val="Puce3"/>
        <w:tabs>
          <w:tab w:val="clear" w:pos="720"/>
        </w:tabs>
        <w:rPr/>
      </w:pPr>
      <w:r>
        <w:rPr/>
        <w:t>6.</w:t>
        <w:tab/>
        <w:t>Stedelijke ontwikkelingsprogramma’s vereisen voor „groenere” steden met minder uitstoot, met specifieke gebieden zonder auto’s in steden, zonder schade aan commerciële gebieden (panel 3 — aanbeveling 6).</w:t>
      </w:r>
    </w:p>
    <w:p>
      <w:pPr>
        <w:pStyle w:val="Puce3"/>
        <w:tabs>
          <w:tab w:val="clear" w:pos="720"/>
        </w:tabs>
        <w:rPr/>
      </w:pPr>
      <w:r>
        <w:rPr/>
        <w:t>7.</w:t>
        <w:tab/>
        <w:t>Verbetering van de infrastructuur voor fietsen en meer rechten en wettelijke bescherming voor fietsers en voetgangers, met name bij ongevallen met een motorvoertuig, het waarborgen van de verkeersveiligheid en het verstrekken van opleidingen over de wegcode (Panel 3 — Aanbeveling 4).</w:t>
      </w:r>
    </w:p>
    <w:p>
      <w:pPr>
        <w:pStyle w:val="Puce3"/>
        <w:tabs>
          <w:tab w:val="clear" w:pos="720"/>
        </w:tabs>
        <w:rPr/>
      </w:pPr>
      <w:r>
        <w:rPr/>
        <w:t>8.</w:t>
        <w:tab/>
        <w:t>Reguleren van de mijnbouw van cryptocurrencies, die een aanzienlijke hoeveelheid energie (PNM) gebruiken.</w:t>
      </w:r>
    </w:p>
    <w:p>
      <w:pPr>
        <w:sectPr>
          <w:footnotePr>
            <w:numFmt w:val="upperRoman"/>
          </w:foot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Normal"/>
        <w:rPr/>
      </w:pPr>
      <w:r>
        <w:rPr/>
      </w:r>
      <w:r>
        <w:br w:type="page"/>
      </w:r>
    </w:p>
    <w:p>
      <w:pPr>
        <w:pStyle w:val="Titre3"/>
        <w:numPr>
          <w:ilvl w:val="2"/>
          <w:numId w:val="2"/>
        </w:numPr>
        <w:rPr/>
      </w:pPr>
      <w:bookmarkStart w:id="45" w:name="__RefHeading___Toc298264_1346298689"/>
      <w:bookmarkEnd w:id="45"/>
      <w:r>
        <w:rPr/>
        <w:t>5. Voorstel: Duurzame consumptie, verpakking en productie</w:t>
      </w:r>
    </w:p>
    <w:p>
      <w:pPr>
        <w:pStyle w:val="P68B1DB1Normal15"/>
        <w:rPr>
          <w:b/>
          <w:b/>
        </w:rPr>
      </w:pPr>
      <w:r>
        <w:rPr/>
        <w:t>Doel: Het gebruik en het beheer van materialen in de Unie verbeteren om de circulaire economie te bevorderen, autonomer te worden en minder afhankelijk te zijn. Een circulaire economie ontwikkelen door duurzame productie en producten in de Unie aan te moedigen. Ervoor zorgen dat alle producten die in de Unie in de handel worden gebracht, voldoen aan gemeenschappelijke milieunormen van de Unie.</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Normal"/>
        <w:rPr/>
      </w:pPr>
      <w:bookmarkStart w:id="46" w:name="__RefHeading___Toc298266_1346298689"/>
      <w:bookmarkEnd w:id="46"/>
      <w:r>
        <w:rPr/>
        <w:t>Maatregelen:</w:t>
      </w:r>
    </w:p>
    <w:p>
      <w:pPr>
        <w:pStyle w:val="Puce3"/>
        <w:tabs>
          <w:tab w:val="clear" w:pos="720"/>
        </w:tabs>
        <w:rPr/>
      </w:pPr>
      <w:r>
        <w:rPr/>
        <w:t>1.</w:t>
        <w:tab/>
        <w:t>Strengere en geharmoniseerde productienormen van de Unie en transparante etiketteringsregeling voor alle producten die op de EU-markt worden verkocht met betrekking tot hun duurzaamheid/milieuvoetafdruk en levensduur door middel van een QR-code en een ecoscore- of digitaal productpaspoort (panel 3 — aanbevelingen 8, 13, 20 en 21, paneel 1 — aanbeveling 16, paneel 4 — aanbeveling 13).</w:t>
      </w:r>
    </w:p>
    <w:p>
      <w:pPr>
        <w:pStyle w:val="Puce3"/>
        <w:tabs>
          <w:tab w:val="clear" w:pos="720"/>
        </w:tabs>
        <w:rPr/>
      </w:pPr>
      <w:r>
        <w:rPr/>
        <w:t>2.</w:t>
        <w:tab/>
        <w:t>Herziening van de mondiale toeleveringsketens, ook in de landbouwproductie, om de afhankelijkheid van de EU te verminderen en circuits te verkorten (PNM).</w:t>
      </w:r>
    </w:p>
    <w:p>
      <w:pPr>
        <w:pStyle w:val="Puce3"/>
        <w:tabs>
          <w:tab w:val="clear" w:pos="720"/>
        </w:tabs>
        <w:rPr/>
      </w:pPr>
      <w:r>
        <w:rPr/>
        <w:t>3.</w:t>
        <w:tab/>
        <w:t>Afvalproductie verder voorkomen door doelstellingen voor preventie en hergebruik vast te stellen en kwaliteitsnormen voor afvalsorteringssystemen vast te stellen (debat in WG, aanbeveling FR).</w:t>
      </w:r>
    </w:p>
    <w:p>
      <w:pPr>
        <w:pStyle w:val="Puce3"/>
        <w:tabs>
          <w:tab w:val="clear" w:pos="720"/>
        </w:tabs>
        <w:rPr/>
      </w:pPr>
      <w:r>
        <w:rPr/>
        <w:t>4.</w:t>
        <w:tab/>
        <w:t>Uitfasering van niet-duurzame verpakkingsvormen, het reguleren van milieuvriendelijke verpakkingen en het voorkomen van afval van materialen in verpakkingen door middel van financiële stimulansen en sancties en investeringen in alternatief onderzoek (panel 3 — aanbevelingen 15 en 25, panel 1 — aanbeveling 12, panel 4 — aanbeveling 16).</w:t>
      </w:r>
    </w:p>
    <w:p>
      <w:pPr>
        <w:pStyle w:val="Puce3"/>
        <w:tabs>
          <w:tab w:val="clear" w:pos="720"/>
        </w:tabs>
        <w:rPr/>
      </w:pPr>
      <w:r>
        <w:rPr/>
        <w:t>5.</w:t>
        <w:tab/>
        <w:t>Invoering van een Europees verpakkingsborgingssysteem en geavanceerde normen voor containers (panel 3 — aanbevelingen 22 en 23, NPC).</w:t>
      </w:r>
    </w:p>
    <w:p>
      <w:pPr>
        <w:pStyle w:val="Puce3"/>
        <w:tabs>
          <w:tab w:val="clear" w:pos="720"/>
        </w:tabs>
        <w:rPr/>
      </w:pPr>
      <w:r>
        <w:rPr/>
        <w:t>6.</w:t>
        <w:tab/>
        <w:t>Een EU-kennisplatform lanceren over de wijze waarop een duurzaam en langdurig gebruik van producten kan worden gewaarborgd en hoe deze producten kunnen worden „gerepareerd”, met inbegrip van informatie die beschikbaar is voor consumentenverenigingen (panel 3 — Aanbeveling 20).</w:t>
      </w:r>
    </w:p>
    <w:p>
      <w:pPr>
        <w:pStyle w:val="Puce3"/>
        <w:tabs>
          <w:tab w:val="clear" w:pos="720"/>
        </w:tabs>
        <w:rPr/>
      </w:pPr>
      <w:r>
        <w:rPr/>
        <w:t>7.</w:t>
        <w:tab/>
        <w:t>Maatregelen nemen ter bestrijding van vroegtijdige of vroegtijdige veroudering, met inbegrip van geplande veroudering, langere waarborgen waarborgen, het recht op reparatie bevorderen en de beschikbaarheid en toegankelijkheid van compatibele reserveonderdelen waarborgen (panel 3 — aanbeveling 20, FR-aanbeveling, aanbeveling DE, panel 1 — aanbeveling 14).</w:t>
      </w:r>
    </w:p>
    <w:p>
      <w:pPr>
        <w:pStyle w:val="Puce3"/>
        <w:tabs>
          <w:tab w:val="clear" w:pos="720"/>
        </w:tabs>
        <w:rPr/>
      </w:pPr>
      <w:r>
        <w:rPr/>
        <w:t>8.</w:t>
        <w:tab/>
        <w:t>Een markt voor secundaire grondstoffen creëren waarbij rekening wordt gehouden met verplichte percentages gerecycleerd materiaal door een verminderd gebruik van grondstoffen aan te moedigen (debat in de werkgroep).</w:t>
      </w:r>
    </w:p>
    <w:p>
      <w:pPr>
        <w:pStyle w:val="Puce3"/>
        <w:tabs>
          <w:tab w:val="clear" w:pos="720"/>
        </w:tabs>
        <w:rPr/>
      </w:pPr>
      <w:r>
        <w:rPr/>
        <w:t>9.</w:t>
        <w:tab/>
        <w:t>Snelle tenuitvoerlegging van een ambitieuze textielstrategie en vaststelling van een mechanisme voor consumenten om te weten dat het product aan duurzaamheidscriteria voldoet (panel 3 — aanbeveling 28, debat in de werkgroep).</w:t>
      </w:r>
    </w:p>
    <w:p>
      <w:pPr>
        <w:pStyle w:val="Puce3"/>
        <w:tabs>
          <w:tab w:val="clear" w:pos="720"/>
        </w:tabs>
        <w:rPr/>
      </w:pPr>
      <w:r>
        <w:rPr/>
        <w:t>10.</w:t>
        <w:tab/>
        <w:t>EU-maatregelen om consumenten in staat te stellen langer producten te gebruiken en hen daartoe aan te moedigen (panel 3 — Aanbeveling 20).</w:t>
      </w:r>
    </w:p>
    <w:p>
      <w:pPr>
        <w:pStyle w:val="Puce3"/>
        <w:tabs>
          <w:tab w:val="clear" w:pos="720"/>
        </w:tabs>
        <w:rPr/>
      </w:pPr>
      <w:r>
        <w:rPr/>
        <w:t>11.</w:t>
        <w:tab/>
        <w:t>De milieunormen versterken en de regelgeving inzake de uitvoer van afvalstoffen in de EU en naar derde landen handhaven (panel 4 — Aanbeveling 15, NPC).</w:t>
      </w:r>
    </w:p>
    <w:p>
      <w:pPr>
        <w:pStyle w:val="Puce3"/>
        <w:tabs>
          <w:tab w:val="clear" w:pos="720"/>
        </w:tabs>
        <w:rPr/>
      </w:pPr>
      <w:r>
        <w:rPr/>
        <w:t>12.</w:t>
        <w:tab/>
        <w:t>Maatregelen nemen om de reclame voor voor het milieu schadelijke producten te beperken door een verplichte disclaimer in te voeren voor producten die bijzonder schadelijk zijn voor het milieu (panel 3 — Aanbeveling 22).</w:t>
      </w:r>
    </w:p>
    <w:p>
      <w:pPr>
        <w:pStyle w:val="Puce3"/>
        <w:tabs>
          <w:tab w:val="clear" w:pos="720"/>
        </w:tabs>
        <w:rPr/>
      </w:pPr>
      <w:r>
        <w:rPr/>
        <w:t>13.</w:t>
        <w:tab/>
        <w:t>Toepassing van strengere productienormen en eerlijke arbeidsomstandigheden in de gehele productie- en waardeketen (panel 3 — Aanbeveling 21).</w:t>
      </w:r>
    </w:p>
    <w:p>
      <w:pPr>
        <w:sectPr>
          <w:footnotePr>
            <w:numFmt w:val="upperRoman"/>
          </w:foot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Titre3"/>
        <w:numPr>
          <w:ilvl w:val="2"/>
          <w:numId w:val="2"/>
        </w:numPr>
        <w:rPr/>
      </w:pPr>
      <w:bookmarkStart w:id="47" w:name="__RefHeading___Toc298268_1346298689"/>
      <w:bookmarkEnd w:id="47"/>
      <w:r>
        <w:rPr/>
        <w:t>6. Voorstel: Informatie, bewustzijn, dialoog en manier van leven</w:t>
      </w:r>
    </w:p>
    <w:p>
      <w:pPr>
        <w:pStyle w:val="P68B1DB1Normal15"/>
        <w:rPr>
          <w:b/>
          <w:b/>
        </w:rPr>
      </w:pPr>
      <w:r>
        <w:rPr/>
        <w:t>Doel: Kennis, bewustzijn, onderwijs en dialoog over het milieu, klimaatverandering, energiegebruik en duurzaamheid aanmoedigen.</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Normal"/>
        <w:rPr/>
      </w:pPr>
      <w:bookmarkStart w:id="48" w:name="__RefHeading___Toc298270_1346298689"/>
      <w:bookmarkEnd w:id="48"/>
      <w:r>
        <w:rPr/>
        <w:t>Maatregelen:</w:t>
      </w:r>
    </w:p>
    <w:p>
      <w:pPr>
        <w:pStyle w:val="Puce3"/>
        <w:tabs>
          <w:tab w:val="clear" w:pos="720"/>
        </w:tabs>
        <w:rPr/>
      </w:pPr>
      <w:r>
        <w:rPr/>
        <w:t>1.</w:t>
        <w:tab/>
        <w:t>Creëren van een interactief platform waarvan de feiten zijn geverifieerd om diverse en regelmatig bijgewerkte wetenschappelijke informatie op het gebied van het milieu te verstrekken (panel 3 — aanbeveling 33).</w:t>
      </w:r>
    </w:p>
    <w:p>
      <w:pPr>
        <w:pStyle w:val="Puce3"/>
        <w:tabs>
          <w:tab w:val="clear" w:pos="720"/>
        </w:tabs>
        <w:rPr/>
      </w:pPr>
      <w:r>
        <w:rPr/>
        <w:t>2.</w:t>
        <w:tab/>
        <w:t>Ondersteuning van ecologische bewustmakingscampagnes, met inbegrip van een Europese langetermijncampagne voor duurzame consumptie en levensstijl (aanbevelingen DE, NL en FR, Panel 3 — Aanbeveling 7).</w:t>
      </w:r>
    </w:p>
    <w:p>
      <w:pPr>
        <w:pStyle w:val="Puce3"/>
        <w:tabs>
          <w:tab w:val="clear" w:pos="720"/>
        </w:tabs>
        <w:rPr/>
      </w:pPr>
      <w:r>
        <w:rPr/>
        <w:t>3.</w:t>
        <w:tab/>
        <w:t>Bevorderen en faciliteren van dialoog en overleg tussen alle besluitvormingsniveaus, met name met jongeren en op lokaal niveau (aanbevelingen DE, NL en FR, panel 3 — Aanbevelingen 27 en 35, plenair debat).</w:t>
      </w:r>
    </w:p>
    <w:p>
      <w:pPr>
        <w:pStyle w:val="Puce3"/>
        <w:tabs>
          <w:tab w:val="clear" w:pos="720"/>
        </w:tabs>
        <w:rPr/>
      </w:pPr>
      <w:r>
        <w:rPr/>
        <w:t>4.</w:t>
        <w:tab/>
        <w:t>Vaststelling door de Unie, met hulp van de lidstaten, van een gemeenschappelijk Europees Handvest voor milieukwesties en bevordering van milieubewustzijn bij alle burgers (panel 3 — aanbeveling 7).</w:t>
      </w:r>
    </w:p>
    <w:p>
      <w:pPr>
        <w:pStyle w:val="Puce3"/>
        <w:tabs>
          <w:tab w:val="clear" w:pos="720"/>
        </w:tabs>
        <w:rPr/>
      </w:pPr>
      <w:r>
        <w:rPr/>
        <w:t>5.</w:t>
        <w:tab/>
        <w:t>Het verstrekken van cursussen en lesmateriaal voor iedereen om de kennis over klimaat en duurzaamheid te verbeteren en een leven lang leren over milieukwesties mogelijk te maken (panel 1 — aanbevelingen 15 en 35, panel 3 — aanbeveling 24, discussie over de werkgroep).</w:t>
      </w:r>
    </w:p>
    <w:p>
      <w:pPr>
        <w:pStyle w:val="Puce3"/>
        <w:tabs>
          <w:tab w:val="clear" w:pos="720"/>
        </w:tabs>
        <w:rPr/>
      </w:pPr>
      <w:r>
        <w:rPr/>
        <w:t>6.</w:t>
        <w:tab/>
        <w:t>De voedselproductie en de bescherming van de biodiversiteit in het onderwijssysteem integreren, met inbegrip van de voordelen van onbewerkt voedsel ten opzichte van bewerkt voedsel, en de oprichting van schooltuinen en subsidies voor stadstuinbouwprojecten en verticale landbouw aanmoedigen (panel 3 — aanbeveling 5, paneel 1 — aanbeveling 18). Overwegen biodiversiteit een verplicht onderwerp op scholen te maken en het publiek bewust te maken van biodiversiteit door middel van mediacampagnes en „wedstrijden” die in de hele EU worden gepromoot (panel 3 — aanbeveling 5, panel 1 — aanbeveling 18).</w:t>
      </w:r>
    </w:p>
    <w:p>
      <w:pPr>
        <w:pStyle w:val="Puce3"/>
        <w:tabs>
          <w:tab w:val="clear" w:pos="720"/>
        </w:tabs>
        <w:rPr/>
      </w:pPr>
      <w:r>
        <w:rPr/>
        <w:t>7.</w:t>
        <w:tab/>
        <w:t>De rol en het optreden van de Unie op het gebied van milieu en onderwijs versterken door de bevoegdheden van de Unie op het gebied van onderwijs voor klimaatverandering en milieu uit te breiden en de besluitvorming met gekwalificeerde meerderheid uit te breiden tot onderwerpen die zijn gedefinieerd als „Europees belang”, zoals het milieu (aanbevelingen NL en FR).</w:t>
      </w:r>
    </w:p>
    <w:p>
      <w:pPr>
        <w:pStyle w:val="Puce3"/>
        <w:tabs>
          <w:tab w:val="clear" w:pos="720"/>
        </w:tabs>
        <w:rPr/>
      </w:pPr>
      <w:r>
        <w:rPr/>
        <w:t>8.</w:t>
        <w:tab/>
        <w:t>Het bevorderen van een plantendieet om redenen van klimaatbescherming en milieubehoud (PNM).</w:t>
      </w:r>
    </w:p>
    <w:p>
      <w:pPr>
        <w:sectPr>
          <w:footnotePr>
            <w:numFmt w:val="upperRoman"/>
          </w:foot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Normal"/>
        <w:rPr/>
      </w:pPr>
      <w:r>
        <w:rPr/>
      </w:r>
      <w:r>
        <w:br w:type="page"/>
      </w:r>
    </w:p>
    <w:p>
      <w:pPr>
        <w:pStyle w:val="Normal"/>
        <w:rPr/>
      </w:pPr>
      <w:r>
        <w:rPr/>
        <w:drawing>
          <wp:anchor behindDoc="0" distT="0" distB="0" distL="0" distR="0" simplePos="0" locked="0" layoutInCell="1" allowOverlap="1" relativeHeight="20">
            <wp:simplePos x="0" y="0"/>
            <wp:positionH relativeFrom="column">
              <wp:posOffset>23495</wp:posOffset>
            </wp:positionH>
            <wp:positionV relativeFrom="paragraph">
              <wp:posOffset>51435</wp:posOffset>
            </wp:positionV>
            <wp:extent cx="913765" cy="913765"/>
            <wp:effectExtent l="0" t="0" r="0" b="0"/>
            <wp:wrapSquare wrapText="largest"/>
            <wp:docPr id="62" name="Afbeelding 2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Afbeelding 22" descr=""/>
                    <pic:cNvPicPr>
                      <a:picLocks noChangeAspect="1" noChangeArrowheads="1"/>
                    </pic:cNvPicPr>
                  </pic:nvPicPr>
                  <pic:blipFill>
                    <a:blip r:embed="rId74"/>
                    <a:stretch>
                      <a:fillRect/>
                    </a:stretch>
                  </pic:blipFill>
                  <pic:spPr bwMode="auto">
                    <a:xfrm>
                      <a:off x="0" y="0"/>
                      <a:ext cx="913765" cy="913765"/>
                    </a:xfrm>
                    <a:prstGeom prst="rect">
                      <a:avLst/>
                    </a:prstGeom>
                  </pic:spPr>
                </pic:pic>
              </a:graphicData>
            </a:graphic>
          </wp:anchor>
        </w:drawing>
      </w:r>
    </w:p>
    <w:p>
      <w:pPr>
        <w:pStyle w:val="Normal"/>
        <w:rPr/>
      </w:pPr>
      <w:r>
        <w:rPr/>
      </w:r>
    </w:p>
    <w:p>
      <w:pPr>
        <w:pStyle w:val="Normal"/>
        <w:rPr/>
      </w:pPr>
      <w:r>
        <w:rPr/>
      </w:r>
    </w:p>
    <w:p>
      <w:pPr>
        <w:pStyle w:val="Normal"/>
        <w:rPr/>
      </w:pPr>
      <w:r>
        <w:rPr/>
      </w:r>
    </w:p>
    <w:p>
      <w:pPr>
        <w:pStyle w:val="Titre2"/>
        <w:numPr>
          <w:ilvl w:val="1"/>
          <w:numId w:val="2"/>
        </w:numPr>
        <w:rPr/>
      </w:pPr>
      <w:bookmarkStart w:id="49" w:name="__RefHeading___Toc298272_1346298689"/>
      <w:bookmarkEnd w:id="49"/>
      <w:r>
        <w:rPr/>
        <w:t>„</w:t>
      </w:r>
      <w:r>
        <w:rPr/>
        <w:t>Gezondheid”</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Titre2"/>
        <w:numPr>
          <w:ilvl w:val="1"/>
          <w:numId w:val="2"/>
        </w:numPr>
        <w:rPr/>
      </w:pPr>
      <w:r>
        <w:rPr/>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Titre3"/>
        <w:numPr>
          <w:ilvl w:val="2"/>
          <w:numId w:val="2"/>
        </w:numPr>
        <w:rPr/>
      </w:pPr>
      <w:bookmarkStart w:id="50" w:name="__RefHeading___Toc298274_1346298689"/>
      <w:bookmarkEnd w:id="50"/>
      <w:r>
        <w:rPr/>
        <w:t xml:space="preserve">7.Proposal: Een gezond dieet en een gezonde levensstijl </w:t>
      </w:r>
    </w:p>
    <w:p>
      <w:pPr>
        <w:pStyle w:val="P68B1DB1Normal15"/>
        <w:rPr>
          <w:b/>
          <w:b/>
        </w:rPr>
      </w:pPr>
      <w:r>
        <w:rPr/>
        <w:t>Doel: Ervoor zorgen dat alle Europeanen toegang hebben tot gezond voedselonderwijs en toegang tot gezond en betaalbaar voedsel als basis voor een gezonde levensstijl, met name door middel van de volgende maatregelen:</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Normal"/>
        <w:rPr/>
      </w:pPr>
      <w:bookmarkStart w:id="51" w:name="__RefHeading___Toc298276_1346298689"/>
      <w:bookmarkEnd w:id="51"/>
      <w:r>
        <w:rPr/>
        <w:t>Maatregelen</w:t>
      </w:r>
      <w:r>
        <w:rPr>
          <w:rStyle w:val="Ancredenotedefin"/>
          <w:rStyle w:val="Ancredenotedefin"/>
        </w:rPr>
        <w:endnoteReference w:id="2"/>
      </w:r>
      <w:r>
        <w:rPr/>
        <w:t>:</w:t>
      </w:r>
    </w:p>
    <w:p>
      <w:pPr>
        <w:pStyle w:val="Puce3"/>
        <w:tabs>
          <w:tab w:val="clear" w:pos="720"/>
        </w:tabs>
        <w:rPr/>
      </w:pPr>
      <w:r>
        <w:rPr/>
        <w:t>1.</w:t>
        <w:tab/>
        <w:t>Minimumnormen voor voedselkwaliteit en traceerbaarheid vaststellen, met name door het gebruik van antibiotica en andere geneesmiddelen voor diergeneeskundig gebruik te beperken tot wat strikt noodzakelijk is om de gezondheid en het welzijn van dieren te beschermen, in plaats van preventief te gebruiken, en om de controle op dit gebied te versterken. [#23, #17]</w:t>
      </w:r>
    </w:p>
    <w:p>
      <w:pPr>
        <w:pStyle w:val="Puce3"/>
        <w:tabs>
          <w:tab w:val="clear" w:pos="720"/>
        </w:tabs>
        <w:rPr/>
      </w:pPr>
      <w:r>
        <w:rPr/>
        <w:t>2.</w:t>
        <w:tab/>
        <w:t>Burgers op jonge leeftijd te informeren over gezonde gewoonten en hen aan te moedigen veilige en gezonde keuzes te maken door bewerkte voedingsmiddelen die niet zijn belast en gezondheidsinformatie over voedsel gemakkelijk toegankelijk te maken; daartoe een op wetenschappelijke en onafhankelijke deskundigheid gebaseerde Europese beoordelingsregeling voor verwerkte levensmiddelen in te voeren, alsmede een etiket voor het gebruik van hormonale stoffen en hormoonontregelende stoffen bij de voedselproductie, en in dit verband het toezicht op en de handhaving van bestaande regels te versterken en te overwegen deze te versterken. [#18, #19, GT]</w:t>
      </w:r>
    </w:p>
    <w:p>
      <w:pPr>
        <w:pStyle w:val="Puce3"/>
        <w:tabs>
          <w:tab w:val="clear" w:pos="720"/>
        </w:tabs>
        <w:rPr/>
      </w:pPr>
      <w:r>
        <w:rPr/>
        <w:t>3.</w:t>
        <w:tab/>
        <w:t>Bevordering van de dialoog met actoren in de voedselketen, van productie tot verkoop, als onderdeel van maatschappelijk verantwoord ondernemen voor gezond voedsel. [#19, GT]</w:t>
      </w:r>
    </w:p>
    <w:p>
      <w:pPr>
        <w:pStyle w:val="Puce3"/>
        <w:tabs>
          <w:tab w:val="clear" w:pos="720"/>
        </w:tabs>
        <w:rPr/>
      </w:pPr>
      <w:r>
        <w:rPr/>
        <w:t>4.</w:t>
        <w:tab/>
        <w:t>Ondersteuning, op het niveau van de Unie, van gezonde, gevarieerde en betaalbare voeding in openbaredienstinstellingen, zoals schoolkantines, ziekenhuizen of zorginstellingen, onder meer door middel van specifieke financiering. [#3, plenaire vergadering, WG]</w:t>
      </w:r>
    </w:p>
    <w:p>
      <w:pPr>
        <w:pStyle w:val="Puce3"/>
        <w:tabs>
          <w:tab w:val="clear" w:pos="720"/>
        </w:tabs>
        <w:rPr/>
      </w:pPr>
      <w:r>
        <w:rPr/>
        <w:t>5.</w:t>
        <w:tab/>
        <w:t>Investeer in onderzoek naar de gevolgen van het gebruik van antibiotica en de effecten van hormonale stoffen en hormoonontregelaars op de menselijke gezondheid. [#17, #18]</w:t>
      </w:r>
      <w:r>
        <w:rPr>
          <w:rStyle w:val="Ancredenotedefin"/>
          <w:rStyle w:val="Ancredenotedefin"/>
        </w:rPr>
        <w:endnoteReference w:id="3"/>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3"/>
        <w:numPr>
          <w:ilvl w:val="2"/>
          <w:numId w:val="2"/>
        </w:numPr>
        <w:rPr/>
      </w:pPr>
      <w:bookmarkStart w:id="52" w:name="__RefHeading___Toc298278_1346298689"/>
      <w:bookmarkEnd w:id="52"/>
      <w:r>
        <w:rPr/>
        <w:t>8. Voorstel: Versterking van het gezondheidszorgstelsel</w:t>
      </w:r>
    </w:p>
    <w:p>
      <w:pPr>
        <w:pStyle w:val="P68B1DB1Normal15"/>
        <w:rPr>
          <w:b/>
          <w:b/>
        </w:rPr>
      </w:pPr>
      <w:r>
        <w:rPr/>
        <w:t>Doel: Versterking van de veerkracht en kwaliteit van onze gezondheidszorgstelsels, onder meer door:</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bookmarkStart w:id="53" w:name="__RefHeading___Toc298280_1346298689"/>
      <w:bookmarkEnd w:id="53"/>
      <w:r>
        <w:rPr/>
        <w:t>Maatregelen</w:t>
      </w:r>
      <w:r>
        <w:rPr>
          <w:rStyle w:val="Ancredenotedefin"/>
          <w:rStyle w:val="Ancredenotedefin"/>
        </w:rPr>
        <w:endnoteReference w:id="4"/>
      </w:r>
      <w:r>
        <w:rPr/>
        <w:t>:</w:t>
      </w:r>
    </w:p>
    <w:p>
      <w:pPr>
        <w:pStyle w:val="Puce3"/>
        <w:tabs>
          <w:tab w:val="clear" w:pos="720"/>
        </w:tabs>
        <w:rPr/>
      </w:pPr>
      <w:r>
        <w:rPr/>
        <w:t>1.</w:t>
        <w:tab/>
        <w:t>De totstandbrenging van een Europese gezondheidsgegevensruimte, die de uitwisseling van gezondheidsgegevens zou vergemakkelijken; individuele medische dossiers kunnen — op vrijwillige basis — beschikbaar worden gesteld met behulp van een individueel elektronisch gezondheidspaspoort van de EU, in overeenstemming met de regels inzake gegevensbescherming. [#41, GT]</w:t>
      </w:r>
    </w:p>
    <w:p>
      <w:pPr>
        <w:pStyle w:val="Puce3"/>
        <w:tabs>
          <w:tab w:val="clear" w:pos="720"/>
        </w:tabs>
        <w:rPr/>
      </w:pPr>
      <w:r>
        <w:rPr/>
        <w:t>2.</w:t>
        <w:tab/>
        <w:t>Adequate arbeidsomstandigheden, met name door middel van een sterke sociale dialoog, met inbegrip van lonen en arbeidsregelingen, en harmonisatie van opleidings- en certificeringsnormen voor gezondheidswerkers; er moeten netwerk- en uitwisselingsprogramma’s worden ontwikkeld, zoals een Erasmus voor medische scholen, die een aanzienlijke bijdrage zouden leveren aan de ontwikkeling van vaardigheden. Om talent in Europa te behouden en jonge professionals in staat te stellen hun kennis te verbreden en beroepservaring op te doen, moeten er EU-uitwisselingsprogramma’s worden opgezet om ervoor te zorgen dat onze beste levenswetenschappen niet tot derde landen worden aangetrokken. [#39, GT]</w:t>
      </w:r>
    </w:p>
    <w:p>
      <w:pPr>
        <w:pStyle w:val="Puce3"/>
        <w:tabs>
          <w:tab w:val="clear" w:pos="720"/>
        </w:tabs>
        <w:rPr/>
      </w:pPr>
      <w:r>
        <w:rPr/>
        <w:t>3.</w:t>
        <w:tab/>
        <w:t>Te zorgen voor strategische autonomie op het niveau van de Unie om afhankelijkheid van derde landen [NL2]</w:t>
      </w:r>
      <w:r>
        <w:rPr>
          <w:rStyle w:val="Ancredenotedefin"/>
          <w:rStyle w:val="Ancredenotedefin"/>
        </w:rPr>
        <w:endnoteReference w:id="5"/>
      </w:r>
      <w:r>
        <w:rPr/>
        <w:t xml:space="preserve"> voor geneesmiddelen (met name werkzame stoffen) en medische hulpmiddelen (met inbegrip van grondstoffen) te voorkomen; met name een lijst van essentiële en prioritaire geneesmiddelen en behandelingen, maar ook van innovatieve geneesmiddelen en behandelingen (zoals biotechnologische oplossingen) moet op het niveau van de Unie worden opgesteld, voortbouwend op bestaande Europese agentschappen en HERA, teneinde de beschikbaarheid ervan voor de burgers te waarborgen. Te overwegen een gecoördineerde strategische opslag in de hele Unie te organiseren. Met het oog op de verwezenlijking van de noodzakelijke gecoördineerde en langetermijnmaatregelen op het niveau van de Unie, gezondheid en gezondheidszorg tot de bevoegdheden behoren die tussen de Unie en haar lidstaten worden gedeeld door wijziging van artikel 4 VWEU. [#40, #49, plenaire vergadering, WG]</w:t>
      </w:r>
    </w:p>
    <w:p>
      <w:pPr>
        <w:pStyle w:val="Puce3"/>
        <w:tabs>
          <w:tab w:val="clear" w:pos="720"/>
        </w:tabs>
        <w:rPr/>
      </w:pPr>
      <w:r>
        <w:rPr/>
        <w:t>4.</w:t>
        <w:tab/>
        <w:t>De ontwikkeling, coördinatie en financiering van bestaande programma’s voor onderzoek en innovatie op gezondheidsgebied voortzetten zonder afbreuk te doen aan andere gezondheidsgerelateerde programma’s, met name voor de Europese referentienetwerken, aangezien zij de basis vormen voor de ontwikkeling van gezondheidsnetwerken voor zeer gespecialiseerde en complexe behandelingen. [#42, #43, GT]</w:t>
      </w:r>
    </w:p>
    <w:p>
      <w:pPr>
        <w:pStyle w:val="Puce3"/>
        <w:tabs>
          <w:tab w:val="clear" w:pos="720"/>
        </w:tabs>
        <w:rPr/>
      </w:pPr>
      <w:r>
        <w:rPr/>
        <w:t>5.</w:t>
        <w:tab/>
        <w:t>Investeer in gezondheidsstelsels, met name op het gebied van publieke en non-profitsector, infrastructuur en digitale gezondheid, en zorgverleners ervoor te zorgen dat de beginselen van volledige toegankelijkheid, betaalbaarheid en kwaliteit van de diensten in acht worden genomen, zodat de middelen niet worden uitgeput door gezondheidswerkers die weinig of geen zorgen maken voor het algemeen belang. [#51, GT]</w:t>
      </w:r>
    </w:p>
    <w:p>
      <w:pPr>
        <w:pStyle w:val="Puce3"/>
        <w:tabs>
          <w:tab w:val="clear" w:pos="720"/>
        </w:tabs>
        <w:rPr/>
      </w:pPr>
      <w:r>
        <w:rPr/>
        <w:t>6.</w:t>
        <w:tab/>
        <w:t>Krachtige aanbevelingen doen aan de lidstaten om te investeren in efficiënte, toegankelijke, betaalbare, hoogwaardige en veerkrachtige gezondheidszorgstelsels, ook in het kader van het Europees semester. De impact van de oorlog in Oekraïne op de volksgezondheid toont aan dat veerkrachtige gezondheidsstelsels en solidariteitsmechanismen verder moeten worden ontwikkeld. [#51, GT]</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3"/>
        <w:numPr>
          <w:ilvl w:val="2"/>
          <w:numId w:val="2"/>
        </w:numPr>
        <w:rPr/>
      </w:pPr>
      <w:bookmarkStart w:id="54" w:name="__RefHeading___Toc298282_1346298689"/>
      <w:bookmarkEnd w:id="54"/>
      <w:r>
        <w:rPr/>
        <w:t>9. Voorstel: Een bredere kijk op gezondheid</w:t>
      </w:r>
    </w:p>
    <w:p>
      <w:pPr>
        <w:pStyle w:val="P68B1DB1Normal15"/>
        <w:rPr>
          <w:b/>
          <w:b/>
        </w:rPr>
      </w:pPr>
      <w:r>
        <w:rPr/>
        <w:t>Doel: Een holistische benadering van gezondheid aannemen door, naast ziekten en behandelingen, gezondheidscultuur en preventie aan te pakken en een gemeenschappelijk begrip van de problemen van zieken of gehandicapten te bevorderen, in overeenstemming met de „één gezondheid”-benadering, die moet worden onderstreept als een transversaal en fundamenteel beginsel dat alle beleidsmaatregelen van de Unie omvat.</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bookmarkStart w:id="55" w:name="__RefHeading___Toc298284_1346298689"/>
      <w:bookmarkEnd w:id="55"/>
      <w:r>
        <w:rPr/>
        <w:t>Maatregelen</w:t>
      </w:r>
      <w:r>
        <w:rPr>
          <w:rStyle w:val="Ancredenotedefin"/>
          <w:rStyle w:val="Ancredenotedefin"/>
        </w:rPr>
        <w:endnoteReference w:id="6"/>
      </w:r>
      <w:r>
        <w:rPr/>
        <w:t>:</w:t>
      </w:r>
    </w:p>
    <w:p>
      <w:pPr>
        <w:pStyle w:val="Puce3"/>
        <w:tabs>
          <w:tab w:val="clear" w:pos="720"/>
        </w:tabs>
        <w:rPr/>
      </w:pPr>
      <w:r>
        <w:rPr/>
        <w:t>1.</w:t>
        <w:tab/>
        <w:t>Verbetering van het inzicht in geestelijke gezondheidsproblemen en de aanpak ervan, met inbegrip van vroegtijdige diagnose en vroegtijdige diagnose, voortbouwend op goede praktijken die in de hele Unie zijn vastgesteld, die gemakkelijk toegankelijk moeten zijn via het portaal voor goede praktijken op het gebied van volksgezondheid. Om het bewustzijn te vergroten, moeten de instellingen van de Unie en de betrokken belanghebbenden evenementen organiseren voor de uitwisseling van beste praktijken en hun leden helpen deze in hun eigen kiesdistrict te verspreiden. Er moet een EU-actieplan inzake geestelijke gezondheid worden opgesteld, dat een langetermijnstrategie op het gebied van geestelijke gezondheid, met inbegrip van onderzoek, zou opleveren en ook betrekking zou hebben op de beschikbaarheid van beroepsbeoefenaren, ook voor minderjarigen, en de oprichting van een Europees Jaar van de geestelijke gezondheid in de nabije toekomst.</w:t>
      </w:r>
    </w:p>
    <w:p>
      <w:pPr>
        <w:pStyle w:val="Puce3"/>
        <w:tabs>
          <w:tab w:val="clear" w:pos="720"/>
        </w:tabs>
        <w:rPr/>
      </w:pPr>
      <w:r>
        <w:rPr/>
        <w:t>2.</w:t>
        <w:tab/>
        <w:t>Op EU-niveau een standaard onderwijsprogramma voor gezonde levensstijlen ontwikkelen, dat ook betrekking heeft op seksuele voorlichting. Het programma moet ook acties omvatten die zowel gericht zijn op een gezonde levensstijl als op de bescherming van het milieu, en hoe ze veel ziekten kunnen helpen voorkomen, zoals fietsen als een gezond middel om dagelijks te reizen. Het zou gratis beschikbaar zijn voor lidstaten en scholen die er in voorkomend geval gebruik van kunnen maken in hun programma’s. Zo’n programma zou stereotypen aanpakken over mensen die ziek of gehandicapt zijn. [#46, GT]</w:t>
      </w:r>
    </w:p>
    <w:p>
      <w:pPr>
        <w:pStyle w:val="Puce3"/>
        <w:tabs>
          <w:tab w:val="clear" w:pos="720"/>
        </w:tabs>
        <w:rPr/>
      </w:pPr>
      <w:r>
        <w:rPr/>
        <w:t>3.</w:t>
        <w:tab/>
        <w:t>Het ontwikkelen van praktische EHBO-opleidingen, die gratis aan alle burgers worden aangeboden, en overwegen de mogelijkheid van reguliere cursussen als een gemeenschappelijke praktijk voor zowel studenten als op de werkplek. Een minimumaantal defibrillators moet ook beschikbaar zijn op openbare plaatsen in alle lidstaten. [#50]</w:t>
      </w:r>
    </w:p>
    <w:p>
      <w:pPr>
        <w:pStyle w:val="Puce3"/>
        <w:tabs>
          <w:tab w:val="clear" w:pos="720"/>
        </w:tabs>
        <w:rPr/>
      </w:pPr>
      <w:r>
        <w:rPr/>
        <w:t>4.</w:t>
        <w:tab/>
        <w:t>Uitbreiding van het initiatief „Health Week”, dat in dezelfde week in de hele Unie zou plaatsvinden en waarin alle gezondheidskwesties moeten worden aangepakt en besproken. Denk ook aan initiatieven van het Jaar van de Gezondheid, te beginnen met het Jaar van de Geestelijke Gezondheid. [#44, GT]</w:t>
      </w:r>
    </w:p>
    <w:p>
      <w:pPr>
        <w:pStyle w:val="Puce3"/>
        <w:tabs>
          <w:tab w:val="clear" w:pos="720"/>
        </w:tabs>
        <w:rPr/>
      </w:pPr>
      <w:r>
        <w:rPr/>
        <w:t>5.</w:t>
        <w:tab/>
        <w:t>Erkennen als een regelmatige medische behandeling voor het belasten van hormonale anticonceptieproducten die worden gebruikt om medische redenen, bijvoorbeeld in gevallen van fibromyalgie en endometriose, evenals vrouwelijke hygiënische producten. Zorg voor toegang tot reproductieve behandelingen voor alle mensen met vruchtbaarheidsproblemen. [#45, GT]</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3"/>
        <w:numPr>
          <w:ilvl w:val="2"/>
          <w:numId w:val="2"/>
        </w:numPr>
        <w:rPr/>
      </w:pPr>
      <w:bookmarkStart w:id="56" w:name="__RefHeading___Toc298286_1346298689"/>
      <w:bookmarkEnd w:id="56"/>
      <w:r>
        <w:rPr/>
        <w:t>10. Voorstel: Gelijke toegang tot gezondheid voor iedereen</w:t>
      </w:r>
    </w:p>
    <w:p>
      <w:pPr>
        <w:pStyle w:val="Normal"/>
        <w:rPr/>
      </w:pPr>
      <w:r>
        <w:rPr/>
        <w:t>Doel: Een „recht op gezondheid” tot stand brengen door alle Europeanen gelijke en universele toegang tot betaalbare, preventieve, curatieve en hoogwaardige gezondheidszorg te garanderen.</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Maatregelen</w:t>
      </w:r>
      <w:r>
        <w:rPr>
          <w:rStyle w:val="Ancredenotedefin"/>
          <w:rStyle w:val="Ancredenotedefin"/>
        </w:rPr>
        <w:endnoteReference w:id="7"/>
      </w:r>
      <w:r>
        <w:rPr/>
        <w:t>:</w:t>
      </w:r>
    </w:p>
    <w:p>
      <w:pPr>
        <w:pStyle w:val="Puce3"/>
        <w:tabs>
          <w:tab w:val="clear" w:pos="720"/>
        </w:tabs>
        <w:rPr/>
      </w:pPr>
      <w:r>
        <w:rPr/>
        <w:t>1.</w:t>
        <w:tab/>
        <w:t>Gemeenschappelijke minimumgezondheidsnormen op het niveau van de Unie vaststellen, die ook betrekking hebben op preventie en toegankelijkheid van zorg en nabijheid van zorg, en ondersteuning bieden bij de vaststelling van dergelijke normen. [#39, GT]</w:t>
      </w:r>
    </w:p>
    <w:p>
      <w:pPr>
        <w:pStyle w:val="Puce3"/>
        <w:tabs>
          <w:tab w:val="clear" w:pos="720"/>
        </w:tabs>
        <w:rPr/>
      </w:pPr>
      <w:r>
        <w:rPr/>
        <w:t>2.</w:t>
        <w:tab/>
        <w:t>Erkennen dat ten volle rekening moet worden gehouden met het subsidiariteitsbeginsel en met de sleutelrol van lokale, regionale en nationale gezondheidsactoren [NL3], om ervoor te zorgen dat op het niveau van de Unie maatregelen kunnen worden genomen wanneer het recht op gezondheid beter wordt aangepakt. Snellere en stevigere besluitvorming over belangrijke kwesties mogelijk te maken en de Europese governance voor de ontwikkeling van de Europese gezondheidsunie (bv. pandemie of zeldzame ziekten) doeltreffender te maken. [#49, FRsouhait11, digitaal platform]</w:t>
      </w:r>
    </w:p>
    <w:p>
      <w:pPr>
        <w:pStyle w:val="Puce3"/>
        <w:tabs>
          <w:tab w:val="clear" w:pos="720"/>
        </w:tabs>
        <w:rPr/>
      </w:pPr>
      <w:r>
        <w:rPr/>
        <w:t>3.</w:t>
        <w:tab/>
        <w:t>De Europese gezondheidsunie versterken door het volledige potentieel van het huidige kader te benutten en gezondheid en gezondheidszorg tot de bevoegdheden van de Unie en haar lidstaten te laten behoren door artikel 4 VWEU te wijzigen. [#49, FRsouhait11, digitaal platform, GT]</w:t>
      </w:r>
      <w:r>
        <w:rPr>
          <w:rStyle w:val="Ancredenotedefin"/>
          <w:rStyle w:val="Ancredenotedefin"/>
        </w:rPr>
        <w:endnoteReference w:id="8"/>
      </w:r>
      <w:r>
        <w:rPr/>
        <w:t>.</w:t>
      </w:r>
    </w:p>
    <w:p>
      <w:pPr>
        <w:pStyle w:val="Puce3"/>
        <w:tabs>
          <w:tab w:val="clear" w:pos="720"/>
        </w:tabs>
        <w:rPr/>
      </w:pPr>
      <w:r>
        <w:rPr/>
        <w:t>4.</w:t>
        <w:tab/>
        <w:t>Ervoor te zorgen dat iedereen toegang heeft tot bestaande behandelingen in het eerste EU-land waar ze beschikbaar zijn; daartoe moet de grensoverschrijdende samenwerking worden verbeterd, met name op het gebied van zeldzame ziekten, kanker, hart- en vaatziekten en zeer gespecialiseerde behandelingen, zoals orgaantransplantaties en de behandeling van ernstige brandwonden. Er moet een Europees netwerk voor orgaantransplantatie en -donatie worden opgezet voor alle Europese patiënten die transplantatie behoeven. [plenary en GT]</w:t>
      </w:r>
    </w:p>
    <w:p>
      <w:pPr>
        <w:pStyle w:val="Puce3"/>
        <w:tabs>
          <w:tab w:val="clear" w:pos="720"/>
        </w:tabs>
        <w:rPr/>
      </w:pPr>
      <w:r>
        <w:rPr/>
        <w:t>5.</w:t>
        <w:tab/>
        <w:t>Zorg voor betaalbare zorg, door meer te investeren in gezondheidszorg, met name tandheelkundige zorg, met inbegrip van profylaxe, en ervoor te zorgen dat betaalbare tandheelkundige zorg toegankelijk is voor iedereen binnen 15-20 jaar. [#48, GT]</w:t>
      </w:r>
    </w:p>
    <w:p>
      <w:pPr>
        <w:pStyle w:val="Puce3"/>
        <w:tabs>
          <w:tab w:val="clear" w:pos="720"/>
        </w:tabs>
        <w:rPr/>
      </w:pPr>
      <w:r>
        <w:rPr/>
        <w:t>6.</w:t>
        <w:tab/>
        <w:t>Ervoor zorgen dat behandelingen en geneesmiddelen in de hele Unie van gelijke kwaliteit zijn en eerlijke lokale kosten hebben, onder meer door de huidige versnippering van de interne markt aan te pakken. [#40, NL3, WG, plenaire vergadering]</w:t>
      </w:r>
    </w:p>
    <w:p>
      <w:pPr>
        <w:pStyle w:val="Puce3"/>
        <w:tabs>
          <w:tab w:val="clear" w:pos="720"/>
        </w:tabs>
        <w:rPr/>
      </w:pPr>
      <w:r>
        <w:rPr/>
        <w:t>7.</w:t>
        <w:tab/>
        <w:t>Bestrijding van gezondheidsonzekerheid door de verstrekking van gratis tandheelkundige zorg aan kinderen, groepen met lage inkomens en andere kwetsbare groepen, zoals personen met een handicap, aan te moedigen. Onderzoek ook naar de gezondheidsgevolgen van slechte huisvesting. [#48, GT]</w:t>
      </w:r>
    </w:p>
    <w:p>
      <w:pPr>
        <w:pStyle w:val="Puce3"/>
        <w:tabs>
          <w:tab w:val="clear" w:pos="720"/>
        </w:tabs>
        <w:rPr/>
      </w:pPr>
      <w:r>
        <w:rPr/>
        <w:t>8.</w:t>
        <w:tab/>
        <w:t>Rekening houden met de internationale dimensie van gezondheid en erkennen dat geneesmiddelen universeel beschikbaar moeten zijn, ook in de armste landen. [NL2]</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Normal"/>
        <w:rPr/>
      </w:pPr>
      <w:r>
        <w:rPr/>
        <w:drawing>
          <wp:anchor behindDoc="0" distT="0" distB="0" distL="0" distR="0" simplePos="0" locked="0" layoutInCell="1" allowOverlap="1" relativeHeight="15">
            <wp:simplePos x="0" y="0"/>
            <wp:positionH relativeFrom="column">
              <wp:posOffset>44450</wp:posOffset>
            </wp:positionH>
            <wp:positionV relativeFrom="paragraph">
              <wp:posOffset>43180</wp:posOffset>
            </wp:positionV>
            <wp:extent cx="913765" cy="913765"/>
            <wp:effectExtent l="0" t="0" r="0" b="0"/>
            <wp:wrapSquare wrapText="largest"/>
            <wp:docPr id="63" name="Afbeelding2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Afbeelding23" descr=""/>
                    <pic:cNvPicPr>
                      <a:picLocks noChangeAspect="1" noChangeArrowheads="1"/>
                    </pic:cNvPicPr>
                  </pic:nvPicPr>
                  <pic:blipFill>
                    <a:blip r:embed="rId75"/>
                    <a:stretch>
                      <a:fillRect/>
                    </a:stretch>
                  </pic:blipFill>
                  <pic:spPr bwMode="auto">
                    <a:xfrm>
                      <a:off x="0" y="0"/>
                      <a:ext cx="913765" cy="913765"/>
                    </a:xfrm>
                    <a:prstGeom prst="rect">
                      <a:avLst/>
                    </a:prstGeom>
                  </pic:spPr>
                </pic:pic>
              </a:graphicData>
            </a:graphic>
          </wp:anchor>
        </w:drawing>
      </w:r>
    </w:p>
    <w:p>
      <w:pPr>
        <w:pStyle w:val="Normal"/>
        <w:rPr/>
      </w:pPr>
      <w:r>
        <w:rPr/>
      </w:r>
    </w:p>
    <w:p>
      <w:pPr>
        <w:pStyle w:val="Normal"/>
        <w:rPr/>
      </w:pPr>
      <w:r>
        <w:rPr/>
      </w:r>
    </w:p>
    <w:p>
      <w:pPr>
        <w:pStyle w:val="Normal"/>
        <w:rPr/>
      </w:pPr>
      <w:r>
        <w:rPr/>
      </w:r>
    </w:p>
    <w:p>
      <w:pPr>
        <w:pStyle w:val="Titre2"/>
        <w:numPr>
          <w:ilvl w:val="1"/>
          <w:numId w:val="2"/>
        </w:numPr>
        <w:rPr/>
      </w:pPr>
      <w:bookmarkStart w:id="57" w:name="__RefHeading___Toc298288_1346298689"/>
      <w:bookmarkEnd w:id="57"/>
      <w:r>
        <w:rPr/>
        <w:t>Een sterkere economie, sociale rechtvaardigheid en werkgelegenheid</w:t>
      </w:r>
    </w:p>
    <w:p>
      <w:pPr>
        <w:pStyle w:val="P68B1DB1Normal15"/>
        <w:rPr>
          <w:b/>
          <w:b/>
        </w:rPr>
      </w:pPr>
      <w:r>
        <w:rPr/>
        <w:t>Introductie</w:t>
      </w:r>
    </w:p>
    <w:p>
      <w:pPr>
        <w:pStyle w:val="Normal"/>
        <w:rPr/>
      </w:pPr>
      <w:r>
        <w:rPr/>
        <w:t>We leven in uitzonderlijke omstandigheden en de Europese Unie zal worden beoordeeld op haar inspanningen om sterker uit de huidige crises te komen, met een duurzamer, inclusiever, concurrerender en veerkrachtiger groeimodel. De Russische invasie van Oekraïne en de COVID-19-pandemie hebben het gezicht van de EU veranderd. De conferentie zal ook moeten ingaan op de sociale en economische gevolgen van deze oorlog in een reeds zeer moeilijke post-pandemische context. Tegelijkertijd vormt klimaatverandering nog steeds een bedreiging voor de mensheid en zal het een dramatische impact hebben op de economie en onze samenlevingen. Uit de ontvangen aanbevelingen blijkt duidelijk dat burgers pleiten voor krachtiger EU-optreden. Onopgeloste transnationale uitdagingen, zoals ongelijkheid, concurrentievermogen, gezondheid, klimaatverandering, migratie, digitalisering of eerlijke belastingheffing, vereisen passende Europese oplossingen. Uit de aanbevelingen en discussies blijkt ook dat we een alomvattende strategie nodig hebben om te zorgen voor meer welzijn van de Europese burgers in verschillende aspecten van hun leven. Sommige elementen van deze strategie zijn opgenomen in het bestaande beleid en kunnen worden verwezenlijkt door ten volle gebruik te maken van het bestaande institutionele kader op Europees en nationaal niveau; andere zullen nieuw beleid en, in sommige gevallen, verdragswijzigingen vereisen. Nieuw beleid en verdragswijzigingen moeten echter worden gezien als een middel om het welzijn te verbeteren en niet als doel op zichzelf. Het is zowel mogelijk als noodzakelijk om de Unie zodanig te herdefiniëren dat zij haar strategische autonomie, haar duurzame groei, de verbetering van de levensomstandigheden en de arbeidsomstandigheden en de menselijke vooruitgang waarborgt, zonder de hulpbronnen van onze planeet uit te putten of te vernietigen, onder een hernieuwd sociaal contract. Deze aanbevelingen zijn bedoeld om deze doelstellingen te verwezenlijken. De onderstaande voorstellen moeten worden gelezen, rekening houdend met het feit dat de burgers in heel Europa verschillende standpunten en aanbevelingen hebben gedaan. Het is deze diversiteit aan standpunten die een van de onvergelijkbare troeven van Europa is.</w:t>
      </w:r>
    </w:p>
    <w:p>
      <w:pPr>
        <w:pStyle w:val="Normal"/>
        <w:rPr/>
      </w:pPr>
      <w:r>
        <w:rPr/>
      </w:r>
      <w:r>
        <w:br w:type="page"/>
      </w:r>
    </w:p>
    <w:p>
      <w:pPr>
        <w:pStyle w:val="Titre3"/>
        <w:numPr>
          <w:ilvl w:val="2"/>
          <w:numId w:val="2"/>
        </w:numPr>
        <w:rPr/>
      </w:pPr>
      <w:bookmarkStart w:id="58" w:name="__RefHeading___Toc298290_1346298689"/>
      <w:bookmarkEnd w:id="58"/>
      <w:r>
        <w:rPr/>
        <w:t>11. Voorstel: Duurzame groei en innovatie</w:t>
      </w:r>
    </w:p>
    <w:p>
      <w:pPr>
        <w:pStyle w:val="P68B1DB1Normal15"/>
        <w:rPr>
          <w:b/>
          <w:b/>
        </w:rPr>
      </w:pPr>
      <w:r>
        <w:rPr/>
        <w:t>Doel: Wij stellen voor dat de EU de overgang naar een duurzaam en veerkrachtig groeimodel steunt, rekening houdend met de groene en digitale transities met een sterke sociale dimensie in het Europees semester en burgers, vakbonden en bedrijven mondiger maken. Conventionele macro-economische indicatoren en bbp kunnen worden aangevuld met nieuwe indicatoren om te reageren op nieuwe Europese prioriteiten, zoals de Europese Green Deal of de Europese pijler van sociale rechten, en om de groene en digitale transitie en het welzijn van mensen beter te weerspiegelen. Dit kan worden bereikt door middel van de volgende maatregelen:</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Maatregelen</w:t>
      </w:r>
      <w:r>
        <w:rPr>
          <w:rStyle w:val="Ancredenotedefin"/>
          <w:rStyle w:val="Ancredenotedefin"/>
        </w:rPr>
        <w:endnoteReference w:id="9"/>
      </w:r>
      <w:r>
        <w:rPr/>
        <w:t>:</w:t>
      </w:r>
    </w:p>
    <w:p>
      <w:pPr>
        <w:pStyle w:val="Puce3"/>
        <w:rPr/>
      </w:pPr>
      <w:r>
        <w:rPr/>
        <w:t>1.</w:t>
        <w:tab/>
        <w:t>Bevorderen van groenere productieprocessen door bedrijven, helpen bedrijven de beste oplossingen te vinden en bieden positieve en negatieve prikkels. (PCE 11 en 12) en verhoging van de lokale productie en consumptie (discussies).</w:t>
      </w:r>
    </w:p>
    <w:p>
      <w:pPr>
        <w:pStyle w:val="Puce3"/>
        <w:tabs>
          <w:tab w:val="clear" w:pos="720"/>
        </w:tabs>
        <w:rPr/>
      </w:pPr>
      <w:r>
        <w:rPr/>
        <w:t>2.</w:t>
        <w:tab/>
        <w:t>Werken aan een duurzamere en circulaire economie door het probleem van geplande veroudering aan te pakken en het recht op herstel te waarborgen (PCE 14).</w:t>
      </w:r>
    </w:p>
    <w:p>
      <w:pPr>
        <w:pStyle w:val="Puce3"/>
        <w:tabs>
          <w:tab w:val="clear" w:pos="720"/>
        </w:tabs>
        <w:rPr/>
      </w:pPr>
      <w:r>
        <w:rPr/>
        <w:t>3.</w:t>
        <w:tab/>
        <w:t>De economische governance van de Unie en het Europees semester onderzoeken om ervoor te zorgen dat de groene en digitale transities, sociale rechtvaardigheid en sociale vooruitgang hand in hand gaan met het economische concurrentievermogen, zonder het economische en budgettaire karakter van het Europees semester te negeren. Daarnaast moeten de sociale partners en de lokale en regionale overheden beter worden betrokken bij de uitvoering van het Europees semester om de toepassing en verantwoordingsplicht ervan te verbeteren (e-platform, discussies).</w:t>
      </w:r>
    </w:p>
    <w:p>
      <w:pPr>
        <w:pStyle w:val="Puce3"/>
        <w:tabs>
          <w:tab w:val="clear" w:pos="720"/>
        </w:tabs>
        <w:rPr/>
      </w:pPr>
      <w:r>
        <w:rPr/>
        <w:t>4.</w:t>
        <w:tab/>
        <w:t>Bestrijding van het gebruik van plastic verpakkingen/containers voor eenmalig gebruik (PCE 12).</w:t>
      </w:r>
    </w:p>
    <w:p>
      <w:pPr>
        <w:pStyle w:val="Puce3"/>
        <w:tabs>
          <w:tab w:val="clear" w:pos="720"/>
        </w:tabs>
        <w:rPr/>
      </w:pPr>
      <w:r>
        <w:rPr/>
        <w:t>5.</w:t>
        <w:tab/>
        <w:t>Uitbreiding van het gebruik van Europese technologie en het maken van een levensvatbaar alternatief voor buitenlandse technologie (discussies).</w:t>
      </w:r>
    </w:p>
    <w:p>
      <w:pPr>
        <w:pStyle w:val="Puce3"/>
        <w:tabs>
          <w:tab w:val="clear" w:pos="720"/>
        </w:tabs>
        <w:rPr/>
      </w:pPr>
      <w:r>
        <w:rPr/>
        <w:t>6.</w:t>
        <w:tab/>
        <w:t>Bevorderen van onderzoek naar nieuwe materialen en technologieën, alsmede innovatief gebruik van bestaande materialen, waarbij dubbel werk van onderzoek wordt vermeden (PCE 9, NL 1).</w:t>
      </w:r>
    </w:p>
    <w:p>
      <w:pPr>
        <w:pStyle w:val="Puce3"/>
        <w:tabs>
          <w:tab w:val="clear" w:pos="720"/>
        </w:tabs>
        <w:rPr/>
      </w:pPr>
      <w:r>
        <w:rPr/>
        <w:t>7.</w:t>
        <w:tab/>
        <w:t>Duurzaamheid, betaalbaarheid en toegankelijkheid van energie te overwegen, rekening houdend met energiearmoede en afhankelijkheid van derde landen, door het aandeel duurzaam geproduceerde energie te verhogen (CEP 10, LT 3, IT 1.1).</w:t>
      </w:r>
    </w:p>
    <w:p>
      <w:pPr>
        <w:pStyle w:val="Puce3"/>
        <w:tabs>
          <w:tab w:val="clear" w:pos="720"/>
        </w:tabs>
        <w:rPr/>
      </w:pPr>
      <w:r>
        <w:rPr/>
        <w:t>8.</w:t>
        <w:tab/>
        <w:t>Bedrijven en burgers bewuster maken van duurzamer gedrag en zorgen voor een rechtvaardige transitie op basis van sociale dialoog en hoogwaardige banen (CEP 12 en onlineplatform).</w:t>
      </w:r>
    </w:p>
    <w:p>
      <w:pPr>
        <w:pStyle w:val="Puce3"/>
        <w:tabs>
          <w:tab w:val="clear" w:pos="720"/>
        </w:tabs>
        <w:rPr/>
      </w:pPr>
      <w:r>
        <w:rPr/>
        <w:t>9.</w:t>
        <w:tab/>
        <w:t>Ambitieuze sociale, arbeids- en gezondheidsnormen, met inbegrip van gezondheid en veiligheid op het werk, opnemen in nieuwe handelsovereenkomsten van de EU. (LT8)</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3"/>
        <w:numPr>
          <w:ilvl w:val="2"/>
          <w:numId w:val="2"/>
        </w:numPr>
        <w:rPr/>
      </w:pPr>
      <w:bookmarkStart w:id="59" w:name="__RefHeading___Toc298292_1346298689"/>
      <w:bookmarkEnd w:id="59"/>
      <w:r>
        <w:rPr/>
        <w:t>12. Voorstel: Versterking van het concurrentievermogen van de Unie en verdere verdieping van de interne markt</w:t>
      </w:r>
    </w:p>
    <w:p>
      <w:pPr>
        <w:pStyle w:val="Normal"/>
        <w:rPr/>
      </w:pPr>
      <w:r>
        <w:rPr/>
        <w:t>Doel: Wij stellen voor het concurrentievermogen en de veerkracht van de economie, de eengemaakte markt en de industrie van de EU te versterken en strategische afhankelijkheden aan te pakken. We moeten een ondernemerscultuur in de EU bevorderen, waarin innovatieve bedrijven van elke omvang, met name micro-, kleine en middelgrote ondernemingen en start-ups, worden aangemoedigd en gedijen om bij te dragen tot veerkrachtigere en inclusievere samenlevingen. Een sterke en levensvatbare markteconomie is nodig om de visie van een socialer Europa te vergemakkelijken. Dit kan worden bereikt door middel van de volgende maatregelen:</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Maatregelen</w:t>
      </w:r>
      <w:r>
        <w:rPr>
          <w:rStyle w:val="Ancredenotedefin"/>
          <w:rStyle w:val="Ancredenotedefin"/>
        </w:rPr>
        <w:endnoteReference w:id="10"/>
      </w:r>
      <w:r>
        <w:rPr/>
        <w:t>:</w:t>
      </w:r>
    </w:p>
    <w:p>
      <w:pPr>
        <w:pStyle w:val="Puce3"/>
        <w:tabs>
          <w:tab w:val="clear" w:pos="720"/>
        </w:tabs>
        <w:rPr/>
      </w:pPr>
      <w:r>
        <w:rPr/>
        <w:t>1.</w:t>
        <w:tab/>
        <w:t>Een duidelijke visie op de Europese economie ontwikkelen en voortbouwen op de sterke punten, kwaliteit en diversiteit van Europa, rekening houdend met de economische en andere verschillen tussen de lidstaten, en samenwerking en concurrentie tussen bedrijven bevorderen. (NL 1 &amp; 2)</w:t>
      </w:r>
    </w:p>
    <w:p>
      <w:pPr>
        <w:pStyle w:val="Puce3"/>
        <w:tabs>
          <w:tab w:val="clear" w:pos="720"/>
        </w:tabs>
        <w:rPr/>
      </w:pPr>
      <w:r>
        <w:rPr/>
        <w:t>2.</w:t>
        <w:tab/>
        <w:t>Consolideren wat er is gedaan met betrekking tot de eenheidsmunt en de onderlinge koppeling van betalingssystemen en telecommunicatie. (Zie punt 4.a.2)</w:t>
      </w:r>
    </w:p>
    <w:p>
      <w:pPr>
        <w:pStyle w:val="Puce3"/>
        <w:tabs>
          <w:tab w:val="clear" w:pos="720"/>
        </w:tabs>
        <w:rPr/>
      </w:pPr>
      <w:r>
        <w:rPr/>
        <w:t>3.</w:t>
        <w:tab/>
        <w:t>Vermindering van de normalisatie van producten en erkenning van lokale en regionale kenmerken op het gebied van cultuur en productie (eerbiediging van productietradities). (HET 2.2)</w:t>
      </w:r>
    </w:p>
    <w:p>
      <w:pPr>
        <w:pStyle w:val="Puce3"/>
        <w:tabs>
          <w:tab w:val="clear" w:pos="720"/>
        </w:tabs>
        <w:rPr/>
      </w:pPr>
      <w:r>
        <w:rPr/>
        <w:t>4.</w:t>
        <w:tab/>
        <w:t>De opwaartse sociale en economische convergentie binnen de interne markt versterken, bestaande initiatieven zoals de bankenunie en de kapitaalmarktenunie voltooien en een toekomstgerichte hervorming van onze economische en monetaire unie doorvoeren (discussies).</w:t>
      </w:r>
    </w:p>
    <w:p>
      <w:pPr>
        <w:pStyle w:val="Puce3"/>
        <w:tabs>
          <w:tab w:val="clear" w:pos="720"/>
        </w:tabs>
        <w:rPr/>
      </w:pPr>
      <w:r>
        <w:rPr/>
        <w:t>5.</w:t>
        <w:tab/>
        <w:t>Het bevorderen van beleid voor een sterke industriële basis en innovatie op het gebied van sleuteltechnologieën, alsmede een toekomstgericht klimaatbeleid, gekoppeld aan het concurrentievermogen van de industrie met een sterke sociale dimensie, gebaseerd op de sociale dialoog en goed functionerende arbeidsverhoudingen (discussies).</w:t>
      </w:r>
    </w:p>
    <w:p>
      <w:pPr>
        <w:pStyle w:val="Puce3"/>
        <w:tabs>
          <w:tab w:val="clear" w:pos="720"/>
        </w:tabs>
        <w:rPr/>
      </w:pPr>
      <w:r>
        <w:rPr/>
        <w:t>6.</w:t>
        <w:tab/>
        <w:t>Bij alle nieuwe initiatieven bijzondere aandacht besteden aan kmo’s, die de ruggengraat van onze economie vormen. Het beginsel van „eerst denken aan kmo’s” moet in alle wetgevingsvoorstellen van de EU worden geëerbiedigd en de kmo-test moet worden versterkt in de effectbeoordelingen van de Commissie, in overeenstemming met duidelijke beginselen, met volledige inachtneming van sociale en milieunormen en consumentenrechten (discussies).</w:t>
      </w:r>
    </w:p>
    <w:p>
      <w:pPr>
        <w:pStyle w:val="Puce3"/>
        <w:tabs>
          <w:tab w:val="clear" w:pos="720"/>
        </w:tabs>
        <w:rPr/>
      </w:pPr>
      <w:r>
        <w:rPr/>
        <w:t>7.</w:t>
        <w:tab/>
        <w:t>Zorgen voor de deelname van kmo’s aan financieringsaanvragen, aanbestedingen en netwerken, met zo min mogelijk administratieve inspanningen. De toegang tot financiering voor kmo’s met risicovolle innovatieprojecten moet verder worden ontwikkeld door entiteiten zoals de Europese Innovatieraad en de Europese Investeringsbank (discussies).</w:t>
      </w:r>
    </w:p>
    <w:p>
      <w:pPr>
        <w:pStyle w:val="Puce3"/>
        <w:tabs>
          <w:tab w:val="clear" w:pos="720"/>
        </w:tabs>
        <w:rPr/>
      </w:pPr>
      <w:r>
        <w:rPr/>
        <w:t>8.</w:t>
        <w:tab/>
        <w:t>Een beter kader creëren voor investeringen in O &amp; I om duurzamere en biodiversiteitsrijkere bedrijfsmodellen tot stand te brengen (CEP 10, 11 en 14); focus op technologie en innovatie als aanjagers van groei. (I.P.V. 1.3)</w:t>
      </w:r>
    </w:p>
    <w:p>
      <w:pPr>
        <w:pStyle w:val="Puce3"/>
        <w:tabs>
          <w:tab w:val="clear" w:pos="720"/>
        </w:tabs>
        <w:rPr/>
      </w:pPr>
      <w:r>
        <w:rPr/>
        <w:t>9.</w:t>
        <w:tab/>
        <w:t>Bevorderen van collectieve economische prestaties door middel van een autonome en concurrerende industrie. (FR3)</w:t>
      </w:r>
    </w:p>
    <w:p>
      <w:pPr>
        <w:pStyle w:val="Puce3"/>
        <w:tabs>
          <w:tab w:val="clear" w:pos="720"/>
        </w:tabs>
        <w:rPr/>
      </w:pPr>
      <w:r>
        <w:rPr/>
        <w:t>10.</w:t>
        <w:tab/>
        <w:t>Identificeren en ontwikkelen van strategische sectoren, waaronder ruimtevaart, robotica en AI. (Nl 3 &amp; 9)</w:t>
      </w:r>
    </w:p>
    <w:p>
      <w:pPr>
        <w:pStyle w:val="Puce3"/>
        <w:tabs>
          <w:tab w:val="clear" w:pos="720"/>
        </w:tabs>
        <w:rPr/>
      </w:pPr>
      <w:r>
        <w:rPr/>
        <w:t>11.</w:t>
        <w:tab/>
        <w:t>Investeer in de toeristische en culturele economie en waardeert ook de vele kleine bestemmingen in Europa. (ZIE 1.2)</w:t>
      </w:r>
    </w:p>
    <w:p>
      <w:pPr>
        <w:pStyle w:val="Puce3"/>
        <w:tabs>
          <w:tab w:val="clear" w:pos="720"/>
        </w:tabs>
        <w:rPr/>
      </w:pPr>
      <w:r>
        <w:rPr/>
        <w:t>12.</w:t>
        <w:tab/>
        <w:t>Zorgen voor voorzieningszekerheid door diversificatie van input- en grondstoffenbronnen en verhoging van de productie van essentiële goederen in Europa, zoals gezondheid, voedsel, energie, defensie en vervoer. (EN 9, LT 1, HET 1.4)</w:t>
      </w:r>
    </w:p>
    <w:p>
      <w:pPr>
        <w:pStyle w:val="Puce3"/>
        <w:tabs>
          <w:tab w:val="clear" w:pos="720"/>
        </w:tabs>
        <w:rPr/>
      </w:pPr>
      <w:r>
        <w:rPr/>
        <w:t>13.</w:t>
        <w:tab/>
        <w:t>Bevordering van de digitalisering van Europese bedrijven, bijvoorbeeld door middel van een specifiek scorebord waarmee bedrijven hun mate van digitalisering kunnen vergelijken, met als algemene doelstelling hun concurrentievermogen te vergroten. (VANAF 2.1)</w:t>
      </w:r>
    </w:p>
    <w:p>
      <w:pPr>
        <w:pStyle w:val="Puce3"/>
        <w:tabs>
          <w:tab w:val="clear" w:pos="720"/>
        </w:tabs>
        <w:rPr/>
      </w:pPr>
      <w:r>
        <w:rPr/>
        <w:t>14.</w:t>
        <w:tab/>
        <w:t>Digitale cohesie bevorderen om bij te dragen tot economische, sociale en territoriale cohesie zoals gedefinieerd in het Verdrag betreffende de werking van de Europese Unie (discussies).</w:t>
      </w:r>
    </w:p>
    <w:p>
      <w:pPr>
        <w:pStyle w:val="Puce3"/>
        <w:tabs>
          <w:tab w:val="clear" w:pos="720"/>
        </w:tabs>
        <w:rPr/>
      </w:pPr>
      <w:r>
        <w:rPr/>
        <w:t>15.</w:t>
        <w:tab/>
        <w:t>De grensoverschrijdende samenwerking versterken om de cohesie en veerkracht binnen en buiten de regio’s te versterken door het Europese grensoverschrijdende mechanisme en soortgelijke instrumenten aan te moedigen (discussies).</w:t>
      </w:r>
    </w:p>
    <w:p>
      <w:pPr>
        <w:pStyle w:val="Puce3"/>
        <w:tabs>
          <w:tab w:val="clear" w:pos="720"/>
        </w:tabs>
        <w:rPr/>
      </w:pPr>
      <w:r>
        <w:rPr/>
        <w:t>16.</w:t>
        <w:tab/>
        <w:t>Grensoverschrijdende opleidingsmogelijkheden versterken en bevorderen om de vaardigheden van de Europese beroepsbevolking te verbeteren en het concurrentievermogen te vergroten en tegelijkertijd de vaardigheden van de burgers op economisch gebied te versterken. (DE 2.2, LT7). De handel tussen werknemers in Europa te bevorderen via een Europees Werkgelegenheidscentrum; (IT 6.1) jongeren aanmoedigen om wetenschappelijke onderwerpen te bestuderen. (I.V.M. 1.5)</w:t>
      </w:r>
    </w:p>
    <w:p>
      <w:pPr>
        <w:pStyle w:val="Puce3"/>
        <w:tabs>
          <w:tab w:val="clear" w:pos="720"/>
        </w:tabs>
        <w:rPr/>
      </w:pPr>
      <w:r>
        <w:rPr/>
        <w:t>17.</w:t>
        <w:tab/>
        <w:t>Verminder bureaucratie (vergunningen, certificeringen) waar deze niet essentieel is. (DEEL 2.1)</w:t>
      </w:r>
    </w:p>
    <w:p>
      <w:pPr>
        <w:pStyle w:val="Puce3"/>
        <w:tabs>
          <w:tab w:val="clear" w:pos="720"/>
        </w:tabs>
        <w:rPr/>
      </w:pPr>
      <w:r>
        <w:rPr/>
        <w:t>18.</w:t>
        <w:tab/>
        <w:t>Bestrijding van namaak en oneerlijke concurrentie. (HET 2.4)</w:t>
      </w:r>
    </w:p>
    <w:p>
      <w:pPr>
        <w:pStyle w:val="Puce3"/>
        <w:tabs>
          <w:tab w:val="clear" w:pos="720"/>
        </w:tabs>
        <w:rPr/>
      </w:pPr>
      <w:r>
        <w:rPr/>
        <w:t>19.</w:t>
        <w:tab/>
        <w:t>Zorgen voor een grotere deelname van start-ups en kmo’s aan innovatieprojecten, aangezien dit hun innovatiekracht, concurrentievermogen en netwerkvorming (e-platform, discussies) versterkt.</w:t>
      </w:r>
    </w:p>
    <w:p>
      <w:pPr>
        <w:pStyle w:val="Puce3"/>
        <w:tabs>
          <w:tab w:val="clear" w:pos="720"/>
        </w:tabs>
        <w:rPr/>
      </w:pPr>
      <w:r>
        <w:rPr/>
        <w:t>20.</w:t>
        <w:tab/>
        <w:t>De consolidatie en bescherming van de interne markt moet een prioriteit blijven; op nationaal en Unieniveau genomen maatregelen en initiatieven mogen geen afbreuk doen aan de interne markt en moeten bijdragen tot het vrije verkeer van personen, goederen, diensten en kapitaal (besprekingen).</w:t>
      </w:r>
    </w:p>
    <w:p>
      <w:pPr>
        <w:pStyle w:val="Puce3"/>
        <w:tabs>
          <w:tab w:val="clear" w:pos="720"/>
        </w:tabs>
        <w:rPr/>
      </w:pPr>
      <w:r>
        <w:rPr/>
        <w:t>21.</w:t>
        <w:tab/>
        <w:t>Nieuwe EU-beleidsinitiatieven moeten aan een „concurrentievermogenscontrole” worden onderworpen om hun impact op het bedrijfsleven en hun ondernemingsklimaat te analyseren (kosten van economische activiteit, innovatiecapaciteit, internationaal concurrentievermogen, gelijk speelveld, enz.). Dit toezicht is in overeenstemming met de Overeenkomst van Parijs en de duurzameontwikkelingsdoelstellingen, met inbegrip van gendergelijkheid, en doet geen afbreuk aan de bescherming van mensenrechten, sociale en arbeidsrechten of milieu- en consumentenbeschermingsnormen. Te dien einde stellen wij ook voor een Europees adviesorgaan voor concurrentievermogen op te richten om toe te zien op de wijze waarop het toezicht op het concurrentievermogen wordt uitgevoerd en met name om de cumulatieve effecten van wetgeving te beoordelen en voorstellen in te dienen om de passende randvoorwaarden voor het concurrentievermogen van EU-bedrijven te verbeteren. Dit orgaan moet het maatschappelijk middenveld en de sociale partners bij zijn governance betrekken; (besprekingen)</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3"/>
        <w:numPr>
          <w:ilvl w:val="2"/>
          <w:numId w:val="2"/>
        </w:numPr>
        <w:rPr/>
      </w:pPr>
      <w:bookmarkStart w:id="60" w:name="__RefHeading___Toc298294_1346298689"/>
      <w:bookmarkEnd w:id="60"/>
      <w:r>
        <w:rPr/>
        <w:t>13. Voorstel: Inclusieve arbeidsmarkten</w:t>
      </w:r>
    </w:p>
    <w:p>
      <w:pPr>
        <w:pStyle w:val="P68B1DB1Normal15"/>
        <w:rPr>
          <w:b/>
          <w:b/>
        </w:rPr>
      </w:pPr>
      <w:r>
        <w:rPr/>
        <w:t>Doel: Wij stellen voor de werking van de arbeidsmarkten te verbeteren om eerlijkere arbeidsomstandigheden te waarborgen en gendergelijkheid en werkgelegenheid te bevorderen, met name voor jongeren en kwetsbare groepen. De EU, de lidstaten en de sociale partners moeten werken aan een einde aan de armoede van werknemers, de rechten van platformwerkers versterken, onbetaalde stages verbieden en eerlijke arbeidsmobiliteit in de Unie waarborgen. We moeten de sociale dialoog en collectieve onderhandelingen bevorderen. We moeten zorgen voor de volledige uitvoering van de Europese pijler van sociale rechten, met inbegrip van de relevante kerndoelen voor 2030, op Europees, nationaal, regionaal en lokaal niveau op het gebied van „gelijke kansen en toegang tot de arbeidsmarkt” en „eerlijke arbeidsomstandigheden”, met inachtneming van de bevoegdheden en beginselen van subsidiariteit en evenredigheid, en moeten een protocol inzake sociale vooruitgang in de Verdragen opnemen. Daarbij is het noodzakelijk de nationale tradities en de autonomie van de sociale partners te eerbiedigen en samen te werken met het maatschappelijk middenveld. Dit kan worden bereikt door middel van de volgende maatregelen:</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Maatregelen</w:t>
      </w:r>
      <w:r>
        <w:rPr>
          <w:rStyle w:val="Ancredenotedefin"/>
          <w:rStyle w:val="Ancredenotedefin"/>
        </w:rPr>
        <w:endnoteReference w:id="11"/>
      </w:r>
      <w:r>
        <w:rPr/>
        <w:t>:</w:t>
      </w:r>
    </w:p>
    <w:p>
      <w:pPr>
        <w:pStyle w:val="Puce3"/>
        <w:tabs>
          <w:tab w:val="clear" w:pos="720"/>
        </w:tabs>
        <w:rPr/>
      </w:pPr>
      <w:r>
        <w:rPr/>
        <w:t>1.</w:t>
        <w:tab/>
        <w:t>Ervoor zorgen dat de wettelijke minimumlonen elke werknemer een fatsoenlijke en vergelijkbare levenskwaliteit in alle lidstaten garanderen. Er moeten duidelijke criteria (bv. kosten van levensonderhoud, inflatie, een niveau boven de armoedegrens, gemiddelde en mediane lonen op nationaal niveau) worden vastgesteld waarmee rekening moet worden gehouden bij de vaststelling van het minimumloon. De hoogte van de wettelijke minimumlonen moet regelmatig worden herzien in het licht van deze criteria om de toereikendheid ervan te waarborgen. Bijzondere aandacht moet worden besteed aan de doeltreffende tenuitvoerlegging van deze regels en aan het toezicht op en het toezicht op de verbetering van de levensstandaard. Tegelijkertijd moeten collectieve onderhandelingen in de hele Unie worden versterkt en bevorderd (PCE 1 en 30; 4.2; online platform).</w:t>
      </w:r>
    </w:p>
    <w:p>
      <w:pPr>
        <w:pStyle w:val="Puce3"/>
        <w:tabs>
          <w:tab w:val="clear" w:pos="720"/>
        </w:tabs>
        <w:rPr/>
      </w:pPr>
      <w:r>
        <w:rPr/>
        <w:t>2.</w:t>
        <w:tab/>
        <w:t>Inventariseren en verder versterken van de tenuitvoerlegging van de arbeidstijdenrichtlijn (Richtlijn 2003/88/EG) en andere relevante wetgeving die een gezond evenwicht tussen werk en privéleven waarborgt, waarbij rekening wordt gehouden met nieuwe nationale beleidsmaatregelen op dit gebied (CEP 2).</w:t>
      </w:r>
    </w:p>
    <w:p>
      <w:pPr>
        <w:pStyle w:val="Puce3"/>
        <w:tabs>
          <w:tab w:val="clear" w:pos="720"/>
        </w:tabs>
        <w:rPr/>
      </w:pPr>
      <w:r>
        <w:rPr/>
        <w:t>3.</w:t>
        <w:tab/>
        <w:t>Bestaande wetgeving inzake „slim werk” invoeren of versterken en bedrijven aanmoedigen deze nieuwe manier van werken te bevorderen. (PCE 7) De Unie moet het recht op ontkoppeling garanderen, meer doen om de digitale kloof op de werkplek aan te pakken en de gezondheids-, arbeidstijd- en prestatie-implicaties van werken op afstand beoordelen. Er moet worden gezorgd voor eerlijke digitalisering op basis van mensenrechten, betere arbeidsomstandigheden en collectieve onderhandelingen (discussies).</w:t>
      </w:r>
    </w:p>
    <w:p>
      <w:pPr>
        <w:pStyle w:val="Puce3"/>
        <w:tabs>
          <w:tab w:val="clear" w:pos="720"/>
        </w:tabs>
        <w:rPr/>
      </w:pPr>
      <w:r>
        <w:rPr/>
        <w:t>4.</w:t>
        <w:tab/>
        <w:t>Integratie van werkgelegenheidsbeleid op EU-niveau, waar actief arbeidsmarktbeleid centraal blijft en steeds meer gecoördineerd (IT 6.2), terwijl de lidstaten zich richten op verdere hervormingsinspanningen om gunstige voorwaarden voor het scheppen van hoogwaardige banen te creëren (discussies).</w:t>
      </w:r>
    </w:p>
    <w:p>
      <w:pPr>
        <w:pStyle w:val="Puce3"/>
        <w:tabs>
          <w:tab w:val="clear" w:pos="720"/>
        </w:tabs>
        <w:rPr/>
      </w:pPr>
      <w:r>
        <w:rPr/>
        <w:t>5.</w:t>
        <w:tab/>
        <w:t>Maatregelen nemen om ervoor te zorgen dat de sociale rechten volledig worden beschermd en voorrang hebben boven economische vrijheden in geval van conflicten, onder meer door de invoering van een protocol over sociale vooruitgang in de verdragen (onlineplatform, discussies).</w:t>
      </w:r>
    </w:p>
    <w:p>
      <w:pPr>
        <w:pStyle w:val="Puce3"/>
        <w:tabs>
          <w:tab w:val="clear" w:pos="720"/>
        </w:tabs>
        <w:rPr/>
      </w:pPr>
      <w:r>
        <w:rPr/>
        <w:t>6.</w:t>
        <w:tab/>
        <w:t>Zorgen voor gendergelijkheid, in overeenstemming met de EU-strategie voor gendergelijkheid 2020-2025. De Unie moet gendergelijkheid blijven meten door middel van een index voor gendergelijkheid (houdingen, loonkloof, werkgelegenheid, leiderschap, enz.), de strategie jaarlijks volgen, transparant zijn over de bereikte resultaten, de uitwisseling van deskundigheid en beste praktijken aanmoedigen en een mogelijk rechtstreeks mechanisme voor feedback van burgers opzetten (bv. een ombudsman) (ECP 28; 5.a.1). De loonkloof tussen mannen en vrouwen moet worden aangepakt en quota voor hogere leidinggevende functies moeten worden ingevoerd. Vrouwelijke ondernemers moeten profiteren van meer steun in het ondernemingsklimaat, evenals vrouwen op het gebied van wetenschap, technologie, techniek en wiskunde (discussies).</w:t>
      </w:r>
    </w:p>
    <w:p>
      <w:pPr>
        <w:pStyle w:val="Puce3"/>
        <w:tabs>
          <w:tab w:val="clear" w:pos="720"/>
        </w:tabs>
        <w:rPr/>
      </w:pPr>
      <w:r>
        <w:rPr/>
        <w:t>7.</w:t>
        <w:tab/>
        <w:t>De werkgelegenheid voor jongeren bevorderen, onder meer door financiële steun aan het bedrijfsleven, maar ook door aanvullende steun aan werkgevers en werknemers (NL 4) en steun aan jonge ondernemers en jonge zelfstandigen, bijvoorbeeld door middel van educatieve instrumenten en cursussen (discussies).</w:t>
      </w:r>
    </w:p>
    <w:p>
      <w:pPr>
        <w:pStyle w:val="Puce3"/>
        <w:tabs>
          <w:tab w:val="clear" w:pos="720"/>
        </w:tabs>
        <w:rPr/>
      </w:pPr>
      <w:r>
        <w:rPr/>
        <w:t>8.</w:t>
        <w:tab/>
        <w:t>Bevordering van de werkgelegenheid van kansarme groepen (NL 4), met name voor mensen met een handicap (online platform).</w:t>
      </w:r>
    </w:p>
    <w:p>
      <w:pPr>
        <w:pStyle w:val="Puce3"/>
        <w:tabs>
          <w:tab w:val="clear" w:pos="720"/>
        </w:tabs>
        <w:rPr/>
      </w:pPr>
      <w:r>
        <w:rPr/>
        <w:t>9.</w:t>
        <w:tab/>
        <w:t>Bevordering van werkgelegenheid en sociale mobiliteit, zodat mensen alle mogelijkheden hebben voor persoonlijke ontwikkeling en zelfbeschikking. (IT 5.a.4 en IT 6.1) Er zou een langetermijnstrategie kunnen zijn om ervoor te zorgen dat iedereen in onze samenleving over de juiste vaardigheden beschikt om een baan te vinden en zijn talent te laten groeien, met name de jongere generatie (discussies). Het is belangrijk te investeren in vaardigheden die zijn aangepast aan de veranderende behoeften van de arbeidsmarkt en een leven lang leren te bevorderen, onder meer door middel van een uitwisselingsprogramma in alle levensfasen, en om het recht op een leven lang leren en het recht op opleiding te waarborgen. (FR 6; Daartoe is het noodzakelijk de samenwerking tussen bedrijven, vakbonden en aanbieders van diensten op het gebied van beroepsonderwijs en -opleiding te versterken (discussies).</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3"/>
        <w:numPr>
          <w:ilvl w:val="2"/>
          <w:numId w:val="2"/>
        </w:numPr>
        <w:rPr/>
      </w:pPr>
      <w:bookmarkStart w:id="61" w:name="__RefHeading___Toc298296_1346298689"/>
      <w:bookmarkEnd w:id="61"/>
      <w:r>
        <w:rPr/>
        <w:t>14. Voorstel: Sterker sociaal beleid</w:t>
      </w:r>
    </w:p>
    <w:p>
      <w:pPr>
        <w:pStyle w:val="Normal"/>
        <w:rPr/>
      </w:pPr>
      <w:r>
        <w:rPr/>
        <w:t>Doel: We stellen voor om ongelijkheid te verminderen, sociale uitsluiting en armoede te bestrijden. We moeten een alomvattende armoedebestrijdingsstrategie opzetten die onder meer kan bestaan uit een versterking van de kindergarantie en de jongerengarantie, de invoering van minimumlonen, een gemeenschappelijk Europees kader voor minimuminkomensregelingen en fatsoenlijke sociale huisvesting. We moeten zorgen voor de volledige uitvoering van de Europese pijler van sociale rechten, met inbegrip van de desbetreffende kerndoelen voor 2030, op Europees, nationaal, regionaal en lokaal niveau op het gebied van „sociale bescherming en inclusie”, met inachtneming van de respectieve bevoegdheden en het subsidiariteits- en het evenredigheidsbeginsel, en moeten we een protocol inzake sociale vooruitgang in de Verdragen opnemen. Dit kan worden bereikt door middel van de volgende maatregelen:</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Maatregelen</w:t>
      </w:r>
      <w:r>
        <w:rPr>
          <w:rStyle w:val="Ancredenotedefin"/>
          <w:rStyle w:val="Ancredenotedefin"/>
        </w:rPr>
        <w:endnoteReference w:id="12"/>
      </w:r>
      <w:r>
        <w:rPr/>
        <w:t>:</w:t>
      </w:r>
    </w:p>
    <w:p>
      <w:pPr>
        <w:pStyle w:val="Puce3"/>
        <w:tabs>
          <w:tab w:val="clear" w:pos="720"/>
        </w:tabs>
        <w:rPr/>
      </w:pPr>
      <w:r>
        <w:rPr/>
        <w:t>1.</w:t>
        <w:tab/>
        <w:t>De bevoegdheden van de Unie op het gebied van sociaal beleid te versterken en geharmoniseerde EU-wetgeving voor te stellen om sociaal beleid te bevorderen en gelijke rechten, met inbegrip van gezondheidsrechten, te waarborgen, rekening houdend met vastgestelde verordeningen en minimumvoorschriften op het gehele grondgebied. (CEP 19 &amp; 21) De EU zou het beleid van de lidstaten kunnen ondersteunen en aanvullen, onder meer door een gemeenschappelijk kader voor te stellen om een minimuminkomen te garanderen, zodat niemand achterblijft. Deze acties moeten worden uitgevoerd als onderdeel van de volledige uitvoering van de Europese pijler van sociale rechten en het bijbehorende actieplan (discussies).</w:t>
      </w:r>
    </w:p>
    <w:p>
      <w:pPr>
        <w:pStyle w:val="Puce3"/>
        <w:tabs>
          <w:tab w:val="clear" w:pos="720"/>
        </w:tabs>
        <w:rPr/>
      </w:pPr>
      <w:r>
        <w:rPr/>
        <w:t>2.</w:t>
        <w:tab/>
        <w:t>Geen compromissen sluiten met betrekking tot sociale rechten (volksgezondheid, openbaar onderwijs, arbeidsbeleid). (Zie punt 4.a.1)</w:t>
      </w:r>
    </w:p>
    <w:p>
      <w:pPr>
        <w:pStyle w:val="Puce3"/>
        <w:tabs>
          <w:tab w:val="clear" w:pos="720"/>
        </w:tabs>
        <w:rPr/>
      </w:pPr>
      <w:r>
        <w:rPr/>
        <w:t>3.</w:t>
        <w:tab/>
        <w:t>Bevordering van sociaal en gezondheidsonderzoek in de EU, volgens prioritaire beleidslijnen die van algemeen belang worden geacht en door de lidstaten zijn goedgekeurd, en voorzien in passende financiering. Dit zou deels kunnen worden bereikt door de samenwerking tussen expertisegebieden, landen en studiecentra (universiteiten, enz.) te versterken (CEP 20).</w:t>
      </w:r>
    </w:p>
    <w:p>
      <w:pPr>
        <w:pStyle w:val="Puce3"/>
        <w:tabs>
          <w:tab w:val="clear" w:pos="720"/>
        </w:tabs>
        <w:rPr/>
      </w:pPr>
      <w:r>
        <w:rPr/>
        <w:t>4.</w:t>
        <w:tab/>
        <w:t>Verlenen van toegang tot medische diensten aan alle personen onder de 16 jaar in de hele EU indien deze diensten niet beschikbaar zijn in de nationale context (discussies).</w:t>
      </w:r>
    </w:p>
    <w:p>
      <w:pPr>
        <w:pStyle w:val="Puce3"/>
        <w:tabs>
          <w:tab w:val="clear" w:pos="720"/>
        </w:tabs>
        <w:rPr/>
      </w:pPr>
      <w:r>
        <w:rPr/>
        <w:t>5.</w:t>
        <w:tab/>
        <w:t>Ervoor te zorgen dat de EU, samen met de sociale partners en de nationale regeringen, gerichte toegang tot fatsoenlijke sociale huisvesting voor burgers ondersteunt, afhankelijk van hun specifieke behoeften; de financiële inspanningen moeten worden gedeeld tussen particuliere donoren, huiseigenaren, begunstigden van huisvesting, regeringen van de lidstaten op centraal en lokaal niveau en de Europese Unie (ECP 25).</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3"/>
        <w:numPr>
          <w:ilvl w:val="2"/>
          <w:numId w:val="2"/>
        </w:numPr>
        <w:rPr/>
      </w:pPr>
      <w:bookmarkStart w:id="62" w:name="__RefHeading___Toc298298_1346298689"/>
      <w:bookmarkEnd w:id="62"/>
      <w:r>
        <w:rPr/>
        <w:t>15. Voorstel: Demografische transitie</w:t>
      </w:r>
    </w:p>
    <w:p>
      <w:pPr>
        <w:pStyle w:val="P68B1DB1Normal15"/>
        <w:rPr>
          <w:b/>
          <w:b/>
        </w:rPr>
      </w:pPr>
      <w:r>
        <w:rPr/>
        <w:t>Doel: wij stellen voor om de uitdagingen die voortvloeien uit de demografische transitie aan te pakken als een cruciaal onderdeel van de algemene veerkracht van Europa, met name de lage geboortecijfers en de constante vergrijzing van de bevolking, waarbij mensen gedurende hun hele leven worden ondersteund. Dit moet een alomvattende actie zijn die gericht is op alle generaties, van kinderen en jongeren tot gezinnen, de beroepsbevolking, de ouderen die nog steeds klaar zijn om te werken en degenen die met pensioen zijn of hulp nodig hebben. Dit kan worden bereikt door middel van de volgende maatregelen:</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Maatregelen</w:t>
      </w:r>
      <w:r>
        <w:rPr>
          <w:rStyle w:val="Ancredenotedefin"/>
          <w:rStyle w:val="Ancredenotedefin"/>
        </w:rPr>
        <w:endnoteReference w:id="13"/>
      </w:r>
      <w:r>
        <w:rPr/>
        <w:t>:</w:t>
      </w:r>
    </w:p>
    <w:p>
      <w:pPr>
        <w:pStyle w:val="Puce3"/>
        <w:tabs>
          <w:tab w:val="clear" w:pos="720"/>
        </w:tabs>
        <w:rPr/>
      </w:pPr>
      <w:r>
        <w:rPr/>
        <w:t>1.</w:t>
        <w:tab/>
        <w:t>Zorgen voor kwalitatief hoogwaardige, betaalbare en toegankelijke kinderopvang in de hele EU, zodat moeders en vaders werk en gezinsleven met vertrouwen kunnen combineren. In voorkomend geval kan dit mogelijkheden voor kinderopvang op of in de buurt van de werkplek omvatten. In sommige lidstaten is ook nachtopvang beschikbaar, die als voorbeeld moet dienen. Bovendien kunnen deze maatregelen vergezeld gaan van steunmaatregelen zoals verlaagde btw-tarieven voor apparatuur die nodig is voor kinderen. Het is van essentieel belang om kinderarmoede en sociale uitsluiting te voorkomen. (CEP 22-26) De kindergarantie versterken door ervoor te zorgen dat kinderen in nood toegang krijgen tot diensten zoals onderwijs en kinderopvang, gezondheidszorg, voeding en huisvesting, zou hiervoor een instrument kunnen zijn (e-platform, discussies).</w:t>
      </w:r>
    </w:p>
    <w:p>
      <w:pPr>
        <w:pStyle w:val="Puce3"/>
        <w:tabs>
          <w:tab w:val="clear" w:pos="720"/>
        </w:tabs>
        <w:rPr/>
      </w:pPr>
      <w:r>
        <w:rPr/>
        <w:t>2.</w:t>
        <w:tab/>
        <w:t>Het opzetten van specifieke ondersteuning en bescherming van het werk voor jongeren. Maatregelen die gericht zijn op de beroepsbevolking moeten ook de toegang tot kennis voor moeders en vaders bij terugkeer naar het werk omvatten (CEP 22). Versterking van de jongerengarantie zou een instrument kunnen zijn om de toegang voor jongeren onder de 30 jaar tot een kwalitatief goed aanbod van werkgelegenheid, voortgezet onderwijs, leerlingplaatsen of stages te verbeteren. (besprekingen)</w:t>
      </w:r>
    </w:p>
    <w:p>
      <w:pPr>
        <w:pStyle w:val="Puce3"/>
        <w:tabs>
          <w:tab w:val="clear" w:pos="720"/>
        </w:tabs>
        <w:rPr/>
      </w:pPr>
      <w:r>
        <w:rPr/>
        <w:t>3.</w:t>
        <w:tab/>
        <w:t>Het recht op vrij verkeer van onderwijs binnen de Unie te bevorderen, met name door de wederzijdse erkenning van diploma’s, rangen, competenties en kwalificaties. (besprekingen)</w:t>
      </w:r>
    </w:p>
    <w:p>
      <w:pPr>
        <w:pStyle w:val="Puce3"/>
        <w:tabs>
          <w:tab w:val="clear" w:pos="720"/>
        </w:tabs>
        <w:rPr/>
      </w:pPr>
      <w:r>
        <w:rPr/>
        <w:t>4.</w:t>
        <w:tab/>
        <w:t>Verbeteren van de wetgeving en de uitvoering ervan om gezinnen in alle lidstaten te ondersteunen, bijvoorbeeld met betrekking tot ouderschapsverlof en toelagen voor bevalling en kinderopvang. Huisvesting speelt een cruciale rol bij de ondersteuning van gezinnen en moet worden aangepakt (online platform, discussies).</w:t>
      </w:r>
    </w:p>
    <w:p>
      <w:pPr>
        <w:pStyle w:val="Puce3"/>
        <w:tabs>
          <w:tab w:val="clear" w:pos="720"/>
        </w:tabs>
        <w:rPr/>
      </w:pPr>
      <w:r>
        <w:rPr/>
        <w:t>5.</w:t>
        <w:tab/>
        <w:t>Maatregelen nemen om ervoor te zorgen dat alle gezinnen in alle lidstaten dezelfde gezinsrechten genieten. Dit geldt ook voor het recht op huwelijk en adoptie. (PCE 27)</w:t>
      </w:r>
    </w:p>
    <w:p>
      <w:pPr>
        <w:pStyle w:val="Puce3"/>
        <w:tabs>
          <w:tab w:val="clear" w:pos="720"/>
        </w:tabs>
        <w:rPr/>
      </w:pPr>
      <w:r>
        <w:rPr/>
        <w:t>6.</w:t>
        <w:tab/>
        <w:t>Een flexibele pensioenleeftijd bevorderen, rekening houdend met de specifieke situatie van ouderen. Bij het bepalen van de pensioenleeftijd is het noodzakelijk om onderscheid te maken naar het beroep en daarom rekening te houden met een bijzonder veeleisend werk, zowel mentaal als fysiek. (PCE 21 en IT 5.a.1)</w:t>
      </w:r>
    </w:p>
    <w:p>
      <w:pPr>
        <w:pStyle w:val="Puce3"/>
        <w:tabs>
          <w:tab w:val="clear" w:pos="720"/>
        </w:tabs>
        <w:rPr/>
      </w:pPr>
      <w:r>
        <w:rPr/>
        <w:t>7.</w:t>
        <w:tab/>
        <w:t>Armoede onder ouderen voorkomen door minimumpensioenen in te voeren. Bij deze minimumniveaus moet rekening worden gehouden met de levensstandaard, de armoedegrens en de koopkracht in de betrokken lidstaat. (PCE 21)</w:t>
      </w:r>
    </w:p>
    <w:p>
      <w:pPr>
        <w:pStyle w:val="Puce3"/>
        <w:tabs>
          <w:tab w:val="clear" w:pos="720"/>
        </w:tabs>
        <w:rPr/>
      </w:pPr>
      <w:r>
        <w:rPr/>
        <w:t>8.</w:t>
        <w:tab/>
        <w:t>Zorgen voor passende sociale bijstand en gezondheidszorg voor ouderen. Daarbij is het belangrijk om aandacht te besteden aan zowel gemeenschapszorg als residentiële zorg. Evenzo moeten de maatregelen rekening houden met zowel zorgontvangers als zorgverleners. (PCE 23)</w:t>
      </w:r>
    </w:p>
    <w:p>
      <w:pPr>
        <w:pStyle w:val="Puce3"/>
        <w:tabs>
          <w:tab w:val="clear" w:pos="720"/>
        </w:tabs>
        <w:rPr/>
      </w:pPr>
      <w:r>
        <w:rPr/>
        <w:t>9.</w:t>
        <w:tab/>
        <w:t>Zorgen voor duurzame ontwikkeling en demografische veerkracht van achterblijvende regio’s om deze regio’s dynamischer en aantrekkelijker te maken, onder meer via het cohesiebeleid. (online platform en discussies)</w:t>
      </w:r>
    </w:p>
    <w:p>
      <w:pPr>
        <w:pStyle w:val="Puce3"/>
        <w:tabs>
          <w:tab w:val="clear" w:pos="720"/>
        </w:tabs>
        <w:rPr/>
      </w:pPr>
      <w:r>
        <w:rPr/>
        <w:t>10.</w:t>
        <w:tab/>
        <w:t>Op Europees niveau gecoördineerde actie ondernemen om naar factoren als gender uitgesplitste gegevens te verzamelen en demografische trends te analyseren, beste praktijken en kennis uit te wisselen en de lidstaten te helpen bij het ontwikkelen en uitvoeren van adequaat beleid, onder meer door de oprichting van een op dit gebied gespecialiseerd EU-orgaan. (online platform en discussies).</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Titre3"/>
        <w:numPr>
          <w:ilvl w:val="2"/>
          <w:numId w:val="2"/>
        </w:numPr>
        <w:rPr/>
      </w:pPr>
      <w:bookmarkStart w:id="63" w:name="__RefHeading___Toc298300_1346298689"/>
      <w:bookmarkEnd w:id="63"/>
      <w:r>
        <w:rPr/>
        <w:t>16. Voorstel: Fiscaal en fiscaal beleid</w:t>
      </w:r>
    </w:p>
    <w:p>
      <w:pPr>
        <w:pStyle w:val="P68B1DB1Normal15"/>
        <w:rPr>
          <w:b/>
          <w:b/>
        </w:rPr>
      </w:pPr>
      <w:r>
        <w:rPr/>
        <w:t>Doel: wij stellen voor dat de EU toekomstgerichte investeringen stimuleert die gericht zijn op groene en digitale transities met een sterke sociale en genderdimensie, rekening houdend met de voorbeelden van Next Generation EU en het Europees instrument voor tijdelijke steun voor het stimuleren van werkloosheidsrisico’s in noodsituaties (SURE). De Unie moet rekening houden met de sociale en economische gevolgen van de oorlog tegen Oekraïne en het verband tussen haar economisch bestuur en de nieuwe geopolitieke context, door haar eigen begroting te versterken met nieuwe eigen middelen. Burgers willen dat de belasting zich afwendt van burgers en kmo’s en zich richt op belastingfraudeurs, grote vervuilers en digitale reuzen, terwijl zij willen dat de EU het vermogen van de lidstaten en lokale overheden om zichzelf te financieren en EU-middelen te gebruiken, ondersteunt. Deze doelstelling moet worden bereikt door middel van de volgende maatregelen:</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Maatregelen</w:t>
      </w:r>
      <w:r>
        <w:rPr>
          <w:rStyle w:val="Ancredenotedefin"/>
          <w:rStyle w:val="Ancredenotedefin"/>
        </w:rPr>
        <w:endnoteReference w:id="14"/>
      </w:r>
      <w:r>
        <w:rPr/>
        <w:t>:</w:t>
      </w:r>
    </w:p>
    <w:p>
      <w:pPr>
        <w:pStyle w:val="Puce3"/>
        <w:tabs>
          <w:tab w:val="clear" w:pos="720"/>
        </w:tabs>
        <w:rPr/>
      </w:pPr>
      <w:r>
        <w:rPr/>
        <w:t>1.</w:t>
        <w:tab/>
        <w:t>Harmoniseren en coördineren van het belastingbeleid in de EU-lidstaten om belastingontduiking en -ontwijking te voorkomen, belastingparadijzen binnen de EU te vermijden en te streven naar verplaatsing binnen Europa, onder meer door ervoor te zorgen dat belastingbesluiten in de Raad van de EU met gekwalificeerde meerderheid kunnen worden genomen. Anderzijds zijn er aanbevelingen van burgerpanels dat belastingen onder de bevoegdheid van verschillende landen vallen, die hun eigen doelstellingen en omstandigheden hebben. (PCE 13 en 31, IT 4.b.3, NL 2.3)</w:t>
      </w:r>
    </w:p>
    <w:p>
      <w:pPr>
        <w:pStyle w:val="Puce3"/>
        <w:tabs>
          <w:tab w:val="clear" w:pos="720"/>
        </w:tabs>
        <w:rPr/>
      </w:pPr>
      <w:r>
        <w:rPr/>
        <w:t>2.</w:t>
        <w:tab/>
        <w:t>De samenwerking tussen de EU-lidstaten te bevorderen om ervoor te zorgen dat alle EU-bedrijven hun billijke deel van de belastingen betalen; invoering van een gemeenschappelijke heffingsgrondslag voor de vennootschapsbelasting (CCTB) of een minimaal effectief tarief. (NL 3)</w:t>
      </w:r>
    </w:p>
    <w:p>
      <w:pPr>
        <w:pStyle w:val="Puce3"/>
        <w:tabs>
          <w:tab w:val="clear" w:pos="720"/>
        </w:tabs>
        <w:rPr/>
      </w:pPr>
      <w:r>
        <w:rPr/>
        <w:t>3.</w:t>
        <w:tab/>
        <w:t>Zorg ervoor dat bedrijven belastingen betalen waar winst wordt gemaakt. (PCE 13)</w:t>
      </w:r>
    </w:p>
    <w:p>
      <w:pPr>
        <w:pStyle w:val="Puce3"/>
        <w:tabs>
          <w:tab w:val="clear" w:pos="720"/>
        </w:tabs>
        <w:rPr/>
      </w:pPr>
      <w:r>
        <w:rPr/>
        <w:t>4.</w:t>
        <w:tab/>
        <w:t>Ervoor zorgen dat het belastingbeleid de Europese industrie ondersteunt en banenverlies in Europa voorkomt. (PCE 13 en 31)</w:t>
      </w:r>
    </w:p>
    <w:p>
      <w:pPr>
        <w:pStyle w:val="Puce3"/>
        <w:tabs>
          <w:tab w:val="clear" w:pos="720"/>
        </w:tabs>
        <w:rPr/>
      </w:pPr>
      <w:r>
        <w:rPr/>
        <w:t>5.</w:t>
        <w:tab/>
        <w:t>De mogelijkheid van gezamenlijke leningen op het niveau van de Unie nader te onderzoeken, teneinde gunstigere leningsvoorwaarden te creëren en tegelijkertijd een verantwoord begrotingsbeleid op het niveau van de lidstaten te handhaven. (LT 9)</w:t>
      </w:r>
    </w:p>
    <w:p>
      <w:pPr>
        <w:pStyle w:val="Puce3"/>
        <w:tabs>
          <w:tab w:val="clear" w:pos="720"/>
        </w:tabs>
        <w:rPr/>
      </w:pPr>
      <w:r>
        <w:rPr/>
        <w:t>6.</w:t>
        <w:tab/>
        <w:t>Versterking van het toezicht op de absorptie en het gebruik van EU-middelen, ook op lokaal en gemeentelijk niveau.(LT 10)</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Normal"/>
        <w:rPr/>
      </w:pPr>
      <w:r>
        <w:rPr/>
        <w:drawing>
          <wp:anchor behindDoc="0" distT="0" distB="0" distL="0" distR="0" simplePos="0" locked="0" layoutInCell="1" allowOverlap="1" relativeHeight="14">
            <wp:simplePos x="0" y="0"/>
            <wp:positionH relativeFrom="column">
              <wp:posOffset>14605</wp:posOffset>
            </wp:positionH>
            <wp:positionV relativeFrom="paragraph">
              <wp:posOffset>8890</wp:posOffset>
            </wp:positionV>
            <wp:extent cx="913765" cy="913765"/>
            <wp:effectExtent l="0" t="0" r="0" b="0"/>
            <wp:wrapSquare wrapText="largest"/>
            <wp:docPr id="64" name="Afbeelding2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Afbeelding24" descr=""/>
                    <pic:cNvPicPr>
                      <a:picLocks noChangeAspect="1" noChangeArrowheads="1"/>
                    </pic:cNvPicPr>
                  </pic:nvPicPr>
                  <pic:blipFill>
                    <a:blip r:embed="rId76"/>
                    <a:stretch>
                      <a:fillRect/>
                    </a:stretch>
                  </pic:blipFill>
                  <pic:spPr bwMode="auto">
                    <a:xfrm>
                      <a:off x="0" y="0"/>
                      <a:ext cx="913765" cy="913765"/>
                    </a:xfrm>
                    <a:prstGeom prst="rect">
                      <a:avLst/>
                    </a:prstGeom>
                  </pic:spPr>
                </pic:pic>
              </a:graphicData>
            </a:graphic>
          </wp:anchor>
        </w:drawing>
      </w:r>
    </w:p>
    <w:p>
      <w:pPr>
        <w:pStyle w:val="Normal"/>
        <w:rPr/>
      </w:pPr>
      <w:r>
        <w:rPr/>
      </w:r>
    </w:p>
    <w:p>
      <w:pPr>
        <w:pStyle w:val="Normal"/>
        <w:rPr/>
      </w:pPr>
      <w:r>
        <w:rPr/>
      </w:r>
    </w:p>
    <w:p>
      <w:pPr>
        <w:pStyle w:val="Normal"/>
        <w:rPr/>
      </w:pPr>
      <w:r>
        <w:rPr/>
      </w:r>
    </w:p>
    <w:p>
      <w:pPr>
        <w:pStyle w:val="Titre2"/>
        <w:numPr>
          <w:ilvl w:val="1"/>
          <w:numId w:val="2"/>
        </w:numPr>
        <w:rPr/>
      </w:pPr>
      <w:bookmarkStart w:id="64" w:name="__RefHeading___Toc298302_1346298689"/>
      <w:bookmarkEnd w:id="64"/>
      <w:r>
        <w:rPr/>
        <w:t>„</w:t>
      </w:r>
      <w:r>
        <w:rPr/>
        <w:t>De EU in de wereld”</w:t>
      </w:r>
    </w:p>
    <w:p>
      <w:pPr>
        <w:pStyle w:val="Titre3"/>
        <w:numPr>
          <w:ilvl w:val="2"/>
          <w:numId w:val="2"/>
        </w:numPr>
        <w:rPr/>
      </w:pPr>
      <w:bookmarkStart w:id="65" w:name="__RefHeading___Toc298304_1346298689"/>
      <w:bookmarkEnd w:id="65"/>
      <w:r>
        <w:rPr/>
        <w:t>17. Voorstel: Vermindering van de afhankelijkheid van de EU van buitenlandse actoren in strategische sectoren vanuit economisch oogpunt</w:t>
      </w:r>
    </w:p>
    <w:p>
      <w:pPr>
        <w:pStyle w:val="P68B1DB1Normal15"/>
        <w:rPr>
          <w:b/>
          <w:b/>
        </w:rPr>
      </w:pPr>
      <w:r>
        <w:rPr/>
        <w:t>Doel: Wij stellen voor dat de EU maatregelen neemt om haar autonomie in belangrijke strategische sectoren zoals landbouwproducten, strategische economische goederen, halfgeleiders, medische producten, innovatieve digitale en milieutechnologieën en energie te versterken door middel van de volgende maatregelen:</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Maatregelen:</w:t>
      </w:r>
    </w:p>
    <w:p>
      <w:pPr>
        <w:pStyle w:val="Puce3"/>
        <w:tabs>
          <w:tab w:val="clear" w:pos="720"/>
        </w:tabs>
        <w:rPr/>
      </w:pPr>
      <w:r>
        <w:rPr/>
        <w:t>1.</w:t>
        <w:tab/>
        <w:t>Bevordering van onderzoeks-, ontwikkelings- en innovatieactiviteiten en samenwerking tussen publieke en private partners op dit gebied.</w:t>
      </w:r>
    </w:p>
    <w:p>
      <w:pPr>
        <w:pStyle w:val="Puce3"/>
        <w:tabs>
          <w:tab w:val="clear" w:pos="720"/>
        </w:tabs>
        <w:rPr/>
      </w:pPr>
      <w:r>
        <w:rPr/>
        <w:t>2.</w:t>
        <w:tab/>
        <w:t>Handhaving van een ambitieuze agenda voor handelsbesprekingen die de veerkracht en diversificatie van de toeleveringsketens kunnen helpen versterken, met name voor grondstoffen, terwijl de voordelen van handel eerlijker en met meer partners worden gedeeld, waardoor onze blootstelling en afhankelijkheid van een klein aantal leveranciers die een risico kunnen vormen, wordt beperkt</w:t>
      </w:r>
      <w:r>
        <w:rPr>
          <w:rStyle w:val="Ancredenotedefin"/>
          <w:rStyle w:val="Ancredenotedefin"/>
        </w:rPr>
        <w:endnoteReference w:id="15"/>
      </w:r>
      <w:r>
        <w:rPr/>
        <w:t>.</w:t>
      </w:r>
    </w:p>
    <w:p>
      <w:pPr>
        <w:pStyle w:val="Puce3"/>
        <w:tabs>
          <w:tab w:val="clear" w:pos="720"/>
        </w:tabs>
        <w:rPr/>
      </w:pPr>
      <w:r>
        <w:rPr/>
        <w:t>3.</w:t>
        <w:tab/>
        <w:t>Grotere veerkracht van de toeleveringsketens van de EU door investeringen in strategische sectoren in de Unie te bevorderen, kritieke productie en apparatuur op te slaan en de aanvoerbronnen van kritieke grondstoffen te diversifiëren.</w:t>
      </w:r>
    </w:p>
    <w:p>
      <w:pPr>
        <w:pStyle w:val="Puce3"/>
        <w:tabs>
          <w:tab w:val="clear" w:pos="720"/>
        </w:tabs>
        <w:rPr/>
      </w:pPr>
      <w:r>
        <w:rPr/>
        <w:t>4.</w:t>
        <w:tab/>
        <w:t>Nieuwe investeringen in de voltooiing van de interne markt en de totstandbrenging van een gelijk speelveld om de productie en aankoop van deze producten in de Europese Unie aantrekkelijker te maken.</w:t>
      </w:r>
    </w:p>
    <w:p>
      <w:pPr>
        <w:pStyle w:val="Puce3"/>
        <w:tabs>
          <w:tab w:val="clear" w:pos="720"/>
        </w:tabs>
        <w:rPr/>
      </w:pPr>
      <w:r>
        <w:rPr/>
        <w:t>5.</w:t>
        <w:tab/>
        <w:t>Steun te verlenen voor het beschikbaar en betaalbaar maken van deze producten voor Europese consumenten en het helpen verminderen van externe afhankelijkheid, bijvoorbeeld door middel van structuur- en regionaal beleid, belastingvoordelen, subsidies, investeringen in infrastructuur en onderzoek, het stimuleren van het concurrentievermogen van kmo’s, alsmede onderwijsprogramma’s om de overeenkomstige vaardigheden en banen in Europa te behouden, die relevant zijn voor het waarborgen van de basisbehoeften</w:t>
      </w:r>
      <w:r>
        <w:rPr>
          <w:rStyle w:val="Ancredenotedefin"/>
          <w:rStyle w:val="Ancredenotedefin"/>
        </w:rPr>
        <w:endnoteReference w:id="16"/>
      </w:r>
      <w:r>
        <w:rPr/>
        <w:t>.</w:t>
      </w:r>
    </w:p>
    <w:p>
      <w:pPr>
        <w:pStyle w:val="Puce3"/>
        <w:tabs>
          <w:tab w:val="clear" w:pos="720"/>
        </w:tabs>
        <w:rPr/>
      </w:pPr>
      <w:r>
        <w:rPr/>
        <w:t>6.</w:t>
        <w:tab/>
        <w:t>Een Europees programma ter ondersteuning van kleine lokale producenten in strategische sectoren in alle</w:t>
      </w:r>
      <w:r>
        <w:rPr>
          <w:rStyle w:val="Ancredenotedefin"/>
          <w:rStyle w:val="Ancredenotedefin"/>
        </w:rPr>
        <w:endnoteReference w:id="17"/>
      </w:r>
      <w:r>
        <w:rPr/>
        <w:t>lidstaten, waarbij meer gebruik wordt gemaakt van EU-programma’s en financiële instrumenten, zoals InvestEU.</w:t>
      </w:r>
    </w:p>
    <w:p>
      <w:pPr>
        <w:pStyle w:val="Puce3"/>
        <w:tabs>
          <w:tab w:val="clear" w:pos="720"/>
        </w:tabs>
        <w:rPr/>
      </w:pPr>
      <w:r>
        <w:rPr/>
        <w:t>7.</w:t>
        <w:tab/>
        <w:t>Betere samenwerking tussen de lidstaten bij het beheer van risicobeheer in de toeleveringsketen.</w:t>
      </w:r>
      <w:r>
        <w:rPr>
          <w:rStyle w:val="Ancredenotedefin"/>
          <w:rStyle w:val="Ancredenotedefin"/>
        </w:rPr>
        <w:endnoteReference w:id="18"/>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3"/>
        <w:numPr>
          <w:ilvl w:val="2"/>
          <w:numId w:val="2"/>
        </w:numPr>
        <w:rPr/>
      </w:pPr>
      <w:bookmarkStart w:id="66" w:name="__RefHeading___Toc298306_1346298689"/>
      <w:bookmarkEnd w:id="66"/>
      <w:r>
        <w:rPr/>
        <w:t>18. Voorstel: Vermindering van de afhankelijkheid van de EU van buitenlandse energieactoren</w:t>
      </w:r>
    </w:p>
    <w:p>
      <w:pPr>
        <w:pStyle w:val="P68B1DB1Normal15"/>
        <w:rPr>
          <w:b/>
          <w:b/>
        </w:rPr>
      </w:pPr>
      <w:r>
        <w:rPr/>
        <w:t>Doel: Wij stellen voor dat de EU in het kader van de lopende ecologische transitie meer autonomie op het gebied van energieproductie en -voorziening bereikt door middel van de volgende maatregelen:</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Maatregelen:</w:t>
      </w:r>
    </w:p>
    <w:p>
      <w:pPr>
        <w:pStyle w:val="Puce3"/>
        <w:tabs>
          <w:tab w:val="clear" w:pos="720"/>
        </w:tabs>
        <w:rPr/>
      </w:pPr>
      <w:r>
        <w:rPr/>
        <w:t>1.</w:t>
        <w:tab/>
        <w:t>De vaststelling van een strategie om het meer autonoom te maken in zijn energieproductie. Een Europees orgaan moet bestaande Europese energieagentschappen integreren, de ontwikkeling van hernieuwbare energie coördineren en kennisdeling bevorderen</w:t>
      </w:r>
      <w:r>
        <w:rPr>
          <w:rStyle w:val="Ancredenotedefin"/>
          <w:rStyle w:val="Ancredenotedefin"/>
        </w:rPr>
        <w:endnoteReference w:id="19"/>
      </w:r>
      <w:r>
        <w:rPr/>
        <w:t>.</w:t>
      </w:r>
    </w:p>
    <w:p>
      <w:pPr>
        <w:pStyle w:val="Puce3"/>
        <w:tabs>
          <w:tab w:val="clear" w:pos="720"/>
        </w:tabs>
        <w:rPr/>
      </w:pPr>
      <w:r>
        <w:rPr/>
        <w:t>2.</w:t>
        <w:tab/>
        <w:t>Actieve steun voor projecten voor openbaar vervoer en energie-efficiëntie, een snel Europees goederenvervoer per spoor, de uitbreiding van de schone en hernieuwbare energievoorziening (met inbegrip van zonne- en windenergie), alternatieve technologieën (zoals waterstof of energieterugwinning van afval) en de overgang in stedelijke gebieden van één enkele autocultuur naar een cultuur van openbaar vervoer, het delen van elektrische auto’s en fietsen</w:t>
      </w:r>
      <w:r>
        <w:rPr>
          <w:rStyle w:val="Ancredenotedefin"/>
          <w:rStyle w:val="Ancredenotedefin"/>
        </w:rPr>
        <w:endnoteReference w:id="20"/>
      </w:r>
      <w:r>
        <w:rPr/>
        <w:t>.</w:t>
      </w:r>
    </w:p>
    <w:p>
      <w:pPr>
        <w:pStyle w:val="Puce3"/>
        <w:tabs>
          <w:tab w:val="clear" w:pos="720"/>
        </w:tabs>
        <w:rPr/>
      </w:pPr>
      <w:r>
        <w:rPr/>
        <w:t>3.</w:t>
        <w:tab/>
        <w:t>Zorgen voor een rechtvaardige en eerlijke transitie, met name door kwetsbare burgers te ondersteunen, die voor de grootste uitdagingen staan in de transitie naar klimaatneutraliteit en die al te kampen hebben met hogere energieprijzen als gevolg van energieafhankelijkheid en de recente verdrievoudiging van de energieprijzen.</w:t>
      </w:r>
    </w:p>
    <w:p>
      <w:pPr>
        <w:pStyle w:val="Normal"/>
        <w:rPr/>
      </w:pPr>
      <w:r>
        <w:rPr/>
      </w:r>
    </w:p>
    <w:p>
      <w:pPr>
        <w:pStyle w:val="Puce3"/>
        <w:tabs>
          <w:tab w:val="clear" w:pos="720"/>
        </w:tabs>
        <w:rPr/>
      </w:pPr>
      <w:r>
        <w:rPr/>
        <w:t>4.</w:t>
        <w:tab/>
        <w:t>Intensievere samenwerking bij de beoordeling van het gebruik van kernenergie in het kader van de lopende groene transitie naar hernieuwbare energie in Europa, waarbij de collectieve problemen worden onderzocht die het zou kunnen oplossen of creëren, aangezien het nog steeds door veel lidstaten wordt gebruikt</w:t>
      </w:r>
      <w:r>
        <w:rPr>
          <w:rStyle w:val="Ancredenotedefin"/>
          <w:rStyle w:val="Ancredenotedefin"/>
        </w:rPr>
        <w:endnoteReference w:id="21"/>
      </w:r>
      <w:r>
        <w:rPr/>
        <w:t>.</w:t>
      </w:r>
    </w:p>
    <w:p>
      <w:pPr>
        <w:pStyle w:val="Puce3"/>
        <w:tabs>
          <w:tab w:val="clear" w:pos="720"/>
        </w:tabs>
        <w:rPr/>
      </w:pPr>
      <w:r>
        <w:rPr/>
        <w:t>5.</w:t>
        <w:tab/>
        <w:t>Samenwerking met internationale partners om hen ertoe te verbinden ambitieuzere doelstellingen op het gebied van klimaatverandering te bereiken in verschillende internationale fora, waaronder de G7 en de G20.</w:t>
      </w:r>
    </w:p>
    <w:p>
      <w:pPr>
        <w:pStyle w:val="Puce3"/>
        <w:tabs>
          <w:tab w:val="clear" w:pos="720"/>
        </w:tabs>
        <w:rPr/>
      </w:pPr>
      <w:r>
        <w:rPr/>
        <w:t>6.</w:t>
        <w:tab/>
        <w:t>Externe handel koppelen aan beleidsmaatregelen op het gebied van klimaatverandering (bv. door een pakket investeringsmaatregelen voor klimaatvriendelijke technologieën en innovaties, met inbegrip van financieringsprogramma’s) te lanceren</w:t>
      </w:r>
      <w:r>
        <w:rPr>
          <w:rStyle w:val="Ancredenotedefin"/>
          <w:rStyle w:val="Ancredenotedefin"/>
        </w:rPr>
        <w:endnoteReference w:id="22"/>
      </w:r>
      <w:r>
        <w:rPr/>
        <w:t>.</w:t>
      </w:r>
    </w:p>
    <w:p>
      <w:pPr>
        <w:pStyle w:val="Puce3"/>
        <w:tabs>
          <w:tab w:val="clear" w:pos="720"/>
        </w:tabs>
        <w:rPr/>
      </w:pPr>
      <w:r>
        <w:rPr/>
        <w:t>7.</w:t>
        <w:tab/>
        <w:t>Gezamenlijke aankopen van ingevoerde energie- en duurzame energiepartnerschappen, teneinde de afhankelijkheid van Europa van de invoer van energie, met name op het gebied van gas en olie, te verminderen en de binnenlandse energiebronnen van de EU te ontwikkelen.</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3"/>
        <w:numPr>
          <w:ilvl w:val="2"/>
          <w:numId w:val="2"/>
        </w:numPr>
        <w:rPr/>
      </w:pPr>
      <w:bookmarkStart w:id="67" w:name="__RefHeading___Toc298308_1346298689"/>
      <w:bookmarkEnd w:id="67"/>
      <w:r>
        <w:rPr/>
        <w:t>19. Voorstel: Vaststelling van normen binnen en buiten de EU in handels- en investeringsbetrekkingen</w:t>
      </w:r>
    </w:p>
    <w:p>
      <w:pPr>
        <w:pStyle w:val="P68B1DB1Normal15"/>
        <w:rPr>
          <w:b/>
          <w:b/>
        </w:rPr>
      </w:pPr>
      <w:r>
        <w:rPr/>
        <w:t>Doel: Wij stellen voor dat de EU de ethische dimensie van haar handels- en investeringsbetrekkingen versterkt door middel van de volgende maatregelen:</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Maatregelen:</w:t>
      </w:r>
    </w:p>
    <w:p>
      <w:pPr>
        <w:pStyle w:val="Puce3"/>
        <w:tabs>
          <w:tab w:val="clear" w:pos="720"/>
        </w:tabs>
        <w:rPr/>
      </w:pPr>
      <w:r>
        <w:rPr/>
        <w:t>1.</w:t>
        <w:tab/>
        <w:t>Het behoud en hervorming van onze op regels gebaseerde multilaterale internationale handelsarchitectuur en partnerschap met gelijkgestemde democratieën.</w:t>
      </w:r>
    </w:p>
    <w:p>
      <w:pPr>
        <w:pStyle w:val="Puce3"/>
        <w:tabs>
          <w:tab w:val="clear" w:pos="720"/>
        </w:tabs>
        <w:rPr/>
      </w:pPr>
      <w:r>
        <w:rPr/>
        <w:t>2.</w:t>
        <w:tab/>
        <w:t>Doeltreffende en evenredige EU-wetgeving om ervoor te zorgen dat de normen voor fatsoenlijk werk volledig worden toegepast in de mondiale waardeketens, ook in de productie- en leveringsprocessen van de EU, en dat ingevoerde goederen voldoen aan kwalitatieve ethische normen, duurzame ontwikkeling en mensenrechtennormen, met inbegrip van arbeids- en vakbondsrechten, door certificering aan te bieden voor producten in overeenstemming met deze EU-wetgeving</w:t>
      </w:r>
      <w:r>
        <w:rPr>
          <w:rStyle w:val="Ancredenotedefin"/>
          <w:rStyle w:val="Ancredenotedefin"/>
        </w:rPr>
        <w:endnoteReference w:id="23"/>
      </w:r>
      <w:r>
        <w:rPr/>
        <w:t xml:space="preserve"> en door een EU-brede dialoog aan te gaan die gericht is op het informeren en onderwijzen van de milieu- en ethische effecten van strategische veranderingen in de internationale handel.</w:t>
      </w:r>
    </w:p>
    <w:p>
      <w:pPr>
        <w:pStyle w:val="Normal"/>
        <w:rPr/>
      </w:pPr>
      <w:r>
        <w:rPr/>
      </w:r>
    </w:p>
    <w:p>
      <w:pPr>
        <w:pStyle w:val="Puce3"/>
        <w:tabs>
          <w:tab w:val="clear" w:pos="720"/>
        </w:tabs>
        <w:rPr/>
      </w:pPr>
      <w:r>
        <w:rPr/>
        <w:t>3.</w:t>
        <w:tab/>
        <w:t>Beperkingen op de invoer en verkoop van producten uit landen die dwangarbeid en kinderarbeid mogelijk maken, een regelmatig bijgewerkte zwarte lijst van bedrijven en het bewustzijn van de consument over kinderarbeid door middel van informatie die via officiële EU-kanalen wordt gepubliceerd</w:t>
      </w:r>
      <w:r>
        <w:rPr>
          <w:rStyle w:val="Ancredenotedefin"/>
          <w:rStyle w:val="Ancredenotedefin"/>
        </w:rPr>
        <w:endnoteReference w:id="24"/>
      </w:r>
      <w:r>
        <w:rPr/>
        <w:t>.</w:t>
      </w:r>
    </w:p>
    <w:p>
      <w:pPr>
        <w:pStyle w:val="Puce3"/>
        <w:tabs>
          <w:tab w:val="clear" w:pos="720"/>
        </w:tabs>
        <w:rPr/>
      </w:pPr>
      <w:r>
        <w:rPr/>
        <w:t>4.</w:t>
        <w:tab/>
        <w:t>Toezicht op en handhaving van afdwingbare hoofdstukken over handel en duurzame ontwikkeling in vrijhandelsovereenkomsten van de EU, met inbegrip van de mogelijkheid van een op sancties gebaseerd mechanisme in laatste instantie.</w:t>
      </w:r>
    </w:p>
    <w:p>
      <w:pPr>
        <w:pStyle w:val="Puce3"/>
        <w:tabs>
          <w:tab w:val="clear" w:pos="720"/>
        </w:tabs>
        <w:rPr/>
      </w:pPr>
      <w:r>
        <w:rPr/>
        <w:t>5.</w:t>
        <w:tab/>
        <w:t>De hervorming van het stelsel van algemene preferenties (SAP) van de EU om strikte randvoorwaarden en doeltreffende en passende monitoring-, rapportage- en dialoogprocessen op te nemen om de impact van het SAP op de handel, de mensenrechten en de ontwikkeling in partnerlanden te verbeteren, met de mogelijkheid om in geval van niet-naleving handelspreferenties in te trekken.</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3"/>
        <w:numPr>
          <w:ilvl w:val="2"/>
          <w:numId w:val="2"/>
        </w:numPr>
        <w:rPr/>
      </w:pPr>
      <w:bookmarkStart w:id="68" w:name="__RefHeading___Toc298310_1346298689"/>
      <w:bookmarkEnd w:id="68"/>
      <w:r>
        <w:rPr/>
        <w:t>20. Voorstel: Vaststelling van normen binnen en buiten de EU voor milieubeleid</w:t>
      </w:r>
    </w:p>
    <w:p>
      <w:pPr>
        <w:pStyle w:val="P68B1DB1Normal15"/>
        <w:rPr>
          <w:b/>
          <w:b/>
        </w:rPr>
      </w:pPr>
      <w:r>
        <w:rPr/>
        <w:t>Doel: Wij stellen voor dat de EU de milieudimensie van haar handelsbetrekkingen versterkt door middel van de volgende maatregelen:</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Maatregelen:</w:t>
      </w:r>
    </w:p>
    <w:p>
      <w:pPr>
        <w:pStyle w:val="Puce3"/>
        <w:tabs>
          <w:tab w:val="clear" w:pos="720"/>
        </w:tabs>
        <w:rPr/>
      </w:pPr>
      <w:r>
        <w:rPr/>
        <w:t>1.</w:t>
        <w:tab/>
        <w:t>Harmonisatie en versterking van de milieukeur en verplichte weergave van een Europese milieu-impactindicator (ecoscore) voor alle consumentenproducten. De ecoscore zou worden berekend op basis van de emissies van de productie en het vervoer en de schadelijkheid van de inhoud, op basis van een lijst van gevaarlijke producten. De Ecoscore moet worden beheerd en gecontroleerd door een Europese autoriteit</w:t>
      </w:r>
      <w:r>
        <w:rPr>
          <w:rStyle w:val="Ancredenotedefin"/>
          <w:rStyle w:val="Ancredenotedefin"/>
        </w:rPr>
        <w:endnoteReference w:id="25"/>
      </w:r>
      <w:r>
        <w:rPr/>
        <w:t>.</w:t>
      </w:r>
    </w:p>
    <w:p>
      <w:pPr>
        <w:pStyle w:val="Puce3"/>
        <w:tabs>
          <w:tab w:val="clear" w:pos="720"/>
        </w:tabs>
        <w:rPr/>
      </w:pPr>
      <w:r>
        <w:rPr/>
        <w:t>2.</w:t>
        <w:tab/>
        <w:t>Strengere milieunormen voor de uitvoer van afval, strengere controles en sancties om illegale uitvoer te stoppen. De Unie moet de lidstaten aanmoedigen om hun eigen afval te recyclen en het te gebruiken om energie te produceren</w:t>
      </w:r>
      <w:r>
        <w:rPr>
          <w:rStyle w:val="Ancredenotedefin"/>
          <w:rStyle w:val="Ancredenotedefin"/>
        </w:rPr>
        <w:endnoteReference w:id="26"/>
      </w:r>
      <w:r>
        <w:rPr/>
        <w:t>.</w:t>
      </w:r>
    </w:p>
    <w:p>
      <w:pPr>
        <w:pStyle w:val="Puce3"/>
        <w:tabs>
          <w:tab w:val="clear" w:pos="720"/>
        </w:tabs>
        <w:rPr/>
      </w:pPr>
      <w:r>
        <w:rPr/>
        <w:t>3.</w:t>
        <w:tab/>
        <w:t>De vaststelling van een doelstelling om vervuilende verpakkingen uit te bannen door de bevordering van minder vervuilende verpakkingen of milieuvriendelijkere verpakkingen</w:t>
      </w:r>
      <w:r>
        <w:rPr>
          <w:rStyle w:val="Ancredenotedefin"/>
          <w:rStyle w:val="Ancredenotedefin"/>
        </w:rPr>
        <w:endnoteReference w:id="27"/>
      </w:r>
      <w:r>
        <w:rPr/>
        <w:t xml:space="preserve"> en het aangaan van partnerschappen met ontwikkelingslanden, door hun infrastructuur te ondersteunen en door wederzijds voordelige handelsovereenkomsten te overwegen om hen te helpen bij hun overgang naar groene energiebronnen</w:t>
      </w:r>
      <w:r>
        <w:rPr>
          <w:rStyle w:val="Ancredenotedefin"/>
          <w:rStyle w:val="Ancredenotedefin"/>
        </w:rPr>
        <w:endnoteReference w:id="28"/>
      </w:r>
      <w:r>
        <w:rPr/>
        <w:t>.</w:t>
      </w:r>
    </w:p>
    <w:p>
      <w:pPr>
        <w:pStyle w:val="Puce3"/>
        <w:tabs>
          <w:tab w:val="clear" w:pos="720"/>
        </w:tabs>
        <w:rPr/>
      </w:pPr>
      <w:r>
        <w:rPr/>
        <w:t>4.</w:t>
        <w:tab/>
        <w:t>De mogelijkheid om landen met hoge duurzaamheidsnormen te belonen door aanvullende toegang tot de EU-markt voor hun duurzame goederen en diensten te bieden, hetzij unilateraal via het SAP±stelsel van algemene preferenties, hetzij bilateraal via handelsovereenkomsten of multilateraal via initiatieven binnen de Wereldhandelsorganisatie.</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Titre3"/>
        <w:numPr>
          <w:ilvl w:val="2"/>
          <w:numId w:val="2"/>
        </w:numPr>
        <w:rPr/>
      </w:pPr>
      <w:bookmarkStart w:id="69" w:name="__RefHeading___Toc298312_1346298689"/>
      <w:bookmarkEnd w:id="69"/>
      <w:r>
        <w:rPr/>
        <w:t>21. Voorstel: Besluitvorming en cohesie binnen de Unie</w:t>
      </w:r>
    </w:p>
    <w:p>
      <w:pPr>
        <w:pStyle w:val="P68B1DB1Normal15"/>
        <w:rPr>
          <w:b/>
          <w:b/>
        </w:rPr>
      </w:pPr>
      <w:r>
        <w:rPr/>
        <w:t>Doel: Wij stellen voor dat de EU haar capaciteit om snelle en doeltreffende beslissingen te nemen in het kader van het gemeenschappelijk buitenlands en veiligheidsbeleid (GBVB) verbetert door met één stem te spreken en als een echte mondiale speler op te treden, teneinde een positieve rol in de wereld te spelen en een verschil te maken in reactie op elke crisis, waaronder:</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Maatregelen:</w:t>
      </w:r>
    </w:p>
    <w:p>
      <w:pPr>
        <w:pStyle w:val="Puce3"/>
        <w:tabs>
          <w:tab w:val="clear" w:pos="720"/>
        </w:tabs>
        <w:rPr/>
      </w:pPr>
      <w:r>
        <w:rPr/>
        <w:t>1.</w:t>
        <w:tab/>
        <w:t>Door ervoor te zorgen dat, met name op het gebied van het GBVB, aangelegenheden die momenteel met eenparigheid van stemmen worden genomen, gewoonlijk met gekwalificeerde meerderheid van stemmen worden genomen</w:t>
      </w:r>
      <w:r>
        <w:rPr>
          <w:rStyle w:val="Ancredenotedefin"/>
          <w:rStyle w:val="Ancredenotedefin"/>
        </w:rPr>
        <w:endnoteReference w:id="29"/>
      </w:r>
      <w:r>
        <w:rPr/>
        <w:t>.</w:t>
      </w:r>
    </w:p>
    <w:p>
      <w:pPr>
        <w:pStyle w:val="Puce3"/>
        <w:tabs>
          <w:tab w:val="clear" w:pos="720"/>
        </w:tabs>
        <w:rPr/>
      </w:pPr>
      <w:r>
        <w:rPr/>
        <w:t>2.</w:t>
        <w:tab/>
        <w:t>De samenwerking op het gebied van veiligheids- en defensiebeleid baseren op het onlangs goedgekeurde strategische kompas en gebruik maken van de Europese Vredesfaciliteit</w:t>
      </w:r>
      <w:r>
        <w:rPr>
          <w:rStyle w:val="Ancredenotedefin"/>
          <w:rStyle w:val="Ancredenotedefin"/>
        </w:rPr>
        <w:endnoteReference w:id="30"/>
      </w:r>
      <w:r>
        <w:rPr/>
        <w:t>.</w:t>
      </w:r>
    </w:p>
    <w:p>
      <w:pPr>
        <w:pStyle w:val="Puce3"/>
        <w:tabs>
          <w:tab w:val="clear" w:pos="720"/>
        </w:tabs>
        <w:rPr/>
      </w:pPr>
      <w:r>
        <w:rPr/>
        <w:t>3.</w:t>
        <w:tab/>
        <w:t>Versterking van de rol van de hoge vertegenwoordiger om ervoor te zorgen dat de EU met één stem spreekt</w:t>
      </w:r>
      <w:r>
        <w:rPr>
          <w:rStyle w:val="Ancredenotedefin"/>
          <w:rStyle w:val="Ancredenotedefin"/>
        </w:rPr>
        <w:endnoteReference w:id="31"/>
      </w:r>
      <w:r>
        <w:rPr/>
        <w:t>.</w:t>
      </w:r>
    </w:p>
    <w:p>
      <w:pPr>
        <w:pStyle w:val="Puce3"/>
        <w:tabs>
          <w:tab w:val="clear" w:pos="720"/>
        </w:tabs>
        <w:rPr/>
      </w:pPr>
      <w:r>
        <w:rPr/>
        <w:t>4.</w:t>
        <w:tab/>
        <w:t>Overeenstemming bereiken over een sterke visie en een gemeenschappelijke strategie om de eenheid en de besluitvormingscapaciteit van de EU te consolideren, teneinde de Unie voor te bereiden op verdere uitbreidingen</w:t>
      </w:r>
      <w:r>
        <w:rPr>
          <w:rStyle w:val="Ancredenotedefin"/>
          <w:rStyle w:val="Ancredenotedefin"/>
        </w:rPr>
        <w:endnoteReference w:id="32"/>
      </w:r>
      <w:r>
        <w:rPr/>
        <w:t>.</w:t>
      </w:r>
    </w:p>
    <w:p>
      <w:pPr>
        <w:pStyle w:val="Puce3"/>
        <w:tabs>
          <w:tab w:val="clear" w:pos="720"/>
        </w:tabs>
        <w:rPr/>
      </w:pPr>
      <w:r>
        <w:rPr/>
        <w:t>5.</w:t>
        <w:tab/>
        <w:t>Door de onlangs gesloten handelsovereenkomsten snel te ratificeren, zonder af te zien van passende overweging en discussie.</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3"/>
        <w:numPr>
          <w:ilvl w:val="2"/>
          <w:numId w:val="2"/>
        </w:numPr>
        <w:rPr/>
      </w:pPr>
      <w:bookmarkStart w:id="70" w:name="__RefHeading___Toc298314_1346298689"/>
      <w:bookmarkEnd w:id="70"/>
      <w:r>
        <w:rPr/>
        <w:t>22. Voorstel: Transparantie van de EU en haar betrekkingen met de burgers</w:t>
      </w:r>
    </w:p>
    <w:p>
      <w:pPr>
        <w:pStyle w:val="P68B1DB1Normal15"/>
        <w:rPr>
          <w:b/>
          <w:b/>
        </w:rPr>
      </w:pPr>
      <w:r>
        <w:rPr/>
        <w:t>Doel: wij stellen voor dat de EU, met name in haar acties op internationaal niveau, met inbegrip van handelsbesprekingen, haar toegankelijkheid voor burgers vergroten door de informatie, het onderwijs, de burgerparticipatie en de transparantie te verbeteren, met name door:</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Maatregelen:</w:t>
      </w:r>
    </w:p>
    <w:p>
      <w:pPr>
        <w:pStyle w:val="Puce3"/>
        <w:tabs>
          <w:tab w:val="clear" w:pos="720"/>
        </w:tabs>
        <w:rPr/>
      </w:pPr>
      <w:r>
        <w:rPr/>
        <w:t>1.</w:t>
        <w:tab/>
        <w:t>Versterking van de banden met burgers en lokale instellingen om de transparantie te verbeteren, burgers te bereiken en beter met hen te communiceren over concrete EU-initiatieven op internationaal niveau</w:t>
      </w:r>
      <w:r>
        <w:rPr>
          <w:rStyle w:val="Ancredenotedefin"/>
          <w:rStyle w:val="Ancredenotedefin"/>
        </w:rPr>
        <w:endnoteReference w:id="33"/>
      </w:r>
      <w:r>
        <w:rPr/>
        <w:t>.</w:t>
      </w:r>
    </w:p>
    <w:p>
      <w:pPr>
        <w:pStyle w:val="Puce3"/>
        <w:tabs>
          <w:tab w:val="clear" w:pos="720"/>
        </w:tabs>
        <w:rPr/>
      </w:pPr>
      <w:r>
        <w:rPr/>
        <w:t>2.</w:t>
        <w:tab/>
        <w:t>Grotere deelname van burgers aan het internationale beleid van de EU en evenementen van directe burgerparticipatie, zoals de conferentie over de toekomst van Europa, georganiseerd op nationaal, lokaal en Europees niveau</w:t>
      </w:r>
      <w:r>
        <w:rPr>
          <w:rStyle w:val="Ancredenotedefin"/>
          <w:rStyle w:val="Ancredenotedefin"/>
        </w:rPr>
        <w:endnoteReference w:id="34"/>
      </w:r>
      <w:r>
        <w:rPr/>
        <w:t xml:space="preserve"> en met de actieve deelname van het maatschappelijk middenveld</w:t>
      </w:r>
      <w:r>
        <w:rPr>
          <w:rStyle w:val="Ancredenotedefin"/>
          <w:rStyle w:val="Ancredenotedefin"/>
        </w:rPr>
        <w:endnoteReference w:id="35"/>
      </w:r>
      <w:r>
        <w:rPr/>
        <w:t>.</w:t>
      </w:r>
    </w:p>
    <w:p>
      <w:pPr>
        <w:pStyle w:val="Puce3"/>
        <w:tabs>
          <w:tab w:val="clear" w:pos="720"/>
        </w:tabs>
        <w:rPr/>
      </w:pPr>
      <w:r>
        <w:rPr/>
        <w:t>3.</w:t>
        <w:tab/>
        <w:t>De volledige steun van alle relevante belanghebbenden aan burgers die ervoor kiezen deel te nemen aan maatschappelijke organisaties, zoals het geval is geweest met COVID-19 en Oekraïne.</w:t>
      </w:r>
    </w:p>
    <w:p>
      <w:pPr>
        <w:pStyle w:val="Puce3"/>
        <w:tabs>
          <w:tab w:val="clear" w:pos="720"/>
        </w:tabs>
        <w:rPr/>
      </w:pPr>
      <w:r>
        <w:rPr/>
        <w:t>4.</w:t>
        <w:tab/>
        <w:t>De toewijzing van een specifiek budget voor de ontwikkeling van onderwijsprogramma’s over de werking van de EU en haar waarden, die zij desgewenst aan de lidstaten zou kunnen voorstellen, zodat zij deze kunnen integreren in hun curricula (primair, secundair en universiteit). Daarnaast kan een specifieke cursus over de Unie en de werking ervan worden aangeboden aan studenten die via het Erasmus-programma in een ander Europees land willen studeren. Studenten die voor deze cursus kiezen, krijgen voorrang om te kunnen profiteren van de Erasmus-programma’s.</w:t>
      </w:r>
    </w:p>
    <w:p>
      <w:pPr>
        <w:pStyle w:val="Puce3"/>
        <w:tabs>
          <w:tab w:val="clear" w:pos="720"/>
        </w:tabs>
        <w:rPr/>
      </w:pPr>
      <w:r>
        <w:rPr/>
        <w:t>5.</w:t>
        <w:tab/>
        <w:t>Verbetering van de mediastrategie van de EU door meer zichtbaarheid in sociale media en actieve promotie van de inhoud ervan; bevordering van innovatie door de toegankelijkheid van de aanwezigheid van sociale media in de EU te verbeteren</w:t>
      </w:r>
      <w:r>
        <w:rPr>
          <w:rStyle w:val="Ancredenotedefin"/>
          <w:rStyle w:val="Ancredenotedefin"/>
        </w:rPr>
        <w:endnoteReference w:id="36"/>
      </w:r>
      <w:r>
        <w:rPr/>
        <w:t>.</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3"/>
        <w:numPr>
          <w:ilvl w:val="2"/>
          <w:numId w:val="2"/>
        </w:numPr>
        <w:rPr/>
      </w:pPr>
      <w:bookmarkStart w:id="71" w:name="__RefHeading___Toc298316_1346298689"/>
      <w:bookmarkEnd w:id="71"/>
      <w:r>
        <w:rPr/>
        <w:t>23. Voorstel: De EU als wereldleider op het gebied van vrede en veiligheid</w:t>
      </w:r>
    </w:p>
    <w:p>
      <w:pPr>
        <w:pStyle w:val="P68B1DB1Normal15"/>
        <w:rPr>
          <w:b/>
          <w:b/>
        </w:rPr>
      </w:pPr>
      <w:r>
        <w:rPr/>
        <w:t>Doel: wij stellen voor dat de EU blijft optreden om de dialoog te bevorderen en vrede en een op regels gebaseerde internationale orde te waarborgen, het multilateralisme te versterken en voort te bouwen op de reeds lang bestaande vredesinitiatieven van de EU die hebben bijgedragen tot de toekenning van de Nobelprijs in 2012, en tegelijkertijd haar gemeenschappelijke veiligheid te versterken door middel van de volgende maatregelen:</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Maatregelen</w:t>
      </w:r>
      <w:r>
        <w:rPr>
          <w:rStyle w:val="Ancredenotedefin"/>
          <w:rStyle w:val="Ancredenotedefin"/>
          <w:b/>
        </w:rPr>
        <w:endnoteReference w:id="37"/>
      </w:r>
      <w:r>
        <w:rPr>
          <w:rStyle w:val="Ancredenotedefin"/>
          <w:rStyle w:val="Ancredenotedefin"/>
          <w:b/>
        </w:rPr>
        <w:endnoteReference w:id="38"/>
      </w:r>
      <w:r>
        <w:rPr/>
        <w:t>:</w:t>
      </w:r>
    </w:p>
    <w:p>
      <w:pPr>
        <w:pStyle w:val="Puce3"/>
        <w:tabs>
          <w:tab w:val="clear" w:pos="720"/>
        </w:tabs>
        <w:rPr/>
      </w:pPr>
      <w:r>
        <w:rPr/>
        <w:t>1.</w:t>
        <w:tab/>
        <w:t>Gemeenschappelijke strijdkrachten, gebruikt voor zelfverdediging en bedoeld om agressieve militaire acties van welke aard dan ook te voorkomen, met de capaciteit om bijstand te verlenen in tijden van crisis, ook in geval van een natuurramp. Buiten de Europese grenzen kunnen zij in uitzonderlijke omstandigheden worden ingezet, bij voorkeur onder een wettelijk mandaat van de Veiligheidsraad van de Verenigde Naties en derhalve in overeenstemming met het internationaal recht</w:t>
      </w:r>
      <w:r>
        <w:rPr>
          <w:rStyle w:val="Ancredenotedefin"/>
          <w:rStyle w:val="Ancredenotedefin"/>
        </w:rPr>
        <w:endnoteReference w:id="39"/>
      </w:r>
      <w:r>
        <w:rPr/>
        <w:t>, zonder te concurreren met de NAVO of zonder de NAVO te dupliceren en de verschillende nationale betrekkingen met de NAVO te eerbiedigen; in dit verband moet een beoordeling van de betrekkingen van de EU met de NAVO worden uitgevoerd in het kader van het debat over de strategische autonomie van de EU.</w:t>
      </w:r>
    </w:p>
    <w:p>
      <w:pPr>
        <w:pStyle w:val="Normal"/>
        <w:rPr/>
      </w:pPr>
      <w:r>
        <w:rPr/>
      </w:r>
    </w:p>
    <w:p>
      <w:pPr>
        <w:pStyle w:val="Puce3"/>
        <w:tabs>
          <w:tab w:val="clear" w:pos="720"/>
        </w:tabs>
        <w:rPr/>
      </w:pPr>
      <w:r>
        <w:rPr/>
        <w:t>2.</w:t>
        <w:tab/>
        <w:t>Een leidende rol bij de opbouw van de naoorlogse mondiale veiligheidsorde in Oekraïne, gebaseerd op het onlangs aangenomen strategische kompas van de EU.</w:t>
      </w:r>
    </w:p>
    <w:p>
      <w:pPr>
        <w:pStyle w:val="Puce3"/>
        <w:tabs>
          <w:tab w:val="clear" w:pos="720"/>
        </w:tabs>
        <w:rPr/>
      </w:pPr>
      <w:r>
        <w:rPr/>
        <w:t>3.</w:t>
        <w:tab/>
        <w:t>De bescherming van zijn strategisch onderzoek en capaciteiten in prioritaire sectoren zoals de ruimtevaartsector, cyberbeveiliging, de medische sector en het milieu</w:t>
      </w:r>
      <w:r>
        <w:rPr>
          <w:rStyle w:val="Ancredenotedefin"/>
          <w:rStyle w:val="Ancredenotedefin"/>
        </w:rPr>
        <w:endnoteReference w:id="40"/>
      </w:r>
      <w:r>
        <w:rPr/>
        <w:t>.</w:t>
      </w:r>
    </w:p>
    <w:p>
      <w:pPr>
        <w:pStyle w:val="Puce3"/>
        <w:tabs>
          <w:tab w:val="clear" w:pos="720"/>
        </w:tabs>
        <w:rPr/>
      </w:pPr>
      <w:r>
        <w:rPr/>
        <w:t>4.</w:t>
        <w:tab/>
        <w:t>De versterking van de operationele capaciteit die nodig is om de doeltreffendheid van de clausule inzake wederzijdse bijstand van artikel 42, lid 7, van het Verdrag betreffende de Europese Unie te waarborgen, die een adequate EU-bescherming waarborgt voor elke lidstaat die door een derde land wordt aangevallen.</w:t>
      </w:r>
    </w:p>
    <w:p>
      <w:pPr>
        <w:pStyle w:val="Puce3"/>
        <w:tabs>
          <w:tab w:val="clear" w:pos="720"/>
        </w:tabs>
        <w:rPr/>
      </w:pPr>
      <w:r>
        <w:rPr/>
        <w:t>5.</w:t>
        <w:tab/>
        <w:t>Een reflectie over hoe desinformatie en propaganda op een objectieve en feitelijke manier kunnen worden bestreden.</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3"/>
        <w:numPr>
          <w:ilvl w:val="2"/>
          <w:numId w:val="2"/>
        </w:numPr>
        <w:rPr/>
      </w:pPr>
      <w:bookmarkStart w:id="72" w:name="__RefHeading___Toc298318_1346298689"/>
      <w:bookmarkEnd w:id="72"/>
      <w:r>
        <w:rPr/>
        <w:t>24. Voorstel: De EU als leidende mondiale speler bij het opbouwen van relaties</w:t>
      </w:r>
    </w:p>
    <w:p>
      <w:pPr>
        <w:pStyle w:val="P68B1DB1Normal15"/>
        <w:rPr>
          <w:b/>
          <w:b/>
        </w:rPr>
      </w:pPr>
      <w:r>
        <w:rPr/>
        <w:t>Doel: Wij stellen voor dat de EU in haar betrekkingen met derde landen:</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Maatregelen:</w:t>
      </w:r>
    </w:p>
    <w:p>
      <w:pPr>
        <w:pStyle w:val="Puce3"/>
        <w:tabs>
          <w:tab w:val="clear" w:pos="720"/>
        </w:tabs>
        <w:rPr/>
      </w:pPr>
      <w:r>
        <w:rPr/>
        <w:t>1.</w:t>
        <w:tab/>
        <w:t>Meer gebruik maken van haar collectieve politieke en economische gewicht, met één stem spreken en eensgezind optreden, zonder dat sommige lidstaten de Unie door ongepaste bilaterale interventies verdelen</w:t>
      </w:r>
      <w:r>
        <w:rPr>
          <w:rStyle w:val="Ancredenotedefin"/>
          <w:rStyle w:val="Ancredenotedefin"/>
        </w:rPr>
        <w:endnoteReference w:id="41"/>
      </w:r>
      <w:r>
        <w:rPr/>
        <w:t>.</w:t>
      </w:r>
    </w:p>
    <w:p>
      <w:pPr>
        <w:pStyle w:val="Puce3"/>
        <w:tabs>
          <w:tab w:val="clear" w:pos="720"/>
        </w:tabs>
        <w:rPr/>
      </w:pPr>
      <w:r>
        <w:rPr/>
        <w:t>2.</w:t>
        <w:tab/>
        <w:t>Versterkt haar vermogen om sancties op te leggen aan staten, regeringen, entiteiten, groepen of organisaties en personen die niet voldoen aan haar fundamentele beginselen, overeenkomsten en wetten, en zorgt ervoor dat de bestaande sancties snel worden uitgevoerd en gehandhaafd. De sancties die aan derde landen worden opgelegd, moeten evenredig zijn met de actie die hen in gang heeft gezet, doeltreffend zijn en tijdig worden toegepast</w:t>
      </w:r>
      <w:r>
        <w:rPr>
          <w:rStyle w:val="Ancredenotedefin"/>
          <w:rStyle w:val="Ancredenotedefin"/>
        </w:rPr>
        <w:endnoteReference w:id="42"/>
      </w:r>
      <w:r>
        <w:rPr/>
        <w:t>.</w:t>
      </w:r>
    </w:p>
    <w:p>
      <w:pPr>
        <w:pStyle w:val="Puce3"/>
        <w:tabs>
          <w:tab w:val="clear" w:pos="720"/>
        </w:tabs>
        <w:rPr/>
      </w:pPr>
      <w:r>
        <w:rPr/>
        <w:t>3.</w:t>
        <w:tab/>
        <w:t>Bevordert duurzame en op regels gebaseerde handel en opent tegelijkertijd nieuwe handels- en investeringsmogelijkheden voor Europese bedrijven. Bilaterale handels- en investeringsovereenkomsten zijn van essentieel belang om het Europese concurrentievermogen te bevorderen, maar er zijn normen en regels nodig om een gelijk speelveld te waarborgen. De EU moet een actieve en betrouwbare partner blijven bij het onderhandelen, sluiten en uitvoeren van handelsovereenkomsten die ook hoge duurzaamheidsnormen stellen.</w:t>
      </w:r>
    </w:p>
    <w:p>
      <w:pPr>
        <w:pStyle w:val="Puce3"/>
        <w:tabs>
          <w:tab w:val="clear" w:pos="720"/>
        </w:tabs>
        <w:rPr/>
      </w:pPr>
      <w:r>
        <w:rPr/>
        <w:t>4.</w:t>
        <w:tab/>
        <w:t>De belangrijkste internationale samenwerkingsovereenkomsten hebben gesloten door de Europese Unie in plaats van afzonderlijke landen te vertegenwoordigen</w:t>
      </w:r>
      <w:r>
        <w:rPr>
          <w:rStyle w:val="Ancredenotedefin"/>
          <w:rStyle w:val="Ancredenotedefin"/>
        </w:rPr>
        <w:endnoteReference w:id="43"/>
      </w:r>
      <w:r>
        <w:rPr/>
        <w:t>.</w:t>
      </w:r>
    </w:p>
    <w:p>
      <w:pPr>
        <w:pStyle w:val="Puce3"/>
        <w:tabs>
          <w:tab w:val="clear" w:pos="720"/>
        </w:tabs>
        <w:rPr/>
      </w:pPr>
      <w:r>
        <w:rPr/>
        <w:t>5.</w:t>
        <w:tab/>
        <w:t>Het handels- en investeringsbeleid van de EU hervormen om het mondiale multilateralisme nieuw leven in te blazen, met als doel het scheppen van fatsoenlijke banen en de bescherming van de fundamentele mensenrechten, met inbegrip van de rechten van werknemers en vakbonden, het behoud van het milieu en de biodiversiteit en de eerbiediging van de Overeenkomst van Parijs inzake klimaatverandering, het waarborgen van hoogwaardige openbare diensten en het versterken van de industriële basis van Europa. De EU moet bijdragen tot een heropleving van het mondiale multilateralisme, door middel van diepgaande hervormingen op basis van democratie en vrede, solidariteit en eerbiediging van de mensenrechten, sociale en milieurechten en een versterkte rol voor de IAO.</w:t>
      </w:r>
    </w:p>
    <w:p>
      <w:pPr>
        <w:pStyle w:val="Puce3"/>
        <w:tabs>
          <w:tab w:val="clear" w:pos="720"/>
        </w:tabs>
        <w:rPr/>
      </w:pPr>
      <w:r>
        <w:rPr/>
        <w:t>6.</w:t>
        <w:tab/>
        <w:t>Omvat de bestrijding van mensenhandel en irreguliere immigratie, alsmede samenwerking bij mogelijke terugkeeroperaties, in samenwerkings- en investeringsovereenkomsten met derde landen.</w:t>
      </w:r>
    </w:p>
    <w:p>
      <w:pPr>
        <w:pStyle w:val="Puce3"/>
        <w:tabs>
          <w:tab w:val="clear" w:pos="720"/>
        </w:tabs>
        <w:rPr/>
      </w:pPr>
      <w:r>
        <w:rPr/>
        <w:t>7.</w:t>
        <w:tab/>
        <w:t>Partnerschappen met ontwikkelingslanden ontwikkelen om hun infrastructuur te ondersteunen en voor beide partijen gunstige handelsovereenkomsten overwegen om hen te helpen bij hun overgang naar groene energiebronnen</w:t>
      </w:r>
      <w:r>
        <w:rPr>
          <w:rStyle w:val="Ancredenotedefin"/>
          <w:rStyle w:val="Ancredenotedefin"/>
        </w:rPr>
        <w:endnoteReference w:id="44"/>
      </w:r>
      <w:r>
        <w:rPr/>
        <w:t>.</w:t>
      </w:r>
    </w:p>
    <w:p>
      <w:pPr>
        <w:pStyle w:val="Puce3"/>
        <w:tabs>
          <w:tab w:val="clear" w:pos="720"/>
        </w:tabs>
        <w:rPr/>
      </w:pPr>
      <w:r>
        <w:rPr/>
        <w:t>8.</w:t>
        <w:tab/>
        <w:t>Ontwikkelt een doeltreffender en meer verenigd beleid ten aanzien van autocratische en hybride regimes en ontwikkelt partnerschappen met maatschappelijke organisaties in deze landen.</w:t>
      </w:r>
    </w:p>
    <w:p>
      <w:pPr>
        <w:pStyle w:val="Puce3"/>
        <w:tabs>
          <w:tab w:val="clear" w:pos="720"/>
        </w:tabs>
        <w:rPr/>
      </w:pPr>
      <w:r>
        <w:rPr/>
        <w:t>9.</w:t>
        <w:tab/>
        <w:t>Verhoging van de middelen van EU-verkiezingswaarnemingsmissies.</w:t>
      </w:r>
    </w:p>
    <w:p>
      <w:pPr>
        <w:pStyle w:val="Puce3"/>
        <w:tabs>
          <w:tab w:val="clear" w:pos="720"/>
        </w:tabs>
        <w:rPr/>
      </w:pPr>
      <w:r>
        <w:rPr/>
        <w:t>10.</w:t>
        <w:tab/>
        <w:t>Biedt een geloofwaardig vooruitzicht op toetreding tot kandidaat-lidstaten en potentiële kandidaat-lidstaten om vrede en stabiliteit in Europa te bevorderen en miljoenen Europeanen welvaart te bieden</w:t>
      </w:r>
      <w:r>
        <w:rPr>
          <w:rStyle w:val="Ancredenotedefin"/>
          <w:rStyle w:val="Ancredenotedefin"/>
        </w:rPr>
        <w:endnoteReference w:id="45"/>
      </w:r>
      <w:r>
        <w:rPr/>
        <w:t>.</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t>OPMERKING: Verscheidene leden van de werkgroep zijn van mening dat de voorstellen „Vermindering van de afhankelijkheid van de EU van buitenlandse actoren op het gebied van energie” en „Transparantie van de EU en haar betrekkingen met de burgers”, met name onder andere werkgroepen vallen. Sommige leden wensten, naast de stemming met gekwalificeerde meerderheid, alternatieven voor eenparigheid van stemmen in de Raad te vermelden, zoals variabele geometrie, niet-deelnemingsclausules en nauwere samenwerking. Sommige leden van de werkgroep riepen op tot het gebruik van de term „duurzaam” in plaats van „ethisch” in het voorstel „Definiëring van normen binnen en buiten de EU in handels- en investeringsbetrekkingen”. Er is een meningsverschil over de vraag of de toetreding van nieuwe lidstaten de unanieme instemming van alle huidige lidstaten moet blijven eisen. Er zijn verschillende standpunten naar voren gekomen over de gewenste mate van gezamenlijke strijdkrachten. Twee leden verwezen naar het vooruitzicht van Ierse eenheid in het geval dat Noord-Ierland in deze richting zou stemmen in overeenstemming met de bepalingen van het Goede Vrijdagakkoord en de noodzaak dat de Unie voorbereid is op een dergelijke situatie.</w:t>
      </w:r>
    </w:p>
    <w:p>
      <w:pPr>
        <w:pStyle w:val="Normal"/>
        <w:rPr/>
      </w:pPr>
      <w:r>
        <w:rPr/>
      </w:r>
      <w:r>
        <w:br w:type="page"/>
      </w:r>
    </w:p>
    <w:p>
      <w:pPr>
        <w:pStyle w:val="Normal"/>
        <w:rPr/>
      </w:pPr>
      <w:r>
        <w:rPr/>
        <w:drawing>
          <wp:anchor behindDoc="0" distT="0" distB="0" distL="0" distR="0" simplePos="0" locked="0" layoutInCell="1" allowOverlap="1" relativeHeight="11">
            <wp:simplePos x="0" y="0"/>
            <wp:positionH relativeFrom="column">
              <wp:posOffset>19050</wp:posOffset>
            </wp:positionH>
            <wp:positionV relativeFrom="paragraph">
              <wp:posOffset>17145</wp:posOffset>
            </wp:positionV>
            <wp:extent cx="913765" cy="913765"/>
            <wp:effectExtent l="0" t="0" r="0" b="0"/>
            <wp:wrapSquare wrapText="largest"/>
            <wp:docPr id="65" name="Afbeelding2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Afbeelding25" descr=""/>
                    <pic:cNvPicPr>
                      <a:picLocks noChangeAspect="1" noChangeArrowheads="1"/>
                    </pic:cNvPicPr>
                  </pic:nvPicPr>
                  <pic:blipFill>
                    <a:blip r:embed="rId77"/>
                    <a:stretch>
                      <a:fillRect/>
                    </a:stretch>
                  </pic:blipFill>
                  <pic:spPr bwMode="auto">
                    <a:xfrm>
                      <a:off x="0" y="0"/>
                      <a:ext cx="913765" cy="913765"/>
                    </a:xfrm>
                    <a:prstGeom prst="rect">
                      <a:avLst/>
                    </a:prstGeom>
                  </pic:spPr>
                </pic:pic>
              </a:graphicData>
            </a:graphic>
          </wp:anchor>
        </w:drawing>
      </w:r>
    </w:p>
    <w:p>
      <w:pPr>
        <w:pStyle w:val="Normal"/>
        <w:rPr/>
      </w:pPr>
      <w:r>
        <w:rPr/>
      </w:r>
    </w:p>
    <w:p>
      <w:pPr>
        <w:pStyle w:val="Normal"/>
        <w:rPr/>
      </w:pPr>
      <w:r>
        <w:rPr/>
      </w:r>
    </w:p>
    <w:p>
      <w:pPr>
        <w:pStyle w:val="Normal"/>
        <w:rPr/>
      </w:pPr>
      <w:r>
        <w:rPr/>
      </w:r>
    </w:p>
    <w:p>
      <w:pPr>
        <w:pStyle w:val="Titre2"/>
        <w:numPr>
          <w:ilvl w:val="1"/>
          <w:numId w:val="2"/>
        </w:numPr>
        <w:rPr/>
      </w:pPr>
      <w:bookmarkStart w:id="73" w:name="__RefHeading___Toc298320_1346298689"/>
      <w:bookmarkEnd w:id="73"/>
      <w:r>
        <w:rPr/>
        <w:t>Waarden en rechten, rechtsstaat, veiligheid</w:t>
      </w:r>
    </w:p>
    <w:p>
      <w:pPr>
        <w:pStyle w:val="Titre3"/>
        <w:numPr>
          <w:ilvl w:val="2"/>
          <w:numId w:val="2"/>
        </w:numPr>
        <w:rPr/>
      </w:pPr>
      <w:bookmarkStart w:id="74" w:name="__RefHeading___Toc298322_1346298689"/>
      <w:bookmarkEnd w:id="74"/>
      <w:r>
        <w:rPr/>
        <w:t>25. Voorstel: Rechtsstaat, democratische waarden en Europese identiteit</w:t>
      </w:r>
    </w:p>
    <w:p>
      <w:pPr>
        <w:pStyle w:val="P68B1DB1Normal15"/>
        <w:rPr>
          <w:b/>
          <w:b/>
        </w:rPr>
      </w:pPr>
      <w:r>
        <w:rPr/>
        <w:t>Doel: De rechtsstaat in alle lidstaten systematisch te handhaven, met inbegrip van:</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Maatregelen</w:t>
      </w:r>
      <w:r>
        <w:rPr>
          <w:rStyle w:val="Ancredenotedefin"/>
          <w:rStyle w:val="Ancredenotedefin"/>
        </w:rPr>
        <w:endnoteReference w:id="46"/>
      </w:r>
      <w:r>
        <w:rPr/>
        <w:t>:</w:t>
      </w:r>
    </w:p>
    <w:p>
      <w:pPr>
        <w:pStyle w:val="Puce3"/>
        <w:tabs>
          <w:tab w:val="clear" w:pos="720"/>
        </w:tabs>
        <w:rPr/>
      </w:pPr>
      <w:r>
        <w:rPr/>
        <w:t>1.</w:t>
        <w:tab/>
        <w:t>Ervoor zorgen dat de waarden en beginselen die in de EU-Verdragen en het Handvest van de grondrechten van de Europese Unie zijn verankerd, niet-onderhandelbaar en onomkeerbaar zijn en sine qua non-voorwaarden vormen voor lidmaatschap en toetreding tot de Unie. De EU-waarden moeten in alle lidstaten volledig worden geëerbiedigd; ze moeten ook fungeren als een internationale standaard en een pool van aantrekkingskracht vertegenwoordigen door middel van diplomatie en dialoog. De uitbreiding van de Unie mag het EU-acquis op het gebied van fundamentele waarden en burgerrechten niet ondermijnen</w:t>
      </w:r>
      <w:r>
        <w:rPr>
          <w:rStyle w:val="Ancredenotedefin"/>
          <w:rStyle w:val="Ancredenotedefin"/>
        </w:rPr>
        <w:endnoteReference w:id="47"/>
      </w:r>
      <w:r>
        <w:rPr/>
        <w:t>.</w:t>
      </w:r>
    </w:p>
    <w:p>
      <w:pPr>
        <w:pStyle w:val="Puce3"/>
        <w:tabs>
          <w:tab w:val="clear" w:pos="720"/>
        </w:tabs>
        <w:rPr/>
      </w:pPr>
      <w:r>
        <w:rPr/>
        <w:t>2.</w:t>
        <w:tab/>
        <w:t>Door van Europese waarden een tastbare realiteit te maken voor EU-burgers, met name door middel van meer interactieve en directe participatie, moet het Europees burgerschap worden versterkt, bijvoorbeeld door een status van burger van de Unie met rechten en vrijheden van de burgers, evenals een statuut voor Europese grensoverschrijdende verenigingen en non-profitorganisaties. Evenzo moeten de Europese waarden worden bevorderd door middel van een „integratietas” met educatieve elementen en voorlichtingsmateriaal voor de burgers. Ten slotte moet een Europese publieke ruimte van audiovisuele en online media tot stand worden gebracht door nieuwe EU-investeringen, verbetering van bestaande mediaplatforms en meer steun voor de meer dan 500 Europese verbindingsbureaus die op lokaal niveau aanwezig zijn</w:t>
      </w:r>
      <w:r>
        <w:rPr>
          <w:rStyle w:val="Ancredenotedefin"/>
          <w:rStyle w:val="Ancredenotedefin"/>
        </w:rPr>
        <w:endnoteReference w:id="48"/>
      </w:r>
      <w:r>
        <w:rPr/>
        <w:t xml:space="preserve">. </w:t>
      </w:r>
    </w:p>
    <w:p>
      <w:pPr>
        <w:pStyle w:val="Puce3"/>
        <w:tabs>
          <w:tab w:val="clear" w:pos="720"/>
        </w:tabs>
        <w:rPr/>
      </w:pPr>
      <w:r>
        <w:rPr/>
        <w:t>3.</w:t>
        <w:tab/>
        <w:t>Het Handvest van de grondrechten van de Europese Unie moet universeel toepasbaar zijn. Daarnaast moeten jaarlijkse conferenties over de rechtsstaat (naar aanleiding van het verslag over de rechtsstaat van de Commissie) worden georganiseerd, waarbij delegaties uit alle lidstaten, bestaande uit burgers, ambtenaren, parlementariërs, lokale overheden, sociale partners en het maatschappelijk middenveld, willekeurig en divers worden geselecteerd. Het is ook belangrijk om organisaties, waaronder die van het maatschappelijk middenveld, die de rechtsstaat in het veld bevorderen, verder te ondersteunen</w:t>
      </w:r>
      <w:r>
        <w:rPr>
          <w:rStyle w:val="Ancredenotedefin"/>
          <w:rStyle w:val="Ancredenotedefin"/>
        </w:rPr>
        <w:endnoteReference w:id="49"/>
      </w:r>
      <w:r>
        <w:rPr/>
        <w:t>.</w:t>
      </w:r>
    </w:p>
    <w:p>
      <w:pPr>
        <w:pStyle w:val="Puce3"/>
        <w:tabs>
          <w:tab w:val="clear" w:pos="720"/>
        </w:tabs>
        <w:rPr/>
      </w:pPr>
      <w:r>
        <w:rPr/>
        <w:t>4.</w:t>
        <w:tab/>
        <w:t>Door de zogenoemde randvoorwaardenverordening doeltreffend toe te passen, het toepassingsgebied van die verordening en andere instrumenten van de rechtsstaat te beoordelen en te overwegen om het toepassingsgebied ervan uit te breiden tot nieuwe gebieden, ongeacht de relevantie ervan voor de begroting van de Unie. Alle noodzakelijke rechtsmiddelen, met inbegrip van wijzigingen van de Verdragen, moeten worden overwogen om schendingen van de rechtsstaat te bestraffen</w:t>
      </w:r>
      <w:r>
        <w:rPr>
          <w:rStyle w:val="Ancredenotedefin"/>
          <w:rStyle w:val="Ancredenotedefin"/>
        </w:rPr>
        <w:endnoteReference w:id="50"/>
      </w:r>
      <w:r>
        <w:rPr/>
        <w:t>.</w:t>
      </w:r>
    </w:p>
    <w:p>
      <w:pPr>
        <w:pStyle w:val="Puce3"/>
        <w:tabs>
          <w:tab w:val="clear" w:pos="720"/>
        </w:tabs>
        <w:rPr/>
      </w:pPr>
      <w:r>
        <w:rPr/>
        <w:t>5.</w:t>
        <w:tab/>
        <w:t>Het bevorderen van onderwijs- en mediaprogramma’s die de waarden van de Unie centraal stellen in het integratieproces van migranten en die de interactie tussen burgers van de Unie en migranten aanmoedigen, teneinde hun succesvolle integratie in de samenlevingen van de Unie mogelijk te maken en de burgers van de Unie bewuster te maken van migratiekwesties.</w:t>
      </w:r>
      <w:r>
        <w:rPr>
          <w:rStyle w:val="Ancredenotedefin"/>
          <w:rStyle w:val="Ancredenotedefin"/>
        </w:rPr>
        <w:endnoteReference w:id="51"/>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3"/>
        <w:numPr>
          <w:ilvl w:val="2"/>
          <w:numId w:val="2"/>
        </w:numPr>
        <w:rPr/>
      </w:pPr>
      <w:bookmarkStart w:id="75" w:name="__RefHeading___Toc298324_1346298689"/>
      <w:bookmarkEnd w:id="75"/>
      <w:r>
        <w:rPr/>
        <w:t>26. Voorstel: Gegevensbescherming</w:t>
      </w:r>
    </w:p>
    <w:p>
      <w:pPr>
        <w:pStyle w:val="Corpsdetexte"/>
        <w:rPr/>
      </w:pPr>
      <w:r>
        <w:rPr/>
      </w:r>
    </w:p>
    <w:p>
      <w:pPr>
        <w:pStyle w:val="P68B1DB1Normal15"/>
        <w:rPr>
          <w:b/>
          <w:b/>
        </w:rPr>
      </w:pPr>
      <w:r>
        <w:rPr/>
        <w:t>Doel: zorgen voor een meer beschermend en beter gegevensverwerkingsbeleid voor de burgers, met name:</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Maatregelen</w:t>
      </w:r>
      <w:r>
        <w:rPr>
          <w:rStyle w:val="Ancredenotedefin"/>
          <w:rStyle w:val="Ancredenotedefin"/>
        </w:rPr>
        <w:endnoteReference w:id="52"/>
      </w:r>
      <w:r>
        <w:rPr/>
        <w:t>:</w:t>
      </w:r>
    </w:p>
    <w:p>
      <w:pPr>
        <w:pStyle w:val="Puce3"/>
        <w:tabs>
          <w:tab w:val="clear" w:pos="720"/>
        </w:tabs>
        <w:rPr/>
      </w:pPr>
      <w:r>
        <w:rPr/>
        <w:t>1.</w:t>
        <w:tab/>
        <w:t>Door de bestaande wetgeving inzake gegevensbescherming volledig ten uitvoer te leggen en te herzien om na te gaan of er behoefte is aan versterkte handhavingsmechanismen voor entiteiten die persoonsgegevens verwerken, die momenteel onder de bevoegdheid van onafhankelijke nationale gegevensbeschermingsautoriteiten vallen, met inachtneming van het subsidiariteitsbeginsel. Deze entiteiten moeten strenger worden bestraft dan bij de huidige toepassing van de regels, in verhouding tot hun jaaromzet (tot 4 %) of zelfs door een verbod op hun activiteiten, en moeten onderworpen worden aan een onafhankelijke jaarlijkse controle</w:t>
      </w:r>
      <w:r>
        <w:rPr>
          <w:rStyle w:val="Ancredenotedefin"/>
          <w:rStyle w:val="Ancredenotedefin"/>
        </w:rPr>
        <w:endnoteReference w:id="53"/>
      </w:r>
      <w:r>
        <w:rPr>
          <w:rStyle w:val="Ancredenotedefin"/>
          <w:rStyle w:val="Ancredenotedefin"/>
        </w:rPr>
        <w:endnoteReference w:id="54"/>
      </w:r>
      <w:r>
        <w:rPr/>
        <w:t>.</w:t>
      </w:r>
    </w:p>
    <w:p>
      <w:pPr>
        <w:pStyle w:val="Puce3"/>
        <w:tabs>
          <w:tab w:val="clear" w:pos="720"/>
        </w:tabs>
        <w:rPr/>
      </w:pPr>
      <w:r>
        <w:rPr/>
        <w:t>2.</w:t>
        <w:tab/>
        <w:t xml:space="preserve">Door meer effect te geven aan het principe van privacy by design of standaard, bijvoorbeeld door gegevenstoestemmingsformulieren te evalueren en te ontwikkelen die gemakkelijk te begrijpen, beknopt en intuïtief zijn, en duidelijk aangeven wat nodig is en wat niet. Gebruikers moeten hun toestemming voor de verwerking van gegevens op een eenvoudige, snelle en permanente manier kunnen geven of intrekken. </w:t>
      </w:r>
      <w:r>
        <w:rPr>
          <w:rStyle w:val="Ancredenotedefin"/>
          <w:rStyle w:val="Ancredenotedefin"/>
        </w:rPr>
        <w:endnoteReference w:id="55"/>
      </w:r>
      <w:r>
        <w:rPr/>
        <w:t xml:space="preserve"> </w:t>
      </w:r>
      <w:r>
        <w:rPr>
          <w:rStyle w:val="Ancredenotedefin"/>
          <w:rStyle w:val="Ancredenotedefin"/>
        </w:rPr>
        <w:endnoteReference w:id="56"/>
      </w:r>
    </w:p>
    <w:p>
      <w:pPr>
        <w:pStyle w:val="Puce3"/>
        <w:tabs>
          <w:tab w:val="clear" w:pos="720"/>
        </w:tabs>
        <w:rPr/>
      </w:pPr>
      <w:r>
        <w:rPr/>
        <w:t>3.</w:t>
        <w:tab/>
        <w:t>Het beoordelen en invoeren van duidelijkere en meer beschermende regels voor de verwerking van gegevens over minderjarigen, eventueel in de EU-AVG, met name door het creëren van een speciale categorie voor gevoelige gegevens van minderjarigen en het harmoniseren van de minimumleeftijd voor toestemming in de lidstaten. Hoewel het grootste deel van de tenuitvoerlegging van privacy- en bewustmakingsregels onder de bevoegdheid van de lidstaten moet blijven vallen, met name door meer investeringen en middelen op nationaal niveau, moet de Unie ook een belangrijkere rol spelen, bijvoorbeeld door het creëren van Europese competenties op het gebied van burgereducatie op het gebied van gegevensbescherming</w:t>
      </w:r>
      <w:r>
        <w:rPr>
          <w:rStyle w:val="Ancredenotedefin"/>
          <w:rStyle w:val="Ancredenotedefin"/>
        </w:rPr>
        <w:endnoteReference w:id="57"/>
      </w:r>
      <w:r>
        <w:rPr/>
        <w:t>.</w:t>
      </w:r>
    </w:p>
    <w:p>
      <w:pPr>
        <w:pStyle w:val="Puce3"/>
        <w:tabs>
          <w:tab w:val="clear" w:pos="720"/>
        </w:tabs>
        <w:rPr/>
      </w:pPr>
      <w:r>
        <w:rPr/>
        <w:t>4.</w:t>
        <w:tab/>
        <w:t>Betere naleving van de criteria om in aanmerking te komen die van toepassing zijn op Europese en nationale gegevensbeschermingsautoriteiten, wat kwalificaties en geschiktheid betreft, teneinde een maximale onafhankelijkheid van hun leden te waarborgen.</w:t>
      </w:r>
      <w:r>
        <w:rPr>
          <w:rStyle w:val="Ancredenotedefin"/>
          <w:rStyle w:val="Ancredenotedefin"/>
        </w:rPr>
        <w:endnoteReference w:id="58"/>
      </w:r>
      <w:r>
        <w:rPr/>
        <w:t xml:space="preserve"> </w:t>
      </w:r>
      <w:r>
        <w:rPr>
          <w:rStyle w:val="Ancredenotedefin"/>
          <w:rStyle w:val="Ancredenotedefin"/>
        </w:rPr>
        <w:endnoteReference w:id="59"/>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3"/>
        <w:numPr>
          <w:ilvl w:val="2"/>
          <w:numId w:val="2"/>
        </w:numPr>
        <w:rPr/>
      </w:pPr>
      <w:bookmarkStart w:id="76" w:name="__RefHeading___Toc298326_1346298689"/>
      <w:bookmarkEnd w:id="76"/>
      <w:r>
        <w:rPr/>
        <w:t>27. Voorstel: Media, nepnieuws, desinformatie, fact-checking, cybersecurity</w:t>
      </w:r>
    </w:p>
    <w:p>
      <w:pPr>
        <w:pStyle w:val="P68B1DB1Normal15"/>
        <w:rPr>
          <w:b/>
          <w:b/>
        </w:rPr>
      </w:pPr>
      <w:r>
        <w:rPr/>
        <w:t>Doel: Bestrijding van desinformatie door een grotere bevordering van de onafhankelijkheid en pluriformiteit van de media en mediageletterdheid, met name:</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Maatregelen</w:t>
      </w:r>
      <w:r>
        <w:rPr>
          <w:rStyle w:val="Ancredenotedefin"/>
          <w:rStyle w:val="Ancredenotedefin"/>
        </w:rPr>
        <w:endnoteReference w:id="60"/>
      </w:r>
      <w:r>
        <w:rPr/>
        <w:t>:</w:t>
      </w:r>
    </w:p>
    <w:p>
      <w:pPr>
        <w:pStyle w:val="Puce3"/>
        <w:tabs>
          <w:tab w:val="clear" w:pos="720"/>
        </w:tabs>
        <w:rPr/>
      </w:pPr>
      <w:r>
        <w:rPr/>
        <w:t>1.</w:t>
        <w:tab/>
        <w:t>Wetgeving invoeren om bedreigingen voor de onafhankelijkheid van de media te bestrijden door middel van minimumnormen die in de hele Unie van toepassing zijn, met inbegrip van een herziening van het mediabedrijfsmodel om de integriteit en onafhankelijkheid van de Europese mediamarkt te waarborgen</w:t>
      </w:r>
      <w:r>
        <w:rPr>
          <w:rStyle w:val="Ancredenotedefin"/>
          <w:rStyle w:val="Ancredenotedefin"/>
        </w:rPr>
        <w:endnoteReference w:id="61"/>
      </w:r>
      <w:r>
        <w:rPr/>
        <w:t>.</w:t>
      </w:r>
    </w:p>
    <w:p>
      <w:pPr>
        <w:pStyle w:val="Puce3"/>
        <w:tabs>
          <w:tab w:val="clear" w:pos="720"/>
        </w:tabs>
        <w:rPr/>
      </w:pPr>
      <w:r>
        <w:rPr/>
        <w:t>2.</w:t>
        <w:tab/>
        <w:t>Strikte toepassing van de mededingingsregels van de EU in de mediasector om het ontstaan van grote mediamonopolies te voorkomen en te zorgen voor pluralisme in de media en onafhankelijkheid van ongewenste inmenging door politieke, zakelijke en/of buitenlandse landen. Kwaliteitsjournalistiek, met erkende en hoge normen op het gebied van ethiek en zelfregulering, moet ook worden aangemoedigd</w:t>
      </w:r>
      <w:r>
        <w:rPr>
          <w:rStyle w:val="Ancredenotedefin"/>
          <w:rStyle w:val="Ancredenotedefin"/>
        </w:rPr>
        <w:endnoteReference w:id="62"/>
      </w:r>
      <w:r>
        <w:rPr/>
        <w:t>.</w:t>
      </w:r>
    </w:p>
    <w:p>
      <w:pPr>
        <w:pStyle w:val="Puce3"/>
        <w:tabs>
          <w:tab w:val="clear" w:pos="720"/>
        </w:tabs>
        <w:rPr/>
      </w:pPr>
      <w:r>
        <w:rPr/>
        <w:t>3.</w:t>
        <w:tab/>
        <w:t xml:space="preserve">Oprichting van een EU-orgaan ter bestrijding van gerichte desinformatie en inmenging, verbetering van de situatieperceptie en versterking van factcheckende organisaties en onafhankelijke media. „Noodnummers” en sites, zoals Europe Direct, die burgers en nationale media in staat stellen geverifieerde informatie over EU-strategieën en -beleid op te vragen en te ontvangen, moeten ook actiever worden ondersteund en bevorderd. </w:t>
      </w:r>
      <w:r>
        <w:rPr>
          <w:rStyle w:val="Ancredenotedefin"/>
          <w:rStyle w:val="Ancredenotedefin"/>
        </w:rPr>
        <w:endnoteReference w:id="63"/>
      </w:r>
      <w:r>
        <w:rPr/>
        <w:t xml:space="preserve"> </w:t>
      </w:r>
      <w:r>
        <w:rPr>
          <w:rStyle w:val="Ancredenotedefin"/>
          <w:rStyle w:val="Ancredenotedefin"/>
        </w:rPr>
        <w:endnoteReference w:id="64"/>
      </w:r>
    </w:p>
    <w:p>
      <w:pPr>
        <w:pStyle w:val="Puce3"/>
        <w:tabs>
          <w:tab w:val="clear" w:pos="720"/>
        </w:tabs>
        <w:rPr/>
      </w:pPr>
      <w:r>
        <w:rPr/>
        <w:t>4.</w:t>
        <w:tab/>
        <w:t xml:space="preserve">Het aanmoedigen van mediageletterdheid en het publiek bewust maken van desinformatie en de onbedoelde verspreiding van nieuws, onder meer door middel van verplicht schoolonderwijs. De lidstaten moeten ook worden aangemoedigd om daartoe voldoende personele en financiële middelen te besteden. </w:t>
      </w:r>
      <w:r>
        <w:rPr>
          <w:rStyle w:val="Ancredenotedefin"/>
          <w:rStyle w:val="Ancredenotedefin"/>
        </w:rPr>
        <w:endnoteReference w:id="65"/>
      </w:r>
    </w:p>
    <w:p>
      <w:pPr>
        <w:pStyle w:val="Puce3"/>
        <w:tabs>
          <w:tab w:val="clear" w:pos="720"/>
        </w:tabs>
        <w:rPr/>
      </w:pPr>
      <w:r>
        <w:rPr/>
        <w:t>5.</w:t>
        <w:tab/>
        <w:t>Voortbouwend op bestaande initiatieven, zoals de praktijkcode tegen desinformatie en het Europees Waarnemingscentrum voor digitale media (EDMO), om onlineplatforms te verplichten duidelijke informatie te publiceren over de algoritmen die zij gebruiken (met de keuze voor gebruikers om al dan niet toestemming te geven) en de risico’s van desinformatie waaraan gebruikers worden blootgesteld, met behoud van het recht op vrijheid van meningsuiting en het recht op privacy.</w:t>
      </w:r>
      <w:r>
        <w:rPr>
          <w:rStyle w:val="Ancredenotedefin"/>
          <w:rStyle w:val="Ancredenotedefin"/>
        </w:rPr>
        <w:endnoteReference w:id="66"/>
      </w:r>
      <w:r>
        <w:rPr/>
        <w:t xml:space="preserve"> </w:t>
      </w:r>
      <w:r>
        <w:rPr>
          <w:rStyle w:val="Ancredenotedefin"/>
          <w:rStyle w:val="Ancredenotedefin"/>
        </w:rPr>
        <w:endnoteReference w:id="67"/>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3"/>
        <w:numPr>
          <w:ilvl w:val="2"/>
          <w:numId w:val="2"/>
        </w:numPr>
        <w:rPr/>
      </w:pPr>
      <w:bookmarkStart w:id="77" w:name="__RefHeading___Toc298328_1346298689"/>
      <w:bookmarkEnd w:id="77"/>
      <w:r>
        <w:rPr/>
        <w:t>28. Voorstel: Media, nepnieuws, desinformatie, fact-checking, cybersecurity (bis)</w:t>
      </w:r>
    </w:p>
    <w:p>
      <w:pPr>
        <w:pStyle w:val="P68B1DB1Normal15"/>
        <w:rPr>
          <w:b/>
          <w:b/>
        </w:rPr>
      </w:pPr>
      <w:r>
        <w:rPr/>
        <w:t>Doel: versterking van de rol van de Unie bij de aanpak van cyberdreigingen, met name:</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Maatregelen:</w:t>
      </w:r>
    </w:p>
    <w:p>
      <w:pPr>
        <w:pStyle w:val="Puce3"/>
        <w:tabs>
          <w:tab w:val="clear" w:pos="720"/>
        </w:tabs>
        <w:rPr/>
      </w:pPr>
      <w:r>
        <w:rPr/>
        <w:t>1.</w:t>
        <w:tab/>
        <w:t xml:space="preserve">Versterking van het Agentschap van de Europese Unie voor cyberbeveiliging (Enisa) om personen, organisaties en instellingen beter te beschermen tegen inbreuken op de cyberbeveiliging en het gebruik van kunstmatige intelligentie voor criminele doeleinden. Tegelijkertijd moeten de vertrouwelijkheid en de bescherming van persoonsgegevens worden bewaard. </w:t>
      </w:r>
      <w:r>
        <w:rPr>
          <w:rStyle w:val="Ancredenotedefin"/>
          <w:rStyle w:val="Ancredenotedefin"/>
        </w:rPr>
        <w:endnoteReference w:id="68"/>
      </w:r>
      <w:r>
        <w:rPr/>
        <w:t xml:space="preserve"> </w:t>
      </w:r>
      <w:r>
        <w:rPr>
          <w:rStyle w:val="Ancredenotedefin"/>
          <w:rStyle w:val="Ancredenotedefin"/>
        </w:rPr>
        <w:endnoteReference w:id="69"/>
      </w:r>
    </w:p>
    <w:p>
      <w:pPr>
        <w:pStyle w:val="Puce3"/>
        <w:tabs>
          <w:tab w:val="clear" w:pos="720"/>
        </w:tabs>
        <w:rPr/>
      </w:pPr>
      <w:r>
        <w:rPr/>
        <w:t>2.</w:t>
        <w:tab/>
        <w:t>De coördinatie van de nationale cyberbeveiligingsautoriteiten te verbeteren en extra inspanningen te leveren om te zorgen voor een doeltreffende uitvoering van de EU-regels op nationaal niveau.</w:t>
      </w:r>
      <w:r>
        <w:rPr>
          <w:rStyle w:val="Ancredenotedefin"/>
          <w:rStyle w:val="Ancredenotedefin"/>
        </w:rPr>
        <w:endnoteReference w:id="70"/>
      </w:r>
      <w:r>
        <w:rPr/>
        <w:t xml:space="preserve"> </w:t>
      </w:r>
      <w:r>
        <w:rPr>
          <w:rStyle w:val="Ancredenotedefin"/>
          <w:rStyle w:val="Ancredenotedefin"/>
        </w:rPr>
        <w:endnoteReference w:id="71"/>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Titre3"/>
        <w:numPr>
          <w:ilvl w:val="2"/>
          <w:numId w:val="2"/>
        </w:numPr>
        <w:rPr/>
      </w:pPr>
      <w:bookmarkStart w:id="78" w:name="__RefHeading___Toc298330_1346298689"/>
      <w:bookmarkEnd w:id="78"/>
      <w:r>
        <w:rPr/>
        <w:t>29. Voorstel: Bestrijding van discriminatie, gelijkheid en levenskwaliteit</w:t>
      </w:r>
    </w:p>
    <w:p>
      <w:pPr>
        <w:pStyle w:val="P68B1DB1Normal15"/>
        <w:rPr>
          <w:b/>
          <w:b/>
        </w:rPr>
      </w:pPr>
      <w:r>
        <w:rPr/>
        <w:t>DOEL: Maatregelen nemen om de levensomstandigheden in de hele Unie te harmoniseren en de sociaaleconomische levenskwaliteit van haar burgers te verbeteren, met name:</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Maatregelen</w:t>
      </w:r>
      <w:r>
        <w:rPr>
          <w:rStyle w:val="Ancredenotedefin"/>
          <w:rStyle w:val="Ancredenotedefin"/>
        </w:rPr>
        <w:endnoteReference w:id="72"/>
      </w:r>
      <w:r>
        <w:rPr/>
        <w:t>:</w:t>
      </w:r>
    </w:p>
    <w:p>
      <w:pPr>
        <w:pStyle w:val="Puce3"/>
        <w:tabs>
          <w:tab w:val="clear" w:pos="720"/>
        </w:tabs>
        <w:rPr/>
      </w:pPr>
      <w:r>
        <w:rPr/>
        <w:t>1.</w:t>
        <w:tab/>
        <w:t>Het ontwikkelen van transparante indicatoren voor de levenskwaliteit, met inbegrip van economische, sociale en rechtsstaatcriteria, in overleg met deskundigen en sociale partners, teneinde een duidelijk en realistisch tijdschema vast te stellen voor de verhoging van de sociale normen en het tot stand brengen van een gemeenschappelijke sociaaleconomische structuur van de Unie, onder meer door de uitvoering van de Europese pijler van sociale rechten. Deze maatregelen moeten worden geïntegreerd in het kader voor economische governance en het proces van het Europees semester</w:t>
      </w:r>
      <w:r>
        <w:rPr>
          <w:rStyle w:val="Ancredenotedefin"/>
          <w:rStyle w:val="Ancredenotedefin"/>
        </w:rPr>
        <w:endnoteReference w:id="73"/>
      </w:r>
      <w:r>
        <w:rPr>
          <w:rStyle w:val="Ancredenotedefin"/>
          <w:rStyle w:val="Ancredenotedefin"/>
        </w:rPr>
        <w:endnoteReference w:id="74"/>
      </w:r>
      <w:r>
        <w:rPr/>
        <w:t>.</w:t>
      </w:r>
    </w:p>
    <w:p>
      <w:pPr>
        <w:pStyle w:val="Puce3"/>
        <w:tabs>
          <w:tab w:val="clear" w:pos="720"/>
        </w:tabs>
        <w:rPr/>
      </w:pPr>
      <w:r>
        <w:rPr/>
        <w:t>2.</w:t>
        <w:tab/>
        <w:t>Het verhogen en faciliteren van directe overheidsinvesteringen in gezondheid, onderwijs, fysieke infrastructuur en zorg voor ouderen en personen met een handicap. Aanvullende investeringen moeten ook gericht zijn op een bevredigend evenwicht tussen werk en privéleven voor de burgers. Deze investeringen moeten op een volledig transparante manier worden uitgevoerd om het hele proces te monitoren</w:t>
      </w:r>
      <w:r>
        <w:rPr>
          <w:rStyle w:val="Ancredenotedefin"/>
          <w:rStyle w:val="Ancredenotedefin"/>
        </w:rPr>
        <w:endnoteReference w:id="75"/>
      </w:r>
      <w:r>
        <w:rPr/>
        <w:t>.</w:t>
      </w:r>
    </w:p>
    <w:p>
      <w:pPr>
        <w:pStyle w:val="Puce3"/>
        <w:tabs>
          <w:tab w:val="clear" w:pos="720"/>
        </w:tabs>
        <w:rPr/>
      </w:pPr>
      <w:r>
        <w:rPr/>
        <w:t>3.</w:t>
        <w:tab/>
        <w:t>Het aanmoedigen van belasting op grote ondernemingen, het bestrijden van de toegang tot belastingparadijzen en het elimineren van hun bestaan in de EU met het oog op meer overheidsinvesteringen op prioritaire gebieden zoals onderwijs (studiesubsidies, Erasmus) en onderzoek. De bestrijding van belastingontduiking op EU-niveau moet ook een middel zijn om middelen in te zamelen voor door de overheid gefinancierde initiatieven</w:t>
      </w:r>
      <w:r>
        <w:rPr>
          <w:rStyle w:val="Ancredenotedefin"/>
          <w:rStyle w:val="Ancredenotedefin"/>
        </w:rPr>
        <w:endnoteReference w:id="76"/>
      </w:r>
      <w:r>
        <w:rPr>
          <w:rStyle w:val="Ancredenotedefin"/>
          <w:rStyle w:val="Ancredenotedefin"/>
        </w:rPr>
        <w:endnoteReference w:id="77"/>
      </w:r>
      <w:r>
        <w:rPr/>
        <w:t>.</w:t>
      </w:r>
    </w:p>
    <w:p>
      <w:pPr>
        <w:pStyle w:val="Puce3"/>
        <w:tabs>
          <w:tab w:val="clear" w:pos="720"/>
        </w:tabs>
        <w:rPr/>
      </w:pPr>
      <w:r>
        <w:rPr/>
        <w:t>4.</w:t>
        <w:tab/>
        <w:t>Door EU-brede criteria vast te stellen om discriminatie op de arbeidsmarkt te bestrijden en door particuliere bedrijven aan te moedigen mensen aan te werven die over het algemeen het meest worden getroffen door discriminatie (waaronder jongeren, ouderen, vrouwen en personen uit minderheden), onder meer door middel van subsidies, en, ten tweede, tijdelijke quota. De sociale partners moeten nauw bij deze inspanningen worden betrokken. Discriminatie buiten de arbeidsmarkt moet ook bij wet worden verboden en gelijkheid moet worden aangemoedigd</w:t>
      </w:r>
      <w:r>
        <w:rPr>
          <w:rStyle w:val="Ancredenotedefin"/>
          <w:rStyle w:val="Ancredenotedefin"/>
        </w:rPr>
        <w:endnoteReference w:id="78"/>
      </w:r>
      <w:r>
        <w:rPr/>
        <w:t>.</w:t>
      </w:r>
    </w:p>
    <w:p>
      <w:pPr>
        <w:pStyle w:val="Puce3"/>
        <w:tabs>
          <w:tab w:val="clear" w:pos="720"/>
        </w:tabs>
        <w:rPr/>
      </w:pPr>
      <w:r>
        <w:rPr/>
        <w:t>5.</w:t>
        <w:tab/>
        <w:t>Zorgen voor de oprichting en vergemakkelijking van het bestaan van betaalbare kleuterscholen, zowel openbare als particuliere, evenals gratis kinderopvang voor mensen in nood</w:t>
      </w:r>
      <w:r>
        <w:rPr>
          <w:rStyle w:val="Ancredenotedefin"/>
          <w:rStyle w:val="Ancredenotedefin"/>
        </w:rPr>
        <w:endnoteReference w:id="79"/>
      </w:r>
      <w:r>
        <w:rPr/>
        <w:t>.</w:t>
      </w:r>
    </w:p>
    <w:p>
      <w:pPr>
        <w:pStyle w:val="Puce3"/>
        <w:tabs>
          <w:tab w:val="clear" w:pos="720"/>
        </w:tabs>
        <w:rPr/>
      </w:pPr>
      <w:r>
        <w:rPr/>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3"/>
        <w:numPr>
          <w:ilvl w:val="2"/>
          <w:numId w:val="2"/>
        </w:numPr>
        <w:rPr/>
      </w:pPr>
      <w:bookmarkStart w:id="79" w:name="__RefHeading___Toc298332_1346298689"/>
      <w:bookmarkEnd w:id="79"/>
      <w:r>
        <w:rPr/>
        <w:t>30. Voorstel: Dierenrechten, landbouw</w:t>
      </w:r>
    </w:p>
    <w:p>
      <w:pPr>
        <w:pStyle w:val="P68B1DB1Normal15"/>
        <w:rPr>
          <w:b/>
          <w:b/>
        </w:rPr>
      </w:pPr>
      <w:r>
        <w:rPr/>
        <w:t>Doel: Beslissende maatregelen nemen om milieuvriendelijkere en klimaatvriendelijkere landbouw te bevorderen en te waarborgen, met name:</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Maatregelen</w:t>
      </w:r>
      <w:r>
        <w:rPr>
          <w:rStyle w:val="Ancredenotedefin"/>
          <w:rStyle w:val="Ancredenotedefin"/>
        </w:rPr>
        <w:endnoteReference w:id="80"/>
      </w:r>
      <w:r>
        <w:rPr/>
        <w:t>:</w:t>
      </w:r>
    </w:p>
    <w:p>
      <w:pPr>
        <w:pStyle w:val="Puce3"/>
        <w:tabs>
          <w:tab w:val="clear" w:pos="720"/>
        </w:tabs>
        <w:rPr/>
      </w:pPr>
      <w:r>
        <w:rPr/>
        <w:t>1.</w:t>
        <w:tab/>
        <w:t>Door gedetailleerde, meetbare en tijdgebonden minimumcriteria vast te stellen voor de bescherming van landbouwhuisdieren, teneinde hogere dierenwelzijnsnormen te waarborgen in overeenstemming met de invoering van duurzaamheidsdoelstellingen en op basis van een geïntegreerde aanpak van het voedselsysteem</w:t>
      </w:r>
      <w:r>
        <w:rPr>
          <w:rStyle w:val="Ancredenotedefin"/>
          <w:rStyle w:val="Ancredenotedefin"/>
        </w:rPr>
        <w:endnoteReference w:id="81"/>
      </w:r>
      <w:r>
        <w:rPr>
          <w:rStyle w:val="Ancredenotedefin"/>
          <w:rStyle w:val="Ancredenotedefin"/>
        </w:rPr>
        <w:endnoteReference w:id="82"/>
      </w:r>
      <w:r>
        <w:rPr/>
        <w:t>.</w:t>
      </w:r>
    </w:p>
    <w:p>
      <w:pPr>
        <w:pStyle w:val="Puce3"/>
        <w:tabs>
          <w:tab w:val="clear" w:pos="720"/>
        </w:tabs>
        <w:rPr/>
      </w:pPr>
      <w:r>
        <w:rPr/>
        <w:t>2.</w:t>
        <w:tab/>
        <w:t>Financiële sancties in te voeren voor nadelige gevolgen van landbouwactiviteiten (bv. broeikasgasemissies, gebruik van pesticiden, overmatig waterverbruik, vervoer over lange afstanden, enz.) afhankelijk van de gevolgen ervan voor het milieu. Ook landbouwproducten die in de Unie worden ingevoerd, moeten op deze basis worden beoordeeld, onder meer door middel van douanerechten, om elk concurrentievoordeel dat voortvloeit uit minder strenge milieunormen weg te nemen</w:t>
      </w:r>
      <w:r>
        <w:rPr>
          <w:rStyle w:val="Ancredenotedefin"/>
          <w:rStyle w:val="Ancredenotedefin"/>
        </w:rPr>
        <w:endnoteReference w:id="83"/>
      </w:r>
      <w:r>
        <w:rPr/>
        <w:t>.</w:t>
      </w:r>
    </w:p>
    <w:p>
      <w:pPr>
        <w:pStyle w:val="Puce3"/>
        <w:tabs>
          <w:tab w:val="clear" w:pos="720"/>
        </w:tabs>
        <w:rPr/>
      </w:pPr>
      <w:r>
        <w:br w:type="column"/>
      </w:r>
      <w:r>
        <w:rPr/>
      </w:r>
    </w:p>
    <w:p>
      <w:pPr>
        <w:pStyle w:val="Puce3"/>
        <w:tabs>
          <w:tab w:val="clear" w:pos="720"/>
        </w:tabs>
        <w:rPr/>
      </w:pPr>
      <w:r>
        <w:rPr/>
        <w:t>3.</w:t>
        <w:tab/>
        <w:t>Vermindering van subsidies voor de massa landbouwproductie wanneer deze niet bijdraagt tot een duurzame transitie, en het ombuigen van deze hulpbronnen om milieuvriendelijke landbouw te ondersteunen, en tegelijkertijd de betaalbaarheid van levensmiddelen te waarborgen.</w:t>
      </w:r>
      <w:r>
        <w:rPr>
          <w:rStyle w:val="Ancredenotedefin"/>
          <w:rStyle w:val="Ancredenotedefin"/>
        </w:rPr>
        <w:endnoteReference w:id="84"/>
      </w:r>
      <w:r>
        <w:rPr/>
        <w:t xml:space="preserve"> </w:t>
      </w:r>
      <w:r>
        <w:rPr>
          <w:rStyle w:val="Ancredenotedefin"/>
          <w:rStyle w:val="Ancredenotedefin"/>
        </w:rPr>
        <w:endnoteReference w:id="85"/>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Normal"/>
        <w:rPr/>
      </w:pPr>
      <w:r>
        <w:rPr/>
        <w:drawing>
          <wp:anchor behindDoc="0" distT="0" distB="0" distL="0" distR="0" simplePos="0" locked="0" layoutInCell="1" allowOverlap="1" relativeHeight="7">
            <wp:simplePos x="0" y="0"/>
            <wp:positionH relativeFrom="column">
              <wp:posOffset>27940</wp:posOffset>
            </wp:positionH>
            <wp:positionV relativeFrom="paragraph">
              <wp:posOffset>30480</wp:posOffset>
            </wp:positionV>
            <wp:extent cx="913765" cy="913765"/>
            <wp:effectExtent l="0" t="0" r="0" b="0"/>
            <wp:wrapSquare wrapText="largest"/>
            <wp:docPr id="66" name="Afbeelding 2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Afbeelding 26" descr=""/>
                    <pic:cNvPicPr>
                      <a:picLocks noChangeAspect="1" noChangeArrowheads="1"/>
                    </pic:cNvPicPr>
                  </pic:nvPicPr>
                  <pic:blipFill>
                    <a:blip r:embed="rId78"/>
                    <a:stretch>
                      <a:fillRect/>
                    </a:stretch>
                  </pic:blipFill>
                  <pic:spPr bwMode="auto">
                    <a:xfrm>
                      <a:off x="0" y="0"/>
                      <a:ext cx="913765" cy="913765"/>
                    </a:xfrm>
                    <a:prstGeom prst="rect">
                      <a:avLst/>
                    </a:prstGeom>
                  </pic:spPr>
                </pic:pic>
              </a:graphicData>
            </a:graphic>
          </wp:anchor>
        </w:drawing>
      </w:r>
    </w:p>
    <w:p>
      <w:pPr>
        <w:pStyle w:val="Normal"/>
        <w:rPr/>
      </w:pPr>
      <w:r>
        <w:rPr/>
      </w:r>
    </w:p>
    <w:p>
      <w:pPr>
        <w:pStyle w:val="Normal"/>
        <w:rPr/>
      </w:pPr>
      <w:r>
        <w:rPr/>
      </w:r>
    </w:p>
    <w:p>
      <w:pPr>
        <w:pStyle w:val="Normal"/>
        <w:rPr/>
      </w:pPr>
      <w:r>
        <w:rPr/>
      </w:r>
    </w:p>
    <w:p>
      <w:pPr>
        <w:pStyle w:val="Titre2"/>
        <w:numPr>
          <w:ilvl w:val="1"/>
          <w:numId w:val="2"/>
        </w:numPr>
        <w:rPr/>
      </w:pPr>
      <w:bookmarkStart w:id="80" w:name="__RefHeading___Toc298334_1346298689"/>
      <w:bookmarkEnd w:id="80"/>
      <w:r>
        <w:rPr/>
        <w:t>Digitale transformatie</w:t>
      </w:r>
    </w:p>
    <w:p>
      <w:pPr>
        <w:pStyle w:val="Normal"/>
        <w:rPr/>
      </w:pPr>
      <w:r>
        <w:rPr/>
        <w:t>Europa moet een voortrekkersrol spelen in de wereld en normen stellen voor digitale transformatie, en het moet een Europees pad uitstippelen naar een ethische, mensgerichte, transparante en veilige samenleving. Europa moet een ambitieuze aanpak volgen en ten volle gebruik maken van de kansen die de digitalisering biedt en tegelijkertijd de risico’s en uitdagingen van digitalisering beheersen. Digitalisering heeft betrekking op alle gebieden van onze samenleving en moet systematisch in aanmerking worden genomen. In dit verband is verwezen naar de Europese Verklaring over digitale rechten en beginselen voor het digitale decennium en is voorgesteld om in de toekomst de mogelijke uitwerking van een handvest voor digitale rechten te overwegen.</w:t>
      </w:r>
    </w:p>
    <w:p>
      <w:pPr>
        <w:pStyle w:val="Normal"/>
        <w:rPr/>
      </w:pPr>
      <w:r>
        <w:rPr/>
        <w:t>De Russische agressie in Oekraïne bevestigt slechts veel elementen die in de voorstellen aan bod komen, zoals de noodzaak van digitale soevereiniteit, meer aandacht voor cyberdefensie en bescherming tegen desinformatie. Het bewijst ook dat hedendaagse conflicten gevolgen hebben in de digitale sfeer en roept nieuwe vragen op, zoals de langetermijngevolgen van het misbruik van persoonlijke informatie en het onwettige gebruik van deze gegevens in de toekomst.</w:t>
      </w:r>
    </w:p>
    <w:p>
      <w:pPr>
        <w:pStyle w:val="Normal"/>
        <w:rPr/>
      </w:pPr>
      <w:r>
        <w:rPr/>
      </w:r>
    </w:p>
    <w:p>
      <w:pPr>
        <w:pStyle w:val="Titre3"/>
        <w:numPr>
          <w:ilvl w:val="2"/>
          <w:numId w:val="2"/>
        </w:numPr>
        <w:rPr/>
      </w:pPr>
      <w:bookmarkStart w:id="81" w:name="__RefHeading___Toc298336_1346298689"/>
      <w:bookmarkEnd w:id="81"/>
      <w:r>
        <w:rPr/>
        <w:t>31. Voorstel: Toegang tot digitale infrastructuur</w:t>
      </w:r>
    </w:p>
    <w:p>
      <w:pPr>
        <w:pStyle w:val="Normal"/>
        <w:rPr/>
      </w:pPr>
      <w:r>
        <w:rPr/>
        <w:t>Doel: Gelijke toegang tot internet is een grondrecht voor elke Europese burger. Wij stellen voor dat iedereen in Europa daadwerkelijk toegang heeft tot internet en digitale diensten en dat de soevereiniteit van de digitale infrastructuur van de EU wordt versterkt door de volgende maatregelen uit te voeren:</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Maatregelen</w:t>
      </w:r>
      <w:r>
        <w:rPr>
          <w:rStyle w:val="Ancredenotedefin"/>
          <w:rStyle w:val="Ancredenotedefin"/>
        </w:rPr>
        <w:endnoteReference w:id="86"/>
      </w:r>
      <w:r>
        <w:rPr/>
        <w:t>:</w:t>
      </w:r>
    </w:p>
    <w:p>
      <w:pPr>
        <w:pStyle w:val="Puce3"/>
        <w:tabs>
          <w:tab w:val="clear" w:pos="720"/>
        </w:tabs>
        <w:rPr/>
      </w:pPr>
      <w:r>
        <w:rPr/>
        <w:t>1.</w:t>
        <w:tab/>
        <w:t>Investeren in hoogwaardige en innovatieve Europese digitale infrastructuur (inclusief de ontwikkeling van 5G en 6G in Europa) (aanbevelingen 40 en 47 van ECP 1 en nr. 1 van het Nederlandse NCP).</w:t>
      </w:r>
    </w:p>
    <w:p>
      <w:pPr>
        <w:pStyle w:val="Puce3"/>
        <w:tabs>
          <w:tab w:val="clear" w:pos="720"/>
        </w:tabs>
        <w:rPr/>
      </w:pPr>
      <w:r>
        <w:rPr/>
        <w:t>2.</w:t>
        <w:tab/>
        <w:t>Zorgen voor snelle, betaalbare, veilige en stabiele internettoegang in de hele Unie, met inbegrip van roaming, met voorrang voor het tot stand brengen van internetverbindingen in „witte/dode zones”, plattelands- en afgelegen en perifere gebieden om de digitale kloof tussen en binnen de lidstaten aan te pakken en ervoor te zorgen dat niemand achterblijft (aanbevelingen 17 en 47 van het Nederlandse NCP 1 en nr. 1).</w:t>
      </w:r>
    </w:p>
    <w:p>
      <w:pPr>
        <w:pStyle w:val="Puce3"/>
        <w:tabs>
          <w:tab w:val="clear" w:pos="720"/>
        </w:tabs>
        <w:rPr/>
      </w:pPr>
      <w:r>
        <w:rPr/>
        <w:t>3.</w:t>
        <w:tab/>
        <w:t>Bevorderen van de uitrol, in openbare en particuliere ruimtes, van digitale en elektrische infrastructuur die het gebruik van elektrische en autonome voertuigen mogelijk maakt (debat in de werkgroep)</w:t>
      </w:r>
      <w:r>
        <w:rPr>
          <w:rStyle w:val="Ancredenotedefin"/>
          <w:rStyle w:val="Ancredenotedefin"/>
        </w:rPr>
        <w:endnoteReference w:id="87"/>
      </w:r>
      <w:r>
        <w:rPr/>
        <w:t>.</w:t>
      </w:r>
    </w:p>
    <w:p>
      <w:pPr>
        <w:pStyle w:val="Puce3"/>
        <w:tabs>
          <w:tab w:val="clear" w:pos="720"/>
        </w:tabs>
        <w:rPr/>
      </w:pPr>
      <w:r>
        <w:rPr/>
        <w:t>4.</w:t>
        <w:tab/>
        <w:t>Maatregelen nemen om eerlijke en open concurrentie te waarborgen en monopolies, afhankelijkheid van leveranciers, gegevensconcentratie en afhankelijkheid van derde landen van infrastructuur en diensten te voorkomen; verbetering van de markten vanuit consumentenperspectief (CEP-aanbeveling nr. 17 1).</w:t>
      </w:r>
    </w:p>
    <w:p>
      <w:pPr>
        <w:pStyle w:val="Puce3"/>
        <w:tabs>
          <w:tab w:val="clear" w:pos="720"/>
        </w:tabs>
        <w:rPr/>
      </w:pPr>
      <w:r>
        <w:rPr/>
        <w:t>5.</w:t>
        <w:tab/>
        <w:t>Kinderen, gezinnen, ouderen en kwetsbare groepen een prioriteit maken op het gebied van toegang tot internet en IT-apparatuur, met inbegrip van toegang tot onderwijs, openbare diensten en gezondheid (CEP 1 Aanbeveling 17 en discussie in de werkgroep).</w:t>
      </w:r>
    </w:p>
    <w:p>
      <w:pPr>
        <w:pStyle w:val="Puce3"/>
        <w:tabs>
          <w:tab w:val="clear" w:pos="720"/>
        </w:tabs>
        <w:rPr/>
      </w:pPr>
      <w:r>
        <w:rPr/>
        <w:t>6.</w:t>
        <w:tab/>
        <w:t>De digitale toegang verbeteren, met volledige toegankelijkheid, tot essentiële openbare en particuliere diensten voor burgers en bedrijven, bijvoorbeeld met betrekking tot administratieve procedures, en zorgen voor toegang tot en ondersteuning in verband met deze diensten voor iedereen, bijvoorbeeld via ondersteunende diensten (debat in de werkgroep, meertalig digitaal platform).</w:t>
      </w:r>
    </w:p>
    <w:p>
      <w:pPr>
        <w:pStyle w:val="Puce3"/>
        <w:tabs>
          <w:tab w:val="clear" w:pos="720"/>
        </w:tabs>
        <w:rPr/>
      </w:pPr>
      <w:r>
        <w:rPr/>
        <w:t>7.</w:t>
        <w:tab/>
        <w:t>De digitale normen van hoge kwaliteit te harmoniseren en de veilige gegevensmobiliteit te verbeteren om grensoverschrijdende interoperabiliteit te vergemakkelijken (debat in de werkgroep, meertalig digitaal platform).</w:t>
      </w:r>
    </w:p>
    <w:p>
      <w:pPr>
        <w:pStyle w:val="Puce3"/>
        <w:tabs>
          <w:tab w:val="clear" w:pos="720"/>
        </w:tabs>
        <w:rPr/>
      </w:pPr>
      <w:r>
        <w:rPr/>
        <w:t>8.</w:t>
        <w:tab/>
        <w:t>Nadenken over de milieueffecten van digitale infrastructuur en digitalisering om de digitale transformatie duurzaam te maken en te evolueren naar een groene digitale samenleving (debat in de werkgroep, meertalig digitaal platform).</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Titre3"/>
        <w:numPr>
          <w:ilvl w:val="2"/>
          <w:numId w:val="2"/>
        </w:numPr>
        <w:rPr/>
      </w:pPr>
      <w:bookmarkStart w:id="82" w:name="__RefHeading___Toc298338_1346298689"/>
      <w:bookmarkEnd w:id="82"/>
      <w:r>
        <w:rPr/>
        <w:t>32. Voorstel: Digitale kennis en vaardigheden die mensen in staat stellen</w:t>
      </w:r>
    </w:p>
    <w:p>
      <w:pPr>
        <w:pStyle w:val="P68B1DB1Normal15"/>
        <w:rPr>
          <w:b/>
          <w:b/>
        </w:rPr>
      </w:pPr>
      <w:r>
        <w:rPr/>
        <w:t>Doel: Wij stellen voor dat de EU ervoor zorgt dat alle Europese burgers gebruik kunnen maken van de digitalisering door hen in staat te stellen de nodige digitale vaardigheden en kansen te verwerven door de volgende maatregelen te nemen:</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Maatregelen</w:t>
      </w:r>
      <w:r>
        <w:rPr>
          <w:rStyle w:val="Ancredenotedefin"/>
          <w:rStyle w:val="Ancredenotedefin"/>
        </w:rPr>
        <w:endnoteReference w:id="88"/>
      </w:r>
      <w:r>
        <w:rPr/>
        <w:t>:</w:t>
      </w:r>
    </w:p>
    <w:p>
      <w:pPr>
        <w:pStyle w:val="Puce3"/>
        <w:tabs>
          <w:tab w:val="clear" w:pos="720"/>
        </w:tabs>
        <w:rPr/>
      </w:pPr>
      <w:r>
        <w:rPr/>
        <w:t>1.</w:t>
        <w:tab/>
        <w:t>Zorgen voor toegang tot opleiding en onderwijs, met inbegrip van school-, formele en niet-formele curricula, tot levenslange digitale vaardigheden en kennis, op basis van bestaande initiatieven op Europees niveau, waarbij bijzondere aandacht wordt besteed aan de inclusie van mensen die tot kwetsbare groepen en ouderen behoren, alsook aan het versterken van de digitale vaardigheden van kinderen op een manier die verenigbaar is met hun goede ontwikkeling en het aanpakken van digitale ongelijkheden, met inbegrip van de digitale kloof tussen mannen en vrouwen (aanbeveling nr. 8, aanbeveling 5.2 van het Italiaanse NCP en debat in de werkgroep).</w:t>
      </w:r>
    </w:p>
    <w:p>
      <w:pPr>
        <w:pStyle w:val="Puce3"/>
        <w:tabs>
          <w:tab w:val="clear" w:pos="720"/>
        </w:tabs>
        <w:rPr/>
      </w:pPr>
      <w:r>
        <w:rPr/>
        <w:t>2.</w:t>
        <w:tab/>
        <w:t>Zorgen voor een goed gebruik van het internet door de lidstaten aan te moedigen digitale vaardigheden te ontwikkelen voor alle leeftijdsgroepen met geharmoniseerde programma’s en inhoud op Europees niveau, zoals internetrisico’s en -kansen, onlinerechten en netiquette (CEP 1-aanbeveling 47 en debat in de werkgroep).</w:t>
      </w:r>
    </w:p>
    <w:p>
      <w:pPr>
        <w:pStyle w:val="Puce3"/>
        <w:tabs>
          <w:tab w:val="clear" w:pos="720"/>
        </w:tabs>
        <w:rPr/>
      </w:pPr>
      <w:r>
        <w:rPr/>
        <w:t>3.</w:t>
        <w:tab/>
        <w:t>Alle nodige maatregelen nemen om ervoor te zorgen dat de digitalisering van de samenleving ouderen niet uitsluit en dat technologie voor hen toegankelijk is door relevante programma’s en initiatieven aan te moedigen, zoals cursussen die zijn afgestemd op hun behoeften. Tegelijkertijd moet ervoor worden gezorgd dat essentiële diensten ook persoonlijk en niet-digitaal toegankelijk zijn (CEP-aanbevelingen 34 en 47).</w:t>
      </w:r>
    </w:p>
    <w:p>
      <w:pPr>
        <w:pStyle w:val="Puce3"/>
        <w:tabs>
          <w:tab w:val="clear" w:pos="720"/>
        </w:tabs>
        <w:rPr/>
      </w:pPr>
      <w:r>
        <w:rPr/>
        <w:t>4.</w:t>
        <w:tab/>
        <w:t>Op scholen een Europese certificering inzake digitale vaardigheden invoeren die jongeren voorbereidt op de toekomstige arbeidsmarkt (CEP-aanbeveling 8 1).</w:t>
      </w:r>
    </w:p>
    <w:p>
      <w:pPr>
        <w:pStyle w:val="Puce3"/>
        <w:tabs>
          <w:tab w:val="clear" w:pos="720"/>
        </w:tabs>
        <w:rPr/>
      </w:pPr>
      <w:r>
        <w:rPr/>
        <w:t>5.</w:t>
        <w:tab/>
        <w:t>Gecoördineerde opleidingsinitiatieven op het niveau van de Unie uitvoeren voor de om- en bijscholing van werknemers om concurrerend te blijven op de arbeidsmarkt, met name met het oog op de vaardigheden en kwalificaties die nodig zijn in het midden- en kleinbedrijf, alsook met het oog op de opleiding van digitale specialisten (CEP-aanbeveling 8 en debat in de werkgroep).</w:t>
      </w:r>
    </w:p>
    <w:p>
      <w:pPr>
        <w:pStyle w:val="Puce3"/>
        <w:tabs>
          <w:tab w:val="clear" w:pos="720"/>
        </w:tabs>
        <w:rPr/>
      </w:pPr>
      <w:r>
        <w:rPr/>
        <w:t>6.</w:t>
        <w:tab/>
        <w:t>Maak bekendheid aan bestaande digitale platforms die burgers verbinden met werkgevers en hen helpen een baan te vinden in de EU, zoals Eures (CEP-aanbeveling nr. 8 1).</w:t>
      </w:r>
    </w:p>
    <w:p>
      <w:pPr>
        <w:pStyle w:val="Puce3"/>
        <w:tabs>
          <w:tab w:val="clear" w:pos="720"/>
        </w:tabs>
        <w:rPr/>
      </w:pPr>
      <w:r>
        <w:rPr/>
        <w:t>7.</w:t>
        <w:tab/>
        <w:t>Meer investeringen en inspanningen om de digitalisering van het onderwijs, met inbegrip van het hoger onderwijs, te stimuleren (debat in de werkgroep/meertalig digitaal platform).</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Titre3"/>
        <w:numPr>
          <w:ilvl w:val="2"/>
          <w:numId w:val="2"/>
        </w:numPr>
        <w:rPr/>
      </w:pPr>
      <w:bookmarkStart w:id="83" w:name="__RefHeading___Toc298340_1346298689"/>
      <w:bookmarkEnd w:id="83"/>
      <w:r>
        <w:rPr/>
        <w:t>33. Voorstel: Een veilige en betrouwbare digitale samenleving — cyberbeveiliging en desinformatie</w:t>
      </w:r>
    </w:p>
    <w:p>
      <w:pPr>
        <w:pStyle w:val="P68B1DB1Normal15"/>
        <w:rPr>
          <w:b/>
          <w:b/>
        </w:rPr>
      </w:pPr>
      <w:r>
        <w:rPr/>
        <w:t>Doel: wij stellen voor dat de EU, om een veilige, veerkrachtige en betrouwbare digitale samenleving tot stand te brengen, te zorgen voor een doeltreffende en tijdige tenuitvoerlegging van de bestaande wetgeving en meer bevoegdheden heeft om de cyberbeveiliging te versterken, illegale inhoud en cybercriminaliteit te bestrijden, de gevolgen van cyberdreigingen van niet-overheidsactoren en autoritaire staten aan te pakken en desinformatie te bestrijden door de volgende maatregelen ten uitvoer te leggen:</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Maatregelen</w:t>
      </w:r>
      <w:r>
        <w:rPr>
          <w:rStyle w:val="Ancredenotedefin"/>
          <w:rStyle w:val="Ancredenotedefin"/>
        </w:rPr>
        <w:endnoteReference w:id="89"/>
      </w:r>
      <w:r>
        <w:rPr/>
        <w:t>:</w:t>
      </w:r>
    </w:p>
    <w:p>
      <w:pPr>
        <w:pStyle w:val="Puce3"/>
        <w:tabs>
          <w:tab w:val="clear" w:pos="720"/>
        </w:tabs>
        <w:rPr/>
      </w:pPr>
      <w:r>
        <w:rPr/>
        <w:t>1.</w:t>
        <w:tab/>
        <w:t>Versterking van de capaciteiten van Europol/Europees Centrum voor cybercriminaliteit op het gebied van financiële en personele middelen, teneinde een meer proactieve aanpak van cybercriminaliteit mogelijk te maken en gemeenschappelijke Europese cyberdefensiecapaciteiten tegen grootschalige aanvallen te versterken, onder meer door betere samenwerking (ECP-aanbeveling nr. 39, Aanbeveling 2.6 van het Litouwse NCP en NCP 1 van het Nederlandse NCP en debat in de Groep).</w:t>
      </w:r>
    </w:p>
    <w:p>
      <w:pPr>
        <w:pStyle w:val="Puce3"/>
        <w:tabs>
          <w:tab w:val="clear" w:pos="720"/>
        </w:tabs>
        <w:rPr/>
      </w:pPr>
      <w:r>
        <w:rPr/>
        <w:t>2.</w:t>
        <w:tab/>
        <w:t>De nodige maatregelen nemen om voorbereid te zijn op grootschalige aanvallen en verstoringen van de dienstverlening en deze snel kunnen overwinnen, bijvoorbeeld door te zorgen voor veerkrachtige infrastructuur en alternatieve communicatiekanalen (debat in de werkgroep).</w:t>
      </w:r>
    </w:p>
    <w:p>
      <w:pPr>
        <w:pStyle w:val="Puce3"/>
        <w:tabs>
          <w:tab w:val="clear" w:pos="720"/>
        </w:tabs>
        <w:rPr/>
      </w:pPr>
      <w:r>
        <w:rPr/>
        <w:t>3.</w:t>
        <w:tab/>
        <w:t>Zorgen voor vergelijkbare sancties en de snelle en doeltreffende handhaving ervan in de lidstaten in geval van cybercriminaliteit door betere coördinatie van lokale, regionale en nationale cyberbeveiligingscentra en -autoriteiten (CEP-aanbeveling nr. 39 1).</w:t>
      </w:r>
    </w:p>
    <w:p>
      <w:pPr>
        <w:pStyle w:val="Puce3"/>
        <w:tabs>
          <w:tab w:val="clear" w:pos="720"/>
        </w:tabs>
        <w:rPr/>
      </w:pPr>
      <w:r>
        <w:rPr/>
        <w:t>4.</w:t>
        <w:tab/>
        <w:t>Digitale kennis en kritisch denken verbeteren als middel om desinformatie, onlinedreigingen en haatzaaiende uitlatingen te bestrijden, evenals verbeterde interfaces en preferentiële prijzen (debat in de werkgroep).</w:t>
      </w:r>
    </w:p>
    <w:p>
      <w:pPr>
        <w:pStyle w:val="Puce3"/>
        <w:tabs>
          <w:tab w:val="clear" w:pos="720"/>
        </w:tabs>
        <w:rPr/>
      </w:pPr>
      <w:r>
        <w:rPr/>
        <w:t>5.</w:t>
        <w:tab/>
        <w:t>Desinformatie aanpakken door wetgeving en richtsnoeren aan te nemen die ervoor zorgen dat onlineplatforms en socialemediabedrijven hun kwetsbaarheden in verband met desinformatie aanpakken en transparantiemaatregelen toepassen, waaronder bijvoorbeeld algoritmen op basis van kunstmatige intelligentie die de betrouwbaarheid van informatie op sociale media en nieuwe media kunnen benadrukken, door de gebruiker geverifieerde informatiebronnen te verschaffen. Wanneer algoritmen worden gebruikt, moet de uiteindelijke controle in besluitvormingsprocessen de verantwoordelijkheid van de mens zijn (CEP 1 Aanbeveling 46 en discussie in de werkgroep).</w:t>
      </w:r>
    </w:p>
    <w:p>
      <w:pPr>
        <w:pStyle w:val="Puce3"/>
        <w:tabs>
          <w:tab w:val="clear" w:pos="720"/>
        </w:tabs>
        <w:rPr/>
      </w:pPr>
      <w:r>
        <w:rPr/>
        <w:t>6.</w:t>
        <w:tab/>
        <w:t>Digitale platforms ondersteunen die bijdragen tot het pluralisme van de media en middelen en initiatieven ter beschikking stellen om de betrouwbaarheid en onpartijdigheid van informatie van traditionele media (televisie, gedrukte, radio) en andere media te beoordelen, met volledige inachtneming van het beginsel van mediavrijheid en om burgers informatie te verstrekken over de kwaliteit van de informatie (CEP-aanbeveling 46).</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Titre3"/>
        <w:numPr>
          <w:ilvl w:val="2"/>
          <w:numId w:val="2"/>
        </w:numPr>
        <w:rPr/>
      </w:pPr>
      <w:bookmarkStart w:id="84" w:name="__RefHeading___Toc298342_1346298689"/>
      <w:bookmarkEnd w:id="84"/>
      <w:r>
        <w:rPr/>
        <w:t>34. Voorstel: Een veilige en betrouwbare digitale samenleving — gegevensbescherming</w:t>
      </w:r>
    </w:p>
    <w:p>
      <w:pPr>
        <w:pStyle w:val="P68B1DB1Normal15"/>
        <w:rPr>
          <w:b/>
          <w:b/>
        </w:rPr>
      </w:pPr>
      <w:r>
        <w:rPr/>
        <w:t>Doel: We ondersteunen de gegevenssoevereiniteit van mensen, een beter bewustzijn en een effectievere implementatie en handhaving van de bestaande regels voor gegevensbescherming (AVG) om de controle van mensen over hun gegevens te versterken en misbruik van gegevens te beperken door de volgende maatregelen te nemen:</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Maatregelen</w:t>
      </w:r>
      <w:r>
        <w:rPr>
          <w:rStyle w:val="Ancredenotedefin"/>
          <w:rStyle w:val="Ancredenotedefin"/>
        </w:rPr>
        <w:endnoteReference w:id="90"/>
      </w:r>
      <w:r>
        <w:rPr/>
        <w:t>:</w:t>
      </w:r>
    </w:p>
    <w:p>
      <w:pPr>
        <w:pStyle w:val="Puce3"/>
        <w:tabs>
          <w:tab w:val="clear" w:pos="720"/>
        </w:tabs>
        <w:rPr/>
      </w:pPr>
      <w:r>
        <w:rPr/>
        <w:t>1.</w:t>
        <w:tab/>
        <w:t>De regels inzake gegevensbescherming beter uit te leggen, de transparantie te vergroten en de communicatie te verbeteren door richtsnoeren te ontwikkelen voor teksten met geïnformeerde toestemming die gebruik maken van eenvoudige, duidelijke en begrijpelijke taal, met inbegrip van een meer visuele presentatie om toestemming te geven voor het gebruik van gegevens, hen te begeleiden bij een informatiecampagne, en ervoor te zorgen dat gegevensbeheerders over de nodige vaardigheden beschikken en advies geven aan degenen die hulp nodig hebben (aanbevelingen 42 en 45 van de Nederlandse NCP 1 en nr. 2).</w:t>
      </w:r>
    </w:p>
    <w:p>
      <w:pPr>
        <w:pStyle w:val="Puce3"/>
        <w:tabs>
          <w:tab w:val="clear" w:pos="720"/>
        </w:tabs>
        <w:rPr/>
      </w:pPr>
      <w:r>
        <w:rPr/>
        <w:t>2.</w:t>
        <w:tab/>
        <w:t>Zorgen voor de handhaving van het bestaande verbod op toestemming voor het hergebruik of de wederverkoop van gegevens (CEP-aanbeveling nr. 42 1).</w:t>
      </w:r>
    </w:p>
    <w:p>
      <w:pPr>
        <w:pStyle w:val="Puce3"/>
        <w:tabs>
          <w:tab w:val="clear" w:pos="720"/>
        </w:tabs>
        <w:rPr/>
      </w:pPr>
      <w:r>
        <w:rPr/>
        <w:t>3.</w:t>
        <w:tab/>
        <w:t>Ervoor zorgen dat verzoeken van gebruikers om definitieve verwijdering van gegevens binnen een bepaalde termijn worden ingewilligd (CEP-aanbeveling nr. 42).</w:t>
      </w:r>
    </w:p>
    <w:p>
      <w:pPr>
        <w:pStyle w:val="Puce3"/>
        <w:tabs>
          <w:tab w:val="clear" w:pos="720"/>
        </w:tabs>
        <w:rPr/>
      </w:pPr>
      <w:r>
        <w:rPr/>
        <w:t>4.</w:t>
        <w:tab/>
        <w:t>Geef gebruikers duidelijke en beknopte informatie over hoe de gegevens zullen worden gebruikt en door wie (CEP-aanbeveling nr. 42 1)</w:t>
      </w:r>
    </w:p>
    <w:p>
      <w:pPr>
        <w:pStyle w:val="Puce3"/>
        <w:tabs>
          <w:tab w:val="clear" w:pos="720"/>
        </w:tabs>
        <w:rPr/>
      </w:pPr>
      <w:r>
        <w:rPr/>
        <w:t>5.</w:t>
        <w:tab/>
        <w:t>Ervoor zorgen dat niet-Europese bedrijven voldoen aan de Europese regels inzake gegevensbescherming (CEP 1-aanbevelingen 42 en 43).</w:t>
      </w:r>
    </w:p>
    <w:p>
      <w:pPr>
        <w:pStyle w:val="Puce3"/>
        <w:tabs>
          <w:tab w:val="clear" w:pos="720"/>
        </w:tabs>
        <w:rPr/>
      </w:pPr>
      <w:r>
        <w:rPr/>
        <w:t>6.</w:t>
        <w:tab/>
        <w:t>Het aanmoedigen van de invoering van een certificeringsregeling op EU-niveau die de naleving van de AVG op een toegankelijke, duidelijke en eenvoudige manier bevestigt, is zichtbaar op websites en platforms en moet worden afgegeven door een onafhankelijke certificerende instantie op Europees niveau. Dit mag geen onevenredige last vormen voor kleine en middelgrote ondernemingen (CEP 1-aanbeveling 44 en discussie in de werkgroep).</w:t>
      </w:r>
    </w:p>
    <w:p>
      <w:pPr>
        <w:pStyle w:val="Puce3"/>
        <w:tabs>
          <w:tab w:val="clear" w:pos="720"/>
        </w:tabs>
        <w:rPr/>
      </w:pPr>
      <w:r>
        <w:rPr/>
        <w:t>7.</w:t>
        <w:tab/>
        <w:t>Te zorgen voor efficiënte en tijdige bijstand aan burgers die moeilijkheden ondervinden om bezwaar te maken tegen de verwerking van hun gegevens of bij het intrekken van hun toestemming. Te dien einde is het op Europees niveau noodzakelijk om indringend gedrag beter te definiëren en leidende beginselen en mechanismen te ontwikkelen die burgers in staat stellen zich te verzetten tegen de verwerking van hun gegevens en hun verwijdering te verkrijgen en fraudeurs te identificeren en te bestraffen (CEP-aanbeveling 43 en debat in de werkgroep).</w:t>
      </w:r>
    </w:p>
    <w:p>
      <w:pPr>
        <w:pStyle w:val="Puce3"/>
        <w:tabs>
          <w:tab w:val="clear" w:pos="720"/>
        </w:tabs>
        <w:rPr/>
      </w:pPr>
      <w:r>
        <w:rPr/>
        <w:t>8.</w:t>
        <w:tab/>
        <w:t>Voorzien in sancties, met inbegrip van een boete die evenredig is aan de omzet van ondernemingen en beperkingen op hun activiteiten, bijvoorbeeld tijdelijke of definitieve verbodsbepalingen op ongewenste gegevensverwerking, en om de Europese Toezichthouder voor gegevensbescherming en nationale agentschappen bij te staan bij het waarborgen van de uitvoering ervan (CEP 1-aanbevelingen 42 en 43 en debat in de werkgroep).</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3"/>
        <w:numPr>
          <w:ilvl w:val="2"/>
          <w:numId w:val="2"/>
        </w:numPr>
        <w:rPr/>
      </w:pPr>
      <w:bookmarkStart w:id="85" w:name="__RefHeading___Toc298344_1346298689"/>
      <w:bookmarkEnd w:id="85"/>
      <w:r>
        <w:rPr/>
        <w:t>35. Voorstel: Digitale innovatie ter versterking van de sociale en duurzame economie</w:t>
      </w:r>
    </w:p>
    <w:p>
      <w:pPr>
        <w:pStyle w:val="Normal"/>
        <w:rPr/>
      </w:pPr>
      <w:r>
        <w:rPr/>
        <w:t>Doel: Wij stellen voor dat de EU digitaliseringsmaatregelen bevordert die de economie en de eengemaakte markt op een eerlijke en duurzame manier versterken, Europa concurrerender maken op het gebied van technologie en innovatie, de digitale eengemaakte markt voor bedrijven van elke omvang verbeteren en Europa wereldwijd vooropstellen op het gebied van digitale transformatie en mensgerichte digitalisering, waarbij de volgende maatregelen worden toegepast:</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Maatregelen</w:t>
      </w:r>
      <w:r>
        <w:rPr>
          <w:rStyle w:val="Ancredenotedefin"/>
          <w:rStyle w:val="Ancredenotedefin"/>
        </w:rPr>
        <w:endnoteReference w:id="91"/>
      </w:r>
      <w:r>
        <w:rPr/>
        <w:t>:</w:t>
      </w:r>
    </w:p>
    <w:p>
      <w:pPr>
        <w:pStyle w:val="Puce3"/>
        <w:tabs>
          <w:tab w:val="clear" w:pos="720"/>
        </w:tabs>
        <w:rPr/>
      </w:pPr>
      <w:r>
        <w:rPr/>
        <w:t>1.</w:t>
        <w:tab/>
        <w:t>Wetgeving invoeren of bestaande wetgeving inzake „mobiel werk” (mensgericht) versterken, rekening houdend met de gevolgen ervan voor de lichamelijke en geestelijke gezondheid van werknemers, bijvoorbeeld door het recht op ontkoppeling te waarborgen. Een „mensgerichte” benadering veronderstelt het beginsel van „menselijke controle” (aanbeveling nr. 7 van PCE 1 en debat in de werkgroep)</w:t>
      </w:r>
      <w:r>
        <w:rPr>
          <w:rStyle w:val="Ancredenotedefin"/>
          <w:rStyle w:val="Ancredenotedefin"/>
        </w:rPr>
        <w:endnoteReference w:id="92"/>
      </w:r>
      <w:r>
        <w:rPr/>
        <w:t>.</w:t>
      </w:r>
    </w:p>
    <w:p>
      <w:pPr>
        <w:pStyle w:val="Puce3"/>
        <w:tabs>
          <w:tab w:val="clear" w:pos="720"/>
        </w:tabs>
        <w:rPr/>
      </w:pPr>
      <w:r>
        <w:rPr/>
        <w:t>2.</w:t>
        <w:tab/>
        <w:t>Wetgeving op EU-niveau om bedrijven aan te moedigen maatschappelijk verantwoord te zijn en kwalitatief hoogwaardige „mobiele banen” in Europa te behouden, waardoor de verplaatsing van deze banen naar landen tegen lagere kosten wordt voorkomen. Stimulansen kunnen van financiële aard zijn en/of van invloed zijn op het imago van de onderneming en moeten rekening houden met internationaal erkende milieu-, sociale en governancecriteria (ESG). Te dien einde moet de Unie een werkgroep oprichten die bestaat uit deskundigen van alle belanghebbende partijen om deze wetgeving te herzien en te versterken (CEP-aanbeveling 7).</w:t>
      </w:r>
    </w:p>
    <w:p>
      <w:pPr>
        <w:pStyle w:val="Puce3"/>
        <w:tabs>
          <w:tab w:val="clear" w:pos="720"/>
        </w:tabs>
        <w:rPr/>
      </w:pPr>
      <w:r>
        <w:rPr/>
        <w:t>3.</w:t>
        <w:tab/>
        <w:t>Zorgen voor menselijke controle over besluitvormingsprocessen met behulp van kunstmatige intelligentie op de werkplek en transparantie van de gebruikte algoritmen; rekening te houden met de schadelijke effecten van grenzeloos digitaal toezicht op de werkplek; het informeren en raadplegen van werknemers vóór de invoering van digitale technologieën die van invloed zijn op de arbeidsomstandigheden; ervoor zorgen dat nieuwe vormen van werkgelegenheid, bijvoorbeeld platformwerk, in overeenstemming zijn met de rechten van werknemers en passende arbeidsvoorwaarden bieden (debat in de werkgroep).</w:t>
      </w:r>
    </w:p>
    <w:p>
      <w:pPr>
        <w:pStyle w:val="Puce3"/>
        <w:tabs>
          <w:tab w:val="clear" w:pos="720"/>
        </w:tabs>
        <w:rPr/>
      </w:pPr>
      <w:r>
        <w:rPr/>
        <w:t>4.</w:t>
        <w:tab/>
        <w:t>Initiatieven nemen om werk op afstand te ondersteunen, bijvoorbeeld door kantoorruimten te creëren met snelle en betrouwbare internettoegang, digitale training te organiseren en middelen te bieden voor ergonomische apparatuur voor thuiswerk (CEP 1-aanbeveling 17 en discussie in de werkgroep).</w:t>
      </w:r>
    </w:p>
    <w:p>
      <w:pPr>
        <w:pStyle w:val="Puce3"/>
        <w:tabs>
          <w:tab w:val="clear" w:pos="720"/>
        </w:tabs>
        <w:rPr/>
      </w:pPr>
      <w:r>
        <w:rPr/>
        <w:t>5.</w:t>
        <w:tab/>
        <w:t>Het opzetten van een openbaar beschikbaar digitaal scorebord, dat een rangschikkingssysteem creëert waarin het huidige digitaliseringsniveau van EU-bedrijven (Duitse NCP) wordt aangegeven en vergeleken.</w:t>
      </w:r>
    </w:p>
    <w:p>
      <w:pPr>
        <w:pStyle w:val="Puce3"/>
        <w:tabs>
          <w:tab w:val="clear" w:pos="720"/>
        </w:tabs>
        <w:rPr/>
      </w:pPr>
      <w:r>
        <w:rPr/>
        <w:t>6.</w:t>
        <w:tab/>
        <w:t>Het opbouwen van een sterke en concurrerende digitale economie en het delen van de voordelen van digitale transformatie in heel Europa door de nadruk te leggen op technologie en innovatie als aanjagers van groei, door transformatief baanbrekend onderzoek aan te moedigen, en ruimte te bieden voor innovatie-ecosystemen in alle regio’s door de bedrijfsomgeving van kmo’s en start-ups te verbeteren en eerlijke toegang tot financiering te bieden en juridische of andere lasten die grensoverschrijdende activiteiten belemmeren weg te nemen (Italiaanse NCP-aanbeveling 1.3, discussie over de werkgroep en meertalig digitaal platform). Het opbouwen van een data-infrastructuur op basis van Europese waarden; de beginselen van „digitale prioriteit” en „één enkele doorgifte van informatie” toe te passen en digitale en veilige toegang tot gegevens voor innovatie en bedrijven te vergemakkelijken; de digitalisering van overheidsdiensten aanmoedigen (debat in de werkgroep en meertalig digitaal platform). Ten volle profiteren van het potentieel van het betrouwbare en verantwoorde gebruik van kunstmatige intelligentie en profiteren van het potentieel van blockchain- en clouddienstentechnologie, door waarborgen en normen te definiëren die transparantie en interoperabiliteit waarborgen, vertrouwen creëren, het gebruik vergemakkelijken en discriminerende of bevooroordeelde algoritmen elimineren (debat in de werkgroep en meertalig digitaal platform).</w:t>
      </w:r>
    </w:p>
    <w:p>
      <w:pPr>
        <w:pStyle w:val="Puce3"/>
        <w:tabs>
          <w:tab w:val="clear" w:pos="720"/>
        </w:tabs>
        <w:rPr/>
      </w:pPr>
      <w:r>
        <w:rPr/>
        <w:t>9.</w:t>
        <w:tab/>
        <w:t>Het bevorderen van vrije software, het gebruik ervan in onderwijs en opleiding en vrije toegang tot door de overheid gefinancierd onderzoek en software (debat in de werkgroep en meertalig digitaal platform).</w:t>
      </w:r>
    </w:p>
    <w:p>
      <w:pPr>
        <w:pStyle w:val="Puce3"/>
        <w:tabs>
          <w:tab w:val="clear" w:pos="720"/>
        </w:tabs>
        <w:rPr/>
      </w:pPr>
      <w:r>
        <w:rPr/>
        <w:t>10.</w:t>
        <w:tab/>
        <w:t>Invoering van een gemeenschappelijke Europese digitale identiteit om grensoverschrijdende digitale transacties en diensten te vergemakkelijken door middel van een kader van Europese normen en leidende beginselen die de nodige waarborgen bieden (debat in de werkgroep en meertalig digitaal platform).</w:t>
      </w:r>
    </w:p>
    <w:p>
      <w:pPr>
        <w:pStyle w:val="Puce3"/>
        <w:tabs>
          <w:tab w:val="clear" w:pos="720"/>
        </w:tabs>
        <w:rPr/>
      </w:pPr>
      <w:r>
        <w:rPr/>
        <w:t>11.</w:t>
        <w:tab/>
        <w:t>Beoordelen of het mogelijk is informatie over consumenten en levensmiddelen te digitaliseren door middel van een gestandaardiseerde Europese toepassing die gebruikersvriendelijkere toegang tot informatie zou bieden en aanvullende product- en productieketeninformatie zou verstrekken (CEP-aanbeveling nr. 16).</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Normal"/>
        <w:rPr/>
      </w:pPr>
      <w:r>
        <w:rPr/>
      </w:r>
      <w:r>
        <w:br w:type="page"/>
      </w:r>
    </w:p>
    <w:p>
      <w:pPr>
        <w:pStyle w:val="Normal"/>
        <w:rPr/>
      </w:pPr>
      <w:r>
        <w:rPr/>
        <w:drawing>
          <wp:anchor behindDoc="0" distT="0" distB="0" distL="0" distR="0" simplePos="0" locked="0" layoutInCell="1" allowOverlap="1" relativeHeight="4">
            <wp:simplePos x="0" y="0"/>
            <wp:positionH relativeFrom="column">
              <wp:posOffset>14605</wp:posOffset>
            </wp:positionH>
            <wp:positionV relativeFrom="paragraph">
              <wp:posOffset>26035</wp:posOffset>
            </wp:positionV>
            <wp:extent cx="913765" cy="913765"/>
            <wp:effectExtent l="0" t="0" r="0" b="0"/>
            <wp:wrapSquare wrapText="largest"/>
            <wp:docPr id="67" name="Afbeelding2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Afbeelding27" descr=""/>
                    <pic:cNvPicPr>
                      <a:picLocks noChangeAspect="1" noChangeArrowheads="1"/>
                    </pic:cNvPicPr>
                  </pic:nvPicPr>
                  <pic:blipFill>
                    <a:blip r:embed="rId79"/>
                    <a:stretch>
                      <a:fillRect/>
                    </a:stretch>
                  </pic:blipFill>
                  <pic:spPr bwMode="auto">
                    <a:xfrm>
                      <a:off x="0" y="0"/>
                      <a:ext cx="913765" cy="913765"/>
                    </a:xfrm>
                    <a:prstGeom prst="rect">
                      <a:avLst/>
                    </a:prstGeom>
                  </pic:spPr>
                </pic:pic>
              </a:graphicData>
            </a:graphic>
          </wp:anchor>
        </w:drawing>
      </w:r>
    </w:p>
    <w:p>
      <w:pPr>
        <w:pStyle w:val="Normal"/>
        <w:rPr/>
      </w:pPr>
      <w:r>
        <w:rPr/>
      </w:r>
    </w:p>
    <w:p>
      <w:pPr>
        <w:pStyle w:val="Normal"/>
        <w:rPr/>
      </w:pPr>
      <w:r>
        <w:rPr/>
      </w:r>
    </w:p>
    <w:p>
      <w:pPr>
        <w:pStyle w:val="Normal"/>
        <w:rPr/>
      </w:pPr>
      <w:r>
        <w:rPr/>
      </w:r>
    </w:p>
    <w:p>
      <w:pPr>
        <w:pStyle w:val="Titre2"/>
        <w:numPr>
          <w:ilvl w:val="1"/>
          <w:numId w:val="2"/>
        </w:numPr>
        <w:rPr/>
      </w:pPr>
      <w:bookmarkStart w:id="86" w:name="__RefHeading___Toc298346_1346298689"/>
      <w:bookmarkEnd w:id="86"/>
      <w:r>
        <w:rPr/>
        <w:t>„</w:t>
      </w:r>
      <w:r>
        <w:rPr/>
        <w:t>Europese democratie”</w:t>
      </w:r>
    </w:p>
    <w:p>
      <w:pPr>
        <w:pStyle w:val="Titre3"/>
        <w:numPr>
          <w:ilvl w:val="2"/>
          <w:numId w:val="2"/>
        </w:numPr>
        <w:rPr/>
      </w:pPr>
      <w:bookmarkStart w:id="87" w:name="__RefHeading___Toc298348_1346298689"/>
      <w:bookmarkEnd w:id="87"/>
      <w:r>
        <w:rPr/>
        <w:t>36. Voorstel: Voorlichting aan burgers, participatie en jongeren</w:t>
      </w:r>
    </w:p>
    <w:p>
      <w:pPr>
        <w:pStyle w:val="P68B1DB1Normal15"/>
        <w:rPr>
          <w:b/>
          <w:b/>
        </w:rPr>
      </w:pPr>
      <w:r>
        <w:rPr/>
        <w:t>Doel: De participatie van de burgers en de betrokkenheid van jongeren bij de democratie op EU-niveau te vergroten, teneinde een „volledige burgerervaring” voor Europeanen te creëren; ervoor zorgen dat rekening wordt gehouden met hun standpunten, ook buiten verkiezingsperioden, en dat hun deelname reëel is. Daarom moet worden bepaald welke vorm van deelname het meest geschikt is voor elk thema, bijvoorbeeld:</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Puce3"/>
        <w:tabs>
          <w:tab w:val="clear" w:pos="720"/>
        </w:tabs>
        <w:rPr/>
      </w:pPr>
      <w:r>
        <w:rPr/>
        <w:t>1.</w:t>
        <w:tab/>
        <w:t>Het ontwikkelen van nieuwe mechanismen voor de participatie van de burgers en het doeltreffender maken van bestaande mechanismen, in overeenstemming met het Europees acquis, en tegelijkertijd de communicatie over al deze mechanismen verbeteren. Idealiter moet alle informatie over participatieve ruimtes worden samengevat</w:t>
      </w:r>
      <w:r>
        <w:rPr>
          <w:rStyle w:val="Ancredenotedefin"/>
          <w:rStyle w:val="Ancredenotedefin"/>
        </w:rPr>
        <w:endnoteReference w:id="93"/>
      </w:r>
      <w:r>
        <w:rPr/>
        <w:t xml:space="preserve"> op een volledige officiële website met verschillende functionaliteiten</w:t>
      </w:r>
      <w:r>
        <w:rPr>
          <w:rStyle w:val="Ancredenotedefin"/>
          <w:rStyle w:val="Ancredenotedefin"/>
        </w:rPr>
        <w:endnoteReference w:id="94"/>
      </w:r>
      <w:r>
        <w:rPr/>
        <w:t>. Er moet een mechanisme worden ontwikkeld voor het toezicht op politieke en wetgevende initiatieven die voortvloeien uit participatieve democratieprocessen</w:t>
      </w:r>
      <w:r>
        <w:rPr>
          <w:rStyle w:val="Ancredenotedefin"/>
          <w:rStyle w:val="Ancredenotedefin"/>
        </w:rPr>
        <w:endnoteReference w:id="95"/>
      </w:r>
      <w:r>
        <w:rPr/>
        <w:t>. Participatieve mechanismen moeten allemaal gericht zijn op de hele bevolking om een verscheidenheid aan doelgroepen te bereiken. Er moet aandacht worden besteed aan de inhoud, onderwerpen en vaardigheden van de moderators. Deze mechanismen moeten gebaseerd zijn op een analyse van de gevolgen van de maatregelen in kwestie, met name voor vrouwen en kwetsbare personen</w:t>
      </w:r>
      <w:r>
        <w:rPr>
          <w:rStyle w:val="Ancredenotedefin"/>
          <w:rStyle w:val="Ancredenotedefin"/>
        </w:rPr>
        <w:endnoteReference w:id="96"/>
      </w:r>
      <w:r>
        <w:rPr/>
        <w:t>.</w:t>
      </w:r>
    </w:p>
    <w:p>
      <w:pPr>
        <w:pStyle w:val="Puce3"/>
        <w:tabs>
          <w:tab w:val="clear" w:pos="720"/>
        </w:tabs>
        <w:rPr/>
      </w:pPr>
      <w:r>
        <w:rPr/>
        <w:t>2.</w:t>
        <w:tab/>
        <w:t>Door de frequentie van online en offline interacties tussen de EU-instellingen en burgers met verschillende middelen te verhogen, om ervoor te zorgen dat zij kunnen deelnemen aan het Europese beleidsvormingsproces, hun mening kunnen uiten en feedback kunnen krijgen, en een handvest kunnen opstellen over de participatie van de burgers voor Europese ambtenaren</w:t>
      </w:r>
      <w:r>
        <w:rPr>
          <w:rStyle w:val="Ancredenotedefin"/>
          <w:rStyle w:val="Ancredenotedefin"/>
        </w:rPr>
        <w:endnoteReference w:id="97"/>
      </w:r>
      <w:r>
        <w:rPr/>
        <w:t>.</w:t>
      </w:r>
    </w:p>
    <w:p>
      <w:pPr>
        <w:pStyle w:val="Puce3"/>
        <w:tabs>
          <w:tab w:val="clear" w:pos="720"/>
        </w:tabs>
        <w:rPr/>
      </w:pPr>
      <w:r>
        <w:rPr/>
        <w:t>3.</w:t>
        <w:tab/>
        <w:t>Een gebruiksvriendelijk digitaal platform voorstellen waar burgers — en met name jongeren — hun ideeën kunnen delen, vragen kunnen stellen aan vertegenwoordigers van de Europese instellingen en hun mening kunnen uiten over belangrijke Europese kwesties en wetgevingsvoorstellen. Er moet ook worden voorzien in de mogelijkheid om online enquêtes op dit platform te organiseren</w:t>
      </w:r>
      <w:r>
        <w:rPr>
          <w:rStyle w:val="Ancredenotedefin"/>
          <w:rStyle w:val="Ancredenotedefin"/>
        </w:rPr>
        <w:endnoteReference w:id="98"/>
      </w:r>
      <w:r>
        <w:rPr/>
        <w:t>.</w:t>
      </w:r>
    </w:p>
    <w:p>
      <w:pPr>
        <w:pStyle w:val="Puce3"/>
        <w:tabs>
          <w:tab w:val="clear" w:pos="720"/>
        </w:tabs>
        <w:rPr/>
      </w:pPr>
      <w:r>
        <w:rPr/>
        <w:t>4.</w:t>
        <w:tab/>
        <w:t>Verbetering en harmonisering van bestaande mechanismen op Europees, nationaal en lokaal niveau om ze veiliger, toegankelijker, zichtbaarder en inclusiever te maken</w:t>
      </w:r>
      <w:r>
        <w:rPr>
          <w:rStyle w:val="Ancredenotedefin"/>
          <w:rStyle w:val="Ancredenotedefin"/>
        </w:rPr>
        <w:endnoteReference w:id="99"/>
      </w:r>
      <w:r>
        <w:rPr/>
        <w:t>.</w:t>
      </w:r>
    </w:p>
    <w:p>
      <w:pPr>
        <w:pStyle w:val="Puce3"/>
        <w:tabs>
          <w:tab w:val="clear" w:pos="720"/>
        </w:tabs>
        <w:rPr/>
      </w:pPr>
      <w:r>
        <w:rPr/>
        <w:t>5.</w:t>
        <w:tab/>
        <w:t>Maatschappelijke organisaties, regionale en lokale overheden en bestaande instanties, zoals het Europees Economisch en Sociaal Comité (EESC) en het Comité van de Regio’s (CvdR</w:t>
      </w:r>
      <w:r>
        <w:rPr>
          <w:rStyle w:val="Ancredenotedefin"/>
          <w:rStyle w:val="Ancredenotedefin"/>
        </w:rPr>
        <w:endnoteReference w:id="100"/>
      </w:r>
      <w:r>
        <w:rPr/>
        <w:t>) te betrekken bij burgerparticipatieprocessen</w:t>
      </w:r>
      <w:r>
        <w:rPr>
          <w:rStyle w:val="Ancredenotedefin"/>
          <w:rStyle w:val="Ancredenotedefin"/>
        </w:rPr>
        <w:endnoteReference w:id="101"/>
      </w:r>
      <w:r>
        <w:rPr/>
        <w:t>.</w:t>
      </w:r>
    </w:p>
    <w:p>
      <w:pPr>
        <w:pStyle w:val="Puce3"/>
        <w:tabs>
          <w:tab w:val="clear" w:pos="720"/>
        </w:tabs>
        <w:rPr/>
      </w:pPr>
      <w:r>
        <w:rPr/>
        <w:t>6.</w:t>
        <w:tab/>
        <w:t>Door een systeem van lokale EU-adviseurs op te zetten om de Europese instellingen dichter bij de Europese burgers te brengen</w:t>
      </w:r>
      <w:r>
        <w:rPr>
          <w:rStyle w:val="Ancredenotedefin"/>
          <w:rStyle w:val="Ancredenotedefin"/>
        </w:rPr>
        <w:endnoteReference w:id="102"/>
      </w:r>
      <w:r>
        <w:rPr/>
        <w:t>.</w:t>
      </w:r>
    </w:p>
    <w:p>
      <w:pPr>
        <w:pStyle w:val="Puce3"/>
        <w:tabs>
          <w:tab w:val="clear" w:pos="720"/>
        </w:tabs>
        <w:rPr/>
      </w:pPr>
      <w:r>
        <w:rPr/>
        <w:t>7.</w:t>
        <w:tab/>
        <w:t>Het periodiek bijeenbrengen van burgervergaderingen op juridisch bindende basis van het EU-recht. Deelnemers worden door loting getrokken op basis van representativiteitscriteria, en deelname zal sterk worden aangemoedigd. Indien nodig verstrekken specialisten de leden van de vergadering informatie die relevant is voor hun beraadslagingen. Indien de instellingen geen rekening houden met de conclusies van die vergaderingen, zullen zij hun besluit moeten motiveren</w:t>
      </w:r>
      <w:r>
        <w:rPr>
          <w:rStyle w:val="Ancredenotedefin"/>
          <w:rStyle w:val="Ancredenotedefin"/>
        </w:rPr>
        <w:endnoteReference w:id="103"/>
      </w:r>
      <w:r>
        <w:rPr/>
        <w:t>. Het is belangrijk dat gekozen vertegenwoordigers de burgers en het maatschappelijk middenveld raadplegen alvorens politieke beslissingen te nemen en rekening te houden met hun bijdragen. De Europese Unie is gebaseerd op representatieve democratie: bij de Europese verkiezingen geven burgers een duidelijke boodschap aan hun vertegenwoordigers en spreken ze indirect over het EU-beleid</w:t>
      </w:r>
      <w:r>
        <w:rPr>
          <w:rStyle w:val="Ancredenotedefin"/>
          <w:rStyle w:val="Ancredenotedefin"/>
        </w:rPr>
        <w:endnoteReference w:id="104"/>
      </w:r>
      <w:r>
        <w:rPr/>
        <w:t>.</w:t>
      </w:r>
    </w:p>
    <w:p>
      <w:pPr>
        <w:pStyle w:val="Puce3"/>
        <w:tabs>
          <w:tab w:val="clear" w:pos="720"/>
        </w:tabs>
        <w:rPr/>
      </w:pPr>
      <w:r>
        <w:rPr/>
        <w:t>8.</w:t>
        <w:tab/>
        <w:t>Het verlenen van meer financiële of andere structurele steun aan het maatschappelijk middenveld, met name jongeren, en lokale overheden om lokale jeugdraden op te richten</w:t>
      </w:r>
      <w:r>
        <w:rPr>
          <w:rStyle w:val="Ancredenotedefin"/>
          <w:rStyle w:val="Ancredenotedefin"/>
        </w:rPr>
        <w:endnoteReference w:id="105"/>
      </w:r>
      <w:r>
        <w:rPr/>
        <w:t>; de betrokkenheid van het maatschappelijk middenveld en de sociale partners zou een volledige pijler van het actieplan voor Europese democratie kunnen zijn en een specifieke strategie zou kunnen worden gewijd aan het maatschappelijk middenveld</w:t>
      </w:r>
      <w:r>
        <w:rPr>
          <w:rStyle w:val="Ancredenotedefin"/>
          <w:rStyle w:val="Ancredenotedefin"/>
        </w:rPr>
        <w:endnoteReference w:id="106"/>
      </w:r>
      <w:r>
        <w:rPr/>
        <w:t>.</w:t>
      </w:r>
    </w:p>
    <w:p>
      <w:pPr>
        <w:pStyle w:val="Puce3"/>
        <w:tabs>
          <w:tab w:val="clear" w:pos="720"/>
        </w:tabs>
        <w:rPr/>
      </w:pPr>
      <w:r>
        <w:rPr/>
        <w:t>9.</w:t>
        <w:tab/>
        <w:t>Invoering van een „jeugdcontrole” van de wetgeving, met inbegrip van een effectbeoordeling en een mechanisme voor raadpleging van vertegenwoordigers van jongeren, waarbij wetgeving gevolgen kan hebben voor jongeren</w:t>
      </w:r>
      <w:r>
        <w:rPr>
          <w:rStyle w:val="Ancredenotedefin"/>
          <w:rStyle w:val="Ancredenotedefin"/>
        </w:rPr>
        <w:endnoteReference w:id="107"/>
      </w:r>
      <w:r>
        <w:rPr/>
        <w:t>.</w:t>
      </w:r>
    </w:p>
    <w:p>
      <w:pPr>
        <w:pStyle w:val="Puce3"/>
        <w:tabs>
          <w:tab w:val="clear" w:pos="720"/>
        </w:tabs>
        <w:rPr/>
      </w:pPr>
      <w:r>
        <w:br w:type="column"/>
      </w:r>
      <w:r>
        <w:rPr/>
      </w:r>
    </w:p>
    <w:p>
      <w:pPr>
        <w:pStyle w:val="Puce3"/>
        <w:tabs>
          <w:tab w:val="clear" w:pos="720"/>
        </w:tabs>
        <w:rPr/>
      </w:pPr>
      <w:r>
        <w:rPr/>
        <w:t>10.</w:t>
        <w:tab/>
        <w:t>Door de samenwerking tussen EU-wetgevers en maatschappelijke organisaties te versterken om te profiteren van hun banden tussen besluitvormers en burgers</w:t>
      </w:r>
      <w:r>
        <w:rPr>
          <w:rStyle w:val="Ancredenotedefin"/>
          <w:rStyle w:val="Ancredenotedefin"/>
        </w:rPr>
        <w:endnoteReference w:id="108"/>
      </w:r>
      <w:r>
        <w:rPr/>
        <w:t>.</w:t>
      </w:r>
    </w:p>
    <w:p>
      <w:pPr>
        <w:pStyle w:val="Puce3"/>
        <w:tabs>
          <w:tab w:val="clear" w:pos="720"/>
        </w:tabs>
        <w:rPr/>
      </w:pPr>
      <w:r>
        <w:rPr/>
        <w:t>11.</w:t>
        <w:tab/>
        <w:t>Een samenvatting van de punten over de deelname van burgers aan een Europees Handvest voor de bijdrage van de burger aan Europese aangelegenheden.</w:t>
      </w:r>
    </w:p>
    <w:p>
      <w:pPr>
        <w:pStyle w:val="Normal"/>
        <w:rPr/>
      </w:pPr>
      <w:r>
        <w:rPr/>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Titre3"/>
        <w:numPr>
          <w:ilvl w:val="2"/>
          <w:numId w:val="2"/>
        </w:numPr>
        <w:rPr/>
      </w:pPr>
      <w:bookmarkStart w:id="88" w:name="__RefHeading___Toc298350_1346298689"/>
      <w:bookmarkEnd w:id="88"/>
      <w:r>
        <w:rPr/>
        <w:t>37. Voorstel: Voorlichting aan burgers, participatie en jongeren (a)</w:t>
      </w:r>
    </w:p>
    <w:p>
      <w:pPr>
        <w:pStyle w:val="P68B1DB1Normal15"/>
        <w:rPr>
          <w:b/>
          <w:b/>
        </w:rPr>
      </w:pPr>
      <w:r>
        <w:rPr/>
        <w:t>Doel: De Europese Unie begrijpelijker en toegankelijker maken; versterking van de gemeenschappelijke Europese identiteit, met name:</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Puce3"/>
        <w:tabs>
          <w:tab w:val="clear" w:pos="720"/>
        </w:tabs>
        <w:rPr/>
      </w:pPr>
      <w:r>
        <w:rPr/>
        <w:t>1.</w:t>
        <w:tab/>
      </w:r>
      <w:r>
        <w:rPr>
          <w:rStyle w:val="Ancredenotedefin"/>
          <w:rStyle w:val="Ancredenotedefin"/>
          <w:b/>
        </w:rPr>
        <w:endnoteReference w:id="109"/>
      </w:r>
      <w:r>
        <w:rPr/>
        <w:t>Zorgen voor een minimum aan onderwijs in de Europese Unie, met name haar democratische processen, zonder de geschiedenis van de Europese integratie en het Europees burgerschap te verwaarlozen. Mensen van alle leeftijden moeten kunnen profiteren van deze programma’s, die op een aantrekkelijke en leeftijdsgeschikte manier moeten worden ontworpen, zoals de ontwikkeling van specifieke onderwijsprogramma’s en -materiaal voor kinderen, scholen</w:t>
      </w:r>
      <w:r>
        <w:rPr>
          <w:rStyle w:val="Ancredenotedefin"/>
          <w:rStyle w:val="Ancredenotedefin"/>
        </w:rPr>
        <w:endnoteReference w:id="110"/>
      </w:r>
      <w:r>
        <w:rPr/>
        <w:t xml:space="preserve"> en maatschappelijke organisaties die actief zijn in het niet-formeel onderwijs</w:t>
      </w:r>
      <w:r>
        <w:rPr>
          <w:rStyle w:val="Ancredenotedefin"/>
          <w:rStyle w:val="Ancredenotedefin"/>
        </w:rPr>
        <w:endnoteReference w:id="111"/>
      </w:r>
      <w:r>
        <w:rPr/>
        <w:t>.</w:t>
      </w:r>
    </w:p>
    <w:p>
      <w:pPr>
        <w:pStyle w:val="Puce3"/>
        <w:tabs>
          <w:tab w:val="clear" w:pos="720"/>
        </w:tabs>
        <w:rPr/>
      </w:pPr>
      <w:r>
        <w:rPr/>
        <w:t>2.</w:t>
        <w:tab/>
        <w:t>Ervoor zorgen dat alle burgers gemakkelijk toegang hebben tot betrouwbare informatie over de Unie. De Europese instellingen moeten meer toegankelijke taal gebruiken en het gebruik van bureaucratisch jargon in hun communicatie vermijden, met behoud van de kwaliteit en het technische niveau van</w:t>
      </w:r>
      <w:r>
        <w:rPr>
          <w:rStyle w:val="Ancredenotedefin"/>
          <w:rStyle w:val="Ancredenotedefin"/>
        </w:rPr>
        <w:endnoteReference w:id="112"/>
      </w:r>
      <w:r>
        <w:rPr/>
        <w:t xml:space="preserve"> de verstrekte informatie, en de informatie aanpassen aan de verschillende communicatiekanalen en ontvangersprofielen</w:t>
      </w:r>
      <w:r>
        <w:rPr>
          <w:rStyle w:val="Ancredenotedefin"/>
          <w:rStyle w:val="Ancredenotedefin"/>
        </w:rPr>
        <w:endnoteReference w:id="113"/>
      </w:r>
      <w:r>
        <w:rPr/>
        <w:t>. Er moeten speciale inspanningen worden geleverd om jongeren op sociale netwerken te bereiken, maar ook via jeugdbewegingen en verschillende „ambassadeurs” (organisaties en individuen) die</w:t>
      </w:r>
      <w:r>
        <w:rPr>
          <w:rStyle w:val="Ancredenotedefin"/>
          <w:rStyle w:val="Ancredenotedefin"/>
        </w:rPr>
        <w:endnoteReference w:id="114"/>
      </w:r>
      <w:r>
        <w:rPr/>
        <w:t xml:space="preserve"> het Europese project uitleggen</w:t>
      </w:r>
      <w:r>
        <w:rPr>
          <w:rStyle w:val="Ancredenotedefin"/>
          <w:rStyle w:val="Ancredenotedefin"/>
        </w:rPr>
        <w:endnoteReference w:id="115"/>
      </w:r>
      <w:r>
        <w:rPr/>
        <w:t>.</w:t>
      </w:r>
    </w:p>
    <w:p>
      <w:pPr>
        <w:pStyle w:val="Puce3"/>
        <w:tabs>
          <w:tab w:val="clear" w:pos="720"/>
        </w:tabs>
        <w:rPr/>
      </w:pPr>
      <w:r>
        <w:rPr/>
        <w:t>3.</w:t>
        <w:tab/>
        <w:t>Meer gebruik maken van kunstmatige intelligentie en machinevertaling om</w:t>
      </w:r>
      <w:r>
        <w:rPr>
          <w:rStyle w:val="Ancredenotedefin"/>
          <w:rStyle w:val="Ancredenotedefin"/>
        </w:rPr>
        <w:endnoteReference w:id="116"/>
      </w:r>
      <w:r>
        <w:rPr/>
        <w:t xml:space="preserve"> de taalbarrière te overwinnen, ervoor te</w:t>
      </w:r>
      <w:r>
        <w:rPr>
          <w:rStyle w:val="Ancredenotedefin"/>
          <w:rStyle w:val="Ancredenotedefin"/>
        </w:rPr>
        <w:endnoteReference w:id="117"/>
      </w:r>
      <w:r>
        <w:rPr/>
        <w:t>zorgen dat alle digitale hulpmiddelen toegankelijk zijn voor mensen met een handicap</w:t>
      </w:r>
      <w:r>
        <w:rPr>
          <w:rStyle w:val="Ancredenotedefin"/>
          <w:rStyle w:val="Ancredenotedefin"/>
        </w:rPr>
        <w:endnoteReference w:id="118"/>
      </w:r>
      <w:r>
        <w:rPr/>
        <w:t xml:space="preserve"> en gemakkelijk te gebruiken zijn.</w:t>
      </w:r>
    </w:p>
    <w:p>
      <w:pPr>
        <w:pStyle w:val="Puce3"/>
        <w:tabs>
          <w:tab w:val="clear" w:pos="720"/>
        </w:tabs>
        <w:rPr/>
      </w:pPr>
      <w:r>
        <w:rPr/>
        <w:t>4.</w:t>
        <w:tab/>
        <w:t>Door de vrijheid, pluralisme en onafhankelijkheid van de media te verdedigen en te ondersteunen, en door de media, met inbegrip van publieke omroepen, openbare nieuwsagentschappen en Europese media, aan te moedigen om de Europese aangelegenheden regelmatiger te behandelen, met eerbiediging van hun vrijheid en onafhankelijkheid, zodat deze verslaggeving regelmatig en alomvattend is in alle lidstaten van de Unie</w:t>
      </w:r>
      <w:r>
        <w:rPr>
          <w:rStyle w:val="Ancredenotedefin"/>
          <w:rStyle w:val="Ancredenotedefin"/>
        </w:rPr>
        <w:endnoteReference w:id="119"/>
      </w:r>
      <w:r>
        <w:rPr/>
        <w:t>, meer inspanningen levert om desinformatie en buitenlandse inmenging te bestrijden en journalisten te beschermen</w:t>
      </w:r>
      <w:r>
        <w:rPr>
          <w:rStyle w:val="Ancredenotedefin"/>
          <w:rStyle w:val="Ancredenotedefin"/>
        </w:rPr>
        <w:endnoteReference w:id="120"/>
      </w:r>
      <w:r>
        <w:rPr/>
        <w:t>.</w:t>
      </w:r>
    </w:p>
    <w:p>
      <w:pPr>
        <w:pStyle w:val="Puce3"/>
        <w:tabs>
          <w:tab w:val="clear" w:pos="720"/>
        </w:tabs>
        <w:rPr/>
      </w:pPr>
      <w:r>
        <w:rPr/>
      </w:r>
    </w:p>
    <w:p>
      <w:pPr>
        <w:pStyle w:val="Puce3"/>
        <w:tabs>
          <w:tab w:val="clear" w:pos="720"/>
        </w:tabs>
        <w:rPr/>
      </w:pPr>
      <w:r>
        <w:rPr/>
        <w:t>5.</w:t>
        <w:tab/>
        <w:t>Door Europa dichter bij de burgers te brengen door de</w:t>
      </w:r>
      <w:r>
        <w:rPr>
          <w:rStyle w:val="Ancredenotedefin"/>
          <w:rStyle w:val="Ancredenotedefin"/>
        </w:rPr>
        <w:endnoteReference w:id="121"/>
      </w:r>
      <w:r>
        <w:rPr/>
        <w:t xml:space="preserve"> contactpunten en gespecialiseerde hubs („Europe Houses”) op lokaal niveau te versterken, die burgers over Europese kwesties middelen, informatie en advies zouden bieden, naar hun zorgen zouden luisteren en met verenigingen zouden bespreken om de standpunten van de burgers op Europees niveau te helpen brengen</w:t>
      </w:r>
      <w:r>
        <w:rPr>
          <w:rStyle w:val="Ancredenotedefin"/>
          <w:rStyle w:val="Ancredenotedefin"/>
        </w:rPr>
        <w:endnoteReference w:id="122"/>
      </w:r>
      <w:r>
        <w:rPr/>
        <w:t>.</w:t>
      </w:r>
    </w:p>
    <w:p>
      <w:pPr>
        <w:pStyle w:val="Puce3"/>
        <w:tabs>
          <w:tab w:val="clear" w:pos="720"/>
        </w:tabs>
        <w:rPr/>
      </w:pPr>
      <w:r>
        <w:rPr/>
        <w:t>6.</w:t>
        <w:tab/>
        <w:t>Door nieuwe maatregelen te nemen om een gemeenschappelijke identiteit van de Europeanen te versterken, bijvoorbeeld via een EU-fonds dat online en offline interacties (zoals uitwisselingsprogramma’s, panels of vergaderingen) van verschillende duur tussen EU-burgers zou aanmoedigen, het organiseren van Europese sportevenementen, het opzetten van gezamenlijke teams of het maken van 9 mei (Europadag) een extra vakantie</w:t>
      </w:r>
      <w:r>
        <w:rPr>
          <w:rStyle w:val="Ancredenotedefin"/>
          <w:rStyle w:val="Ancredenotedefin"/>
        </w:rPr>
        <w:endnoteReference w:id="123"/>
      </w:r>
      <w:r>
        <w:rPr/>
        <w:t xml:space="preserve"> voor alle Europese burgers</w:t>
      </w:r>
      <w:r>
        <w:rPr>
          <w:rStyle w:val="Ancredenotedefin"/>
          <w:rStyle w:val="Ancredenotedefin"/>
        </w:rPr>
        <w:endnoteReference w:id="124"/>
      </w:r>
      <w:r>
        <w:rPr/>
        <w:t>.</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Titre3"/>
        <w:numPr>
          <w:ilvl w:val="2"/>
          <w:numId w:val="2"/>
        </w:numPr>
        <w:rPr/>
      </w:pPr>
      <w:bookmarkStart w:id="89" w:name="__RefHeading___Toc298352_1346298689"/>
      <w:bookmarkEnd w:id="89"/>
      <w:r>
        <w:rPr/>
        <w:t>38. Voorstel: Democratie en verkiezingen</w:t>
      </w:r>
    </w:p>
    <w:p>
      <w:pPr>
        <w:pStyle w:val="Normal"/>
        <w:rPr/>
      </w:pPr>
      <w:r>
        <w:rPr/>
        <w:t>Doel: Versterking van de Europese democratie door de fundamenten ervan te versterken, burgers aan te moedigen deel te nemen aan Europese verkiezingen, transnationale debatten over Europese kwesties te bevorderen en te zorgen voor een sterke band tussen burgers en hun gekozen vertegenwoordigers, met name:</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Puce3"/>
        <w:tabs>
          <w:tab w:val="clear" w:pos="720"/>
        </w:tabs>
        <w:rPr/>
      </w:pPr>
      <w:r>
        <w:rPr/>
        <w:t>1.</w:t>
        <w:tab/>
        <w:t>Waarborging van de in de Verdragen verankerde Europese waarden, met inbegrip van de rechtsstaat en een robuust sociaal model</w:t>
      </w:r>
      <w:r>
        <w:rPr>
          <w:rStyle w:val="Ancredenotedefin"/>
          <w:rStyle w:val="Ancredenotedefin"/>
        </w:rPr>
        <w:endnoteReference w:id="125"/>
      </w:r>
      <w:r>
        <w:rPr/>
        <w:t>, die het hart van de Europese democratie vormen. In haar betrekkingen met de rest van de wereld moet de Unie prioriteit geven aan gemeenschappelijke democratische waarden in grenslanden. Pas na het bereiken van dit doel kan zij ambassadeur van ons democratisch model worden in landen die daartoe de capaciteit en de wil hebben, door middel van diplomatie en dialoog</w:t>
      </w:r>
      <w:r>
        <w:rPr>
          <w:rStyle w:val="Ancredenotedefin"/>
          <w:rStyle w:val="Ancredenotedefin"/>
        </w:rPr>
        <w:endnoteReference w:id="126"/>
      </w:r>
      <w:r>
        <w:rPr/>
        <w:t>.</w:t>
      </w:r>
    </w:p>
    <w:p>
      <w:pPr>
        <w:pStyle w:val="Puce3"/>
        <w:tabs>
          <w:tab w:val="clear" w:pos="720"/>
        </w:tabs>
        <w:rPr/>
      </w:pPr>
      <w:r>
        <w:rPr/>
        <w:t>2.</w:t>
        <w:tab/>
        <w:t>Door de mogelijkheid in te voeren om op initiatief van het Europees Parlement in de hele Unie een referendum te houden, bij wijze van uitzondering, als een onderwerp bijzonder belangrijk blijkt te zijn voor alle Europese burgers</w:t>
      </w:r>
      <w:r>
        <w:rPr>
          <w:rStyle w:val="Ancredenotedefin"/>
          <w:rStyle w:val="Ancredenotedefin"/>
        </w:rPr>
        <w:endnoteReference w:id="127"/>
      </w:r>
      <w:r>
        <w:rPr/>
        <w:t>.</w:t>
      </w:r>
    </w:p>
    <w:p>
      <w:pPr>
        <w:pStyle w:val="Puce3"/>
        <w:tabs>
          <w:tab w:val="clear" w:pos="720"/>
        </w:tabs>
        <w:rPr/>
      </w:pPr>
      <w:r>
        <w:rPr/>
        <w:t>3.</w:t>
        <w:tab/>
        <w:t>Door de kieswet van de Unie te wijzigen teneinde de regelingen voor Europese verkiezingen (bv. meerderjarigheid, verkiezingsdatum, vereisten voor kiesdistricten, kandidaten, politieke partijen en financiering daarvan) te harmoniseren, en door over te gaan naar pan-Europese of transnationale lijsten,</w:t>
      </w:r>
      <w:r>
        <w:rPr>
          <w:rStyle w:val="Ancredenotedebasdepage"/>
          <w:rStyle w:val="Ancredenotedebasdepage"/>
        </w:rPr>
        <w:footnoteReference w:id="11"/>
      </w:r>
      <w:r>
        <w:rPr/>
        <w:t xml:space="preserve"> met inbegrip van kandidaten uit verschillende lidstaten, na rekening te hebben gehouden met de</w:t>
      </w:r>
      <w:r>
        <w:rPr>
          <w:rStyle w:val="Ancredenotedefin"/>
          <w:rStyle w:val="Ancredenotedefin"/>
        </w:rPr>
        <w:endnoteReference w:id="128"/>
      </w:r>
      <w:r>
        <w:rPr/>
        <w:t xml:space="preserve"> standpunten van de burgers van de lidstaten over dit onderwerp</w:t>
      </w:r>
      <w:r>
        <w:rPr>
          <w:rStyle w:val="Ancredenotedefin"/>
          <w:rStyle w:val="Ancredenotedefin"/>
        </w:rPr>
        <w:endnoteReference w:id="129"/>
      </w:r>
      <w:r>
        <w:rPr/>
        <w:t>.</w:t>
      </w:r>
    </w:p>
    <w:p>
      <w:pPr>
        <w:pStyle w:val="Alineanegatifpuce"/>
        <w:numPr>
          <w:ilvl w:val="0"/>
          <w:numId w:val="3"/>
        </w:numPr>
        <w:rPr/>
      </w:pPr>
      <w:r>
        <w:rPr/>
        <w:t xml:space="preserve"> </w:t>
      </w:r>
      <w:r>
        <w:rPr/>
        <w:t>Sommige leden van het Europees Parlement moeten uit pan-Europese lijsten worden gekozen, terwijl de andere op het niveau van de lidstaten worden gekozen</w:t>
      </w:r>
      <w:r>
        <w:rPr>
          <w:rStyle w:val="Ancredenotedefin"/>
          <w:rStyle w:val="Ancredenotedefin"/>
        </w:rPr>
        <w:endnoteReference w:id="130"/>
      </w:r>
      <w:r>
        <w:rPr/>
        <w:t>.</w:t>
      </w:r>
    </w:p>
    <w:p>
      <w:pPr>
        <w:pStyle w:val="Alineanegatifpuce"/>
        <w:numPr>
          <w:ilvl w:val="0"/>
          <w:numId w:val="3"/>
        </w:numPr>
        <w:rPr/>
      </w:pPr>
      <w:r>
        <w:rPr/>
        <w:t xml:space="preserve"> </w:t>
      </w:r>
      <w:r>
        <w:rPr/>
        <w:t>Het doel van de hervorming moet ook zijn om digitale stemregelingen te vergemakkelijken</w:t>
      </w:r>
      <w:r>
        <w:rPr>
          <w:rStyle w:val="Ancredenotedefin"/>
          <w:rStyle w:val="Ancredenotedefin"/>
        </w:rPr>
        <w:endnoteReference w:id="131"/>
      </w:r>
      <w:r>
        <w:rPr/>
        <w:t xml:space="preserve"> en het echte stemrecht van personen met een handicap te waarborgen</w:t>
      </w:r>
      <w:r>
        <w:rPr>
          <w:rStyle w:val="Ancredenotedefin"/>
          <w:rStyle w:val="Ancredenotedefin"/>
        </w:rPr>
        <w:endnoteReference w:id="132"/>
      </w:r>
      <w:r>
        <w:rPr/>
        <w:t>.</w:t>
      </w:r>
    </w:p>
    <w:p>
      <w:pPr>
        <w:pStyle w:val="Puce3"/>
        <w:tabs>
          <w:tab w:val="clear" w:pos="720"/>
        </w:tabs>
        <w:rPr/>
      </w:pPr>
      <w:r>
        <w:rPr/>
        <w:t>4.</w:t>
        <w:tab/>
        <w:t>Versterking van de banden tussen burgers en hun gekozen vertegenwoordigers, rekening houdend met de nationale bijzonderheden: burgers willen het gevoel hebben dat EP-leden en nationale parlementsleden dicht bij hen staan en met specifieke maatregelen op hun zorgen reageren</w:t>
      </w:r>
      <w:r>
        <w:rPr>
          <w:rStyle w:val="Ancredenotedefin"/>
          <w:rStyle w:val="Ancredenotedefin"/>
        </w:rPr>
        <w:endnoteReference w:id="133"/>
      </w:r>
      <w:r>
        <w:rPr/>
        <w:t>. Dit is een universeel probleem en mensen van alle leeftijden moeten erbij betrokken raken</w:t>
      </w:r>
      <w:r>
        <w:rPr>
          <w:rStyle w:val="Ancredenotedefin"/>
          <w:rStyle w:val="Ancredenotedefin"/>
        </w:rPr>
        <w:endnoteReference w:id="134"/>
      </w:r>
      <w:r>
        <w:rPr/>
        <w:t>.</w:t>
      </w:r>
    </w:p>
    <w:p>
      <w:pPr>
        <w:pStyle w:val="Alineanegatifpuce"/>
        <w:numPr>
          <w:ilvl w:val="0"/>
          <w:numId w:val="3"/>
        </w:numPr>
        <w:rPr/>
      </w:pPr>
      <w:r>
        <w:rPr/>
        <w:t xml:space="preserve"> </w:t>
      </w:r>
      <w:r>
        <w:rPr/>
        <w:t>Europese burgers moeten meer gewicht hebben bij de verkiezing van de voorzitter van de Commissie. Dit doel kan worden bereikt door de rechtstreekse verkiezing van de voorzitter van de Commissie</w:t>
      </w:r>
      <w:r>
        <w:rPr>
          <w:rStyle w:val="Ancredenotedefin"/>
          <w:rStyle w:val="Ancredenotedefin"/>
        </w:rPr>
        <w:endnoteReference w:id="135"/>
      </w:r>
      <w:r>
        <w:rPr/>
        <w:t xml:space="preserve"> of door het systeem van topkandidaten</w:t>
      </w:r>
      <w:r>
        <w:rPr>
          <w:rStyle w:val="Ancredenotedebasdepage"/>
          <w:rStyle w:val="Ancredenotedebasdepage"/>
        </w:rPr>
        <w:footnoteReference w:id="12"/>
      </w:r>
      <w:r>
        <w:rPr/>
        <w:t>.</w:t>
      </w:r>
    </w:p>
    <w:p>
      <w:pPr>
        <w:pStyle w:val="Alineanegatifpuce"/>
        <w:numPr>
          <w:ilvl w:val="0"/>
          <w:numId w:val="3"/>
        </w:numPr>
        <w:rPr/>
      </w:pPr>
      <w:r>
        <w:rPr/>
        <w:t xml:space="preserve"> </w:t>
      </w:r>
      <w:r>
        <w:rPr/>
        <w:t>Het Europees Parlement moet het recht hebben om wetgevingsinitiatieven voor te stellen om</w:t>
      </w:r>
      <w:r>
        <w:rPr>
          <w:rStyle w:val="Ancredenotedefin"/>
          <w:rStyle w:val="Ancredenotedefin"/>
        </w:rPr>
        <w:endnoteReference w:id="136"/>
      </w:r>
      <w:r>
        <w:rPr/>
        <w:t xml:space="preserve"> onderwerpen voor te stellen voor discussie en vervolgens de nodige teksten aan te nemen om gevolg te geven aan de aanbevelingen die uit de beraadslagingen voortvloeien</w:t>
      </w:r>
      <w:r>
        <w:rPr>
          <w:rStyle w:val="Ancredenotedefin"/>
          <w:rStyle w:val="Ancredenotedefin"/>
        </w:rPr>
        <w:endnoteReference w:id="137"/>
      </w:r>
      <w:r>
        <w:rPr/>
        <w:t>.</w:t>
      </w:r>
    </w:p>
    <w:p>
      <w:pPr>
        <w:pStyle w:val="Alineanegatifpuce"/>
        <w:numPr>
          <w:ilvl w:val="0"/>
          <w:numId w:val="3"/>
        </w:numPr>
        <w:rPr/>
      </w:pPr>
      <w:r>
        <w:rPr/>
        <w:t xml:space="preserve"> </w:t>
      </w:r>
      <w:r>
        <w:rPr/>
        <w:t>Het Europees Parlement moet een besluit nemen over de EU-begroting, zoals de parlementen op nationaal niveau doen</w:t>
      </w:r>
      <w:r>
        <w:rPr>
          <w:rStyle w:val="Ancredenotedebasdepage"/>
          <w:rStyle w:val="Ancredenotedebasdepage"/>
        </w:rPr>
        <w:footnoteReference w:id="13"/>
      </w:r>
      <w:r>
        <w:rPr/>
        <w:t>.</w:t>
      </w:r>
      <w:r>
        <w:rPr>
          <w:rStyle w:val="Ancredenotedefin"/>
          <w:rStyle w:val="Ancredenotedefin"/>
        </w:rPr>
        <w:endnoteReference w:id="138"/>
      </w:r>
      <w:r>
        <w:rPr/>
        <w:t xml:space="preserve"> </w:t>
      </w:r>
    </w:p>
    <w:p>
      <w:pPr>
        <w:pStyle w:val="Alineanegatifpuce"/>
        <w:numPr>
          <w:ilvl w:val="0"/>
          <w:numId w:val="3"/>
        </w:numPr>
        <w:rPr/>
      </w:pPr>
      <w:r>
        <w:rPr/>
        <w:t xml:space="preserve"> </w:t>
      </w:r>
      <w:r>
        <w:rPr/>
        <w:t>Politieke partijen, maatschappelijke organisaties en vakbonden moeten dynamischer en toegankelijker zijn, zodat burgers meer in de Europese democratie kunnen investeren</w:t>
      </w:r>
      <w:r>
        <w:rPr>
          <w:rStyle w:val="Ancredenotedefin"/>
          <w:rStyle w:val="Ancredenotedefin"/>
        </w:rPr>
        <w:endnoteReference w:id="139"/>
      </w:r>
      <w:r>
        <w:rPr/>
        <w:t>. Dit zou ook de opname van Europese kwesties in openbare debatten van politieke partijen, maatschappelijke organisaties en sociale partners bevorderen, zowel in de aanloop naar de Europese verkiezingen als in de aanloop naar nationale, regionale of lokale verkiezingen</w:t>
      </w:r>
      <w:r>
        <w:rPr>
          <w:rStyle w:val="Ancredenotedefin"/>
          <w:rStyle w:val="Ancredenotedefin"/>
        </w:rPr>
        <w:endnoteReference w:id="140"/>
      </w:r>
      <w:r>
        <w:rPr/>
        <w:t>.</w:t>
      </w:r>
    </w:p>
    <w:p>
      <w:pPr>
        <w:pStyle w:val="Puce3"/>
        <w:tabs>
          <w:tab w:val="clear" w:pos="720"/>
        </w:tabs>
        <w:rPr/>
      </w:pPr>
      <w:r>
        <w:rPr/>
        <w:t>5.</w:t>
        <w:tab/>
        <w:t>Democratie is belichaamd in instellingen en de samenleving in het algemeen, ook op de werkplek dankzij de sociale partners</w:t>
      </w:r>
      <w:r>
        <w:rPr>
          <w:rStyle w:val="Ancredenotedefin"/>
          <w:rStyle w:val="Ancredenotedefin"/>
        </w:rPr>
        <w:endnoteReference w:id="141"/>
      </w:r>
      <w:r>
        <w:rPr/>
        <w:t>.</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3"/>
        <w:numPr>
          <w:ilvl w:val="2"/>
          <w:numId w:val="2"/>
        </w:numPr>
        <w:rPr/>
      </w:pPr>
      <w:bookmarkStart w:id="90" w:name="__RefHeading___Toc298354_1346298689"/>
      <w:bookmarkEnd w:id="90"/>
      <w:r>
        <w:rPr/>
        <w:t>39. Voorstel: Het besluitvormingsproces van de Unie</w:t>
      </w:r>
    </w:p>
    <w:p>
      <w:pPr>
        <w:pStyle w:val="P68B1DB1Normal15"/>
        <w:rPr>
          <w:b/>
          <w:b/>
        </w:rPr>
      </w:pPr>
      <w:r>
        <w:rPr/>
        <w:t>Doel: Het besluitvormingsproces van de Unie verbeteren om ervoor te zorgen dat zij in staat is op te treden, rekening houdend met de belangen van elke lidstaat en te zorgen voor een transparant en begrijpelijk proces voor de burgers, met name:</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Puce3"/>
        <w:tabs>
          <w:tab w:val="clear" w:pos="720"/>
        </w:tabs>
        <w:rPr/>
      </w:pPr>
      <w:r>
        <w:rPr/>
        <w:t>1.</w:t>
        <w:tab/>
        <w:t>Herziening van de regels inzake besluitvorming en stemming in de Europese instellingen. De kwestie van eenparigheid van stemmen verdient bijzondere aandacht, want het maakt elke overeenkomst zeer moeilijk. Er moet worden gezorgd voor billijkheid in de weging van de stemmen om de belangen van kleine landen te beschermen</w:t>
      </w:r>
      <w:r>
        <w:rPr>
          <w:rStyle w:val="Ancredenotedefin"/>
          <w:rStyle w:val="Ancredenotedefin"/>
        </w:rPr>
        <w:endnoteReference w:id="142"/>
      </w:r>
      <w:r>
        <w:rPr/>
        <w:t>.</w:t>
      </w:r>
    </w:p>
    <w:p>
      <w:pPr>
        <w:pStyle w:val="Alineanegatifpuce"/>
        <w:numPr>
          <w:ilvl w:val="0"/>
          <w:numId w:val="3"/>
        </w:numPr>
        <w:rPr/>
      </w:pPr>
      <w:r>
        <w:rPr/>
        <w:t xml:space="preserve"> </w:t>
      </w:r>
      <w:r>
        <w:rPr/>
        <w:t>Alle besluiten die momenteel met eenparigheid van stemmen worden genomen, moeten in de toekomst met gekwalificeerde meerderheid van stemmen worden aangenomen. De enige uitzonderingen zijn de toelating van nieuwe lidstaten tot de Europese Unie en de wijziging van de fundamentele beginselen van de Unie die zijn verankerd in artikel 2 van het Verdrag betreffende de Europese Unie en in het Handvest van de grondrechten van de Europese Unie</w:t>
      </w:r>
      <w:r>
        <w:rPr>
          <w:rStyle w:val="Ancredenotedefin"/>
          <w:rStyle w:val="Ancredenotedefin"/>
        </w:rPr>
        <w:endnoteReference w:id="143"/>
      </w:r>
      <w:r>
        <w:rPr/>
        <w:t>.</w:t>
      </w:r>
    </w:p>
    <w:p>
      <w:pPr>
        <w:pStyle w:val="Puce3"/>
        <w:tabs>
          <w:tab w:val="clear" w:pos="720"/>
        </w:tabs>
        <w:rPr/>
      </w:pPr>
      <w:r>
        <w:rPr/>
        <w:t>2.</w:t>
        <w:tab/>
        <w:t>Te zorgen voor transparantie in het besluitvormingsproces, onafhankelijke burgerwaarnemers in staat te stellen dit proces nauwlettend te volgen, een breder recht op toegang tot documenten toe te passen</w:t>
      </w:r>
      <w:r>
        <w:rPr>
          <w:rStyle w:val="Ancredenotedefin"/>
          <w:rStyle w:val="Ancredenotedefin"/>
        </w:rPr>
        <w:endnoteReference w:id="144"/>
      </w:r>
      <w:r>
        <w:rPr/>
        <w:t xml:space="preserve"> en nauwere banden tot stand te brengen en de dialoog tussen de burgers en de Europese instellingen op deze basis te versterken</w:t>
      </w:r>
      <w:r>
        <w:rPr>
          <w:rStyle w:val="Ancredenotedefin"/>
          <w:rStyle w:val="Ancredenotedefin"/>
        </w:rPr>
        <w:endnoteReference w:id="145"/>
      </w:r>
      <w:r>
        <w:rPr/>
        <w:t>.</w:t>
      </w:r>
    </w:p>
    <w:p>
      <w:pPr>
        <w:pStyle w:val="Alineanegatifpuce"/>
        <w:numPr>
          <w:ilvl w:val="0"/>
          <w:numId w:val="3"/>
        </w:numPr>
        <w:rPr/>
      </w:pPr>
      <w:r>
        <w:rPr/>
        <w:t xml:space="preserve"> </w:t>
      </w:r>
      <w:r>
        <w:rPr/>
        <w:t>De Unie moet de transparantie van haar besluitvormingsproces en haar instellingen verbeteren. Zo moeten vergaderingen van de Raad en het Europees Parlement, met inbegrip van stemmingen, op dezelfde manier online worden verspreid. Dit zou geïnteresseerde burgers in staat stellen toezicht te houden op de EU-beleidsvorming en de beleidsmakers verplichten verslag uit te brengen over hun acties</w:t>
      </w:r>
      <w:r>
        <w:rPr>
          <w:rStyle w:val="Ancredenotedefin"/>
          <w:rStyle w:val="Ancredenotedefin"/>
        </w:rPr>
        <w:endnoteReference w:id="146"/>
      </w:r>
      <w:r>
        <w:rPr/>
        <w:t>. Ook het enquêterecht van het Europees Parlement moet worden versterkt.</w:t>
      </w:r>
      <w:r>
        <w:rPr>
          <w:rStyle w:val="Ancredenotedefin"/>
          <w:rStyle w:val="Ancredenotedefin"/>
        </w:rPr>
        <w:endnoteReference w:id="147"/>
      </w:r>
      <w:r>
        <w:rPr/>
        <w:t xml:space="preserve"> Amendement 44A van de werkgroep.</w:t>
      </w:r>
    </w:p>
    <w:p>
      <w:pPr>
        <w:pStyle w:val="Alineanegatifpuce"/>
        <w:numPr>
          <w:ilvl w:val="0"/>
          <w:numId w:val="3"/>
        </w:numPr>
        <w:rPr/>
      </w:pPr>
      <w:r>
        <w:rPr/>
        <w:t xml:space="preserve"> </w:t>
      </w:r>
      <w:r>
        <w:rPr/>
        <w:t>Het besluitvormingsproces van de Unie moet verder worden ontwikkeld om meer nationale, regionale en lokale vertegenwoordigers, sociale partners en maatschappelijke organisaties te betrekken</w:t>
      </w:r>
      <w:r>
        <w:rPr>
          <w:rStyle w:val="Ancredenotedefin"/>
          <w:rStyle w:val="Ancredenotedefin"/>
        </w:rPr>
        <w:endnoteReference w:id="148"/>
      </w:r>
      <w:r>
        <w:rPr/>
        <w:t>. De interparlementaire samenwerking en dialoog moeten worden versterkt. Het Europees Parlement moet ook de nationale parlementen nauwer betrekken bij de Europese wetgevingsprocedure, bijvoorbeeld door hen uit te nodigen voor hoorzittingen</w:t>
      </w:r>
      <w:r>
        <w:rPr>
          <w:rStyle w:val="Ancredenotedefin"/>
          <w:rStyle w:val="Ancredenotedefin"/>
        </w:rPr>
        <w:endnoteReference w:id="149"/>
      </w:r>
      <w:r>
        <w:rPr/>
        <w:t>. Daarnaast zou het nuttig zijn om de subnationale overheden en het CvdR nauwer te betrekken om beter rekening te houden met hun ervaring met de tenuitvoerlegging van de Europese wetgeving</w:t>
      </w:r>
      <w:r>
        <w:rPr>
          <w:rStyle w:val="Ancredenotedefin"/>
          <w:rStyle w:val="Ancredenotedefin"/>
        </w:rPr>
        <w:endnoteReference w:id="150"/>
      </w:r>
      <w:r>
        <w:rPr/>
        <w:t>.</w:t>
      </w:r>
    </w:p>
    <w:p>
      <w:pPr>
        <w:pStyle w:val="Puce3"/>
        <w:tabs>
          <w:tab w:val="clear" w:pos="720"/>
        </w:tabs>
        <w:rPr/>
      </w:pPr>
      <w:r>
        <w:rPr/>
        <w:t>3.</w:t>
        <w:tab/>
        <w:t>Door te overwegen de namen van de Europese instellingen te wijzigen om de rol en de rol van elk van hen in het besluitvormingsproces van de Unie in de ogen van de burgers te verduidelijken</w:t>
      </w:r>
      <w:r>
        <w:rPr>
          <w:rStyle w:val="Ancredenotedefin"/>
          <w:rStyle w:val="Ancredenotedefin"/>
        </w:rPr>
        <w:endnoteReference w:id="151"/>
      </w:r>
      <w:r>
        <w:rPr/>
        <w:t>.</w:t>
      </w:r>
    </w:p>
    <w:p>
      <w:pPr>
        <w:pStyle w:val="Alineanegatifpuce"/>
        <w:numPr>
          <w:ilvl w:val="0"/>
          <w:numId w:val="3"/>
        </w:numPr>
        <w:rPr/>
      </w:pPr>
      <w:r>
        <w:rPr/>
        <w:t xml:space="preserve"> </w:t>
      </w:r>
      <w:r>
        <w:rPr/>
        <w:t>Het besluitvormingsproces van de EU moet gebaseerd zijn op een duidelijker en begrijpelijker structuur, die lijkt op nationale systemen</w:t>
      </w:r>
      <w:r>
        <w:rPr>
          <w:rStyle w:val="Ancredenotedefin"/>
          <w:rStyle w:val="Ancredenotedefin"/>
        </w:rPr>
        <w:endnoteReference w:id="152"/>
      </w:r>
      <w:r>
        <w:rPr/>
        <w:t xml:space="preserve"> en expliciet de bevoegdheidsverdeling tussen de Europese instellingen en de lidstaten aangeeft</w:t>
      </w:r>
      <w:r>
        <w:rPr>
          <w:rStyle w:val="Ancredenotedefin"/>
          <w:rStyle w:val="Ancredenotedefin"/>
        </w:rPr>
        <w:endnoteReference w:id="153"/>
      </w:r>
      <w:r>
        <w:rPr/>
        <w:t>.</w:t>
      </w:r>
    </w:p>
    <w:p>
      <w:pPr>
        <w:pStyle w:val="Alineanegatifpuce"/>
        <w:numPr>
          <w:ilvl w:val="0"/>
          <w:numId w:val="3"/>
        </w:numPr>
        <w:rPr/>
      </w:pPr>
      <w:r>
        <w:rPr/>
        <w:t xml:space="preserve"> </w:t>
      </w:r>
      <w:r>
        <w:rPr/>
        <w:t>De Raad van de Europese Unie zou bijvoorbeeld kunnen worden omgedoopt tot „Senaat van de Unie” en de Europese Commissie „uitvoerende Commissie van de Unie”</w:t>
      </w:r>
      <w:r>
        <w:rPr>
          <w:rStyle w:val="Ancredenotedefin"/>
          <w:rStyle w:val="Ancredenotedefin"/>
        </w:rPr>
        <w:endnoteReference w:id="154"/>
      </w:r>
      <w:r>
        <w:rPr/>
        <w:t>.</w:t>
      </w:r>
    </w:p>
    <w:p>
      <w:pPr>
        <w:pStyle w:val="Puce3"/>
        <w:tabs>
          <w:tab w:val="clear" w:pos="720"/>
        </w:tabs>
        <w:rPr/>
      </w:pPr>
      <w:r>
        <w:rPr/>
        <w:t>4.</w:t>
        <w:tab/>
        <w:t>Versterking van het vermogen van de Unie om resultaten te boeken op belangrijke gebieden</w:t>
      </w:r>
      <w:r>
        <w:rPr>
          <w:rStyle w:val="Ancredenotedefin"/>
          <w:rStyle w:val="Ancredenotedefin"/>
        </w:rPr>
        <w:endnoteReference w:id="155"/>
      </w:r>
      <w:r>
        <w:rPr/>
        <w:t>.</w:t>
      </w:r>
    </w:p>
    <w:p>
      <w:pPr>
        <w:pStyle w:val="Puce3"/>
        <w:tabs>
          <w:tab w:val="clear" w:pos="720"/>
        </w:tabs>
        <w:rPr/>
      </w:pPr>
      <w:r>
        <w:rPr/>
        <w:t>5.</w:t>
        <w:tab/>
        <w:t>Zorgen voor mechanismen voor de sociale dialoog en raadpleging van de burgers in alle stadia van het besluitvormingsproces van de Unie, van de effectbeoordeling tot het ontwerp en de uitvoering van de maatregelen</w:t>
      </w:r>
      <w:r>
        <w:rPr>
          <w:rStyle w:val="Ancredenotedefin"/>
          <w:rStyle w:val="Ancredenotedefin"/>
        </w:rPr>
        <w:endnoteReference w:id="156"/>
      </w:r>
      <w:r>
        <w:rPr/>
        <w:t>.</w:t>
      </w:r>
    </w:p>
    <w:p>
      <w:pPr>
        <w:pStyle w:val="Puce3"/>
        <w:tabs>
          <w:tab w:val="clear" w:pos="720"/>
        </w:tabs>
        <w:rPr/>
      </w:pPr>
      <w:r>
        <w:rPr/>
        <w:t>6.</w:t>
        <w:tab/>
        <w:t>Hervorming van de werking van de Europese Unie, onder meer door de sociale partners en maatschappelijke organisaties nauwer te betrekken. De bestaande structuren moeten worden versterkt, zodat het besluitvormingsproces beter aansluit bij de behoeften en verwachtingen van de Europese burgers, die centraal staan in de Europese democratie. In dit verband moet het EESC de middelen krijgen om een grotere institutionele rol te spelen, die van garant en facilitator van participatieve democratieactiviteiten, zoals een gestructureerde dialoog met maatschappelijke organisaties en burgerpanels. Een dynamisch maatschappelijk middenveld is essentieel voor het democratische leven van de Unie</w:t>
      </w:r>
      <w:r>
        <w:rPr>
          <w:rStyle w:val="Ancredenotedefin"/>
          <w:rStyle w:val="Ancredenotedefin"/>
        </w:rPr>
        <w:endnoteReference w:id="157"/>
      </w:r>
      <w:r>
        <w:rPr/>
        <w:t>.</w:t>
      </w:r>
    </w:p>
    <w:p>
      <w:pPr>
        <w:pStyle w:val="Puce3"/>
        <w:tabs>
          <w:tab w:val="clear" w:pos="720"/>
        </w:tabs>
        <w:rPr/>
      </w:pPr>
      <w:r>
        <w:rPr/>
        <w:t>7.</w:t>
        <w:tab/>
        <w:t>Door het debat over de grondwet te heropenen, indien relevant, om onze waarden duidelijk te definiëren. Een grondwet kan meer precisie brengen, burgers mobiliseren en overeenstemming bereiken over de regels van het besluitvormingsproces</w:t>
      </w:r>
      <w:r>
        <w:rPr>
          <w:rStyle w:val="Ancredenotedefin"/>
          <w:rStyle w:val="Ancredenotedefin"/>
        </w:rPr>
        <w:endnoteReference w:id="158"/>
      </w:r>
      <w:r>
        <w:rPr/>
        <w:t>.</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Titre3"/>
        <w:numPr>
          <w:ilvl w:val="2"/>
          <w:numId w:val="2"/>
        </w:numPr>
        <w:rPr/>
      </w:pPr>
      <w:bookmarkStart w:id="91" w:name="__RefHeading___Toc298356_1346298689"/>
      <w:bookmarkEnd w:id="91"/>
      <w:r>
        <w:rPr/>
        <w:t>40. Voorstel: Subsidiariteit</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Puce3"/>
        <w:tabs>
          <w:tab w:val="clear" w:pos="720"/>
        </w:tabs>
        <w:rPr/>
      </w:pPr>
      <w:r>
        <w:rPr/>
        <w:t>1.</w:t>
        <w:tab/>
        <w:t>Actieve subsidiariteit en multilevel governance zijn belangrijke beginselen om de Europese Unie democratisch en verantwoordingsplichtig te laten functioneren</w:t>
      </w:r>
      <w:r>
        <w:rPr>
          <w:rStyle w:val="Ancredenotedefin"/>
          <w:rStyle w:val="Ancredenotedefin"/>
        </w:rPr>
        <w:endnoteReference w:id="159"/>
      </w:r>
      <w:r>
        <w:rPr/>
        <w:t>.</w:t>
      </w:r>
    </w:p>
    <w:p>
      <w:pPr>
        <w:pStyle w:val="Puce3"/>
        <w:tabs>
          <w:tab w:val="clear" w:pos="720"/>
        </w:tabs>
        <w:rPr/>
      </w:pPr>
      <w:r>
        <w:rPr/>
        <w:t>2.</w:t>
        <w:tab/>
        <w:t>De EU moet het mechanisme herzien waarmee de nationale parlementen nagaan of Europese wetgevingsvoorstellen al dan niet inbreuk maken op de nationale bevoegdheden; de nationale parlementen moeten wetgevingsinitiatieven kunnen voorstellen aan de Europese instellingen. Deze mechanismen moeten worden uitgebreid tot alle regionale parlementen met wetgevende bevoegdheden</w:t>
      </w:r>
      <w:r>
        <w:rPr>
          <w:rStyle w:val="Ancredenotedefin"/>
          <w:rStyle w:val="Ancredenotedefin"/>
        </w:rPr>
        <w:endnoteReference w:id="160"/>
      </w:r>
      <w:r>
        <w:rPr/>
        <w:t>.</w:t>
      </w:r>
    </w:p>
    <w:p>
      <w:pPr>
        <w:pStyle w:val="Puce3"/>
        <w:tabs>
          <w:tab w:val="clear" w:pos="720"/>
        </w:tabs>
        <w:rPr/>
      </w:pPr>
      <w:r>
        <w:rPr/>
        <w:t>3.</w:t>
        <w:tab/>
        <w:t>Het CvdR moet worden hervormd om adequate kanalen voor dialoog met regio’s, steden en gemeenten te openen. Het moet een belangrijkere rol spelen</w:t>
      </w:r>
      <w:r>
        <w:rPr>
          <w:rStyle w:val="Ancredenotedefin"/>
          <w:rStyle w:val="Ancredenotedefin"/>
        </w:rPr>
        <w:endnoteReference w:id="161"/>
      </w:r>
      <w:r>
        <w:rPr/>
        <w:t xml:space="preserve"> in de institutionele architectuur bij de behandeling van kwesties met territoriale gevolgen</w:t>
      </w:r>
      <w:r>
        <w:rPr>
          <w:rStyle w:val="Ancredenotedefin"/>
          <w:rStyle w:val="Ancredenotedefin"/>
        </w:rPr>
        <w:endnoteReference w:id="162"/>
      </w:r>
      <w:r>
        <w:rPr/>
        <w:t>.</w:t>
      </w:r>
    </w:p>
    <w:p>
      <w:pPr>
        <w:pStyle w:val="Normal"/>
        <w:rPr/>
      </w:pPr>
      <w:r>
        <w:rPr/>
      </w:r>
    </w:p>
    <w:p>
      <w:pPr>
        <w:pStyle w:val="Puce3"/>
        <w:tabs>
          <w:tab w:val="clear" w:pos="720"/>
        </w:tabs>
        <w:rPr/>
      </w:pPr>
      <w:r>
        <w:rPr/>
        <w:t>4.</w:t>
        <w:tab/>
        <w:t>Het systematisch gebruik van een door alle Europese instellingen goedgekeurde gemeenschappelijke definitie van subsidiariteit zou duidelijker kunnen bepalen op welk niveau (Europese, nationale of regionale) besluiten moeten worden genomen</w:t>
      </w:r>
      <w:r>
        <w:rPr>
          <w:rStyle w:val="Ancredenotedefin"/>
          <w:rStyle w:val="Ancredenotedefin"/>
        </w:rPr>
        <w:endnoteReference w:id="163"/>
      </w:r>
      <w:r>
        <w:rPr/>
        <w:t>.</w:t>
      </w:r>
    </w:p>
    <w:p>
      <w:pPr>
        <w:pStyle w:val="Puce3"/>
        <w:tabs>
          <w:tab w:val="clear" w:pos="720"/>
        </w:tabs>
        <w:rPr/>
      </w:pPr>
      <w:r>
        <w:rPr/>
        <w:t>5.</w:t>
        <w:tab/>
        <w:t>De sociale partners en maatschappelijke organisaties, die centraal staan in de Europese democratie, moeten beter worden betrokken bij het besluitvormingsproces. Een dynamische samenleving is essentieel voor het democratische leven van de Unie.</w:t>
      </w:r>
      <w:r>
        <w:rPr>
          <w:rStyle w:val="Ancredenotedefin"/>
          <w:rStyle w:val="Ancredenotedefin"/>
        </w:rPr>
        <w:endnoteReference w:id="164"/>
      </w:r>
    </w:p>
    <w:p>
      <w:pPr>
        <w:pStyle w:val="Puce3"/>
        <w:tabs>
          <w:tab w:val="clear" w:pos="720"/>
        </w:tabs>
        <w:rPr/>
      </w:pPr>
      <w:r>
        <w:rPr/>
        <w:t>6.</w:t>
        <w:tab/>
        <w:t>Wij dringen er bij de EU-instellingen op aan de conclusies van deze werkgroep ten uitvoer te leggen en deze doeltreffend te maken. Dit zou kunnen gebeuren door middel van de bestaande bepalingen van het Verdrag van Lissabon en, indien nodig, door aan te dringen op de oprichting van een Europees verdrag</w:t>
      </w:r>
      <w:r>
        <w:rPr>
          <w:rStyle w:val="Ancredenotedefin"/>
          <w:rStyle w:val="Ancredenotedefin"/>
        </w:rPr>
        <w:endnoteReference w:id="165"/>
      </w:r>
      <w:r>
        <w:rPr/>
        <w:t>.</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Normal"/>
        <w:rPr/>
      </w:pPr>
      <w:r>
        <w:rPr/>
        <w:drawing>
          <wp:anchor behindDoc="0" distT="0" distB="0" distL="0" distR="0" simplePos="0" locked="0" layoutInCell="1" allowOverlap="1" relativeHeight="18">
            <wp:simplePos x="0" y="0"/>
            <wp:positionH relativeFrom="column">
              <wp:posOffset>19050</wp:posOffset>
            </wp:positionH>
            <wp:positionV relativeFrom="paragraph">
              <wp:posOffset>21590</wp:posOffset>
            </wp:positionV>
            <wp:extent cx="913765" cy="913765"/>
            <wp:effectExtent l="0" t="0" r="0" b="0"/>
            <wp:wrapSquare wrapText="largest"/>
            <wp:docPr id="68" name="Afbeelding 2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Afbeelding 28" descr=""/>
                    <pic:cNvPicPr>
                      <a:picLocks noChangeAspect="1" noChangeArrowheads="1"/>
                    </pic:cNvPicPr>
                  </pic:nvPicPr>
                  <pic:blipFill>
                    <a:blip r:embed="rId80"/>
                    <a:stretch>
                      <a:fillRect/>
                    </a:stretch>
                  </pic:blipFill>
                  <pic:spPr bwMode="auto">
                    <a:xfrm>
                      <a:off x="0" y="0"/>
                      <a:ext cx="913765" cy="913765"/>
                    </a:xfrm>
                    <a:prstGeom prst="rect">
                      <a:avLst/>
                    </a:prstGeom>
                  </pic:spPr>
                </pic:pic>
              </a:graphicData>
            </a:graphic>
          </wp:anchor>
        </w:drawing>
      </w:r>
    </w:p>
    <w:p>
      <w:pPr>
        <w:pStyle w:val="Normal"/>
        <w:rPr/>
      </w:pPr>
      <w:r>
        <w:rPr/>
      </w:r>
    </w:p>
    <w:p>
      <w:pPr>
        <w:pStyle w:val="Normal"/>
        <w:rPr/>
      </w:pPr>
      <w:r>
        <w:rPr/>
      </w:r>
    </w:p>
    <w:p>
      <w:pPr>
        <w:pStyle w:val="Normal"/>
        <w:rPr/>
      </w:pPr>
      <w:r>
        <w:rPr/>
      </w:r>
    </w:p>
    <w:p>
      <w:pPr>
        <w:pStyle w:val="Titre2"/>
        <w:numPr>
          <w:ilvl w:val="1"/>
          <w:numId w:val="2"/>
        </w:numPr>
        <w:rPr/>
      </w:pPr>
      <w:bookmarkStart w:id="92" w:name="__RefHeading___Toc298358_1346298689"/>
      <w:bookmarkEnd w:id="92"/>
      <w:r>
        <w:rPr/>
        <w:t>„</w:t>
      </w:r>
      <w:r>
        <w:rPr/>
        <w:t>Migratie”</w:t>
      </w:r>
    </w:p>
    <w:p>
      <w:pPr>
        <w:pStyle w:val="Titre3"/>
        <w:numPr>
          <w:ilvl w:val="2"/>
          <w:numId w:val="2"/>
        </w:numPr>
        <w:rPr/>
      </w:pPr>
      <w:bookmarkStart w:id="93" w:name="__RefHeading___Toc298360_1346298689"/>
      <w:bookmarkEnd w:id="93"/>
      <w:r>
        <w:rPr/>
        <w:t>41. Voorstel: Legale migratie</w:t>
      </w:r>
    </w:p>
    <w:p>
      <w:pPr>
        <w:pStyle w:val="P68B1DB1Normal15"/>
        <w:rPr>
          <w:b/>
          <w:b/>
        </w:rPr>
      </w:pPr>
      <w:r>
        <w:rPr/>
        <w:t>Doel: Versterking van de rol van de EU bij legale migratie</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Maatregelen</w:t>
      </w:r>
      <w:r>
        <w:rPr>
          <w:rStyle w:val="Ancredenotedefin"/>
          <w:rStyle w:val="Ancredenotedefin"/>
        </w:rPr>
        <w:endnoteReference w:id="166"/>
      </w:r>
      <w:r>
        <w:rPr/>
        <w:t>:</w:t>
      </w:r>
    </w:p>
    <w:p>
      <w:pPr>
        <w:pStyle w:val="Puce3"/>
        <w:tabs>
          <w:tab w:val="clear" w:pos="720"/>
        </w:tabs>
        <w:rPr/>
      </w:pPr>
      <w:r>
        <w:rPr/>
        <w:t>1.</w:t>
        <w:tab/>
        <w:t>Start een communicatiecampagne op Europees niveau om ervoor te zorgen dat Eures (het Europees netwerk voor arbeidsvoorziening), het EU-immigratieportaal en het Europees instrument voor het profileren van vaardigheden voor onderdanen van derde landen beter bekend zijn bij de Europese burgers en vaker worden gebruikt door EU-bedrijven bij de aanwerving (aanbeveling 6).</w:t>
      </w:r>
    </w:p>
    <w:p>
      <w:pPr>
        <w:pStyle w:val="Puce3"/>
        <w:tabs>
          <w:tab w:val="clear" w:pos="720"/>
        </w:tabs>
        <w:rPr/>
      </w:pPr>
      <w:r>
        <w:rPr/>
        <w:t>2.</w:t>
        <w:tab/>
        <w:t>Oprichting van een Europese entiteit voor de toegang van migranten tot de arbeidsmarkt van de EU of, bij gebreke daarvan, uitbreiding van de bevoegdheden van het Europees netwerk voor arbeidsvoorziening (EURES), bijvoorbeeld verbetering van partnerschapsprojecten voor talentaantrekking (aanbeveling nr. 7 en discussie in de werkgroep), met de mogelijkheid om online te voldoen aan vraag en aanbod van vaardigheden in het land van vertrek op basis van evaluatiecriteria (aanbeveling nr. 9 en debat in de werkgroep). De Unie moet de lidstaten aanmoedigen het proces van opvang en integratie van legale migranten en hun toegang tot de arbeidsmarkt van de Unie te vereenvoudigen door de interoperabiliteit tussen de verschillende betrokken overheidsdiensten te verbeteren (debat in de werkgroep).</w:t>
      </w:r>
    </w:p>
    <w:p>
      <w:pPr>
        <w:pStyle w:val="Puce3"/>
        <w:tabs>
          <w:tab w:val="clear" w:pos="720"/>
        </w:tabs>
        <w:rPr/>
      </w:pPr>
      <w:r>
        <w:rPr/>
        <w:t>3.</w:t>
        <w:tab/>
        <w:t>De werking en uitvoering van de blauwekaartrichtlijn verbeteren om de vaardigheden aan te trekken die de economie van de EU nodig heeft (aanbeveling nr. 7 en debat in de werkgroep), waarbij terdege rekening wordt gehouden met het risico op braindrain (volgens maatregel 1 van voorstel 42).</w:t>
      </w:r>
    </w:p>
    <w:p>
      <w:pPr>
        <w:pStyle w:val="Puce3"/>
        <w:tabs>
          <w:tab w:val="clear" w:pos="720"/>
        </w:tabs>
        <w:rPr/>
      </w:pPr>
      <w:r>
        <w:rPr/>
        <w:t>4.</w:t>
        <w:tab/>
        <w:t>Opwaartse convergentie in de arbeidsomstandigheden op harmonieuze wijze in de hele Unie bevorderen om ongelijkheden in de arbeidsomstandigheden aan te pakken, te zorgen voor een doeltreffend EU-beleid inzake arbeidsmigratie en de rechten van werknemers te verdedigen. In dit verband de rol van vakbonden op nationaal en transnationaal niveau versterken (aanbeveling nr. 28 en debat in de werkgroep), in samenwerking met werkgeversorganisaties (debat in plenaire vergadering).</w:t>
      </w:r>
    </w:p>
    <w:p>
      <w:pPr>
        <w:pStyle w:val="Puce3"/>
        <w:tabs>
          <w:tab w:val="clear" w:pos="720"/>
        </w:tabs>
        <w:rPr/>
      </w:pPr>
      <w:r>
        <w:rPr/>
        <w:t>5.</w:t>
        <w:tab/>
        <w:t>De inspanningen opvoeren om de burgers van de lidstaten te informeren en voor te lichten over migratie- en integratiekwesties (aanbeveling 30, aanbeveling 9 van het LT-panel en debat over werkgroepen).</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3"/>
        <w:numPr>
          <w:ilvl w:val="2"/>
          <w:numId w:val="2"/>
        </w:numPr>
        <w:rPr/>
      </w:pPr>
      <w:bookmarkStart w:id="94" w:name="__RefHeading___Toc298362_1346298689"/>
      <w:bookmarkEnd w:id="94"/>
      <w:r>
        <w:rPr/>
        <w:t>42. Voorstel: Irreguliere migratie</w:t>
      </w:r>
    </w:p>
    <w:p>
      <w:pPr>
        <w:pStyle w:val="P68B1DB1Normal15"/>
        <w:rPr>
          <w:b/>
          <w:b/>
        </w:rPr>
      </w:pPr>
      <w:r>
        <w:rPr/>
        <w:t>Doel: Versterking van de rol van de Unie bij de bestrijding van alle vormen van irreguliere migratie en versterking van de bescherming van de buitengrenzen van de Europese Unie, met eerbiediging van de mensenrechten</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Maatregelen</w:t>
      </w:r>
      <w:r>
        <w:rPr>
          <w:rStyle w:val="Ancredenotedefin"/>
          <w:rStyle w:val="Ancredenotedefin"/>
        </w:rPr>
        <w:endnoteReference w:id="167"/>
      </w:r>
      <w:r>
        <w:rPr/>
        <w:t>:</w:t>
      </w:r>
    </w:p>
    <w:p>
      <w:pPr>
        <w:pStyle w:val="Puce3"/>
        <w:tabs>
          <w:tab w:val="clear" w:pos="720"/>
        </w:tabs>
        <w:rPr/>
      </w:pPr>
      <w:r>
        <w:rPr/>
        <w:t>1.</w:t>
        <w:tab/>
        <w:t>Actief deelnemen, bijvoorbeeld door middel van partnerschapsovereenkomsten, aan de economische en sociale ontwikkeling van landen buiten de Europese Unie en waaruit er een grote toestroom van migranten is, om de onderliggende oorzaken van migratie, waaronder klimaatverandering, aan te pakken. Deze acties moeten transparant zijn en tastbare resultaten opleveren met meetbare effecten, die duidelijk aan de EU-burgers moeten worden meegedeeld (aanbeveling 27, NL Aanbeveling 3 en debat in de werkgroep).</w:t>
      </w:r>
    </w:p>
    <w:p>
      <w:pPr>
        <w:pStyle w:val="Puce3"/>
        <w:tabs>
          <w:tab w:val="clear" w:pos="720"/>
        </w:tabs>
        <w:rPr/>
      </w:pPr>
      <w:r>
        <w:rPr/>
        <w:t>2.</w:t>
        <w:tab/>
        <w:t>Zorgen voor de bescherming van alle buitengrenzen door de transparantie en verantwoordingsplicht van Frontex te verbeteren en zijn rol te versterken (aanbeveling nr. 8 en debat in de werkgroep) en de EU-wetgeving aan te passen om de huidige uitdagingen van irreguliere migratie, zoals mensenhandel, mensenhandel, seksuele uitbuiting, hybride aanvallen door staten die migranten uitbuiten en schending van de mensenrechten beter aan te pakken (aanbeveling LT 10 en debat in de werkgroep).</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Titre3"/>
        <w:numPr>
          <w:ilvl w:val="2"/>
          <w:numId w:val="2"/>
        </w:numPr>
        <w:rPr/>
      </w:pPr>
      <w:bookmarkStart w:id="95" w:name="__RefHeading___Toc298364_1346298689"/>
      <w:bookmarkEnd w:id="95"/>
      <w:r>
        <w:rPr/>
        <w:t>43. Voorstel: Irreguliere migratie (bis)</w:t>
      </w:r>
    </w:p>
    <w:p>
      <w:pPr>
        <w:pStyle w:val="P68B1DB1Normal15"/>
        <w:rPr>
          <w:b/>
          <w:b/>
        </w:rPr>
      </w:pPr>
      <w:r>
        <w:rPr/>
        <w:t>Doel: Gemeenschappelijke regels in alle lidstaten uniform toepassen met betrekking tot de eerste opvang van migranten</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Maatregelen</w:t>
      </w:r>
      <w:r>
        <w:rPr>
          <w:rStyle w:val="Ancredenotedefin"/>
          <w:rStyle w:val="Ancredenotedefin"/>
        </w:rPr>
        <w:endnoteReference w:id="168"/>
      </w:r>
      <w:r>
        <w:rPr/>
        <w:t>:</w:t>
      </w:r>
    </w:p>
    <w:p>
      <w:pPr>
        <w:pStyle w:val="Puce3"/>
        <w:tabs>
          <w:tab w:val="clear" w:pos="720"/>
        </w:tabs>
        <w:rPr/>
      </w:pPr>
      <w:r>
        <w:rPr/>
        <w:t>1.</w:t>
        <w:tab/>
        <w:t>EU-brede maatregelen ontwikkelen om de veiligheid en gezondheid van alle migranten te waarborgen, met name zwangere vrouwen, kinderen, niet-begeleide minderjarigen en alle kwetsbare personen (aanbevelingen 10 en 38 en debat in de werkgroep).</w:t>
      </w:r>
    </w:p>
    <w:p>
      <w:pPr>
        <w:pStyle w:val="Normal"/>
        <w:rPr/>
      </w:pPr>
      <w:r>
        <w:rPr/>
      </w:r>
    </w:p>
    <w:p>
      <w:pPr>
        <w:pStyle w:val="Puce3"/>
        <w:tabs>
          <w:tab w:val="clear" w:pos="720"/>
        </w:tabs>
        <w:rPr/>
      </w:pPr>
      <w:r>
        <w:rPr/>
        <w:t>2.</w:t>
        <w:tab/>
        <w:t>Verhoging van de financiële, logistieke en operationele steun van de EU, onder meer aan lokale overheden, regionale besluitvormers en maatschappelijke organisaties, voor het beheer van de eerste opvang, wat mogelijk leidt tot de integratie van vluchtelingen of reguliere migranten in de EU en de repatriëring van irreguliere migranten (aanbeveling 35 en debat in de werkgroep).</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Normal"/>
        <w:rPr/>
      </w:pPr>
      <w:r>
        <w:rPr/>
      </w:r>
    </w:p>
    <w:p>
      <w:pPr>
        <w:pStyle w:val="Titre3"/>
        <w:numPr>
          <w:ilvl w:val="2"/>
          <w:numId w:val="2"/>
        </w:numPr>
        <w:rPr/>
      </w:pPr>
      <w:bookmarkStart w:id="96" w:name="__RefHeading___Toc298366_1346298689"/>
      <w:bookmarkEnd w:id="96"/>
      <w:r>
        <w:rPr/>
        <w:t>44. Voorstel: Asiel, integratie</w:t>
      </w:r>
    </w:p>
    <w:p>
      <w:pPr>
        <w:pStyle w:val="P68B1DB1Normal15"/>
        <w:rPr>
          <w:b/>
          <w:b/>
        </w:rPr>
      </w:pPr>
      <w:r>
        <w:rPr/>
        <w:t>Doel: Versterking van de rol van de Unie en hervorming van het Europese asielstelsel op basis van de beginselen van solidariteit en billijke verdeling van de verantwoordelijkheid</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Maatregelen</w:t>
      </w:r>
      <w:r>
        <w:rPr>
          <w:rStyle w:val="Ancredenotedefin"/>
          <w:rStyle w:val="Ancredenotedefin"/>
        </w:rPr>
        <w:endnoteReference w:id="169"/>
      </w:r>
      <w:r>
        <w:rPr/>
        <w:t>:</w:t>
      </w:r>
    </w:p>
    <w:p>
      <w:pPr>
        <w:pStyle w:val="Puce3"/>
        <w:tabs>
          <w:tab w:val="clear" w:pos="720"/>
        </w:tabs>
        <w:rPr/>
      </w:pPr>
      <w:r>
        <w:rPr/>
        <w:t>1.</w:t>
        <w:tab/>
        <w:t>Gemeenschappelijke regels van de Unie vast te stellen betreffende procedures voor de behandeling van verzoeken om internationale bescherming in de lidstaten, die op uniforme wijze worden toegepast op alle asielzoekers. Deze procedures moeten de menselijke waardigheid en het internationaal recht eerbiedigen (aanbeveling 29, IT-aanbevelingen 3.8 en 4.4, blz. 15 en debat in de werkgroep). Aangezien bij de opvang van asielzoekers verschillende actoren op nationaal niveau betrokken zijn, moet de Unie de lidstaten aanmoedigen dit proces te vereenvoudigen en te versnellen door de interoperabiliteit tussen de verschillende betrokken overheidsdiensten te verbeteren en één kantoor (venster of enig toegangspunt) voor asielzoekers op te richten om de nationale administratieve procedures te stroomlijnen (aanbeveling 37 en debat in de werkgroep).</w:t>
      </w:r>
    </w:p>
    <w:p>
      <w:pPr>
        <w:pStyle w:val="Puce3"/>
        <w:tabs>
          <w:tab w:val="clear" w:pos="720"/>
        </w:tabs>
        <w:rPr/>
      </w:pPr>
      <w:r>
        <w:rPr/>
        <w:t>2.</w:t>
        <w:tab/>
        <w:t>Het Dublinsysteem te herzien om te zorgen voor solidariteit en billijke verdeling van de verantwoordelijkheid, met inbegrip van de verdeling van migranten tussen de lidstaten; er kunnen ook andere vormen van steun worden overwogen (aanbevelingen 33, 36, 37, 40; LT Aanbeveling nr. 2; aanbevelingen IT 3.8 (blz. 15) en NL 2, debat in de werkgroep en debat in plenaire vergadering.</w:t>
      </w:r>
    </w:p>
    <w:p>
      <w:pPr>
        <w:pStyle w:val="Puce3"/>
        <w:tabs>
          <w:tab w:val="clear" w:pos="720"/>
        </w:tabs>
        <w:rPr/>
      </w:pPr>
      <w:r>
        <w:rPr/>
        <w:t>3.</w:t>
        <w:tab/>
        <w:t>De minimumnormen voor opvang voor asielzoekers in Richtlijn 2013/33/EU te versterken door strengere wetgevingsmaatregelen ter verbetering van opvangvoorzieningen en huisvesting (CEP-aanbeveling 31, IT-aanbeveling 5.6, blz. 11 en debat in de werkgroep).</w:t>
      </w:r>
    </w:p>
    <w:p>
      <w:pPr>
        <w:pStyle w:val="Puce3"/>
        <w:tabs>
          <w:tab w:val="clear" w:pos="720"/>
        </w:tabs>
        <w:rPr/>
      </w:pPr>
      <w:r>
        <w:rPr/>
        <w:t>4.</w:t>
        <w:tab/>
        <w:t>Bijzondere aandacht moet worden besteed aan zwangere vrouwen, kinderen, en met name niet-begeleide minderjarigen (aanbeveling nr. 38 en discussie in de werkgroep).</w:t>
      </w:r>
    </w:p>
    <w:p>
      <w:pPr>
        <w:pStyle w:val="Puce3"/>
        <w:tabs>
          <w:tab w:val="clear" w:pos="720"/>
        </w:tabs>
        <w:rPr/>
      </w:pPr>
      <w:r>
        <w:rPr/>
        <w:t>5.</w:t>
        <w:tab/>
        <w:t>Versterken en vergroten van de financiële en personele middelen en beheerscapaciteiten van het Asielagentschap van de Europese Unie om de herplaatsing van asielzoekers binnen de EU-lidstaten te coördineren en te beheren, met het oog op een eerlijke verdeling (aanbevelingen 36 en 37, aanbeveling 3 voor LT en debat in de werkgroep).</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3"/>
        <w:numPr>
          <w:ilvl w:val="2"/>
          <w:numId w:val="2"/>
        </w:numPr>
        <w:rPr/>
      </w:pPr>
      <w:bookmarkStart w:id="97" w:name="__RefHeading___Toc298368_1346298689"/>
      <w:bookmarkEnd w:id="97"/>
      <w:r>
        <w:rPr/>
        <w:t>45. Voorstel: Asiel, integratie(bis)</w:t>
      </w:r>
    </w:p>
    <w:p>
      <w:pPr>
        <w:pStyle w:val="P68B1DB1Normal15"/>
        <w:rPr>
          <w:b/>
          <w:b/>
        </w:rPr>
      </w:pPr>
      <w:r>
        <w:rPr/>
        <w:t>Doel: Verbetering van het integratiebeleid in alle lidstaten</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Maatregelen</w:t>
      </w:r>
      <w:r>
        <w:rPr>
          <w:rStyle w:val="Ancredenotedefin"/>
          <w:rStyle w:val="Ancredenotedefin"/>
        </w:rPr>
        <w:endnoteReference w:id="170"/>
      </w:r>
      <w:r>
        <w:rPr/>
        <w:t>:</w:t>
      </w:r>
    </w:p>
    <w:p>
      <w:pPr>
        <w:pStyle w:val="Puce3"/>
        <w:tabs>
          <w:tab w:val="clear" w:pos="720"/>
        </w:tabs>
        <w:rPr/>
      </w:pPr>
      <w:r>
        <w:rPr/>
        <w:t>1.</w:t>
        <w:tab/>
        <w:t>De Unie zorgt er ook voor, met deelname van lokale en regionale overheden en de bijdrage van maatschappelijke organisaties, dat alle asielzoekers en vluchtelingen deelnemen aan taal- en integratiecursussen en -activiteiten en beroepsopleidingen tijdens de behandeling van hun verblijfsaanvraag (aanbeveling nr. 32, aanbeveling FR nr. 13, debat in de werkgroep en debat in de plenaire vergadering).</w:t>
      </w:r>
    </w:p>
    <w:p>
      <w:pPr>
        <w:pStyle w:val="Puce3"/>
        <w:tabs>
          <w:tab w:val="clear" w:pos="720"/>
        </w:tabs>
        <w:rPr/>
      </w:pPr>
      <w:r>
        <w:rPr/>
        <w:t>2.</w:t>
        <w:tab/>
        <w:t>Asielzoekers met de juiste kwalificaties moeten toegang hebben tot de arbeidsmarkt, indien mogelijk met het oog op de versterking van hun autonomie, in de hele Unie (aanbeveling nr. 7 en debat in de werkgroep).</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Normal"/>
        <w:rPr/>
      </w:pPr>
      <w:r>
        <w:rPr/>
        <w:drawing>
          <wp:anchor behindDoc="0" distT="0" distB="0" distL="0" distR="0" simplePos="0" locked="0" layoutInCell="1" allowOverlap="1" relativeHeight="13">
            <wp:simplePos x="0" y="0"/>
            <wp:positionH relativeFrom="column">
              <wp:posOffset>10160</wp:posOffset>
            </wp:positionH>
            <wp:positionV relativeFrom="paragraph">
              <wp:posOffset>3810</wp:posOffset>
            </wp:positionV>
            <wp:extent cx="913765" cy="913765"/>
            <wp:effectExtent l="0" t="0" r="0" b="0"/>
            <wp:wrapSquare wrapText="largest"/>
            <wp:docPr id="69" name="Afbeelding 2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Afbeelding 29" descr=""/>
                    <pic:cNvPicPr>
                      <a:picLocks noChangeAspect="1" noChangeArrowheads="1"/>
                    </pic:cNvPicPr>
                  </pic:nvPicPr>
                  <pic:blipFill>
                    <a:blip r:embed="rId81"/>
                    <a:stretch>
                      <a:fillRect/>
                    </a:stretch>
                  </pic:blipFill>
                  <pic:spPr bwMode="auto">
                    <a:xfrm>
                      <a:off x="0" y="0"/>
                      <a:ext cx="913765" cy="913765"/>
                    </a:xfrm>
                    <a:prstGeom prst="rect">
                      <a:avLst/>
                    </a:prstGeom>
                  </pic:spPr>
                </pic:pic>
              </a:graphicData>
            </a:graphic>
          </wp:anchor>
        </w:drawing>
      </w:r>
    </w:p>
    <w:p>
      <w:pPr>
        <w:pStyle w:val="Normal"/>
        <w:rPr/>
      </w:pPr>
      <w:r>
        <w:rPr/>
      </w:r>
    </w:p>
    <w:p>
      <w:pPr>
        <w:pStyle w:val="Normal"/>
        <w:rPr/>
      </w:pPr>
      <w:r>
        <w:rPr/>
      </w:r>
    </w:p>
    <w:p>
      <w:pPr>
        <w:pStyle w:val="Normal"/>
        <w:rPr/>
      </w:pPr>
      <w:r>
        <w:rPr/>
      </w:r>
    </w:p>
    <w:p>
      <w:pPr>
        <w:pStyle w:val="Titre2"/>
        <w:numPr>
          <w:ilvl w:val="1"/>
          <w:numId w:val="2"/>
        </w:numPr>
        <w:rPr/>
      </w:pPr>
      <w:bookmarkStart w:id="98" w:name="__RefHeading___Toc298370_1346298689"/>
      <w:bookmarkEnd w:id="98"/>
      <w:r>
        <w:rPr/>
        <w:t>Onderwijs, cultuur, jeugd en sport</w:t>
      </w:r>
    </w:p>
    <w:p>
      <w:pPr>
        <w:pStyle w:val="Titre3"/>
        <w:numPr>
          <w:ilvl w:val="2"/>
          <w:numId w:val="2"/>
        </w:numPr>
        <w:rPr/>
      </w:pPr>
      <w:bookmarkStart w:id="99" w:name="__RefHeading___Toc298372_1346298689"/>
      <w:bookmarkEnd w:id="99"/>
      <w:r>
        <w:rPr/>
        <w:t>46. Voorstel: Onderwijs</w:t>
      </w:r>
    </w:p>
    <w:p>
      <w:pPr>
        <w:pStyle w:val="P68B1DB1Normal15"/>
        <w:rPr>
          <w:b/>
          <w:b/>
        </w:rPr>
      </w:pPr>
      <w:r>
        <w:rPr/>
        <w:t>Doel: De EU en haar lidstaten moeten ernaar streven tegen 2025 een inclusieve Europese onderwijsruimte tot stand te brengen waarin alle burgers gelijke toegang hebben tot hoogwaardig levenslang leren en onderwijs, met inbegrip van mensen die in plattelands- en afgelegen gebieden wonen. Daartoe moeten de Europese Unie en haar lidstaten met name:</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Maatregelen:</w:t>
      </w:r>
    </w:p>
    <w:p>
      <w:pPr>
        <w:pStyle w:val="Puce3"/>
        <w:tabs>
          <w:tab w:val="clear" w:pos="720"/>
        </w:tabs>
        <w:rPr/>
      </w:pPr>
      <w:r>
        <w:rPr/>
        <w:t>1.</w:t>
        <w:tab/>
        <w:t>Het niveau van alle verschillende onderwijsprogramma’s in de Europese Unie coördineren door nationale, regionale en lokale inhoud te accepteren en nauwere banden tussen onderwijsstelsels tot stand te brengen, met name door de gelijkwaardigheid van diploma’s</w:t>
      </w:r>
      <w:r>
        <w:rPr>
          <w:rStyle w:val="Ancredenotedefin"/>
          <w:rStyle w:val="Ancredenotedefin"/>
        </w:rPr>
        <w:endnoteReference w:id="171"/>
      </w:r>
      <w:r>
        <w:rPr/>
        <w:t>. Een gecertificeerde minimumnorm voor lesgeven in essentiële vakken moet al vanaf de basisschool</w:t>
      </w:r>
      <w:r>
        <w:rPr>
          <w:rStyle w:val="Ancredenotedefin"/>
          <w:rStyle w:val="Ancredenotedefin"/>
        </w:rPr>
        <w:endnoteReference w:id="172"/>
      </w:r>
      <w:r>
        <w:rPr/>
        <w:t>171 worden vastgesteld. Op het gebied van onderwijs moeten gedeelde bevoegdheden worden vastgesteld, ten minste met betrekking tot burgerschapsonderwijs, en de uitoefening van die bevoegdheid door de Unie kan de lidstaten niet beletten hun eigen bevoegdheden uit te oefenen. Diploma’s en beroepsopleidingen moeten in alle lidstaten van de Unie worden gevalideerd en wederzijds erkend</w:t>
      </w:r>
      <w:r>
        <w:rPr>
          <w:rStyle w:val="Ancredenotedefin"/>
          <w:rStyle w:val="Ancredenotedefin"/>
        </w:rPr>
        <w:endnoteReference w:id="173"/>
      </w:r>
      <w:r>
        <w:rPr/>
        <w:t>. De Europese Unie moet ook gebruik maken van de erkenning van niet-formeel</w:t>
      </w:r>
      <w:r>
        <w:rPr>
          <w:rStyle w:val="Ancredenotedefin"/>
          <w:rStyle w:val="Ancredenotedefin"/>
        </w:rPr>
        <w:endnoteReference w:id="174"/>
      </w:r>
      <w:r>
        <w:rPr/>
        <w:t xml:space="preserve"> en informeel leren en jeugdorganisaties die het aanbieden, alsook van leerperioden in het buitenland.</w:t>
      </w:r>
    </w:p>
    <w:p>
      <w:pPr>
        <w:pStyle w:val="Puce3"/>
        <w:tabs>
          <w:tab w:val="clear" w:pos="720"/>
        </w:tabs>
        <w:rPr/>
      </w:pPr>
      <w:r>
        <w:rPr/>
        <w:t>2.</w:t>
        <w:tab/>
        <w:t>Ontwikkeling van een toekomstbestendig levenslang leren en onderwijs in Europa — in overeenstemming met het recht op opleiding op de werkplek voor iedereen — met de nadruk op de volgende aspecten:</w:t>
        <w:br/>
        <w:t>Burgervoorlichting over democratische processen en EU-waarden en de geschiedenis van Europa</w:t>
      </w:r>
      <w:r>
        <w:rPr>
          <w:rStyle w:val="Ancredenotedefin"/>
          <w:rStyle w:val="Ancredenotedefin"/>
        </w:rPr>
        <w:endnoteReference w:id="175"/>
      </w:r>
      <w:r>
        <w:rPr/>
        <w:t>. Het moet een gemeenschappelijke module worden die in alle lidstaten moet worden onderwezen. De kennis van de economie moet ook worden verbeterd om een beter inzicht in het Europese integratieproces mogelijk te maken</w:t>
      </w:r>
      <w:r>
        <w:rPr>
          <w:rStyle w:val="Ancredenotedefin"/>
          <w:rStyle w:val="Ancredenotedefin"/>
        </w:rPr>
        <w:endnoteReference w:id="176"/>
      </w:r>
      <w:r>
        <w:rPr/>
        <w:t>.</w:t>
        <w:br/>
        <w:t>Digitale vaardigheden</w:t>
      </w:r>
      <w:r>
        <w:rPr>
          <w:rStyle w:val="Ancredenotedefin"/>
          <w:rStyle w:val="Ancredenotedefin"/>
        </w:rPr>
        <w:endnoteReference w:id="177"/>
      </w:r>
      <w:r>
        <w:rPr/>
        <w:t>.</w:t>
        <w:br/>
        <w:t>STIAM</w:t>
      </w:r>
      <w:r>
        <w:rPr>
          <w:rStyle w:val="Ancredenotedefin"/>
          <w:rStyle w:val="Ancredenotedefin"/>
        </w:rPr>
        <w:endnoteReference w:id="178"/>
      </w:r>
      <w:r>
        <w:rPr/>
        <w:br/>
        <w:t>Ondernemerschap en onderzoek.</w:t>
        <w:br/>
        <w:t>Ontwikkeling van kritisch denken. De mediageletterdheid moet worden verbeterd om de onlineveiligheid te waarborgen en de burgers in alle lidstaten in staat te stellen onafhankelijk te beoordelen of informatie al dan niet geloofwaardig is en valse informatie te identificeren en daarbij gebruik te maken van de mogelijkheden die het internet biedt. Dit onderwijs moet de organisatie van specifieke cursussen op het niveau van het basisonderwijs omvatten en moet in andere openbare ruimten worden aangeboden aan burgers van alle leeftijden, onder auspiciën van een gespecialiseerd orgaan op het niveau van de Unie, waarbij gebruik wordt gemaakt van goede praktijken die in alle lidstaten bestaan. De EU moet ervoor zorgen dat specifiek aan deze activiteiten toegewezen middelen voor het beoogde doel worden gebruikt</w:t>
      </w:r>
      <w:r>
        <w:rPr>
          <w:rStyle w:val="Ancredenotedefin"/>
          <w:rStyle w:val="Ancredenotedefin"/>
        </w:rPr>
        <w:endnoteReference w:id="179"/>
      </w:r>
      <w:r>
        <w:rPr/>
        <w:t>.</w:t>
        <w:br/>
        <w:t>integratie van niet-technische vaardigheden in alle cursussen in schoolcurricula. Niet-technische bekwaamheid: wederzijds luisteren, dialoog, veerkracht, begrip, respect en waardering van anderen, kritisch denken, zelfleren en nieuwsgierig blijven en resultaatgericht blijven</w:t>
      </w:r>
      <w:r>
        <w:rPr>
          <w:rStyle w:val="Ancredenotedefin"/>
          <w:rStyle w:val="Ancredenotedefin"/>
        </w:rPr>
        <w:endnoteReference w:id="180"/>
      </w:r>
      <w:r>
        <w:rPr/>
        <w:t>; Iedereen de kans geven om meer te weten te komen over milieuduurzaamheid en de verbanden met gezondheid. Biodiversiteit moet een verplicht onderwerp zijn op school. Het moet op school beginnen met specifieke onderwerpen die betrekking hebben op alle ecologische kwesties en excursies omvatten om relevante echte voorbeelden te presenteren, allemaal met behulp van een financieringsprogramma</w:t>
      </w:r>
      <w:r>
        <w:rPr>
          <w:rStyle w:val="Ancredenotedefin"/>
          <w:rStyle w:val="Ancredenotedefin"/>
        </w:rPr>
        <w:endnoteReference w:id="181"/>
      </w:r>
      <w:r>
        <w:rPr/>
        <w:t xml:space="preserve">. </w:t>
        <w:br/>
        <w:t>Strijd tegen pesten op scholen en racisme.</w:t>
      </w:r>
    </w:p>
    <w:p>
      <w:pPr>
        <w:pStyle w:val="Puce3"/>
        <w:tabs>
          <w:tab w:val="clear" w:pos="720"/>
        </w:tabs>
        <w:rPr/>
      </w:pPr>
      <w:r>
        <w:rPr/>
        <w:t>3.</w:t>
        <w:tab/>
        <w:t>De opleiding van</w:t>
      </w:r>
      <w:r>
        <w:rPr>
          <w:rStyle w:val="Ancredenotedefin"/>
          <w:rStyle w:val="Ancredenotedefin"/>
        </w:rPr>
        <w:endnoteReference w:id="182"/>
      </w:r>
      <w:r>
        <w:rPr/>
        <w:t>leerkrachten te ondersteunen om te leren van beste praktijken en gebruik te maken van up-to-date innovatieve en creatieve onderwijstechnieken die de evolutie van pedagogische methoden weerspiegelen, met inbegrip van praktische activiteiten, en voortbouwen op lessen die kunnen worden getrokken uit de COVID-19-pandemie en andere soorten crises, en mobiliteitsmogelijkheden te bevorderen</w:t>
      </w:r>
      <w:r>
        <w:rPr>
          <w:rStyle w:val="Ancredenotedefin"/>
          <w:rStyle w:val="Ancredenotedefin"/>
        </w:rPr>
        <w:endnoteReference w:id="183"/>
      </w:r>
      <w:r>
        <w:rPr/>
        <w:t>.</w:t>
      </w:r>
    </w:p>
    <w:p>
      <w:pPr>
        <w:pStyle w:val="Puce3"/>
        <w:tabs>
          <w:tab w:val="clear" w:pos="720"/>
        </w:tabs>
        <w:rPr/>
      </w:pPr>
      <w:r>
        <w:rPr/>
        <w:t>4.</w:t>
        <w:tab/>
        <w:t>Om tegemoet te komen aan de onderwijsbehoeften van alle kinderen en gezinnen, prioriteit te geven aan toegang tot apparatuur en efficiënte breedbandconnectiviteit</w:t>
      </w:r>
      <w:r>
        <w:rPr>
          <w:rStyle w:val="Ancredenotedefin"/>
          <w:rStyle w:val="Ancredenotedefin"/>
        </w:rPr>
        <w:endnoteReference w:id="184"/>
      </w:r>
      <w:r>
        <w:rPr/>
        <w:t>.</w:t>
      </w:r>
    </w:p>
    <w:p>
      <w:pPr>
        <w:pStyle w:val="Puce3"/>
        <w:tabs>
          <w:tab w:val="clear" w:pos="720"/>
        </w:tabs>
        <w:rPr/>
      </w:pPr>
      <w:r>
        <w:rPr/>
        <w:t>5.</w:t>
        <w:tab/>
        <w:t>Een informatieplatform op te zetten voor de uitwisseling van kennis en ervaring op het niveau van de Unie, door informatie over transnationale onderwijs- en opleidingscursussen in de Unie uit te wisselen, voorbeelden van beste praktijken te presenteren en burgers de mogelijkheid te bieden nieuwe ideeën voor grensoverschrijdende uitwisselingen te presenteren. Het moet educatief materiaal verstrekken over klimaatverandering, milieukwesties en digitalisering en informatie verstrekken over bestaande gespecialiseerde fora over de belangrijkste thema’s</w:t>
      </w:r>
      <w:r>
        <w:rPr>
          <w:rStyle w:val="Ancredenotedefin"/>
          <w:rStyle w:val="Ancredenotedefin"/>
        </w:rPr>
        <w:endnoteReference w:id="185"/>
      </w:r>
      <w:r>
        <w:rPr/>
        <w:t>. — Dit kan vergezeld gaan van een financieringsprogramma ter ondersteuning van het gebruik en de exploitatie van de informatie van het platform.</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Titre3"/>
        <w:numPr>
          <w:ilvl w:val="2"/>
          <w:numId w:val="2"/>
        </w:numPr>
        <w:rPr/>
      </w:pPr>
      <w:bookmarkStart w:id="100" w:name="__RefHeading___Toc298374_1346298689"/>
      <w:bookmarkEnd w:id="100"/>
      <w:r>
        <w:rPr/>
        <w:t>47. Voorstel: Vragen over Europese jongeren</w:t>
      </w:r>
    </w:p>
    <w:p>
      <w:pPr>
        <w:pStyle w:val="P68B1DB1Normal15"/>
        <w:rPr>
          <w:b/>
          <w:b/>
        </w:rPr>
      </w:pPr>
      <w:r>
        <w:rPr/>
        <w:t>Doel: De EU en haar lidstaten moeten zich richten op de specifieke behoeften van jongeren in alle relevante beleidsmaatregelen, met inbegrip van het regionaal beleid van de EU, om hen de best mogelijke voorwaarden te bieden om te studeren en te werken en een zelfstandig leven te beginnen, en hen tegelijkertijd te betrekken bij democratisch leven en besluitvormingsprocessen, ook op Europees niveau. Jongerenorganisaties hebben een sleutelrol te spelen. Om dit doel te bereiken, stellen wij het volgende voor:</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Maatregelen:</w:t>
      </w:r>
    </w:p>
    <w:p>
      <w:pPr>
        <w:pStyle w:val="Puce3"/>
        <w:tabs>
          <w:tab w:val="clear" w:pos="720"/>
        </w:tabs>
        <w:rPr/>
      </w:pPr>
      <w:r>
        <w:rPr/>
        <w:t>1.</w:t>
        <w:tab/>
        <w:t>Jongeren meer kansen bieden voor participatie en vertegenwoordiging in democratische en besluitvormingsprocessen op alle niveaus, en bestaande programma’s op dit gebied ondersteunen, onder meer door burgerpanels te organiseren met kinderen (bijvoorbeeld van 10-16 jaar) op scholen. Europese vertegenwoordigers zouden schoolkinderen in hun scholen kunnen ontmoeten om de burgers van jongs af aan dichter bij en inzicht in Europa te geven</w:t>
      </w:r>
      <w:r>
        <w:rPr>
          <w:rStyle w:val="Ancredenotedefin"/>
          <w:rStyle w:val="Ancredenotedefin"/>
        </w:rPr>
        <w:endnoteReference w:id="186"/>
      </w:r>
      <w:r>
        <w:rPr/>
        <w:t>. Voor alle EU-beleidsbesluiten die door de jeugdlens moeten worden geanalyseerd, moet een „jeugdtest” op Europees niveau worden ontwikkeld om ervoor te zorgen dat elk nieuw beleid en wetgevingsvoorstel wordt onderworpen aan een effectbeoordeling op jeugdgebied, met inbegrip van een jongerenraadpleging.</w:t>
      </w:r>
    </w:p>
    <w:p>
      <w:pPr>
        <w:pStyle w:val="Puce3"/>
        <w:tabs>
          <w:tab w:val="clear" w:pos="720"/>
        </w:tabs>
        <w:rPr/>
      </w:pPr>
      <w:r>
        <w:rPr/>
        <w:t>2.</w:t>
        <w:tab/>
        <w:t>De toekenning van het stemrecht vanaf de leeftijd van 16 jaar bij de verkiezingen voor het Europees Parlement, samen met een versterking van het burgerschapsonderwijs en over de EU, moet worden besproken en overwogen. Nationale politieke partijen moeten er ook voor zorgen dat jongere kandidaten op hun lijsten voor verkiezingen voor het Europees Parlement worden geplaatst</w:t>
      </w:r>
      <w:r>
        <w:rPr>
          <w:rStyle w:val="Ancredenotedefin"/>
          <w:rStyle w:val="Ancredenotedefin"/>
        </w:rPr>
        <w:endnoteReference w:id="187"/>
      </w:r>
      <w:r>
        <w:rPr/>
        <w:t>.</w:t>
      </w:r>
    </w:p>
    <w:p>
      <w:pPr>
        <w:pStyle w:val="Puce3"/>
        <w:tabs>
          <w:tab w:val="clear" w:pos="720"/>
        </w:tabs>
        <w:rPr/>
      </w:pPr>
      <w:r>
        <w:rPr/>
        <w:t>3.</w:t>
        <w:tab/>
        <w:t>Jongeren beter voorbereiden op de arbeidsmarkt, middelbare scholieren (vanaf 12 jaar) de kans geven deel te nemen aan kwaliteitswaarnemingsbezoeken aan organisaties zonder winstoogmerk en non-profitorganisaties, in nauwe samenwerking tussen scholen, lokale overheden en relevante organisaties en bedrijven</w:t>
      </w:r>
      <w:r>
        <w:rPr>
          <w:rStyle w:val="Ancredenotedefin"/>
          <w:rStyle w:val="Ancredenotedefin"/>
        </w:rPr>
        <w:endnoteReference w:id="188"/>
      </w:r>
      <w:r>
        <w:rPr/>
        <w:t>. Deze bezoeken moeten worden beschouwd als onderdeel van een breder proces van loopbaanbegeleiding in het formele onderwijs om jongeren in staat te stellen een eerste contact met de wereld van het werk te hebben om hun professionele keuzes te kunnen begeleiden en/of te overwegen ondernemer te worden.</w:t>
      </w:r>
    </w:p>
    <w:p>
      <w:pPr>
        <w:pStyle w:val="Puce3"/>
        <w:tabs>
          <w:tab w:val="clear" w:pos="720"/>
        </w:tabs>
        <w:rPr/>
      </w:pPr>
      <w:r>
        <w:rPr/>
        <w:t>4.</w:t>
        <w:tab/>
        <w:t>Meer EU-financiering in het kader van NextGenerationEU moet ook worden besteed aan de uitvoering van de versterkte Europese jongerengarantie, met inbegrip van meer betrokkenheid, meer bewustzijn, verbeterde kwaliteit van het aanbod, financiering en actie van alle lidstaten en relevante instanties. Aangezien jongerenorganisaties beter in staat zijn de behoeften van jongeren in kaart te brengen, moeten de nationale regeringen met jongerenorganisaties samenwerken door middel van nauwe dialoog om te zorgen voor de meest doeltreffende uitvoering van de jongerengarantie.</w:t>
      </w:r>
    </w:p>
    <w:p>
      <w:pPr>
        <w:pStyle w:val="Puce3"/>
        <w:tabs>
          <w:tab w:val="clear" w:pos="720"/>
        </w:tabs>
        <w:rPr/>
      </w:pPr>
      <w:r>
        <w:rPr/>
        <w:t>5.</w:t>
        <w:tab/>
        <w:t>Ervoor zorgen dat stages en banen van jongeren voldoen aan kwaliteitsnormen, met name wat de beloning betreft, door een einde te maken aan minimumlonen voor jongeren en andere discriminerende bepalingen van jeugdspecifieke arbeidswetgeving, en door door middel van een rechtsinstrument onbetaalde stages op de arbeidsmarkt en buiten het formele onderwijs te verbieden</w:t>
      </w:r>
      <w:r>
        <w:rPr>
          <w:rStyle w:val="Ancredenotedefin"/>
          <w:rStyle w:val="Ancredenotedefin"/>
        </w:rPr>
        <w:endnoteReference w:id="189"/>
      </w:r>
      <w:r>
        <w:rPr/>
        <w:t>.</w:t>
      </w:r>
    </w:p>
    <w:p>
      <w:pPr>
        <w:pStyle w:val="Puce3"/>
        <w:tabs>
          <w:tab w:val="clear" w:pos="720"/>
        </w:tabs>
        <w:rPr/>
      </w:pPr>
      <w:r>
        <w:rPr/>
        <w:t>6.</w:t>
        <w:tab/>
        <w:t>Zorgen voor een redelijke levensstandaard voor jongeren, met inbegrip van toegang tot sociale bescherming en huisvesting. Jongeren moeten toegang hebben tot een niveau van sociale bescherming dat gelijkwaardig is aan dat van andere leeftijdsgroepen. De toegang tot betaalbare huisvesting voor jongeren moet ook worden vergemakkelijkt, onder meer door middel van EU-financiering</w:t>
      </w:r>
      <w:r>
        <w:rPr>
          <w:rStyle w:val="Ancredenotedefin"/>
          <w:rStyle w:val="Ancredenotedefin"/>
        </w:rPr>
        <w:endnoteReference w:id="190"/>
      </w:r>
      <w:r>
        <w:rPr/>
        <w:t>.</w:t>
      </w:r>
    </w:p>
    <w:p>
      <w:pPr>
        <w:pStyle w:val="Puce3"/>
        <w:tabs>
          <w:tab w:val="clear" w:pos="720"/>
        </w:tabs>
        <w:rPr/>
      </w:pPr>
      <w:r>
        <w:rPr/>
        <w:t>7.</w:t>
        <w:tab/>
        <w:t>Er zijn specifieke maatregelen nodig om braindrain uit bepaalde regio’s en landen binnen de Unie te voorkomen als gevolg van onvoldoende kansen voor jongeren, en tegelijkertijd Europa aantrekkelijker te maken om de vlucht van Europees talent en Europese arbeidskrachten naar derde landen te voorkomen om te voorkomen dat de territoriale cohesie wordt ondermijnd, met name wat betreft regio’s met een aanzienlijk verlies aan jong talent, onder meer door middel van EU-financiering</w:t>
      </w:r>
      <w:r>
        <w:rPr>
          <w:rStyle w:val="Ancredenotedefin"/>
          <w:rStyle w:val="Ancredenotedefin"/>
        </w:rPr>
        <w:endnoteReference w:id="191"/>
      </w:r>
      <w:r>
        <w:rPr/>
        <w:t>.</w:t>
      </w:r>
    </w:p>
    <w:p>
      <w:pPr>
        <w:pStyle w:val="Puce3"/>
        <w:tabs>
          <w:tab w:val="clear" w:pos="720"/>
        </w:tabs>
        <w:rPr/>
      </w:pPr>
      <w:r>
        <w:rPr/>
        <w:t>8.</w:t>
        <w:tab/>
        <w:t>In het geval van een ernstige crisis (bijvoorbeeld gezondheidscrisis, oorlog) moeten goed ontworpen plannen met gedetailleerde scenario’s klaar zijn om flexibel te worden ingezet om de impact op onderwijs, beroepsopleiding, de overgang naar de arbeidsmarkt en het mentale welzijn van jongeren tot een minimum te beperken</w:t>
      </w:r>
      <w:r>
        <w:rPr>
          <w:rStyle w:val="Ancredenotedefin"/>
          <w:rStyle w:val="Ancredenotedefin"/>
        </w:rPr>
        <w:endnoteReference w:id="192"/>
      </w:r>
      <w:r>
        <w:rPr/>
        <w:t>.</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Titre3"/>
        <w:numPr>
          <w:ilvl w:val="2"/>
          <w:numId w:val="2"/>
        </w:numPr>
        <w:rPr/>
      </w:pPr>
      <w:bookmarkStart w:id="101" w:name="__RefHeading___Toc298376_1346298689"/>
      <w:bookmarkEnd w:id="101"/>
      <w:r>
        <w:rPr/>
        <w:t>48. Voorstel: Cultuur en uitwisselingen</w:t>
      </w:r>
    </w:p>
    <w:p>
      <w:pPr>
        <w:pStyle w:val="P68B1DB1Normal15"/>
        <w:rPr>
          <w:b/>
          <w:b/>
        </w:rPr>
      </w:pPr>
      <w:r>
        <w:rPr/>
        <w:t>Doel: Om een cultuur van uitwisseling te bevorderen en de Europese identiteit en diversiteit op verschillende gebieden te bevorderen, moeten de lidstaten, met de hulp van de Europese Unie:</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Maatregelen</w:t>
      </w:r>
      <w:r>
        <w:rPr>
          <w:rStyle w:val="Ancredenotedefin"/>
          <w:rStyle w:val="Ancredenotedefin"/>
          <w:b/>
        </w:rPr>
        <w:endnoteReference w:id="193"/>
      </w:r>
      <w:r>
        <w:rPr/>
        <w:t>:</w:t>
      </w:r>
    </w:p>
    <w:p>
      <w:pPr>
        <w:pStyle w:val="Puce3"/>
        <w:tabs>
          <w:tab w:val="clear" w:pos="720"/>
        </w:tabs>
        <w:rPr/>
      </w:pPr>
      <w:r>
        <w:rPr/>
        <w:t>1.</w:t>
        <w:tab/>
        <w:t>Bevordering van Europese uitwisselingen op verschillende gebieden, zowel fysiek als digitaal, met inbegrip van onderwijsuitwisselingen, jumelages, reizen en beroepsmobiliteit (met name voor leerkrachten en lokale gekozen ambtenaren). Dergelijke uitwisselingen moeten toegankelijk worden gemaakt voor iedereen in alle lidstaten, ongeacht leeftijd, opleidingsniveau, herkomst en financiële middelen</w:t>
      </w:r>
      <w:r>
        <w:rPr>
          <w:rStyle w:val="Ancredenotedefin"/>
          <w:rStyle w:val="Ancredenotedefin"/>
        </w:rPr>
        <w:endnoteReference w:id="194"/>
      </w:r>
      <w:r>
        <w:rPr/>
        <w:t>. Te dien einde moet de Unie met name bestaande uitwisselings- en mobiliteitsprogramma’s op Unieniveau versterken, zoals het Europees Solidariteitskorps, Erasmus+ en DiscoverEU, zorgen voor een bredere en gediversifieerde deelname aan die programma’s, en overwegen nieuwe elementen toe te voegen, zoals een extra doelstelling van maatschappelijke dienstverlening die wordt aangemoedigd door vrijwilligerswerk (voor het Europees Solidariteitskorps) en „culturele toegangstitels” (voor DiscoverEU). Lokale en regionale overheden, onder auspiciën van het Comité van de Regio’s, moeten op dit gebied een leidende rol spelen.</w:t>
      </w:r>
    </w:p>
    <w:p>
      <w:pPr>
        <w:pStyle w:val="Puce3"/>
        <w:tabs>
          <w:tab w:val="clear" w:pos="720"/>
        </w:tabs>
        <w:rPr/>
      </w:pPr>
      <w:r>
        <w:rPr/>
        <w:t>2.</w:t>
        <w:tab/>
        <w:t>Meertaligheid bevorderen als toegangspoort tot andere culturen van jongs af aan. Regionale en minderheidstalen hebben aanvullende bescherming nodig, rekening houdend met het Verdrag van de Raad van Europa inzake talen van minderheden en het Kaderverdrag inzake de bescherming van nationale minderheden. De EU moet overwegen een instelling op te richten om de taaldiversiteit op Europees niveau te bevorderen. Van de basisschool moeten kinderen worden verplicht vaardigheden te verwerven in een andere actieve EU-taal dan hun eigen taal op het hoogst mogelijke niveau. Om de Europese burgers in staat te stellen te communiceren met bredere groepen andere Europeanen en als factor van Europese samenhang, moet het leren van de taal van de EU-lidstaten die rechtstreeks grenzen aan grensregio’s en het verwerven van een gecertificeerd Engelsniveau door de lidstaten worden aangemoedigd</w:t>
      </w:r>
      <w:r>
        <w:rPr>
          <w:rStyle w:val="Ancredenotedefin"/>
          <w:rStyle w:val="Ancredenotedefin"/>
        </w:rPr>
        <w:endnoteReference w:id="195"/>
      </w:r>
      <w:r>
        <w:rPr/>
        <w:t>.</w:t>
      </w:r>
    </w:p>
    <w:p>
      <w:pPr>
        <w:pStyle w:val="Puce3"/>
        <w:tabs>
          <w:tab w:val="clear" w:pos="720"/>
        </w:tabs>
        <w:rPr/>
      </w:pPr>
      <w:r>
        <w:rPr/>
        <w:t>3.</w:t>
        <w:tab/>
        <w:t>Kansen creëren om Europese culturen te delen, volkeren dichter bij elkaar te brengen en een gemeenschappelijke Europese identiteit te bevorderen, bijvoorbeeld door evenementen en bijeenkomsten waarbij alle doelgroepen betrokken zijn en op verschillende locaties plaatsvinden. Voorbeelden hiervan zijn de organisatie van World Art Days</w:t>
      </w:r>
      <w:r>
        <w:rPr>
          <w:rStyle w:val="Ancredenotedefin"/>
          <w:rStyle w:val="Ancredenotedefin"/>
        </w:rPr>
        <w:endnoteReference w:id="196"/>
      </w:r>
      <w:r>
        <w:rPr/>
        <w:t>, een Europese tentoonstelling met pedagogische evenementen of de transformatie van de Dag van Europa (9 mei) in een officiële Europese feestdag voor alle EU-burgers</w:t>
      </w:r>
      <w:r>
        <w:rPr>
          <w:rStyle w:val="Ancredenotedefin"/>
          <w:rStyle w:val="Ancredenotedefin"/>
        </w:rPr>
        <w:endnoteReference w:id="197"/>
      </w:r>
      <w:r>
        <w:rPr/>
        <w:t>.</w:t>
      </w:r>
    </w:p>
    <w:p>
      <w:pPr>
        <w:pStyle w:val="Puce3"/>
        <w:tabs>
          <w:tab w:val="clear" w:pos="720"/>
        </w:tabs>
        <w:rPr/>
      </w:pPr>
      <w:r>
        <w:rPr/>
      </w:r>
    </w:p>
    <w:p>
      <w:pPr>
        <w:pStyle w:val="Puce3"/>
        <w:tabs>
          <w:tab w:val="clear" w:pos="720"/>
        </w:tabs>
        <w:rPr/>
      </w:pPr>
      <w:r>
        <w:rPr/>
        <w:t>4.</w:t>
        <w:tab/>
        <w:t>De bescherming van het Europees cultureel erfgoed en de Europese cultuur</w:t>
      </w:r>
      <w:r>
        <w:rPr>
          <w:rStyle w:val="Ancredenotedefin"/>
          <w:rStyle w:val="Ancredenotedefin"/>
        </w:rPr>
        <w:endnoteReference w:id="198"/>
      </w:r>
      <w:r>
        <w:rPr/>
        <w:t>, met name door erkenning van lokale en regionale specifieke kenmerken op het gebied van cultuur en productie,</w:t>
      </w:r>
      <w:r>
        <w:rPr>
          <w:rStyle w:val="Ancredenotedefin"/>
          <w:rStyle w:val="Ancredenotedefin"/>
        </w:rPr>
        <w:endnoteReference w:id="199"/>
      </w:r>
      <w:r>
        <w:rPr/>
        <w:t>door nieuwe initiatieven om het te behouden en te vieren, door mobiliteit om de uitwisseling van cultureel erfgoed aan te moedigen, en door het bevorderen van bestaande maatregelen zoals Creatief Europa, het Nieuw Europees Bauhaus, de jumelageprogramma’s van steden en culturele hoofdsteden van Europa, in overeenstemming met de doelstellingen voor duurzame ontwikkeling.</w:t>
      </w:r>
    </w:p>
    <w:p>
      <w:pPr>
        <w:pStyle w:val="Puce3"/>
        <w:tabs>
          <w:tab w:val="clear" w:pos="720"/>
        </w:tabs>
        <w:rPr/>
      </w:pPr>
      <w:r>
        <w:rPr/>
        <w:t>5.</w:t>
        <w:tab/>
        <w:t>Maatregelen nemen om ervoor te zorgen dat culturele beroepsbeoefenaren voldoende worden beschermd op EU-niveau, met name in een toekomstige crisis, door de goedkeuring van een wettelijk statuut op Europees niveau.</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3"/>
        <w:numPr>
          <w:ilvl w:val="2"/>
          <w:numId w:val="2"/>
        </w:numPr>
        <w:rPr/>
      </w:pPr>
      <w:bookmarkStart w:id="102" w:name="__RefHeading___Toc298378_1346298689"/>
      <w:bookmarkEnd w:id="102"/>
      <w:r>
        <w:rPr/>
        <w:t>49. Voorstel: Sport</w:t>
      </w:r>
    </w:p>
    <w:p>
      <w:pPr>
        <w:pStyle w:val="P68B1DB1Normal15"/>
        <w:rPr>
          <w:b/>
          <w:b/>
        </w:rPr>
      </w:pPr>
      <w:r>
        <w:rPr/>
        <w:t>Doel: Sport is essentieel voor onze samenlevingen — om onze waarden te verdedigen, een gezonde levensstijl en leeftijd in goede gezondheid te leiden, een cultuur van uitwisseling te bevorderen en de diversiteit van het Europese erfgoed te vieren. Daarom moeten de lidstaten er met de hulp van de Europese Unie naar streven:</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Maatregelen:</w:t>
      </w:r>
    </w:p>
    <w:p>
      <w:pPr>
        <w:pStyle w:val="Puce3"/>
        <w:tabs>
          <w:tab w:val="clear" w:pos="720"/>
        </w:tabs>
        <w:rPr/>
      </w:pPr>
      <w:r>
        <w:rPr/>
        <w:t>1.</w:t>
        <w:tab/>
        <w:t>De nadruk leggen op waarden, met name gendergelijkheid, gelijkheid en inclusie, die concreet tot uiting kunnen komen in de beoefening van sport gedurende de hele educatieve reis.</w:t>
      </w:r>
    </w:p>
    <w:p>
      <w:pPr>
        <w:pStyle w:val="Puce3"/>
        <w:tabs>
          <w:tab w:val="clear" w:pos="720"/>
        </w:tabs>
        <w:rPr/>
      </w:pPr>
      <w:r>
        <w:rPr/>
        <w:t>2.</w:t>
        <w:tab/>
        <w:t>Bewustmaking van de gezondheidsvoordelen van sport en lichaamsbeweging</w:t>
      </w:r>
      <w:r>
        <w:rPr>
          <w:rStyle w:val="Ancredenotedefin"/>
          <w:rStyle w:val="Ancredenotedefin"/>
        </w:rPr>
        <w:endnoteReference w:id="200"/>
      </w:r>
      <w:r>
        <w:rPr/>
        <w:t>.</w:t>
      </w:r>
    </w:p>
    <w:p>
      <w:pPr>
        <w:pStyle w:val="Puce3"/>
        <w:tabs>
          <w:tab w:val="clear" w:pos="720"/>
        </w:tabs>
        <w:rPr/>
      </w:pPr>
      <w:r>
        <w:rPr/>
        <w:t>3.</w:t>
        <w:tab/>
        <w:t>Sportactiviteiten integreren in uitwisselings- en mobiliteitsprogramma’s op EU-niveau</w:t>
      </w:r>
      <w:r>
        <w:rPr>
          <w:rStyle w:val="Ancredenotedefin"/>
          <w:rStyle w:val="Ancredenotedefin"/>
        </w:rPr>
        <w:endnoteReference w:id="201"/>
      </w:r>
      <w:r>
        <w:rPr/>
        <w:t>200.</w:t>
      </w:r>
    </w:p>
    <w:p>
      <w:pPr>
        <w:pStyle w:val="Puce3"/>
        <w:tabs>
          <w:tab w:val="clear" w:pos="720"/>
        </w:tabs>
        <w:rPr/>
      </w:pPr>
      <w:r>
        <w:rPr/>
        <w:t>4.</w:t>
        <w:tab/>
        <w:t>Verbetering van de aandacht die niet alleen wordt besteed aan professionele en commerciële sporten, maar ook aan lokale en traditionele sporten, die getuigen zijn van de Europese culturele diversiteit, om cultureel erfgoed te bevorderen en om sportkampioenen in een niet-professionele omgeving te ondersteunen.</w:t>
      </w:r>
    </w:p>
    <w:p>
      <w:pPr>
        <w:pStyle w:val="Normal"/>
        <w:rPr/>
      </w:pPr>
      <w:r>
        <w:rPr/>
      </w:r>
    </w:p>
    <w:p>
      <w:pPr>
        <w:pStyle w:val="Puce3"/>
        <w:tabs>
          <w:tab w:val="clear" w:pos="720"/>
        </w:tabs>
        <w:rPr/>
      </w:pPr>
      <w:r>
        <w:rPr/>
        <w:t>5.</w:t>
        <w:tab/>
        <w:t>Tegelijkertijd de bevordering van de Europese identiteit aanmoedigen door meer inter-Europese sportevenementen te organiseren, EU</w:t>
      </w:r>
      <w:r>
        <w:rPr/>
        <w:commentReference w:id="0"/>
      </w:r>
      <w:r>
        <w:rPr/>
        <w:t>-sportteams op te richten of Europese vlaggen of symbolen op Europese sportevenementen te tonen.</w:t>
      </w:r>
    </w:p>
    <w:p>
      <w:pPr>
        <w:pStyle w:val="Puce3"/>
        <w:tabs>
          <w:tab w:val="clear" w:pos="720"/>
        </w:tabs>
        <w:rPr/>
      </w:pPr>
      <w:r>
        <w:rPr/>
        <w:t>6.</w:t>
        <w:tab/>
        <w:t>Investeer meer in communicatie, zoals de Europese week van de sport, zodat burgers in de hele EU samen kunnen profiteren van topkansen.</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1"/>
        <w:numPr>
          <w:ilvl w:val="0"/>
          <w:numId w:val="2"/>
        </w:numPr>
        <w:rPr/>
      </w:pPr>
      <w:bookmarkStart w:id="103" w:name="__RefHeading___Toc298380_1346298689"/>
      <w:bookmarkEnd w:id="103"/>
      <w:r>
        <w:rPr/>
        <w:t>Definitieve overwegingen van de raad van bestuur</w:t>
      </w:r>
    </w:p>
    <w:p>
      <w:pPr>
        <w:pStyle w:val="Normal"/>
        <w:rPr/>
      </w:pPr>
      <w:r>
        <w:rPr/>
      </w:r>
      <w:r>
        <w:br w:type="page"/>
      </w:r>
    </w:p>
    <w:p>
      <w:pPr>
        <w:pStyle w:val="Corpsdetexte"/>
        <w:rPr/>
      </w:pPr>
      <w:r>
        <w:rPr/>
        <w:t>De belangrijkste doelstelling van de conferentie over de toekomst van Europa was ervoor te zorgen dat de Europese Unie klaar is om de huidige en toekomstige uitdagingen het hoofd te bieden door burgers de kans te geven hun zorgen en ambities te uiten en, in samenwerking met vertegenwoordigers van de drie instellingen, nationale parlementen en andere belanghebbenden, richtsnoeren voor de toekomst te bieden. Om dit doel te bereiken, moest de conferentie een burgergerichte oefening zijn op basis van een bottom-upbenadering, die in staat was een nieuwe ruimte te creëren om de prioriteiten van Europa te bespreken en een overzicht op te stellen van wat de burgers van de Europese Unie verwachten.</w:t>
      </w:r>
    </w:p>
    <w:p>
      <w:pPr>
        <w:pStyle w:val="Corpsdetexte"/>
        <w:rPr/>
      </w:pPr>
      <w:r>
        <w:rPr/>
        <w:t>De conferentie was inderdaad in staat om die rol te spelen. Europese burgers uit alle geledingen en uit alle hoeken van de Unie namen deel aan de conferentie en deden aanbevelingen van de burgerpanels en voorstellen voor de toekomst van Europa, in samenwerking met de volgende plenaire vergadering, waaronder leden van het Europees Parlement, de Raad en de Europese Commissie, alsook vertegenwoordigers van alle nationale parlementen, het Comité van de Regio’s, regionale en lokale verkozen vertegenwoordigers, het Europees Economisch en Sociaal Comité, de sociale partners en het maatschappelijk middenveld, en andere belangrijke actoren. De voor dit proces ontwikkelde instrumenten en methodologie vormen een unieke reeks middelen die als basis kunnen dienen voor toekomstige oefeningen op het gebied van burgerparticipatie en deliberatieve democratie op EU-niveau.</w:t>
      </w:r>
    </w:p>
    <w:p>
      <w:pPr>
        <w:pStyle w:val="Corpsdetexte"/>
        <w:rPr/>
      </w:pPr>
      <w:r>
        <w:rPr/>
        <w:t>Dankzij een groot aantal evenementen en debatten in de hele EU, het interactieve meertalige digitale platform, Europese en nationale burgerpanels en de plenaire vergadering van de Conferentie, heeft de Conferentie nu een eindverslag gepresenteerd, met een overzicht van de werkzaamheden die dit jaar op duurzame wijze zijn verricht, evenals de voorstellen van de voltallige vergadering voor de toekomst van Europa. Uit deze voorstellen blijkt duidelijk dat de EU moet optreden om te slagen in de groene en digitale transitie, de veerkracht en het sociale contract van Europa moet versterken, ongelijkheden moet aanpakken en ervoor moet zorgen dat de Europese Unie een rechtvaardige, duurzame, innovatieve en concurrerende economie is die niemand aan zijn lot overlaat.</w:t>
      </w:r>
    </w:p>
    <w:p>
      <w:pPr>
        <w:pStyle w:val="Corpsdetexte"/>
        <w:rPr/>
      </w:pPr>
      <w:r>
        <w:rPr/>
        <w:t>De evolutie van de geopolitieke situatie tijdens de conferentie, en met name de Russische agressieoorlog tegen Oekraïne, toonde ook aan dat de EU assertiever moet worden en een leidende rol moet spelen op het wereldtoneel bij het bevorderen van haar waarden en normen in een steeds meer geschokte wereld.</w:t>
      </w:r>
    </w:p>
    <w:p>
      <w:pPr>
        <w:pStyle w:val="Corpsdetexte"/>
        <w:rPr/>
      </w:pPr>
      <w:r>
        <w:rPr/>
        <w:t>De conferentie gaf duidelijke richtsnoeren op deze gebieden en de drie EU-instellingen moeten nu nagaan hoe de bezorgdheid, ambities en ideeën kunnen worden aangepakt. De volgende stap in dit proces is het ontwikkelen van concrete EU-acties op basis van de resultaten van de conferentie, zoals uiteengezet in dit eindverslag. Daarom zullen de EU-instellingen dit verslag en de follow-up daarvan nu onderzoeken, elk binnen haar bevoegdheden en in overeenstemming met de Verdragen. In het najaar van 2022 zal een vervolgevenement plaatsvinden om de burgers te informeren over hoe de instellingen hun toezegging zullen nakomen om ervoor te zorgen dat zij de toekomst van Europa beluisteren en in handen houden.</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r>
    </w:p>
    <w:p>
      <w:pPr>
        <w:pStyle w:val="Normal"/>
        <w:rPr/>
      </w:pPr>
      <w:r>
        <w:rPr/>
      </w:r>
    </w:p>
    <w:p>
      <w:pPr>
        <w:pStyle w:val="Normal"/>
        <w:rPr/>
      </w:pPr>
      <w:r>
        <w:rPr/>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r>
      <w:r>
        <w:br w:type="page"/>
      </w:r>
    </w:p>
    <w:p>
      <w:pPr>
        <w:pStyle w:val="Normal"/>
        <w:spacing w:before="13610" w:after="57"/>
        <w:rPr/>
      </w:pPr>
      <w:r>
        <w:rPr/>
        <w:drawing>
          <wp:anchor behindDoc="0" distT="0" distB="0" distL="0" distR="0" simplePos="0" locked="0" layoutInCell="1" allowOverlap="1" relativeHeight="29">
            <wp:simplePos x="0" y="0"/>
            <wp:positionH relativeFrom="column">
              <wp:align>center</wp:align>
            </wp:positionH>
            <wp:positionV relativeFrom="paragraph">
              <wp:posOffset>635</wp:posOffset>
            </wp:positionV>
            <wp:extent cx="6120130" cy="8642350"/>
            <wp:effectExtent l="0" t="0" r="0" b="0"/>
            <wp:wrapSquare wrapText="largest"/>
            <wp:docPr id="70" name="Afbeelding 3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Afbeelding 30" descr=""/>
                    <pic:cNvPicPr>
                      <a:picLocks noChangeAspect="1" noChangeArrowheads="1"/>
                    </pic:cNvPicPr>
                  </pic:nvPicPr>
                  <pic:blipFill>
                    <a:blip r:embed="rId82"/>
                    <a:stretch>
                      <a:fillRect/>
                    </a:stretch>
                  </pic:blipFill>
                  <pic:spPr bwMode="auto">
                    <a:xfrm>
                      <a:off x="0" y="0"/>
                      <a:ext cx="6120130" cy="8642350"/>
                    </a:xfrm>
                    <a:prstGeom prst="rect">
                      <a:avLst/>
                    </a:prstGeom>
                  </pic:spPr>
                </pic:pic>
              </a:graphicData>
            </a:graphic>
          </wp:anchor>
        </w:drawing>
      </w:r>
      <w:r>
        <w:br w:type="page"/>
      </w:r>
    </w:p>
    <w:p>
      <w:pPr>
        <w:pStyle w:val="Titre1"/>
        <w:numPr>
          <w:ilvl w:val="0"/>
          <w:numId w:val="2"/>
        </w:numPr>
        <w:rPr/>
      </w:pPr>
      <w:bookmarkStart w:id="104" w:name="__RefHeading___Toc297141_1346298689"/>
      <w:bookmarkEnd w:id="104"/>
      <w:r>
        <w:rPr/>
        <w:t>Bijlage I — Aanbevelingen van de vier Europese burgerpanels</w:t>
      </w:r>
    </w:p>
    <w:p>
      <w:pPr>
        <w:pStyle w:val="Normal"/>
        <w:widowControl w:val="false"/>
        <w:spacing w:lineRule="exact" w:line="412"/>
        <w:ind w:left="0" w:right="0" w:hanging="0"/>
        <w:jc w:val="left"/>
        <w:rPr>
          <w:rFonts w:ascii="Arial" w:hAnsi="Arial"/>
          <w:b/>
          <w:b/>
          <w:color w:val="000000"/>
          <w:sz w:val="24"/>
        </w:rPr>
      </w:pPr>
      <w:r>
        <w:rPr>
          <w:b/>
          <w:color w:val="000000"/>
          <w:sz w:val="24"/>
        </w:rPr>
        <w:drawing>
          <wp:anchor behindDoc="0" distT="0" distB="0" distL="0" distR="0" simplePos="0" locked="0" layoutInCell="1" allowOverlap="1" relativeHeight="31">
            <wp:simplePos x="0" y="0"/>
            <wp:positionH relativeFrom="column">
              <wp:posOffset>0</wp:posOffset>
            </wp:positionH>
            <wp:positionV relativeFrom="paragraph">
              <wp:posOffset>126365</wp:posOffset>
            </wp:positionV>
            <wp:extent cx="4378325" cy="5307330"/>
            <wp:effectExtent l="0" t="0" r="0" b="0"/>
            <wp:wrapTopAndBottom/>
            <wp:docPr id="71" name="Afbeelding3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Afbeelding31" descr=""/>
                    <pic:cNvPicPr>
                      <a:picLocks noChangeAspect="1" noChangeArrowheads="1"/>
                    </pic:cNvPicPr>
                  </pic:nvPicPr>
                  <pic:blipFill>
                    <a:blip r:embed="rId83"/>
                    <a:stretch>
                      <a:fillRect/>
                    </a:stretch>
                  </pic:blipFill>
                  <pic:spPr bwMode="auto">
                    <a:xfrm>
                      <a:off x="0" y="0"/>
                      <a:ext cx="4378325" cy="5307330"/>
                    </a:xfrm>
                    <a:prstGeom prst="rect">
                      <a:avLst/>
                    </a:prstGeom>
                  </pic:spPr>
                </pic:pic>
              </a:graphicData>
            </a:graphic>
          </wp:anchor>
        </w:drawing>
      </w:r>
      <w:r>
        <w:br w:type="page"/>
      </w:r>
    </w:p>
    <w:p>
      <w:pPr>
        <w:pStyle w:val="Normal"/>
        <w:rPr/>
      </w:pPr>
      <w:r>
        <w:rPr/>
        <mc:AlternateContent>
          <mc:Choice Requires="wps">
            <w:drawing>
              <wp:anchor behindDoc="0" distT="72390" distB="72390" distL="72390" distR="72390" simplePos="0" locked="0" layoutInCell="1" allowOverlap="1" relativeHeight="32">
                <wp:simplePos x="0" y="0"/>
                <wp:positionH relativeFrom="column">
                  <wp:posOffset>128270</wp:posOffset>
                </wp:positionH>
                <wp:positionV relativeFrom="paragraph">
                  <wp:posOffset>2223770</wp:posOffset>
                </wp:positionV>
                <wp:extent cx="4250690" cy="3210560"/>
                <wp:effectExtent l="0" t="0" r="0" b="0"/>
                <wp:wrapTopAndBottom/>
                <wp:docPr id="72" name="Kader13"/>
                <a:graphic xmlns:a="http://schemas.openxmlformats.org/drawingml/2006/main">
                  <a:graphicData uri="http://schemas.microsoft.com/office/word/2010/wordprocessingShape">
                    <wps:wsp>
                      <wps:cNvSpPr/>
                      <wps:spPr>
                        <a:xfrm>
                          <a:off x="0" y="0"/>
                          <a:ext cx="4250160" cy="3209760"/>
                        </a:xfrm>
                        <a:prstGeom prst="rect">
                          <a:avLst/>
                        </a:prstGeom>
                        <a:noFill/>
                        <a:ln>
                          <a:noFill/>
                        </a:ln>
                      </wps:spPr>
                      <wps:style>
                        <a:lnRef idx="0"/>
                        <a:fillRef idx="0"/>
                        <a:effectRef idx="0"/>
                        <a:fontRef idx="minor"/>
                      </wps:style>
                      <wps:txbx>
                        <w:txbxContent>
                          <w:p>
                            <w:pPr>
                              <w:pStyle w:val="P68B1DB1Normal16"/>
                              <w:spacing w:before="57" w:after="57"/>
                              <w:rPr>
                                <w:color w:val="FFFFFF"/>
                                <w:sz w:val="72"/>
                              </w:rPr>
                            </w:pPr>
                            <w:r>
                              <w:rPr/>
                              <w:t xml:space="preserve">Conferentie over </w:t>
                            </w:r>
                          </w:p>
                          <w:p>
                            <w:pPr>
                              <w:pStyle w:val="P68B1DB1Normal16"/>
                              <w:rPr>
                                <w:color w:val="FFFFFF"/>
                                <w:sz w:val="72"/>
                              </w:rPr>
                            </w:pPr>
                            <w:r>
                              <w:rPr/>
                              <w:t xml:space="preserve">de toekomst van Europa </w:t>
                            </w:r>
                          </w:p>
                          <w:p>
                            <w:pPr>
                              <w:pStyle w:val="P68B1DB1Normal17"/>
                              <w:rPr>
                                <w:color w:val="FFFFFF"/>
                              </w:rPr>
                            </w:pPr>
                            <w:r>
                              <w:rPr/>
                              <w:t xml:space="preserve"> </w:t>
                            </w:r>
                            <w:r>
                              <w:rPr/>
                              <w:t>Europees</w:t>
                            </w:r>
                            <w:r>
                              <w:rPr>
                                <w:sz w:val="32"/>
                              </w:rPr>
                              <w:t xml:space="preserve">burgerpanel 1: Een sterkere economie, sociale rechtvaardigheid en werkgelegenheid/onderwijs, cultuur, jeugd en sport/digitale transformatie </w:t>
                            </w:r>
                          </w:p>
                          <w:p>
                            <w:pPr>
                              <w:pStyle w:val="P68B1DB1Normal17"/>
                              <w:rPr>
                                <w:color w:val="FFFFFF"/>
                              </w:rPr>
                            </w:pPr>
                            <w:r>
                              <w:rPr/>
                              <w:t xml:space="preserve"> </w:t>
                            </w:r>
                          </w:p>
                          <w:p>
                            <w:pPr>
                              <w:pStyle w:val="P68B1DB1Normal17"/>
                              <w:rPr>
                                <w:color w:val="FFFFFF"/>
                              </w:rPr>
                            </w:pPr>
                            <w:r>
                              <w:rPr/>
                              <w:t>Aanbevelingen</w:t>
                            </w:r>
                          </w:p>
                          <w:p>
                            <w:pPr>
                              <w:pStyle w:val="P68B1DB1Normal17"/>
                              <w:rPr>
                                <w:color w:val="FFFFFF"/>
                              </w:rPr>
                            </w:pPr>
                            <w:r>
                              <w:rPr/>
                              <w:t xml:space="preserve"> </w:t>
                            </w:r>
                            <w:r>
                              <w:rPr/>
                              <w:t>Foto’s © Europese Unie, 2021 — EP/Kenton Thatcher</w:t>
                            </w:r>
                          </w:p>
                          <w:p>
                            <w:pPr>
                              <w:pStyle w:val="Normal"/>
                              <w:spacing w:before="57" w:after="57"/>
                              <w:rPr/>
                            </w:pPr>
                            <w:r>
                              <w:rPr/>
                            </w:r>
                          </w:p>
                        </w:txbxContent>
                      </wps:txbx>
                      <wps:bodyPr lIns="54000" rIns="54000" tIns="54000" bIns="54000">
                        <a:noAutofit/>
                      </wps:bodyPr>
                    </wps:wsp>
                  </a:graphicData>
                </a:graphic>
              </wp:anchor>
            </w:drawing>
          </mc:Choice>
          <mc:Fallback>
            <w:pict>
              <v:rect id="shape_0" ID="Kader13" fillcolor="white" stroked="f" style="position:absolute;margin-left:10.1pt;margin-top:175.1pt;width:334.6pt;height:252.7pt">
                <w10:wrap type="square"/>
                <v:fill o:detectmouseclick="t" type="solid" color2="black" opacity="0"/>
                <v:stroke color="#3465a4" joinstyle="round" endcap="flat"/>
                <v:textbox>
                  <w:txbxContent>
                    <w:p>
                      <w:pPr>
                        <w:pStyle w:val="P68B1DB1Normal16"/>
                        <w:spacing w:before="57" w:after="57"/>
                        <w:rPr>
                          <w:color w:val="FFFFFF"/>
                          <w:sz w:val="72"/>
                        </w:rPr>
                      </w:pPr>
                      <w:r>
                        <w:rPr/>
                        <w:t xml:space="preserve">Conferentie over </w:t>
                      </w:r>
                    </w:p>
                    <w:p>
                      <w:pPr>
                        <w:pStyle w:val="P68B1DB1Normal16"/>
                        <w:rPr>
                          <w:color w:val="FFFFFF"/>
                          <w:sz w:val="72"/>
                        </w:rPr>
                      </w:pPr>
                      <w:r>
                        <w:rPr/>
                        <w:t xml:space="preserve">de toekomst van Europa </w:t>
                      </w:r>
                    </w:p>
                    <w:p>
                      <w:pPr>
                        <w:pStyle w:val="P68B1DB1Normal17"/>
                        <w:rPr>
                          <w:color w:val="FFFFFF"/>
                        </w:rPr>
                      </w:pPr>
                      <w:r>
                        <w:rPr/>
                        <w:t xml:space="preserve"> </w:t>
                      </w:r>
                      <w:r>
                        <w:rPr/>
                        <w:t>Europees</w:t>
                      </w:r>
                      <w:r>
                        <w:rPr>
                          <w:sz w:val="32"/>
                        </w:rPr>
                        <w:t xml:space="preserve">burgerpanel 1: Een sterkere economie, sociale rechtvaardigheid en werkgelegenheid/onderwijs, cultuur, jeugd en sport/digitale transformatie </w:t>
                      </w:r>
                    </w:p>
                    <w:p>
                      <w:pPr>
                        <w:pStyle w:val="P68B1DB1Normal17"/>
                        <w:rPr>
                          <w:color w:val="FFFFFF"/>
                        </w:rPr>
                      </w:pPr>
                      <w:r>
                        <w:rPr/>
                        <w:t xml:space="preserve"> </w:t>
                      </w:r>
                    </w:p>
                    <w:p>
                      <w:pPr>
                        <w:pStyle w:val="P68B1DB1Normal17"/>
                        <w:rPr>
                          <w:color w:val="FFFFFF"/>
                        </w:rPr>
                      </w:pPr>
                      <w:r>
                        <w:rPr/>
                        <w:t>Aanbevelingen</w:t>
                      </w:r>
                    </w:p>
                    <w:p>
                      <w:pPr>
                        <w:pStyle w:val="P68B1DB1Normal17"/>
                        <w:rPr>
                          <w:color w:val="FFFFFF"/>
                        </w:rPr>
                      </w:pPr>
                      <w:r>
                        <w:rPr/>
                        <w:t xml:space="preserve"> </w:t>
                      </w:r>
                      <w:r>
                        <w:rPr/>
                        <w:t>Foto’s © Europese Unie, 2021 — EP/Kenton Thatcher</w:t>
                      </w:r>
                    </w:p>
                    <w:p>
                      <w:pPr>
                        <w:pStyle w:val="Normal"/>
                        <w:spacing w:before="57" w:after="57"/>
                        <w:rPr/>
                      </w:pPr>
                      <w:r>
                        <w:rPr/>
                      </w:r>
                    </w:p>
                  </w:txbxContent>
                </v:textbox>
              </v:rect>
            </w:pict>
          </mc:Fallback>
        </mc:AlternateContent>
      </w:r>
    </w:p>
    <w:p>
      <w:pPr>
        <w:pStyle w:val="Titre2"/>
        <w:numPr>
          <w:ilvl w:val="1"/>
          <w:numId w:val="2"/>
        </w:numPr>
        <w:rPr/>
      </w:pPr>
      <w:bookmarkStart w:id="105" w:name="__RefHeading___Toc297143_1346298689"/>
      <w:bookmarkEnd w:id="105"/>
      <w:r>
        <w:rPr/>
        <w:t xml:space="preserve">Europees burgerpanel 1: Een sterkere economie, sociale rechtvaardigheid en werkgelegenheid/onderwijs, cultuur, jeugd en sport/digitale transformatie </w:t>
      </w:r>
    </w:p>
    <w:p>
      <w:pPr>
        <w:pStyle w:val="P68B1DB1Normal18"/>
        <w:widowControl w:val="false"/>
        <w:spacing w:lineRule="exact" w:line="468"/>
        <w:ind w:left="425" w:right="0" w:hanging="0"/>
        <w:jc w:val="left"/>
        <w:rPr/>
      </w:pPr>
      <w:r>
        <w:rPr>
          <w:b/>
          <w:color w:val="1C4587"/>
        </w:rPr>
        <w:t>AANBEVELINGEN AANGENOMEN DOOR HET PANEL (MOET AAN DE PLENAIRE VERGADERING WORDEN VOORGELEGD)</w:t>
      </w:r>
      <w:r>
        <w:rPr>
          <w:color w:val="000000"/>
        </w:rPr>
        <w:t xml:space="preserve"> </w:t>
      </w:r>
    </w:p>
    <w:p>
      <w:pPr>
        <w:pStyle w:val="Titre3"/>
        <w:numPr>
          <w:ilvl w:val="2"/>
          <w:numId w:val="2"/>
        </w:numPr>
        <w:rPr/>
      </w:pPr>
      <w:bookmarkStart w:id="106" w:name="__RefHeading___Toc297145_1346298689"/>
      <w:bookmarkEnd w:id="106"/>
      <w:r>
        <w:rPr/>
        <w:t xml:space="preserve">As 1: Werken in Europa </w:t>
      </w:r>
    </w:p>
    <w:p>
      <w:pPr>
        <w:pStyle w:val="Titre4"/>
        <w:numPr>
          <w:ilvl w:val="3"/>
          <w:numId w:val="2"/>
        </w:numPr>
        <w:rPr/>
      </w:pPr>
      <w:bookmarkStart w:id="107" w:name="__RefHeading___Toc297147_1346298689"/>
      <w:bookmarkEnd w:id="107"/>
      <w:r>
        <w:rPr/>
        <w:t xml:space="preserve">Subas 1.1 Arbeidsmarkt </w:t>
      </w:r>
    </w:p>
    <w:p>
      <w:pPr>
        <w:pStyle w:val="P68B1DB1Normal15"/>
        <w:rPr>
          <w:b/>
          <w:b/>
        </w:rPr>
      </w:pPr>
      <w:r>
        <w:rPr/>
        <w:t xml:space="preserve">1. Wij raden aan een minimumloon in te voeren om een vergelijkbare levenskwaliteit in alle lidstaten te waarborgen. Wij zijn ons bewust van de lopende inspanningen in het kader van de EU-richtlijn COM(2020) 682 om de manier van leven te harmoniseren. Het minimumloon moet een nettominimuminkomen garanderen om een essentiële doelstelling te bereiken: iedereen in nood zou een hoger inkomen moeten hebben. Bij het minimumloon moet rekening worden gehouden met de volgende aspecten: </w:t>
      </w:r>
    </w:p>
    <w:p>
      <w:pPr>
        <w:pStyle w:val="P68B1DB1Normal15"/>
        <w:rPr>
          <w:b/>
          <w:b/>
        </w:rPr>
      </w:pPr>
      <w:r>
        <w:rPr/>
        <w:t xml:space="preserve">● </w:t>
      </w:r>
      <w:r>
        <w:rPr/>
        <w:t xml:space="preserve">de EU moet zorgen voor de doeltreffende uitvoering ervan, aangezien niet alle lidstaten momenteel de bescherming van werknemers correct toepassen; </w:t>
      </w:r>
    </w:p>
    <w:p>
      <w:pPr>
        <w:pStyle w:val="P68B1DB1Normal15"/>
        <w:rPr>
          <w:b/>
          <w:b/>
        </w:rPr>
      </w:pPr>
      <w:r>
        <w:rPr/>
        <w:t xml:space="preserve">● </w:t>
      </w:r>
      <w:r>
        <w:rPr/>
        <w:t xml:space="preserve">bijzondere aandacht moet worden besteed aan het toezicht op de verbetering van de levensstandaard; </w:t>
      </w:r>
    </w:p>
    <w:p>
      <w:pPr>
        <w:pStyle w:val="Normal"/>
        <w:rPr/>
      </w:pPr>
      <w:r>
        <w:rPr>
          <w:b/>
        </w:rPr>
        <w:t xml:space="preserve">● </w:t>
      </w:r>
      <w:r>
        <w:rPr>
          <w:b/>
        </w:rPr>
        <w:t>het minimumloon moet rekening houden met de koopkracht in verschillende landen. Een periodieke herzieningsprocedure is noodzakelijk om deze aan te passen aan veranderingen in de kosten van levensonderhoud (bijvoorbeeld om rekening te houden met de inflatie).</w:t>
      </w:r>
      <w:r>
        <w:rPr/>
        <w:t xml:space="preserve"> </w:t>
      </w:r>
    </w:p>
    <w:p>
      <w:pPr>
        <w:pStyle w:val="Normal"/>
        <w:rPr/>
      </w:pPr>
      <w:r>
        <w:rPr/>
        <w:t xml:space="preserve"> </w:t>
      </w:r>
    </w:p>
    <w:p>
      <w:pPr>
        <w:pStyle w:val="Normal"/>
        <w:rPr/>
      </w:pPr>
      <w:r>
        <w:rPr/>
        <w:t xml:space="preserve">We doen deze aanbeveling omdat een minimumloon de sociale rechtvaardigheid op de arbeidsmarkt versterkt en de concrete levensomstandigheden van werknemers in alle lidstaten verbetert, wat bijzonder belangrijk is in de context van een snel veranderende werkomgeving, bijvoorbeeld als gevolg van de digitalisering. </w:t>
      </w:r>
    </w:p>
    <w:p>
      <w:pPr>
        <w:pStyle w:val="Normal"/>
        <w:rPr/>
      </w:pPr>
      <w:r>
        <w:rPr/>
        <w:t xml:space="preserve"> </w:t>
      </w:r>
    </w:p>
    <w:p>
      <w:pPr>
        <w:pStyle w:val="P68B1DB1Normal15"/>
        <w:rPr>
          <w:b/>
          <w:b/>
        </w:rPr>
      </w:pPr>
      <w:r>
        <w:rPr/>
        <w:t xml:space="preserve">2. Er is al een wetgevingshandeling van de EU (EU-richtlijn 2003/88/EG betreffende de arbeidstijd), maar het volstaat niet om een gezond evenwicht tussen werk en privéleven te waarborgen. Als eerste stap raden we aan het bestaande kader te herzien om ervoor te zorgen dat het wordt aangepast aan de huidige omstandigheden. Ten tweede moet de EU een strenger toezichtmechanisme invoeren om de uitvoering ervan in alle lidstaten te waarborgen. Bijzondere aandacht moet worden besteed aan de verschillende sectoren met verschillende niveaus van stress en lasten, zowel psychologisch als fysiek. Tegelijkertijd zijn andere sectoren echter afhankelijk van een grotere flexibiliteit van hun werknemers om zich aan te passen aan de specifieke behoeften van bedrijven. </w:t>
      </w:r>
    </w:p>
    <w:p>
      <w:pPr>
        <w:pStyle w:val="Normal"/>
        <w:rPr/>
      </w:pPr>
      <w:r>
        <w:rPr/>
        <w:t xml:space="preserve">We doen deze aanbeveling vanwege het belang van een betere balans tussen werk en privéleven. Een beter evenwicht tussen werk en privéleven versterkt de sociale cohesie en draagt bij tot een gelijk speelveld tussen werknemers. Bovendien heeft het een positief effect op het individuele welzijn van werknemers. </w:t>
      </w:r>
    </w:p>
    <w:p>
      <w:pPr>
        <w:pStyle w:val="Normal"/>
        <w:rPr/>
      </w:pPr>
      <w:r>
        <w:rPr/>
        <w:t xml:space="preserve"> </w:t>
      </w:r>
    </w:p>
    <w:p>
      <w:pPr>
        <w:pStyle w:val="Titre4"/>
        <w:numPr>
          <w:ilvl w:val="3"/>
          <w:numId w:val="2"/>
        </w:numPr>
        <w:rPr/>
      </w:pPr>
      <w:bookmarkStart w:id="108" w:name="__RefHeading___Toc297151_1346298689"/>
      <w:bookmarkEnd w:id="108"/>
      <w:r>
        <w:rPr/>
        <w:t xml:space="preserve">Subas 1.2 Jeugd en werkgelegenheid </w:t>
      </w:r>
    </w:p>
    <w:p>
      <w:pPr>
        <w:pStyle w:val="Normal"/>
        <w:rPr/>
      </w:pPr>
      <w:r>
        <w:rPr/>
        <w:t xml:space="preserve"> </w:t>
      </w:r>
    </w:p>
    <w:p>
      <w:pPr>
        <w:pStyle w:val="P68B1DB1Normal15"/>
        <w:rPr>
          <w:b/>
          <w:b/>
        </w:rPr>
      </w:pPr>
      <w:r>
        <w:rPr/>
        <w:t xml:space="preserve">3. We raden aan om het niveau van alle verschillende onderwijsprogramma’s in de EU te harmoniseren en nationale inhoud te accepteren. Daarom raden wij aan dat alle beroepsdiploma’s in alle EU-lidstaten worden gevalideerd en wederzijds erkend. </w:t>
      </w:r>
    </w:p>
    <w:p>
      <w:pPr>
        <w:pStyle w:val="Normal"/>
        <w:rPr/>
      </w:pPr>
      <w:r>
        <w:rPr/>
        <w:t xml:space="preserve"> </w:t>
      </w:r>
    </w:p>
    <w:p>
      <w:pPr>
        <w:pStyle w:val="Normal"/>
        <w:rPr/>
      </w:pPr>
      <w:r>
        <w:rPr/>
        <w:t xml:space="preserve">We doen deze aanbeveling omdat we de mobiliteit van de Europese beroepsbevolking willen vergemakkelijken en de administratieve lasten willen verminderen. </w:t>
      </w:r>
    </w:p>
    <w:p>
      <w:pPr>
        <w:pStyle w:val="Normal"/>
        <w:rPr/>
      </w:pPr>
      <w:r>
        <w:rPr/>
      </w:r>
    </w:p>
    <w:p>
      <w:pPr>
        <w:pStyle w:val="P68B1DB1Normal15"/>
        <w:rPr>
          <w:b/>
          <w:b/>
        </w:rPr>
      </w:pPr>
      <w:r>
        <w:rPr/>
        <w:t xml:space="preserve">4. We raden aan om middelbare scholieren (vanaf 12 jaar) een overzicht te geven van hun toekomstige arbeidsmarkt door hen de kans te geven deel te nemen aan verschillende kwaliteitsobservatiebezoeken aan organisaties zonder winstoogmerk en non-profitorganisaties. We stellen voor om bedrijven aan te moedigen studenten te verwelkomen voor observatiestages door hen subsidies te verlenen. In afgelegen gebieden met minder kansen moeten lokale scholen, overheden, organisaties en bedrijven nauw samenwerken om ervoor te zorgen dat deze observatiebezoeken ook beschikbaar zijn. </w:t>
      </w:r>
    </w:p>
    <w:p>
      <w:pPr>
        <w:pStyle w:val="Normal"/>
        <w:rPr/>
      </w:pPr>
      <w:r>
        <w:rPr/>
        <w:t xml:space="preserve"> </w:t>
      </w:r>
    </w:p>
    <w:p>
      <w:pPr>
        <w:pStyle w:val="Normal"/>
        <w:rPr/>
      </w:pPr>
      <w:r>
        <w:rPr/>
        <w:t xml:space="preserve">We doen deze aanbeveling omdat we willen dat jongeren een idee krijgen van de verschillende kansen die de arbeidsmarkt biedt, zodat ze hun studie en hun toekomstige werk beter kunnen kiezen en begrijpen hoe belangrijk het is om het juiste onderwijs te kiezen. Het zou hen ook een gevoel van verantwoordelijkheid en respect voor de arbeidsmarkt leren en hen helpen integreren op de arbeidsmarkt en voordelen bieden voor iedereen. </w:t>
      </w:r>
    </w:p>
    <w:p>
      <w:pPr>
        <w:pStyle w:val="Normal"/>
        <w:rPr/>
      </w:pPr>
      <w:r>
        <w:rPr/>
        <w:t xml:space="preserve"> </w:t>
      </w:r>
    </w:p>
    <w:p>
      <w:pPr>
        <w:pStyle w:val="P68B1DB1Normal15"/>
        <w:rPr>
          <w:b/>
          <w:b/>
        </w:rPr>
      </w:pPr>
      <w:r>
        <w:rPr/>
        <w:t xml:space="preserve">5. We raden aan om de praktijk van niet-technische vaardigheden in alle schoolcurriculumcursussen te integreren. Met niet-technische vaardigheden bedoelen we: wederzijds luisteren, dialoog, veerkracht, begrip, respect en waardering van anderen, kritisch denken, zelfleren en nieuwsgierig blijven en resultaatgericht blijven. Leerkrachten moeten worden opgeleid in de overdracht van deze vaardigheden door nauw samen te werken met maatschappelijk werkers en/of psychologen. Andere suggesties voor de uitvoering: de organisatie van uitwisselingsprogramma’s voor studenten tussen scholen, deelname aan interschoolse sport- en culturele evenementen, enz. </w:t>
      </w:r>
    </w:p>
    <w:p>
      <w:pPr>
        <w:pStyle w:val="Normal"/>
        <w:rPr/>
      </w:pPr>
      <w:r>
        <w:rPr/>
        <w:t xml:space="preserve"> </w:t>
      </w:r>
    </w:p>
    <w:p>
      <w:pPr>
        <w:pStyle w:val="Normal"/>
        <w:rPr/>
      </w:pPr>
      <w:r>
        <w:rPr/>
        <w:t xml:space="preserve">We doen deze aanbeveling omdat niet-technische vaardigheden noodzakelijke basisvaardigheden zijn die verloren gaan in het digitale tijdperk en die onze jongeren absoluut nodig zullen hebben in hun toekomstige leven. Daarom dringen we erop aan deze vaardigheden te integreren in schoolcurricula om jongeren te helpen veerkrachtig te zijn en mentale problemen die ze in hun toekomstige leven kunnen ervaren, te voorkomen of te overwinnen. Sociale vaardigheden versterken de relaties tussen mens en mens en helpen mensen daarom hun plaats in de samenleving te vinden. </w:t>
      </w:r>
    </w:p>
    <w:p>
      <w:pPr>
        <w:pStyle w:val="Normal"/>
        <w:rPr/>
      </w:pPr>
      <w:r>
        <w:rPr/>
        <w:t xml:space="preserve"> </w:t>
      </w:r>
    </w:p>
    <w:p>
      <w:pPr>
        <w:pStyle w:val="P68B1DB1Normal15"/>
        <w:rPr>
          <w:b/>
          <w:b/>
        </w:rPr>
      </w:pPr>
      <w:r>
        <w:rPr/>
        <w:t xml:space="preserve">6. Wij raden aan dat in het geval van een ernstige crisis (gezondheidscrisis, oorlog, enz.), goed ontworpen plannen met gedetailleerde scenario’s flexibel kunnen worden ingezet om de impact op het onderwijs, de beroepsopleiding en het geestelijk welzijn van onze jongeren tot een minimum te beperken, enz. een stijging van de kosten van onderwijs of opleiding, een verplichte verlenging van de studie, de onmogelijkheid om stages af te ronden, een toename van geestelijke gezondheidsproblemen. Deze plannen moeten zo worden uitgevoerd dat de gevolgen voor jongeren en hun overgang naar de arbeidsmarkt tot een minimum worden beperkt. </w:t>
      </w:r>
    </w:p>
    <w:p>
      <w:pPr>
        <w:pStyle w:val="Normal"/>
        <w:rPr/>
      </w:pPr>
      <w:r>
        <w:rPr/>
        <w:t xml:space="preserve"> </w:t>
      </w:r>
    </w:p>
    <w:p>
      <w:pPr>
        <w:pStyle w:val="Normal"/>
        <w:rPr/>
      </w:pPr>
      <w:r>
        <w:rPr/>
        <w:t xml:space="preserve">We doen deze aanbeveling omdat jongeren erg kwetsbaar zijn in tijden van crisis. </w:t>
      </w:r>
    </w:p>
    <w:p>
      <w:pPr>
        <w:pStyle w:val="Normal"/>
        <w:rPr/>
      </w:pPr>
      <w:r>
        <w:rPr/>
        <w:t xml:space="preserve"> </w:t>
      </w:r>
    </w:p>
    <w:p>
      <w:pPr>
        <w:pStyle w:val="Titre4"/>
        <w:numPr>
          <w:ilvl w:val="3"/>
          <w:numId w:val="2"/>
        </w:numPr>
        <w:rPr/>
      </w:pPr>
      <w:bookmarkStart w:id="109" w:name="__RefHeading___Toc297153_1346298689"/>
      <w:bookmarkEnd w:id="109"/>
      <w:r>
        <w:rPr/>
        <w:t xml:space="preserve">Subas 1.3 Digitale transformatie op het werk </w:t>
      </w:r>
    </w:p>
    <w:p>
      <w:pPr>
        <w:pStyle w:val="Normal"/>
        <w:rPr/>
      </w:pPr>
      <w:r>
        <w:rPr/>
        <w:t xml:space="preserve"> </w:t>
      </w:r>
    </w:p>
    <w:p>
      <w:pPr>
        <w:pStyle w:val="P68B1DB1Normal15"/>
        <w:rPr>
          <w:b/>
          <w:b/>
        </w:rPr>
      </w:pPr>
      <w:r>
        <w:rPr/>
        <w:t xml:space="preserve">7. Wij raden de EU aan bestaande wetgeving op het gebied van slim werken, d.w.z. online en op afstand, bijvoorbeeld thuis of vanuit een andere verbonden onlineplaats, in te voeren of aan te scherpen. We raden ook aan dat de EU wetgeving vaststelt om bedrijven aan te moedigen maatschappelijk verantwoord te zijn en kwalitatief hoogwaardige mobiele banen in de EU te behouden. Stimulansen kunnen van financiële aard zijn en/of een rol spelen voor het imago van de onderneming en moeten rekening houden met internationaal erkende milieu-, sociale en governancecriteria (ESG). Daartoe moet de EU een werkgroep oprichten die bestaat uit deskundigen van alle betrokken partijen om deze wetgeving te herzien en aan te scherpen. </w:t>
      </w:r>
    </w:p>
    <w:p>
      <w:pPr>
        <w:pStyle w:val="Normal"/>
        <w:rPr/>
      </w:pPr>
      <w:r>
        <w:rPr/>
        <w:t xml:space="preserve"> </w:t>
      </w:r>
    </w:p>
    <w:p>
      <w:pPr>
        <w:pStyle w:val="Normal"/>
        <w:rPr/>
      </w:pPr>
      <w:r>
        <w:rPr/>
        <w:t xml:space="preserve">We doen deze aanbeveling omdat we kwalitatief hoogwaardige mobiele banen moeten bevorderen en hun verplaatsing naar derde landen met lagere kosten moeten voorkomen. De COVID-19-pandemie en de mondiale economische trends benadrukken de urgentie van het beschermen van banen in de EU en het reguleren van mobiel werk. </w:t>
      </w:r>
    </w:p>
    <w:p>
      <w:pPr>
        <w:pStyle w:val="Normal"/>
        <w:rPr/>
      </w:pPr>
      <w:r>
        <w:rPr/>
        <w:t xml:space="preserve"> </w:t>
      </w:r>
    </w:p>
    <w:p>
      <w:pPr>
        <w:pStyle w:val="P68B1DB1Normal15"/>
        <w:rPr>
          <w:b/>
          <w:b/>
        </w:rPr>
      </w:pPr>
      <w:r>
        <w:rPr/>
        <w:t xml:space="preserve">8. Wij raden de EU aan het recht op digitale opleiding voor alle EU-burgers te waarborgen. Met name de digitale vaardigheden van jongeren zouden kunnen worden versterkt door de invoering van een EU-certificaat op scholen, dat hen zou voorbereiden op de toekomstige arbeidsmarkt. We bevelen ook specifieke opleidingen op EU-niveau aan voor de om- en bijscholing van werknemers, zodat zij concurrerend blijven op de arbeidsmarkt. Tot slot raden wij de EU aan om de bestaande digitale platforms die burgers verbinden met werkgevers en hen te helpen bij het vinden van een baan in de EU, bijv. Eures, bewuster te maken. </w:t>
      </w:r>
    </w:p>
    <w:p>
      <w:pPr>
        <w:pStyle w:val="Normal"/>
        <w:rPr/>
      </w:pPr>
      <w:r>
        <w:rPr/>
        <w:t xml:space="preserve"> </w:t>
      </w:r>
    </w:p>
    <w:p>
      <w:pPr>
        <w:pStyle w:val="Normal"/>
        <w:rPr/>
      </w:pPr>
      <w:r>
        <w:rPr/>
        <w:t xml:space="preserve">We doen deze aanbeveling omdat gecertificeerde digitale vaardigheden essentieel zijn voor de toegang tot de arbeidsmarkt en voor werknemers om te trainen en concurrerend te blijven. </w:t>
      </w:r>
    </w:p>
    <w:p>
      <w:pPr>
        <w:pStyle w:val="Normal"/>
        <w:rPr/>
      </w:pPr>
      <w:r>
        <w:rPr/>
        <w:t xml:space="preserve"> </w:t>
      </w:r>
    </w:p>
    <w:p>
      <w:pPr>
        <w:pStyle w:val="Titre3"/>
        <w:numPr>
          <w:ilvl w:val="2"/>
          <w:numId w:val="2"/>
        </w:numPr>
        <w:rPr/>
      </w:pPr>
      <w:bookmarkStart w:id="110" w:name="__RefHeading___Toc297155_1346298689"/>
      <w:bookmarkEnd w:id="110"/>
      <w:r>
        <w:rPr/>
        <w:t xml:space="preserve">As 2 Een toekomstgerichte economie </w:t>
      </w:r>
    </w:p>
    <w:p>
      <w:pPr>
        <w:pStyle w:val="Normal"/>
        <w:rPr/>
      </w:pPr>
      <w:r>
        <w:rPr/>
        <w:t xml:space="preserve"> </w:t>
      </w:r>
    </w:p>
    <w:p>
      <w:pPr>
        <w:pStyle w:val="Titre4"/>
        <w:numPr>
          <w:ilvl w:val="3"/>
          <w:numId w:val="2"/>
        </w:numPr>
        <w:rPr/>
      </w:pPr>
      <w:bookmarkStart w:id="111" w:name="__RefHeading___Toc297157_1346298689"/>
      <w:bookmarkEnd w:id="111"/>
      <w:r>
        <w:rPr/>
        <w:t xml:space="preserve">Subas 2.1 Innovatie en Europees concurrentievermogen </w:t>
      </w:r>
    </w:p>
    <w:p>
      <w:pPr>
        <w:pStyle w:val="Normal"/>
        <w:rPr/>
      </w:pPr>
      <w:r>
        <w:rPr/>
        <w:t xml:space="preserve"> </w:t>
      </w:r>
    </w:p>
    <w:p>
      <w:pPr>
        <w:pStyle w:val="P68B1DB1Normal15"/>
        <w:rPr>
          <w:b/>
          <w:b/>
        </w:rPr>
      </w:pPr>
      <w:r>
        <w:rPr/>
        <w:t xml:space="preserve">9. Wij raden de EU aan mogelijkheden te creëren voor investeringen in onderzoek en innovatie voor verschillende entiteiten (universiteiten, bedrijven, onderzoeksinstituten, enz.) met het oog op de ontwikkeling van: </w:t>
      </w:r>
    </w:p>
    <w:p>
      <w:pPr>
        <w:pStyle w:val="P68B1DB1Normal15"/>
        <w:rPr>
          <w:b/>
          <w:b/>
        </w:rPr>
      </w:pPr>
      <w:r>
        <w:rPr/>
        <w:t xml:space="preserve">● </w:t>
      </w:r>
      <w:r>
        <w:rPr/>
        <w:t xml:space="preserve">nieuwe, duurzamere en biodiversifieerde materialen ter vervanging van de materialen die momenteel worden gebruikt, </w:t>
      </w:r>
    </w:p>
    <w:p>
      <w:pPr>
        <w:pStyle w:val="P68B1DB1Normal15"/>
        <w:rPr>
          <w:b/>
          <w:b/>
        </w:rPr>
      </w:pPr>
      <w:r>
        <w:rPr/>
        <w:t xml:space="preserve">● </w:t>
      </w:r>
      <w:r>
        <w:rPr/>
        <w:t xml:space="preserve">innovatief gebruik van bestaande materialen (onder meer gebaseerd op recycling en geavanceerde technieken met de laagste ecologische voetafdruk). </w:t>
      </w:r>
    </w:p>
    <w:p>
      <w:pPr>
        <w:pStyle w:val="Normal"/>
        <w:rPr/>
      </w:pPr>
      <w:r>
        <w:rPr>
          <w:b/>
        </w:rPr>
        <w:t>Wij bevelen aan dat dit een permanente en langetermijnverbintenis van de EU is (ten minste tot 2050).</w:t>
      </w:r>
      <w:r>
        <w:rPr/>
        <w:t xml:space="preserve"> </w:t>
      </w:r>
    </w:p>
    <w:p>
      <w:pPr>
        <w:pStyle w:val="Normal"/>
        <w:rPr/>
      </w:pPr>
      <w:r>
        <w:rPr/>
        <w:t xml:space="preserve"> </w:t>
      </w:r>
    </w:p>
    <w:p>
      <w:pPr>
        <w:pStyle w:val="Normal"/>
        <w:rPr/>
      </w:pPr>
      <w:r>
        <w:rPr/>
        <w:t xml:space="preserve">We doen deze aanbeveling omdat we leven op een planeet met beperkte middelen. Als we een toekomst willen hebben, moeten we het klimaat beschermen en op zoek gaan naar alternatieven die de planeet respecteren. We willen ook dat de EU een leidende speler op dit gebied wordt, met een sterk concurrentievoordeel op het internationale toneel. De aanbeveling is gericht op innovatieve resultaten die op grote schaal kunnen worden toegepast en op verschillende gebieden en landen kunnen worden uitgevoerd. Het zou ook een positief effect hebben op de economie en de arbeidsmarkt door het creëren van nieuwe werkgelegenheidskansen op het gebied van duurzame innovatie. Het zou kunnen bijdragen aan de bestrijding van sociale onrechtvaardigheid in de mate dat de huidige productiemiddelen, gebaseerd op uitbuiting, zouden worden vervangen door andere, ethischer. </w:t>
      </w:r>
    </w:p>
    <w:p>
      <w:pPr>
        <w:pStyle w:val="Normal"/>
        <w:rPr/>
      </w:pPr>
      <w:r>
        <w:rPr/>
        <w:t xml:space="preserve"> </w:t>
      </w:r>
    </w:p>
    <w:p>
      <w:pPr>
        <w:pStyle w:val="P68B1DB1Normal15"/>
        <w:rPr>
          <w:b/>
          <w:b/>
        </w:rPr>
      </w:pPr>
      <w:r>
        <w:rPr/>
        <w:t xml:space="preserve">10. Wij raden de EU aan zich op de lange termijn voortdurend te verbinden haar aandeel in duurzaam geproduceerde energie aanzienlijk te verhogen door gebruik te maken van een breed scala aan hernieuwbare bronnen met de laagste ecologische voetafdruk (op basis van een uitgebreide levenscyclusanalyse). Daarnaast moet de EU investeren in het verbeteren en in stand houden van de kwaliteit van de elektriciteitsinfrastructuur en het elektriciteitsnet. We raden ook aan om toegang tot energie en betaalbaarheid te erkennen als een grondrecht van de burgers. </w:t>
      </w:r>
    </w:p>
    <w:p>
      <w:pPr>
        <w:pStyle w:val="P68B1DB1Normal15"/>
        <w:rPr>
          <w:b/>
          <w:b/>
        </w:rPr>
      </w:pPr>
      <w:r>
        <w:rPr/>
        <w:t xml:space="preserve"> </w:t>
      </w:r>
    </w:p>
    <w:p>
      <w:pPr>
        <w:pStyle w:val="Normal"/>
        <w:rPr/>
      </w:pPr>
      <w:r>
        <w:rPr/>
        <w:t xml:space="preserve">Wij doen deze aanbeveling om de volgende redenen: </w:t>
      </w:r>
    </w:p>
    <w:p>
      <w:pPr>
        <w:pStyle w:val="Normal"/>
        <w:rPr/>
      </w:pPr>
      <w:r>
        <w:rPr/>
        <w:t xml:space="preserve">● </w:t>
      </w:r>
      <w:r>
        <w:rPr/>
        <w:t xml:space="preserve">diversificatie van energiebronnen (met inbegrip van zonne-energie, wind, waterstof, zeewater of een andere duurzame methode) zou de EU energie onafhankelijker maken; </w:t>
      </w:r>
    </w:p>
    <w:p>
      <w:pPr>
        <w:pStyle w:val="Normal"/>
        <w:rPr/>
      </w:pPr>
      <w:r>
        <w:rPr/>
        <w:t xml:space="preserve">● </w:t>
      </w:r>
      <w:r>
        <w:rPr/>
        <w:t xml:space="preserve">het zou de elektriciteitskosten voor EU-burgers verlagen; </w:t>
      </w:r>
    </w:p>
    <w:p>
      <w:pPr>
        <w:pStyle w:val="Normal"/>
        <w:rPr/>
      </w:pPr>
      <w:r>
        <w:rPr/>
        <w:t xml:space="preserve">● </w:t>
      </w:r>
      <w:r>
        <w:rPr/>
        <w:t xml:space="preserve">het zou banen scheppen en de energiemarkt herstructureren (met name in regio’s die tot dusver afhankelijk zijn van fossiele brandstoffen); </w:t>
      </w:r>
    </w:p>
    <w:p>
      <w:pPr>
        <w:pStyle w:val="Normal"/>
        <w:rPr/>
      </w:pPr>
      <w:r>
        <w:rPr/>
        <w:t xml:space="preserve">● </w:t>
      </w:r>
      <w:r>
        <w:rPr/>
        <w:t xml:space="preserve">het zou de wetenschappelijke ontwikkeling van innovatieve energievoorzieningstechnieken kunnen stimuleren; </w:t>
      </w:r>
    </w:p>
    <w:p>
      <w:pPr>
        <w:pStyle w:val="Normal"/>
        <w:rPr/>
      </w:pPr>
      <w:r>
        <w:rPr/>
        <w:t xml:space="preserve">● </w:t>
      </w:r>
      <w:r>
        <w:rPr/>
        <w:t xml:space="preserve">de kwaliteit van de elektrische infrastructuur en het elektriciteitsnet is even belangrijk als energiebronnen, aangezien het zorgt voor een soepele, efficiënte en betaalbare energiedistributie en -transmissie. </w:t>
      </w:r>
    </w:p>
    <w:p>
      <w:pPr>
        <w:pStyle w:val="Normal"/>
        <w:rPr/>
      </w:pPr>
      <w:r>
        <w:rPr/>
        <w:t xml:space="preserve"> </w:t>
      </w:r>
    </w:p>
    <w:p>
      <w:pPr>
        <w:pStyle w:val="P68B1DB1Normal15"/>
        <w:rPr>
          <w:b/>
          <w:b/>
        </w:rPr>
      </w:pPr>
      <w:r>
        <w:rPr/>
        <w:t xml:space="preserve">11. Wij raden de EU aan om groenere productieprocessen actief te bevorderen door bedrijven te subsidiëren of anderszins te belonen die investeren in het verlagen van de milieukosten van hun productie. We roepen ook op tot een inspanning om post-industriële sites te laten groeien en beschermde groene gebieden rond bestaande sites te creëren. Bedrijven moeten worden verplicht om deze inspanningen, althans gedeeltelijk, met hun eigen geld te financieren. </w:t>
      </w:r>
    </w:p>
    <w:p>
      <w:pPr>
        <w:pStyle w:val="Normal"/>
        <w:rPr/>
      </w:pPr>
      <w:r>
        <w:rPr/>
        <w:t xml:space="preserve"> </w:t>
      </w:r>
    </w:p>
    <w:p>
      <w:pPr>
        <w:pStyle w:val="Normal"/>
        <w:rPr/>
      </w:pPr>
      <w:r>
        <w:rPr/>
        <w:t xml:space="preserve">We doen deze aanbeveling omdat productieprocessen een belangrijk onderdeel zijn van de supply chain. Milieuvriendelijker maken kan onze impact op het klimaat aanzienlijk verminderen. Wij zijn van mening dat bedrijven en industrieën verantwoordelijk moeten worden gehouden voor de manier waarop zij hun producten produceren (met inbegrip van maatregelen om het milieu opnieuw te cultiveren en te beschermen). Vergroening van productieprocessen bereidt bedrijven ook voor op de toekomst en versterkt hun veerkracht (die banen beschermt). </w:t>
      </w:r>
    </w:p>
    <w:p>
      <w:pPr>
        <w:pStyle w:val="Normal"/>
        <w:rPr/>
      </w:pPr>
      <w:r>
        <w:rPr/>
      </w:r>
    </w:p>
    <w:p>
      <w:pPr>
        <w:pStyle w:val="Titre4"/>
        <w:numPr>
          <w:ilvl w:val="3"/>
          <w:numId w:val="2"/>
        </w:numPr>
        <w:rPr/>
      </w:pPr>
      <w:bookmarkStart w:id="112" w:name="__RefHeading___Toc297159_1346298689"/>
      <w:bookmarkEnd w:id="112"/>
      <w:r>
        <w:rPr/>
        <w:t xml:space="preserve">Subas 2.2 Duurzame economie/subas 2.3 Belastingen </w:t>
      </w:r>
    </w:p>
    <w:p>
      <w:pPr>
        <w:pStyle w:val="Normal"/>
        <w:rPr/>
      </w:pPr>
      <w:r>
        <w:rPr/>
        <w:t xml:space="preserve"> </w:t>
      </w:r>
    </w:p>
    <w:p>
      <w:pPr>
        <w:pStyle w:val="P68B1DB1Normal15"/>
        <w:rPr>
          <w:b/>
          <w:b/>
        </w:rPr>
      </w:pPr>
      <w:r>
        <w:rPr/>
        <w:t xml:space="preserve">12. Wij raden aan om plastic verpakkingen te verlaten en herbruikbare verpakkingen te veralgemenen. Er moeten stimulansen worden gegeven aan consumenten en bedrijven, zodat het voor een consument niet duurder is om bulkproducten („in bulk” in het Engels of „sfuso” in het Italiaans) te kopen dan verpakte producten. Bedrijven die aan deze transitie bijdragen, moeten belastingvoordelen genieten en anderen moeten meer belastingen betalen. Producten die niet kunnen worden hergebruikt, moeten recycleerbaar en/of biologisch afbreekbaar zijn. Het is noodzakelijk een openbare of toezichthoudende instelling op te richten die verantwoordelijk is voor het toezicht, het vaststellen van de regels en de verspreiding ervan onder iedereen. Het wordt aanbevolen om te informeren en te communiceren — ook via sociale media — over deze acties, waarbij zowel bedrijven als consumenten hun gedrag op lange termijn kunnen veranderen. Bedrijven (bv. bouwbedrijven) moeten worden aangemoedigd en geholpen om de beste oplossingen voor hun afval te vinden. </w:t>
      </w:r>
    </w:p>
    <w:p>
      <w:pPr>
        <w:pStyle w:val="Normal"/>
        <w:rPr/>
      </w:pPr>
      <w:r>
        <w:rPr/>
        <w:t xml:space="preserve"> </w:t>
      </w:r>
    </w:p>
    <w:p>
      <w:pPr>
        <w:pStyle w:val="Normal"/>
        <w:rPr/>
      </w:pPr>
      <w:r>
        <w:rPr/>
        <w:t xml:space="preserve">We doen deze aanbeveling, omdat we allemaal verantwoordelijk moeten zijn voor onze acties. Daarom moeten we alle productieprocessen heroverwegen. Recycling vereist veel grondstoffen (water, energie) en kan daarom niet de enige oplossing zijn, daarom bieden wij aan om de producten in bulk te verkopen. Recycling mag alleen worden gebruikt voor gemakkelijk recyclebare materialen, en we hebben uit het Finse voorbeeld geleerd dat het mogelijk is om op grote schaal te recyclen. </w:t>
      </w:r>
    </w:p>
    <w:p>
      <w:pPr>
        <w:pStyle w:val="Normal"/>
        <w:rPr/>
      </w:pPr>
      <w:r>
        <w:rPr/>
      </w:r>
    </w:p>
    <w:p>
      <w:pPr>
        <w:pStyle w:val="P68B1DB1Normal15"/>
        <w:rPr>
          <w:b/>
          <w:b/>
        </w:rPr>
      </w:pPr>
      <w:r>
        <w:rPr/>
        <w:t xml:space="preserve">13. We raden aan om overal in Europa dezelfde belastingregels te hanteren en het belastingbeleid in de hele EU te harmoniseren. Harmonisatie op dit gebied moet de individuele lidstaten de ruimte laten om hun eigen regels vast te stellen en tegelijkertijd belastingontduiking te voorkomen. Het zal een einde maken aan schadelijke belastingpraktijken en belastingconcurrentie. Er moeten belastingen worden geheven op handelstransacties waar zij plaatsvinden: wanneer een bedrijf in een land verkoopt, moet het belasting betalen in dat land. Deze nieuwe regels zijn bedoeld om verplaatsing te voorkomen en ervoor te zorgen dat productie en transacties tussen Europese landen plaatsvinden. </w:t>
      </w:r>
    </w:p>
    <w:p>
      <w:pPr>
        <w:pStyle w:val="Normal"/>
        <w:rPr/>
      </w:pPr>
      <w:r>
        <w:rPr/>
        <w:t xml:space="preserve"> </w:t>
      </w:r>
    </w:p>
    <w:p>
      <w:pPr>
        <w:pStyle w:val="Normal"/>
        <w:rPr/>
      </w:pPr>
      <w:r>
        <w:rPr/>
        <w:t xml:space="preserve">Wij doen deze aanbeveling om de werkgelegenheid en de economische bedrijvigheid in Europa te beschermen en te ontwikkelen op een wijze die eerlijk is voor alle lidstaten. Op die manier zal Europa een gemeenschappelijk begrip hebben van het belastingstelsel en zal er een einde komen aan de absurde monopoliesituatie van zeer grote bedrijven die te weinig belastingen betalen in vergelijking met kleinere bedrijven. Daarnaast zullen de financiële middelen worden omgeleid naar de plaats waar commerciële activiteiten plaatsvinden. </w:t>
      </w:r>
    </w:p>
    <w:p>
      <w:pPr>
        <w:pStyle w:val="Normal"/>
        <w:rPr/>
      </w:pPr>
      <w:r>
        <w:rPr/>
        <w:t xml:space="preserve"> </w:t>
      </w:r>
    </w:p>
    <w:p>
      <w:pPr>
        <w:pStyle w:val="P68B1DB1Normal15"/>
        <w:rPr>
          <w:b/>
          <w:b/>
        </w:rPr>
      </w:pPr>
      <w:r>
        <w:rPr/>
        <w:t xml:space="preserve">14. Wij raden aan om het geprogrammeerde verouderingssysteem van alle elektronische apparaten te verwijderen. De verandering moet zowel individueel als commercieel plaatsvinden om ervoor te zorgen dat apparaten op lange termijn kunnen worden gerepareerd en geüpgraded en langdurig kunnen worden bewaard. Wij raden aan om gerenoveerde apparaten te promoten. Regelgeving moet bedrijven verplichten het recht op reparatie, met inbegrip van software-upgrades en updates, te garanderen, evenals om alle apparaten op de lange termijn te recyclen. Het wordt ook aanbevolen dat elk bedrijf standaard connectoren gebruikt. </w:t>
      </w:r>
    </w:p>
    <w:p>
      <w:pPr>
        <w:pStyle w:val="P68B1DB1Normal15"/>
        <w:rPr>
          <w:b/>
          <w:b/>
        </w:rPr>
      </w:pPr>
      <w:r>
        <w:rPr/>
        <w:t xml:space="preserve"> </w:t>
      </w:r>
    </w:p>
    <w:p>
      <w:pPr>
        <w:pStyle w:val="Normal"/>
        <w:rPr/>
      </w:pPr>
      <w:r>
        <w:rPr/>
        <w:t xml:space="preserve">We doen deze aanbeveling omdat in de moderne wereld producten de neiging hebben om twee jaar mee te gaan en onze wens is dat ze een veel langere levensduur hebben, ongeveer 10 jaar. Dit voorstel zal een positief effect hebben op klimaatverandering en ecologie. Het zal ook de kosten voor de consument en het consumentisme verminderen. </w:t>
      </w:r>
    </w:p>
    <w:p>
      <w:pPr>
        <w:pStyle w:val="Normal"/>
        <w:rPr/>
      </w:pPr>
      <w:r>
        <w:rPr/>
      </w:r>
    </w:p>
    <w:p>
      <w:pPr>
        <w:pStyle w:val="P68B1DB1Normal15"/>
        <w:rPr>
          <w:b/>
          <w:b/>
        </w:rPr>
      </w:pPr>
      <w:r>
        <w:rPr/>
        <w:t xml:space="preserve">15. We raden iedereen aan om meer te weten te komen over ons milieu en de verbanden met individuele gezondheid door middel van onderwijs. Educatieve trajecten helpen iedereen hun eigen persoonlijke strategieën te definiëren om deze thema’s in hun dagelijks leven te integreren. Dit onderwijs moet op school beginnen met specifieke onderwerpen die alle ecologische kwesties aanpakken, en we moeten onszelf gedurende ons hele leven blijven opvoeden (bijvoorbeeld op het werk). Het zal helpen om afval te verminderen en het milieu en de menselijke gezondheid te beschermen, en de lokale consumptie van gezonde en onbewerkte producten van lokale producenten te bevorderen. Degenen die niets doen om hun afval te verminderen, zullen een gratis training op dit gebied moeten krijgen. Om de manier van leven aan te passen, moeten de prijzen billijk zijn voor zowel de producent als de consument. Daarom stellen we voor dat kleine, milieuvriendelijke lokale producenten profiteren van belastingvrijstellingen. </w:t>
      </w:r>
    </w:p>
    <w:p>
      <w:pPr>
        <w:pStyle w:val="Normal"/>
        <w:rPr/>
      </w:pPr>
      <w:r>
        <w:rPr/>
        <w:t xml:space="preserve"> </w:t>
      </w:r>
    </w:p>
    <w:p>
      <w:pPr>
        <w:pStyle w:val="Normal"/>
        <w:rPr/>
      </w:pPr>
      <w:r>
        <w:rPr/>
        <w:t xml:space="preserve">We doen deze aanbeveling omdat we geloven dat veel mensen zich nog geen zorgen maken over deze kwesties. Daarom moet onderwijs voor iedereen worden ingevoerd. Bovendien hebben lokale en gezonde producten de neiging om voor veel mensen onbetaalbaar te zijn. We moeten ervoor zorgen dat lokale producten breder toegankelijk zijn voor iedereen. </w:t>
      </w:r>
    </w:p>
    <w:p>
      <w:pPr>
        <w:pStyle w:val="Normal"/>
        <w:rPr/>
      </w:pPr>
      <w:r>
        <w:rPr/>
      </w:r>
    </w:p>
    <w:p>
      <w:pPr>
        <w:pStyle w:val="Titre4"/>
        <w:numPr>
          <w:ilvl w:val="3"/>
          <w:numId w:val="2"/>
        </w:numPr>
        <w:rPr/>
      </w:pPr>
      <w:bookmarkStart w:id="113" w:name="__RefHeading___Toc297161_1346298689"/>
      <w:bookmarkEnd w:id="113"/>
      <w:r>
        <w:rPr/>
        <w:t xml:space="preserve">Subas 2.4 Landbouw/subas 2.5 Digitale infrastructuur </w:t>
      </w:r>
    </w:p>
    <w:p>
      <w:pPr>
        <w:pStyle w:val="Normal"/>
        <w:rPr/>
      </w:pPr>
      <w:r>
        <w:rPr/>
        <w:t xml:space="preserve"> </w:t>
      </w:r>
    </w:p>
    <w:p>
      <w:pPr>
        <w:pStyle w:val="P68B1DB1Normal15"/>
        <w:rPr>
          <w:b/>
          <w:b/>
        </w:rPr>
      </w:pPr>
      <w:r>
        <w:rPr/>
        <w:t xml:space="preserve">16. Wij raden de invoering aan van een gemeenschappelijk Europees systeem voor consumenten- en voedingsetikettering dat gemakkelijk te begrijpen is (bv. allergenen, land van herkomst, enz.); we raden transparantie aan van lopende vergunningsprocedures en digitalisering van productinformatie door middel van een gestandaardiseerde Europese applicatie die gebruikersvriendelijkere toegang tot informatie zou bieden en aanvullende product- en productieketeninformatie zou verstrekken. We zien ook de noodzaak van een echt onafhankelijk orgaan dat voedselnormen in de hele EU reguleert en wetgevende bevoegdheden heeft om sancties af te dwingen. </w:t>
      </w:r>
    </w:p>
    <w:p>
      <w:pPr>
        <w:pStyle w:val="Normal"/>
        <w:rPr/>
      </w:pPr>
      <w:r>
        <w:rPr/>
        <w:t xml:space="preserve"> </w:t>
      </w:r>
    </w:p>
    <w:p>
      <w:pPr>
        <w:pStyle w:val="Normal"/>
        <w:rPr/>
      </w:pPr>
      <w:r>
        <w:rPr/>
        <w:t xml:space="preserve">We doen deze aanbevelingen omdat alle EU-burgers op dezelfde kwaliteit van voedsel moeten kunnen vertrouwen. De integriteit van levensmiddelen is noodzakelijk om de veiligheid van de burgers te waarborgen. Deze aanbevelingen zijn geformuleerd om op geharmoniseerde wijze het toezicht op toelatingsprocedures en de transparantie van de voedselproductie te verbeteren. </w:t>
      </w:r>
    </w:p>
    <w:p>
      <w:pPr>
        <w:pStyle w:val="Normal"/>
        <w:rPr/>
      </w:pPr>
      <w:r>
        <w:rPr/>
      </w:r>
    </w:p>
    <w:p>
      <w:pPr>
        <w:pStyle w:val="P68B1DB1Normal15"/>
        <w:rPr>
          <w:b/>
          <w:b/>
        </w:rPr>
      </w:pPr>
      <w:r>
        <w:rPr/>
        <w:t xml:space="preserve">17. Wij raden aan dat de infrastructuur eigendom is van de staat om de opkomst van monopolies op het gebied van telecommunicatie en internetdiensten te voorkomen. Internettoegang moet een recht zijn; de internetverbinding in „witte gebieden/dode zones” (gebieden zonder internettoegang) moet een prioriteit zijn. Als het gaat om toegang tot internet en computerapparatuur, zijn kinderen en gezinnen een prioriteit, vooral op het gebied van onderwijs en vooral in tijden van pandemie. Er is een initiatief nodig om werk op afstand te ondersteunen, bijvoorbeeld door kantoorruimten te creëren met toegang tot een snelle en betrouwbare internetverbinding of door digitale opleidingen te organiseren. </w:t>
      </w:r>
    </w:p>
    <w:p>
      <w:pPr>
        <w:pStyle w:val="Normal"/>
        <w:rPr/>
      </w:pPr>
      <w:r>
        <w:rPr/>
        <w:t xml:space="preserve"> </w:t>
      </w:r>
    </w:p>
    <w:p>
      <w:pPr>
        <w:pStyle w:val="Normal"/>
        <w:rPr/>
      </w:pPr>
      <w:r>
        <w:rPr/>
        <w:t xml:space="preserve">We doen deze aanbeveling omdat we ervoor moeten zorgen dat de digitale transformatie eerlijk verloopt. Internettoegang is van fundamenteel belang voor de democratie en is een recht van alle Europese burgers. </w:t>
      </w:r>
    </w:p>
    <w:p>
      <w:pPr>
        <w:pStyle w:val="Normal"/>
        <w:rPr/>
      </w:pPr>
      <w:r>
        <w:rPr/>
      </w:r>
    </w:p>
    <w:p>
      <w:pPr>
        <w:pStyle w:val="Normal"/>
        <w:rPr/>
      </w:pPr>
      <w:r>
        <w:rPr>
          <w:b/>
        </w:rPr>
        <w:t>18. We raden aan om lokale insecten te respecteren en te beschermen tegen invasieve soorten. We stellen ook voor om de verplichting om groene ruimtes te bieden in nieuwe verstedelijkingsprojecten te bevorderen en te verdedigen. We pleiten ervoor dat biodiversiteit een verplicht onderwerp wordt op scholen en het onderwerp wordt van schoolactiviteiten, bijvoorbeeld praktische activiteiten. Het is belangrijk het publiek meer bewust te maken van biodiversiteit door middel van mediacampagnes en „wedstrijden” in de hele EU (wedstrijden op lokaal niveau). Wij raden aan in alle EU-lidstaten bindende nationale streefcijfers vast te stellen voor herbebossing door inheemse bomen en de herinvoering van lokale flora</w:t>
      </w:r>
      <w:r>
        <w:rPr/>
        <w:t xml:space="preserve">. </w:t>
      </w:r>
    </w:p>
    <w:p>
      <w:pPr>
        <w:pStyle w:val="Normal"/>
        <w:rPr/>
      </w:pPr>
      <w:r>
        <w:rPr/>
        <w:t xml:space="preserve"> </w:t>
      </w:r>
    </w:p>
    <w:p>
      <w:pPr>
        <w:pStyle w:val="Normal"/>
        <w:rPr/>
      </w:pPr>
      <w:r>
        <w:rPr/>
        <w:t xml:space="preserve">We doen deze aanbeveling omdat biodiversiteit essentieel is voor het milieu, de kwaliteit van leven en de strijd tegen klimaatverandering. </w:t>
      </w:r>
    </w:p>
    <w:p>
      <w:pPr>
        <w:pStyle w:val="Titre3"/>
        <w:numPr>
          <w:ilvl w:val="2"/>
          <w:numId w:val="2"/>
        </w:numPr>
        <w:rPr/>
      </w:pPr>
      <w:r>
        <w:rPr/>
      </w:r>
    </w:p>
    <w:p>
      <w:pPr>
        <w:pStyle w:val="Titre3"/>
        <w:numPr>
          <w:ilvl w:val="2"/>
          <w:numId w:val="2"/>
        </w:numPr>
        <w:rPr/>
      </w:pPr>
      <w:bookmarkStart w:id="114" w:name="__RefHeading___Toc297163_1346298689"/>
      <w:bookmarkEnd w:id="114"/>
      <w:r>
        <w:rPr/>
        <w:t xml:space="preserve">As 3 Een rechtvaardige samenleving </w:t>
      </w:r>
    </w:p>
    <w:p>
      <w:pPr>
        <w:pStyle w:val="Normal"/>
        <w:rPr/>
      </w:pPr>
      <w:bookmarkStart w:id="115" w:name="__RefHeading___Toc297165_1346298689"/>
      <w:bookmarkEnd w:id="115"/>
      <w:r>
        <w:rPr/>
        <w:t xml:space="preserve"> </w:t>
      </w:r>
    </w:p>
    <w:p>
      <w:pPr>
        <w:pStyle w:val="Titre4"/>
        <w:numPr>
          <w:ilvl w:val="3"/>
          <w:numId w:val="2"/>
        </w:numPr>
        <w:rPr/>
      </w:pPr>
      <w:bookmarkStart w:id="116" w:name="__RefHeading___Toc297167_1346298689"/>
      <w:bookmarkEnd w:id="116"/>
      <w:r>
        <w:rPr/>
        <w:t xml:space="preserve">Subas 3.1 Sociale zekerheid </w:t>
      </w:r>
    </w:p>
    <w:p>
      <w:pPr>
        <w:pStyle w:val="Normal"/>
        <w:rPr/>
      </w:pPr>
      <w:r>
        <w:rPr/>
        <w:t xml:space="preserve"> </w:t>
      </w:r>
    </w:p>
    <w:p>
      <w:pPr>
        <w:pStyle w:val="P68B1DB1Normal15"/>
        <w:rPr>
          <w:b/>
          <w:b/>
        </w:rPr>
      </w:pPr>
      <w:r>
        <w:rPr/>
        <w:t xml:space="preserve">19. Wij raden aan gelijke rechten en sociaal beleid, met inbegrip van gezondheidsbeleid, in de hele EU geharmoniseerd te bevorderen, rekening houdend met aangenomen regelgeving en minimumvereisten in het hele land. </w:t>
      </w:r>
    </w:p>
    <w:p>
      <w:pPr>
        <w:pStyle w:val="Normal"/>
        <w:rPr/>
      </w:pPr>
      <w:r>
        <w:rPr/>
        <w:t xml:space="preserve"> </w:t>
      </w:r>
    </w:p>
    <w:p>
      <w:pPr>
        <w:pStyle w:val="Normal"/>
        <w:rPr/>
      </w:pPr>
      <w:r>
        <w:rPr/>
        <w:t xml:space="preserve">We doen deze aanbeveling omdat er grote verschillen zijn tussen de lidstaten op het gebied van sociaal beleid, die moeten worden verminderd om alle burgers een fatsoenlijk leven te garanderen en om kwetsbare mensen om verschillende redenen (gezondheid, leeftijd, seksuele geaardheid, enz.) de nodige zorg en ondersteuning te bieden. </w:t>
      </w:r>
    </w:p>
    <w:p>
      <w:pPr>
        <w:pStyle w:val="Normal"/>
        <w:rPr/>
      </w:pPr>
      <w:r>
        <w:rPr/>
      </w:r>
    </w:p>
    <w:p>
      <w:pPr>
        <w:pStyle w:val="P68B1DB1Normal15"/>
        <w:rPr>
          <w:b/>
          <w:b/>
        </w:rPr>
      </w:pPr>
      <w:r>
        <w:rPr/>
        <w:t xml:space="preserve">20. Wij raden aan om sociaal en gezondheidsonderzoek in de EU te bevorderen volgens prioritaire lijnen die van algemeen belang worden geacht en door de lidstaten zijn goedgekeurd en voorzien in passende financiering. We moeten de samenwerking tussen expertisegebieden, landen, studiecentra (universiteiten, enz.) versterken. </w:t>
      </w:r>
    </w:p>
    <w:p>
      <w:pPr>
        <w:pStyle w:val="Normal"/>
        <w:rPr/>
      </w:pPr>
      <w:r>
        <w:rPr/>
        <w:t xml:space="preserve"> </w:t>
      </w:r>
    </w:p>
    <w:p>
      <w:pPr>
        <w:pStyle w:val="Normal"/>
        <w:rPr/>
      </w:pPr>
      <w:r>
        <w:rPr/>
        <w:t xml:space="preserve">We doen deze aanbeveling omdat er veel gebieden zijn waar we onze kennis moeten uitbreiden en verdiepen. De ervaring met de pandemie is een voorbeeld van hoe onderzoek essentieel is voor het verbeteren van het leven, dat samenwerking tussen publiek en privé en tussen overheden essentieel is en dat financiële steun nodig is. </w:t>
      </w:r>
    </w:p>
    <w:p>
      <w:pPr>
        <w:pStyle w:val="Normal"/>
        <w:rPr/>
      </w:pPr>
      <w:r>
        <w:rPr/>
      </w:r>
    </w:p>
    <w:p>
      <w:pPr>
        <w:pStyle w:val="P68B1DB1Normal15"/>
        <w:rPr>
          <w:b/>
          <w:b/>
        </w:rPr>
      </w:pPr>
      <w:r>
        <w:rPr/>
        <w:t xml:space="preserve">21. Wij bevelen aan dat de EU meer bevoegdheden heeft op het gebied van sociaal beleid om minimumregels en pensioenuitkeringen in de hele EU te harmoniseren en nieuwe regels vast te stellen, op basis van een grondige diagnose. Het minimumpensioen moet boven de armoedegrens van het land liggen. De pensioenleeftijd moet per beroepscategorie variëren en lager zijn voor mentaal en fysiek veeleisende beroepen. Tegelijkertijd moet het recht op werk worden gewaarborgd voor ouderen die op vrijwillige basis willen blijven werken. </w:t>
      </w:r>
    </w:p>
    <w:p>
      <w:pPr>
        <w:pStyle w:val="Normal"/>
        <w:rPr/>
      </w:pPr>
      <w:r>
        <w:rPr/>
        <w:t xml:space="preserve"> </w:t>
      </w:r>
    </w:p>
    <w:p>
      <w:pPr>
        <w:pStyle w:val="Normal"/>
        <w:rPr/>
      </w:pPr>
      <w:r>
        <w:rPr/>
        <w:t xml:space="preserve">We doen deze aanbeveling omdat de levensverwachting toeneemt en het geboortecijfer afneemt. De Europese bevolking vergrijst en daarom moeten we verdere stappen ondernemen om het risico van marginalisering van ouderen te voorkomen en hen een fatsoenlijk leven te garanderen. </w:t>
      </w:r>
    </w:p>
    <w:p>
      <w:pPr>
        <w:pStyle w:val="Normal"/>
        <w:rPr/>
      </w:pPr>
      <w:r>
        <w:rPr/>
        <w:t xml:space="preserve"> </w:t>
      </w:r>
    </w:p>
    <w:p>
      <w:pPr>
        <w:pStyle w:val="Normal"/>
        <w:rPr/>
      </w:pPr>
      <w:r>
        <w:rPr>
          <w:b/>
        </w:rPr>
        <w:t>22. Wij raden aan een reeks maatregelen aan te nemen om een verhoging van het geboortecijfer aan te moedigen en passende oplossingen voor kinderopvang te garanderen. Deze maatregelen moeten onder meer betrekking hebben op betaalbare en toegankelijke kinderopvang (op het werk, ’s nachts, verlaagde btw op kinderfaciliteiten), huisvesting, werkstabiliteit, moederschapsondersteuning, specifieke ondersteuning en werkbescherming voor jongeren en ouders, alsmede ondersteuning van moeders en vaders in de vorm van toegang tot kennis bij terugkeer naar het werk.</w:t>
      </w:r>
      <w:r>
        <w:rPr/>
        <w:t xml:space="preserve"> </w:t>
      </w:r>
    </w:p>
    <w:p>
      <w:pPr>
        <w:pStyle w:val="Normal"/>
        <w:rPr/>
      </w:pPr>
      <w:r>
        <w:rPr/>
        <w:t xml:space="preserve"> </w:t>
      </w:r>
    </w:p>
    <w:p>
      <w:pPr>
        <w:pStyle w:val="Normal"/>
        <w:rPr/>
      </w:pPr>
      <w:r>
        <w:rPr/>
        <w:t xml:space="preserve">We doen deze aanbeveling omdat de EU zich onderscheidt door lage geboortecijfers die ook bijdragen aan de vergrijzing van de Europese bevolking en die onmiddellijke actie vereisen. Het voorgestelde pakket beoogt ervoor te zorgen dat jonge gezinnen over de nodige stabiliteit beschikken om voor kinderen te zorgen. </w:t>
      </w:r>
    </w:p>
    <w:p>
      <w:pPr>
        <w:pStyle w:val="Normal"/>
        <w:rPr/>
      </w:pPr>
      <w:r>
        <w:rPr/>
      </w:r>
    </w:p>
    <w:p>
      <w:pPr>
        <w:pStyle w:val="P68B1DB1Normal15"/>
        <w:rPr>
          <w:b/>
          <w:b/>
        </w:rPr>
      </w:pPr>
      <w:r>
        <w:rPr/>
        <w:t xml:space="preserve">23. Wij raden aan sociale bijstand en gezondheidszorg voor ouderen thuis en in verzorgingshuizen te waarborgen. Er is ook behoefte aan een betere ondersteuning voor mensen die voor ouderen (in de buurt) zorgen. </w:t>
      </w:r>
    </w:p>
    <w:p>
      <w:pPr>
        <w:pStyle w:val="Normal"/>
        <w:rPr/>
      </w:pPr>
      <w:r>
        <w:rPr/>
        <w:t xml:space="preserve"> </w:t>
      </w:r>
    </w:p>
    <w:p>
      <w:pPr>
        <w:pStyle w:val="Normal"/>
        <w:rPr/>
      </w:pPr>
      <w:r>
        <w:rPr/>
        <w:t xml:space="preserve">We doen deze aanbeveling omdat de levensverwachting toeneemt en het geboortecijfer afneemt; de Europese bevolking vergrijst en daarom moeten we verdere stappen ondernemen om het risico van marginalisering van ouderen te voorkomen en hen een fatsoenlijk leven te garanderen. </w:t>
      </w:r>
    </w:p>
    <w:p>
      <w:pPr>
        <w:pStyle w:val="Normal"/>
        <w:rPr/>
      </w:pPr>
      <w:r>
        <w:rPr/>
        <w:t xml:space="preserve"> </w:t>
      </w:r>
    </w:p>
    <w:p>
      <w:pPr>
        <w:pStyle w:val="P68B1DB1Normal15"/>
        <w:rPr>
          <w:b/>
          <w:b/>
        </w:rPr>
      </w:pPr>
      <w:r>
        <w:rPr/>
        <w:t xml:space="preserve">24. Wij raden de EU aan palliatieve zorg en hulp bij overlijden [euthanasie] te steunen volgens een concrete reeks regels en voorschriften. </w:t>
      </w:r>
    </w:p>
    <w:p>
      <w:pPr>
        <w:pStyle w:val="Normal"/>
        <w:rPr/>
      </w:pPr>
      <w:r>
        <w:rPr/>
        <w:t xml:space="preserve"> </w:t>
      </w:r>
    </w:p>
    <w:p>
      <w:pPr>
        <w:pStyle w:val="Normal"/>
        <w:rPr/>
      </w:pPr>
      <w:r>
        <w:rPr/>
        <w:t xml:space="preserve">We doen deze aanbeveling omdat het de pijn van patiënten en gezinnen zou verminderen en een fatsoenlijk einde van het leven zou garanderen. </w:t>
      </w:r>
    </w:p>
    <w:p>
      <w:pPr>
        <w:pStyle w:val="Normal"/>
        <w:rPr/>
      </w:pPr>
      <w:r>
        <w:rPr/>
        <w:t xml:space="preserve"> </w:t>
      </w:r>
    </w:p>
    <w:p>
      <w:pPr>
        <w:pStyle w:val="Titre4"/>
        <w:numPr>
          <w:ilvl w:val="3"/>
          <w:numId w:val="2"/>
        </w:numPr>
        <w:rPr/>
      </w:pPr>
      <w:bookmarkStart w:id="117" w:name="__RefHeading___Toc297169_1346298689"/>
      <w:bookmarkEnd w:id="117"/>
      <w:r>
        <w:rPr/>
        <w:t xml:space="preserve">Subas 3.2 Gelijkheid van rechten </w:t>
      </w:r>
    </w:p>
    <w:p>
      <w:pPr>
        <w:pStyle w:val="Normal"/>
        <w:rPr/>
      </w:pPr>
      <w:r>
        <w:rPr/>
        <w:t xml:space="preserve"> </w:t>
      </w:r>
    </w:p>
    <w:p>
      <w:pPr>
        <w:pStyle w:val="P68B1DB1Normal15"/>
        <w:rPr>
          <w:b/>
          <w:b/>
        </w:rPr>
      </w:pPr>
      <w:r>
        <w:rPr/>
        <w:t xml:space="preserve">25. Wij raden de EU aan om, afhankelijk van hun specifieke behoeften, gerichte toegang van burgers tot fatsoenlijke sociale huisvesting te ondersteunen. De financiële inspanningen moeten worden gedeeld tussen particuliere donoren, huiseigenaren, begunstigden van huisvesting, regeringen van de lidstaten op centraal en lokaal niveau en de Europese Unie. Het doel moet zijn de bouw/reparatie van bestaande sociale woningvoorraad te vergemakkelijken, onder meer via coöperatieve verenigingen, huur en aankoop. De steun moet worden toegekend op basis van duidelijke criteria (bv. maximale oppervlakte/persoon die moet worden gesubsidieerd, inkomsten van de begunstigden enz.). </w:t>
      </w:r>
    </w:p>
    <w:p>
      <w:pPr>
        <w:pStyle w:val="Normal"/>
        <w:rPr/>
      </w:pPr>
      <w:r>
        <w:rPr/>
        <w:t xml:space="preserve"> </w:t>
      </w:r>
    </w:p>
    <w:p>
      <w:pPr>
        <w:pStyle w:val="Normal"/>
        <w:rPr/>
      </w:pPr>
      <w:r>
        <w:rPr/>
        <w:t xml:space="preserve">We doen deze aanbeveling omdat het verbeteren van de toegang tot huisvesting ervoor zou zorgen dat EU-burgers tastbare gelijke rechten genieten en sociale spanningen helpen verlichten. De EU wordt voornamelijk verzocht toezicht te houden op het steunmechanisme; nationale en lokale overheden moeten meer inspanningen leveren om huisvestingsproblemen aan te pakken. </w:t>
      </w:r>
    </w:p>
    <w:p>
      <w:pPr>
        <w:pStyle w:val="Normal"/>
        <w:rPr/>
      </w:pPr>
      <w:r>
        <w:rPr/>
      </w:r>
    </w:p>
    <w:p>
      <w:pPr>
        <w:pStyle w:val="P68B1DB1Normal15"/>
        <w:rPr>
          <w:b/>
          <w:b/>
        </w:rPr>
      </w:pPr>
      <w:r>
        <w:rPr/>
        <w:t xml:space="preserve">26. Wij raden de EU aan de regelgeving en de uniforme uitvoering van steunmaatregelen voor gezinnen met kinderen in alle lidstaten te verbeteren. Deze maatregelen omvatten met name: een verhoging van de duur van het ouderschapsverlof, het bedrag van de bevallingsuitkering en de toelage voor kinderopvang. </w:t>
      </w:r>
    </w:p>
    <w:p>
      <w:pPr>
        <w:pStyle w:val="Normal"/>
        <w:rPr/>
      </w:pPr>
      <w:r>
        <w:rPr/>
        <w:t xml:space="preserve"> </w:t>
      </w:r>
    </w:p>
    <w:p>
      <w:pPr>
        <w:pStyle w:val="Normal"/>
        <w:rPr/>
      </w:pPr>
      <w:r>
        <w:rPr/>
        <w:t xml:space="preserve">Wij doen deze aanbeveling omdat wij van mening zijn dat deze maatregelen het demografische probleem van de EU zouden verzachten. Ze zouden ook de gelijkheid van mannen en vrouwen tussen ouders verbeteren. </w:t>
      </w:r>
    </w:p>
    <w:p>
      <w:pPr>
        <w:pStyle w:val="Normal"/>
        <w:rPr/>
      </w:pPr>
      <w:r>
        <w:rPr/>
      </w:r>
    </w:p>
    <w:p>
      <w:pPr>
        <w:pStyle w:val="P68B1DB1Normal15"/>
        <w:rPr>
          <w:b/>
          <w:b/>
        </w:rPr>
      </w:pPr>
      <w:r>
        <w:rPr/>
        <w:t xml:space="preserve">27. Wij raden de EU aan maatregelen te nemen om ervoor te zorgen dat alle gezinnen in alle lidstaten dezelfde gezinsrechten genieten. Deze rechten omvatten het recht op huwelijk en adoptie. </w:t>
      </w:r>
    </w:p>
    <w:p>
      <w:pPr>
        <w:pStyle w:val="Normal"/>
        <w:rPr/>
      </w:pPr>
      <w:r>
        <w:rPr/>
        <w:t xml:space="preserve"> </w:t>
      </w:r>
    </w:p>
    <w:p>
      <w:pPr>
        <w:pStyle w:val="Normal"/>
        <w:rPr/>
      </w:pPr>
      <w:r>
        <w:rPr/>
        <w:t xml:space="preserve">Wij doen deze aanbeveling omdat wij van mening zijn dat alle EU-burgers gelijke rechten moeten genieten, met inbegrip van familierechten. Het gezin is de basisvorm van sociale organisatie. Een gelukkig gezin draagt bij aan een gezonde samenleving. De aanbeveling heeft tot doel ervoor te zorgen dat alle burgers familierechten genieten, ongeacht geslacht, volwassenheid, etnische afkomst of lichamelijke gezondheid. </w:t>
      </w:r>
    </w:p>
    <w:p>
      <w:pPr>
        <w:pStyle w:val="Normal"/>
        <w:rPr/>
      </w:pPr>
      <w:r>
        <w:rPr/>
        <w:t xml:space="preserve"> </w:t>
      </w:r>
    </w:p>
    <w:p>
      <w:pPr>
        <w:pStyle w:val="Titre4"/>
        <w:numPr>
          <w:ilvl w:val="3"/>
          <w:numId w:val="2"/>
        </w:numPr>
        <w:rPr/>
      </w:pPr>
      <w:bookmarkStart w:id="118" w:name="__RefHeading___Toc297171_1346298689"/>
      <w:bookmarkEnd w:id="118"/>
      <w:commentRangeStart w:id="1"/>
      <w:r>
        <w:rPr/>
        <w:t xml:space="preserve">Subas 3.3 Eigendom/subas 3.4 Toegang tot sport </w:t>
      </w:r>
      <w:commentRangeEnd w:id="1"/>
      <w:r>
        <w:commentReference w:id="1"/>
      </w:r>
      <w:r>
        <w:rPr/>
      </w:r>
    </w:p>
    <w:p>
      <w:pPr>
        <w:pStyle w:val="Normal"/>
        <w:rPr/>
      </w:pPr>
      <w:r>
        <w:rPr/>
        <w:t xml:space="preserve"> </w:t>
      </w:r>
    </w:p>
    <w:p>
      <w:pPr>
        <w:pStyle w:val="P68B1DB1Normal15"/>
        <w:rPr>
          <w:b/>
          <w:b/>
        </w:rPr>
      </w:pPr>
      <w:r>
        <w:rPr/>
        <w:t xml:space="preserve">28. Wij bevelen aan dat de EU-strategie voor gendergelijkheid 2020-2025 sterk wordt bevorderd en hoge prioriteit krijgt als een dringende kwestie die effectief door de lidstaten wordt aangepakt. De EU moet a) indicatoren (houdingen, loonkloof, werkgelegenheid, leiderschap enz.) vaststellen, de strategie jaarlijks monitoren en transparant zijn over de bereikte resultaten; en b) een ombudsman oprichten om rechtstreekse feedback van burgers te krijgen. </w:t>
      </w:r>
    </w:p>
    <w:p>
      <w:pPr>
        <w:pStyle w:val="Normal"/>
        <w:rPr/>
      </w:pPr>
      <w:r>
        <w:rPr/>
        <w:t xml:space="preserve"> </w:t>
      </w:r>
    </w:p>
    <w:p>
      <w:pPr>
        <w:pStyle w:val="Normal"/>
        <w:rPr/>
      </w:pPr>
      <w:r>
        <w:rPr/>
        <w:t xml:space="preserve">Wij doen deze aanbeveling omdat wij van mening zijn dat de gendersituatie in de EU verre van bevredigend is. Er moet harmonie zijn op het gebied van gendergelijkheid en burgerrechten op Europees niveau, om de doelstellingen van gendergelijkheid en burgerrechten in alle landen te verwezenlijken, en niet alleen in de landen waar het compromis sterker is. We zijn toegewijd aan de aanwezigheid en bijdrage van vrouwen in machtsposities en in alle soorten beroepen, om een diverse en vervullende Europese Unie te hebben. Vrouwen worden in veel situaties benadeeld (zelfs wanneer ze een goed opleidingsniveau/gecertificeerd hoger onderwijs of andere privileges hebben), dus een dergelijke strategie is absoluut noodzakelijk. </w:t>
      </w:r>
    </w:p>
    <w:p>
      <w:pPr>
        <w:pStyle w:val="Normal"/>
        <w:rPr/>
      </w:pPr>
      <w:r>
        <w:rPr/>
      </w:r>
    </w:p>
    <w:p>
      <w:pPr>
        <w:pStyle w:val="P68B1DB1Normal15"/>
        <w:rPr>
          <w:b/>
          <w:b/>
        </w:rPr>
      </w:pPr>
      <w:r>
        <w:rPr/>
        <w:t xml:space="preserve">29. Wij raden de EU aan om het publiek bewust te maken van sport en lichaamsbeweging in alle lidstaten, vanwege hun gezondheidsvoordelen. Sport en lichaamsbeweging moeten worden opgenomen in sociaal beleid, beleid inzake geestelijke en lichamelijke gezondheid, onderwijs en arbeidsbeleid (d.w.z. het bevorderen van het voorschrijven van sport en/of lichaamsbeweging door artsen en, indien gedaan, het waarborgen van de toegang tot sportfaciliteiten; 1 uur werk/week voor fysieke activiteit, enz.). </w:t>
      </w:r>
    </w:p>
    <w:p>
      <w:pPr>
        <w:pStyle w:val="Normal"/>
        <w:rPr/>
      </w:pPr>
      <w:r>
        <w:rPr/>
        <w:t xml:space="preserve"> </w:t>
      </w:r>
    </w:p>
    <w:p>
      <w:pPr>
        <w:pStyle w:val="Normal"/>
        <w:rPr/>
      </w:pPr>
      <w:r>
        <w:rPr/>
        <w:t xml:space="preserve">We doen dit omdat het een investering op lange termijn is. Investeren in sport en lichaamsbeweging vermindert de kosten en lasten voor de gezondheidszorg. Sport en lichaamsbeweging als gezondheidsinterventie zouden bijvoorbeeld de duur van behandelingen verkorten en effectiever maken. Deze strategie wordt al met succes uitgevoerd in sommige landen, zoals Duitsland. Sport is een manier om waarden op te bouwen zoals betrokkenheid, inspanning, zelfrespect, respect of kameraadschap. Sedentaire levensstijlen komen vaker voor dan voor vorige generaties vanwege onder andere meer kantoorbanen en/of veranderingen in vrijetijdsgewoonten. </w:t>
      </w:r>
    </w:p>
    <w:p>
      <w:pPr>
        <w:pStyle w:val="Normal"/>
        <w:rPr/>
      </w:pPr>
      <w:r>
        <w:rPr/>
      </w:r>
    </w:p>
    <w:p>
      <w:pPr>
        <w:pStyle w:val="P68B1DB1Normal15"/>
        <w:rPr>
          <w:b/>
          <w:b/>
        </w:rPr>
      </w:pPr>
      <w:r>
        <w:rPr/>
        <w:t xml:space="preserve">30. We raden de EU aan om elke lidstaat te verplichten een minimumloon te hebben dat is vastgesteld op basis van de kosten van levensonderhoud op zijn grondgebied en wordt beschouwd als een eerlijk loon dat minimumlevensomstandigheden mogelijk maakt, boven de armoedegrens. Elke lidstaat moet erop toezien. </w:t>
      </w:r>
    </w:p>
    <w:p>
      <w:pPr>
        <w:pStyle w:val="Normal"/>
        <w:rPr/>
      </w:pPr>
      <w:r>
        <w:rPr/>
        <w:t xml:space="preserve"> </w:t>
      </w:r>
    </w:p>
    <w:p>
      <w:pPr>
        <w:pStyle w:val="Normal"/>
        <w:rPr/>
      </w:pPr>
      <w:r>
        <w:rPr/>
        <w:t xml:space="preserve">We doen deze aanbeveling omdat het oneerlijk is om niet in staat te zijn om het einde van de maand te bereiken wanneer we werken. Eerlijke lonen moeten bijdragen aan de kwaliteit van leven op sociaal niveau. Oneerlijke lonen hebben hoge kosten voor staten (veiligheid, belastingontduiking, hogere sociale kosten, enz.). </w:t>
      </w:r>
    </w:p>
    <w:p>
      <w:pPr>
        <w:pStyle w:val="Normal"/>
        <w:rPr/>
      </w:pPr>
      <w:r>
        <w:rPr/>
      </w:r>
    </w:p>
    <w:p>
      <w:pPr>
        <w:pStyle w:val="P68B1DB1Normal15"/>
        <w:rPr>
          <w:b/>
          <w:b/>
        </w:rPr>
      </w:pPr>
      <w:r>
        <w:rPr/>
        <w:t xml:space="preserve">31. Wij raden belastingharmonisatie in de lidstaten aan op EU-niveau (om belastingparadijzen in de EU te vermijden en verplaatsingen binnen Europa te bestrijden), evenals een fiscale stimulans om de verplaatsing van banen buiten Europa te ontmoedigen. </w:t>
      </w:r>
    </w:p>
    <w:p>
      <w:pPr>
        <w:pStyle w:val="Normal"/>
        <w:rPr/>
      </w:pPr>
      <w:r>
        <w:rPr/>
        <w:t xml:space="preserve"> </w:t>
      </w:r>
    </w:p>
    <w:p>
      <w:pPr>
        <w:pStyle w:val="Normal"/>
        <w:rPr/>
      </w:pPr>
      <w:r>
        <w:rPr/>
        <w:t xml:space="preserve">We doen deze aanbeveling omdat we ons zorgen maken over de gevolgen van de verplaatsing van banen buiten Europa en zijn van mening dat dit de belastingconcurrentie tussen de EU-lidstaten zou voorkomen. </w:t>
      </w:r>
    </w:p>
    <w:p>
      <w:pPr>
        <w:pStyle w:val="Normal"/>
        <w:rPr/>
      </w:pPr>
      <w:r>
        <w:rPr/>
      </w:r>
    </w:p>
    <w:p>
      <w:pPr>
        <w:pStyle w:val="Titre3"/>
        <w:numPr>
          <w:ilvl w:val="2"/>
          <w:numId w:val="2"/>
        </w:numPr>
        <w:rPr/>
      </w:pPr>
      <w:bookmarkStart w:id="119" w:name="__RefHeading___Toc297173_1346298689"/>
      <w:bookmarkEnd w:id="119"/>
      <w:r>
        <w:rPr/>
        <w:t xml:space="preserve">As 4 Leren in Europa </w:t>
      </w:r>
    </w:p>
    <w:p>
      <w:pPr>
        <w:pStyle w:val="Normal"/>
        <w:rPr/>
      </w:pPr>
      <w:r>
        <w:rPr/>
        <w:t xml:space="preserve"> </w:t>
      </w:r>
    </w:p>
    <w:p>
      <w:pPr>
        <w:pStyle w:val="Titre4"/>
        <w:numPr>
          <w:ilvl w:val="3"/>
          <w:numId w:val="2"/>
        </w:numPr>
        <w:rPr/>
      </w:pPr>
      <w:bookmarkStart w:id="120" w:name="__RefHeading___Toc297175_1346298689"/>
      <w:bookmarkEnd w:id="120"/>
      <w:commentRangeStart w:id="2"/>
      <w:r>
        <w:rPr/>
        <w:t xml:space="preserve">Subas 4.1 Europese identiteit/subas 4.2 Digitaal onderwijs </w:t>
      </w:r>
      <w:commentRangeEnd w:id="2"/>
      <w:r>
        <w:commentReference w:id="2"/>
      </w:r>
      <w:r>
        <w:rPr/>
      </w:r>
    </w:p>
    <w:p>
      <w:pPr>
        <w:pStyle w:val="Normal"/>
        <w:rPr/>
      </w:pPr>
      <w:r>
        <w:rPr/>
        <w:t xml:space="preserve"> </w:t>
      </w:r>
    </w:p>
    <w:p>
      <w:pPr>
        <w:pStyle w:val="P68B1DB1Normal15"/>
        <w:rPr>
          <w:b/>
          <w:b/>
        </w:rPr>
      </w:pPr>
      <w:r>
        <w:rPr/>
        <w:t xml:space="preserve">32. We raden aan om al op jonge leeftijd meertaligheid te promoten, bijvoorbeeld vanaf de kleuterschool. Vanaf de basisschool moet het voor kinderen verplicht zijn om het niveau C1 te bereiken in een andere actieve EU-taal dan hun eigen taal. </w:t>
      </w:r>
    </w:p>
    <w:p>
      <w:pPr>
        <w:pStyle w:val="Normal"/>
        <w:rPr/>
      </w:pPr>
      <w:r>
        <w:rPr/>
        <w:t xml:space="preserve"> </w:t>
      </w:r>
    </w:p>
    <w:p>
      <w:pPr>
        <w:pStyle w:val="Normal"/>
        <w:rPr/>
      </w:pPr>
      <w:r>
        <w:rPr/>
        <w:t xml:space="preserve">We doen deze aanbeveling omdat meertaligheid een instrument is dat burgers en een brug naar andere culturen verbindt, waardoor andere landen en hun culturen toegankelijker worden. Het versterkt de Europese identiteit en interculturele uitwisselingen. Het is belangrijk om andere culturen in de context van de Europese Unie te leren kennen. Daarom zou de mogelijkheid om op een goed niveau in twee talen te kunnen converseren bijdragen tot het creëren van een gemeenschappelijke Europese identiteit en het begrijpen van andere Europese culturen. De EU moet nauw samenwerken met onderwijsinstellingen om goede resultaten te boeken in het onderwijs. Er moet ook een specifiek programma worden opgezet (bv. digitale platforms, uitgebreide Erasmus±programma’s, enz.) om meertaligheid uitsluitend te bevorderen. De huidige Europese scholen kunnen in dit opzicht als model dienen. De EU moet meer van dergelijke scholen oprichten en actief bevorderen. </w:t>
      </w:r>
    </w:p>
    <w:p>
      <w:pPr>
        <w:pStyle w:val="Normal"/>
        <w:rPr/>
      </w:pPr>
      <w:r>
        <w:rPr/>
      </w:r>
    </w:p>
    <w:p>
      <w:pPr>
        <w:pStyle w:val="P68B1DB1Normal15"/>
        <w:rPr>
          <w:b/>
          <w:b/>
        </w:rPr>
      </w:pPr>
      <w:r>
        <w:rPr/>
        <w:t xml:space="preserve">33. Wij raden de EU aan jongeren bewust te maken van de gevaren van internet en digitalisering door een verplicht vak in het basisonderwijs te creëren. De EU moet instrumenten ontwikkelen en gemeenschappelijke opleidingsruimten creëren voor jongeren om samen te leren. </w:t>
      </w:r>
    </w:p>
    <w:p>
      <w:pPr>
        <w:pStyle w:val="Normal"/>
        <w:rPr/>
      </w:pPr>
      <w:r>
        <w:rPr/>
        <w:t xml:space="preserve"> </w:t>
      </w:r>
    </w:p>
    <w:p>
      <w:pPr>
        <w:pStyle w:val="Normal"/>
        <w:rPr/>
      </w:pPr>
      <w:r>
        <w:rPr/>
        <w:t xml:space="preserve">We doen deze aanbeveling omdat de huidige initiatieven of programma’s op dit gebied niet voldoende zijn. Bovendien zijn veel EU-burgers zich niet bewust van bestaande EU-initiatieven op deze gebieden. Kinderen zijn zich niet voldoende bewust van de gevaren van het internet en daarom zouden we veel meer moeten doen om het bewustzijn onder de jongere generatie te vergroten. </w:t>
      </w:r>
    </w:p>
    <w:p>
      <w:pPr>
        <w:pStyle w:val="Normal"/>
        <w:rPr/>
      </w:pPr>
      <w:r>
        <w:rPr/>
        <w:t xml:space="preserve"> </w:t>
      </w:r>
    </w:p>
    <w:p>
      <w:pPr>
        <w:pStyle w:val="P68B1DB1Normal15"/>
        <w:rPr>
          <w:b/>
          <w:b/>
        </w:rPr>
      </w:pPr>
      <w:r>
        <w:rPr/>
        <w:t xml:space="preserve">34. Wij raden de EU aan om technologie toegankelijker te maken voor ouderen door programma’s en initiatieven aan te moedigen, bijvoorbeeld in de vorm van cursussen die zijn afgestemd op hun behoeften. De EU moet het recht waarborgen om digitale technologie te gebruiken voor degenen die dat willen, en alternatieven voorstellen voor degenen die dat niet willen. </w:t>
      </w:r>
    </w:p>
    <w:p>
      <w:pPr>
        <w:pStyle w:val="Normal"/>
        <w:rPr/>
      </w:pPr>
      <w:r>
        <w:rPr/>
        <w:t xml:space="preserve"> </w:t>
      </w:r>
    </w:p>
    <w:p>
      <w:pPr>
        <w:pStyle w:val="Normal"/>
        <w:rPr/>
      </w:pPr>
      <w:r>
        <w:rPr/>
        <w:t xml:space="preserve">We doen deze aanbeveling omdat de EU ervoor moet zorgen dat ouderen aan de digitale wereld kunnen deelnemen en dat niemand wordt gediscrimineerd. Vereenvoudigde instrumenten moeten worden ingevoerd voor generaties die minder ervaring hebben met het gebruik van bepaalde technologieën, om ze in de wereld van vandaag te integreren. Wij raden aan bestaande initiatieven beter te promoten, zodat de burgers daarvan op de hoogte zijn. Ouderen mogen in de EU niet worden gediscrimineerd als het gaat om het gebruik van IT-instrumenten. (Als incident betekent dit dat burgers hun leven moeten kunnen leiden zonder dat ze via een internetnetwerk hoeven te gaan). De EU moet permanente kosteloze bijstand voor ouderen organiseren en beschikbaar stellen om de toegang tot digitale instrumenten te vergemakkelijken. </w:t>
      </w:r>
    </w:p>
    <w:p>
      <w:pPr>
        <w:pStyle w:val="Normal"/>
        <w:rPr/>
      </w:pPr>
      <w:r>
        <w:rPr/>
      </w:r>
    </w:p>
    <w:p>
      <w:pPr>
        <w:pStyle w:val="Titre4"/>
        <w:numPr>
          <w:ilvl w:val="3"/>
          <w:numId w:val="2"/>
        </w:numPr>
        <w:rPr/>
      </w:pPr>
      <w:bookmarkStart w:id="121" w:name="__RefHeading___Toc297177_1346298689"/>
      <w:bookmarkEnd w:id="121"/>
      <w:r>
        <w:rPr/>
        <w:t xml:space="preserve">Subas 4.3 Culturele uitwisseling/subas 4.4 Milieueducatie </w:t>
      </w:r>
    </w:p>
    <w:p>
      <w:pPr>
        <w:pStyle w:val="Normal"/>
        <w:rPr/>
      </w:pPr>
      <w:r>
        <w:rPr/>
        <w:t xml:space="preserve"> </w:t>
      </w:r>
    </w:p>
    <w:p>
      <w:pPr>
        <w:pStyle w:val="P68B1DB1Normal15"/>
        <w:rPr>
          <w:b/>
          <w:b/>
        </w:rPr>
      </w:pPr>
      <w:r>
        <w:rPr/>
        <w:t xml:space="preserve">35. Wij raden de EU aan een platform op te zetten waar onderwijsmateriaal over klimaatverandering, duurzaamheid en milieukwesties beschikbaar zal worden gesteld voor educatieve doeleinden. Deze informatie moet gebaseerd zijn op feiten, geverifieerd door deskundigen en aangepast aan elke lidstaat. Het platform: </w:t>
      </w:r>
    </w:p>
    <w:p>
      <w:pPr>
        <w:pStyle w:val="P68B1DB1Normal15"/>
        <w:rPr>
          <w:b/>
          <w:b/>
        </w:rPr>
      </w:pPr>
      <w:r>
        <w:rPr/>
        <w:t xml:space="preserve">● </w:t>
      </w:r>
      <w:r>
        <w:rPr/>
        <w:t xml:space="preserve">moet lessen bevatten voor verschillende doelgroepen, bijvoorbeeld voor mensen die in stedelijke of plattelandsgebieden wonen, alle leeftijdsgroepen en voorkennis; </w:t>
      </w:r>
    </w:p>
    <w:p>
      <w:pPr>
        <w:pStyle w:val="P68B1DB1Normal15"/>
        <w:rPr>
          <w:b/>
          <w:b/>
        </w:rPr>
      </w:pPr>
      <w:r>
        <w:rPr/>
        <w:t xml:space="preserve">● </w:t>
      </w:r>
      <w:r>
        <w:rPr/>
        <w:t xml:space="preserve">moet beschikbaar worden gesteld aan alle lidstaten en gemakkelijk toegankelijk zijn; </w:t>
      </w:r>
    </w:p>
    <w:p>
      <w:pPr>
        <w:pStyle w:val="P68B1DB1Normal15"/>
        <w:rPr>
          <w:b/>
          <w:b/>
        </w:rPr>
      </w:pPr>
      <w:r>
        <w:rPr/>
        <w:t xml:space="preserve">● </w:t>
      </w:r>
      <w:r>
        <w:rPr/>
        <w:t xml:space="preserve">moet bij de uitvoering ervan een afzetbevorderingsplan opnemen waarbij de betrokken ondernemingen betrokken moeten zijn; </w:t>
      </w:r>
    </w:p>
    <w:p>
      <w:pPr>
        <w:pStyle w:val="P68B1DB1Normal15"/>
        <w:rPr>
          <w:b/>
          <w:b/>
        </w:rPr>
      </w:pPr>
      <w:r>
        <w:rPr/>
        <w:t xml:space="preserve">● </w:t>
      </w:r>
      <w:r>
        <w:rPr/>
        <w:t xml:space="preserve">zou tegelijk met een financieringsprogramma ter ondersteuning van het gebruik en de uitvoering van de op het platform beschikbare informatie beschikbaar kunnen worden gesteld. Deze financiering moet ook ter plaatse bezoeken ondersteunen om concrete voorbeelden te geven. </w:t>
      </w:r>
    </w:p>
    <w:p>
      <w:pPr>
        <w:pStyle w:val="Normal"/>
        <w:rPr/>
      </w:pPr>
      <w:r>
        <w:rPr/>
        <w:t xml:space="preserve"> </w:t>
      </w:r>
    </w:p>
    <w:p>
      <w:pPr>
        <w:pStyle w:val="Normal"/>
        <w:rPr/>
      </w:pPr>
      <w:r>
        <w:rPr/>
        <w:t xml:space="preserve">We doen deze aanbeveling omdat mensen van alle leeftijden toegang nodig hebben tot feitelijke informatie over hoe klimaatverandering, duurzaamheid en milieukwesties kunnen worden aangepakt. Belangrijke concepten, zoals de ecologische voetafdruk, moeten door iedereen worden begrepen, vooral door jongeren, omdat wat we leren kinderen ons hele leven begeleidt. Deze onderwerpen zijn complex en desinformatie is wijdverbreid. We hebben een betrouwbare bron nodig en de EU heeft de geloofwaardigheid en middelen om deze rol op zich te nemen. Dit is ook belangrijk omdat de kennisniveaus en de toegang tot geloofwaardige informatie van lidstaat tot lidstaat verschillen. </w:t>
      </w:r>
    </w:p>
    <w:p>
      <w:pPr>
        <w:pStyle w:val="Normal"/>
        <w:rPr/>
      </w:pPr>
      <w:r>
        <w:rPr/>
      </w:r>
    </w:p>
    <w:p>
      <w:pPr>
        <w:pStyle w:val="P68B1DB1Normal15"/>
        <w:rPr>
          <w:b/>
          <w:b/>
        </w:rPr>
      </w:pPr>
      <w:r>
        <w:rPr/>
        <w:t xml:space="preserve">36. Wij raden de EU aan om ervoor te zorgen dat uitwisselingsprogramma’s toegankelijk zijn voor iedereen (leeftijdsgroepen, lidstaten, onderwijsniveaus en financiële capaciteit) en om stages of uitwisselingen tussen sectoren, landen, onderwijsinstellingen, steden en bedrijven mogelijk te maken. De EU moet verantwoordelijk zijn voor het lanceren, bemiddelen en financieren van culturele en sociale uitwisselingen in de hele EU, zowel fysiek als digitaal. De EU moet deze initiatieven actief promoten en zich richten op mensen die nog niet op de hoogte zijn van culturele en sociale uitwisselingsprogramma’s. De conferentie over de toekomst van Europa, waarvoor de burgers willekeurig werden geselecteerd, is het perfecte voorbeeld van een Europese uitwisseling. We willen meer initiatieven van dit soort, maar we willen ook kleinere initiatieven, evenals uitwisselingen op het gebied van sport, muziek, (sociale) stages, enz. </w:t>
      </w:r>
    </w:p>
    <w:p>
      <w:pPr>
        <w:pStyle w:val="P68B1DB1Normal15"/>
        <w:rPr>
          <w:b/>
          <w:b/>
        </w:rPr>
      </w:pPr>
      <w:r>
        <w:rPr/>
        <w:t xml:space="preserve"> </w:t>
      </w:r>
    </w:p>
    <w:p>
      <w:pPr>
        <w:pStyle w:val="Normal"/>
        <w:rPr/>
      </w:pPr>
      <w:r>
        <w:rPr/>
        <w:t xml:space="preserve">We doen deze aanbeveling omdat het belangrijk is om een gevoel van verbondenheid en cohesie te creëren en tolerantie te bevorderen voor onze prachtige diversiteit en perspectieven, evenals de ontwikkeling van individuele vaardigheden. Dit proces zal vriendschappen, wederzijds begrip en kritisch denken ontwikkelen. We willen de betrokkenheid van alle leden van onze gemeenschappen bevorderen, zelfs degenen die tot nu toe niet aan dergelijke initiatieven hebben deelgenomen. </w:t>
      </w:r>
    </w:p>
    <w:p>
      <w:pPr>
        <w:pStyle w:val="Normal"/>
        <w:rPr/>
      </w:pPr>
      <w:r>
        <w:rPr/>
      </w:r>
    </w:p>
    <w:p>
      <w:pPr>
        <w:pStyle w:val="Titre4"/>
        <w:numPr>
          <w:ilvl w:val="3"/>
          <w:numId w:val="2"/>
        </w:numPr>
        <w:rPr/>
      </w:pPr>
      <w:bookmarkStart w:id="122" w:name="__RefHeading___Toc297179_1346298689"/>
      <w:bookmarkEnd w:id="122"/>
      <w:r>
        <w:rPr/>
        <w:t xml:space="preserve">Subas 4.5 Kwaliteit, financiering en toegang tot onderwijs/subas 4.6 Harmonisatie van het onderwijs </w:t>
      </w:r>
    </w:p>
    <w:p>
      <w:pPr>
        <w:pStyle w:val="Normal"/>
        <w:rPr/>
      </w:pPr>
      <w:r>
        <w:rPr/>
        <w:t xml:space="preserve"> </w:t>
      </w:r>
    </w:p>
    <w:p>
      <w:pPr>
        <w:pStyle w:val="P68B1DB1Normal15"/>
        <w:rPr>
          <w:b/>
          <w:b/>
        </w:rPr>
      </w:pPr>
      <w:r>
        <w:rPr/>
        <w:t xml:space="preserve">37. Wij raden alle lidstaten aan om vanaf de basisschool een minimumnorm voor gecertificeerd onderwijs in essentiële vakken vast te stellen en vast te stellen. Het doel is ervoor te zorgen dat alle burgers gelijke toegang hebben tot hoogwaardig onderwijs dat gelijkheid en gelijkheid garandeert. </w:t>
      </w:r>
    </w:p>
    <w:p>
      <w:pPr>
        <w:pStyle w:val="Normal"/>
        <w:rPr/>
      </w:pPr>
      <w:r>
        <w:rPr/>
      </w:r>
    </w:p>
    <w:p>
      <w:pPr>
        <w:pStyle w:val="Normal"/>
        <w:rPr/>
      </w:pPr>
      <w:r>
        <w:rPr/>
        <w:t xml:space="preserve">Wij doen deze aanbeveling om de volgende redenen: </w:t>
      </w:r>
    </w:p>
    <w:p>
      <w:pPr>
        <w:pStyle w:val="Normal"/>
        <w:rPr/>
      </w:pPr>
      <w:r>
        <w:rPr/>
        <w:t xml:space="preserve">● </w:t>
      </w:r>
      <w:r>
        <w:rPr/>
        <w:t xml:space="preserve">het bestaan van een minimumnorm zou het vertrouwen van ouders, leerkrachten en studenten in hun onderwijsstelsels vergroten en tegelijkertijd ruimte laten voor initiatief en diversiteit. </w:t>
      </w:r>
    </w:p>
    <w:p>
      <w:pPr>
        <w:pStyle w:val="Normal"/>
        <w:rPr/>
      </w:pPr>
      <w:r>
        <w:rPr/>
        <w:t xml:space="preserve">Als onze aanbeveling wordt uitgevoerd, zal onze aanbeveling de gemeenschappelijke Europese identiteit versterken en versterken, door cohesie, eenheid en een gevoel van verbondenheid te bevorderen. </w:t>
      </w:r>
    </w:p>
    <w:p>
      <w:pPr>
        <w:pStyle w:val="Normal"/>
        <w:rPr/>
      </w:pPr>
      <w:r>
        <w:rPr/>
        <w:t xml:space="preserve">● </w:t>
      </w:r>
      <w:r>
        <w:rPr/>
        <w:t xml:space="preserve">De tenuitvoerlegging van deze aanbeveling zou de samenwerking en uitwisseling tussen scholen in de hele EU versterken, wat de betrekkingen tussen onderwijzend personeel en leerlingen zou verbeteren en uitwisselingsprogramma’s sterk zou vergemakkelijken. </w:t>
      </w:r>
    </w:p>
    <w:p>
      <w:pPr>
        <w:pStyle w:val="Normal"/>
        <w:rPr/>
      </w:pPr>
      <w:r>
        <w:rPr/>
      </w:r>
    </w:p>
    <w:p>
      <w:pPr>
        <w:pStyle w:val="P68B1DB1Normal15"/>
        <w:rPr>
          <w:b/>
          <w:b/>
        </w:rPr>
      </w:pPr>
      <w:r>
        <w:rPr/>
        <w:t xml:space="preserve">38. Wij raden aan dat Engels volgens een certificeerbare norm wordt onderwezen als hoofdvak op basisscholen in alle EU-lidstaten om het vermogen van Europese burgers om effectief te communiceren te vergemakkelijken en te versterken. </w:t>
      </w:r>
    </w:p>
    <w:p>
      <w:pPr>
        <w:pStyle w:val="Normal"/>
        <w:rPr/>
      </w:pPr>
      <w:r>
        <w:rPr/>
        <w:t xml:space="preserve"> </w:t>
      </w:r>
    </w:p>
    <w:p>
      <w:pPr>
        <w:pStyle w:val="Normal"/>
        <w:rPr/>
      </w:pPr>
      <w:r>
        <w:rPr/>
        <w:t xml:space="preserve">Wij doen deze aanbeveling om de volgende redenen: </w:t>
      </w:r>
    </w:p>
    <w:p>
      <w:pPr>
        <w:pStyle w:val="Normal"/>
        <w:rPr/>
      </w:pPr>
      <w:r>
        <w:rPr/>
        <w:t xml:space="preserve">● </w:t>
      </w:r>
      <w:r>
        <w:rPr/>
        <w:t xml:space="preserve">dit zou meer eenheid en gelijkheid mogelijk maken door het vermogen van burgers om met elkaar te communiceren te versterken en een sterkere gemeenschappelijke Europese identiteit te ondersteunen; </w:t>
      </w:r>
    </w:p>
    <w:p>
      <w:pPr>
        <w:pStyle w:val="Normal"/>
        <w:rPr/>
      </w:pPr>
      <w:r>
        <w:rPr/>
        <w:t xml:space="preserve">● </w:t>
      </w:r>
      <w:r>
        <w:rPr/>
        <w:t xml:space="preserve">dit zou de arbeidsmarkt uitbreiden en flexibeler en toegankelijker maken, waardoor burgers het vertrouwen krijgen om te werken en te communiceren in alle andere lidstaten die meer persoonlijke en professionele perspectieven bieden. </w:t>
      </w:r>
    </w:p>
    <w:p>
      <w:pPr>
        <w:pStyle w:val="Normal"/>
        <w:rPr/>
      </w:pPr>
      <w:r>
        <w:rPr/>
        <w:t xml:space="preserve">● </w:t>
      </w:r>
      <w:r>
        <w:rPr/>
        <w:t xml:space="preserve">een dergelijke aanpak zou de verspreiding van een gemeenschappelijke Europese taal binnen zeer korte tijd mogelijk maken; </w:t>
      </w:r>
    </w:p>
    <w:p>
      <w:pPr>
        <w:pStyle w:val="Normal"/>
        <w:rPr/>
      </w:pPr>
      <w:r>
        <w:rPr/>
        <w:t xml:space="preserve">● </w:t>
      </w:r>
      <w:r>
        <w:rPr/>
        <w:t xml:space="preserve">het gebruik van een gemeenschappelijke taal versnelt de uitwisseling van informatie, wat ten goede zou komen aan samenwerking, gemeenschappelijke crisisrespons, humanitaire hulp en toenadering tussen Europa en de Europeanen. </w:t>
      </w:r>
    </w:p>
    <w:p>
      <w:pPr>
        <w:pStyle w:val="Normal"/>
        <w:rPr/>
      </w:pPr>
      <w:r>
        <w:rPr/>
      </w:r>
    </w:p>
    <w:p>
      <w:pPr>
        <w:pStyle w:val="Titre3"/>
        <w:numPr>
          <w:ilvl w:val="2"/>
          <w:numId w:val="2"/>
        </w:numPr>
        <w:rPr/>
      </w:pPr>
      <w:bookmarkStart w:id="123" w:name="__RefHeading___Toc297181_1346298689"/>
      <w:bookmarkEnd w:id="123"/>
      <w:r>
        <w:rPr/>
        <w:t xml:space="preserve">As 5 Een ethische en veilige digitale transformatie </w:t>
      </w:r>
    </w:p>
    <w:p>
      <w:pPr>
        <w:pStyle w:val="Normal"/>
        <w:rPr/>
      </w:pPr>
      <w:r>
        <w:rPr/>
        <w:t xml:space="preserve"> </w:t>
      </w:r>
    </w:p>
    <w:p>
      <w:pPr>
        <w:pStyle w:val="Titre4"/>
        <w:numPr>
          <w:ilvl w:val="3"/>
          <w:numId w:val="2"/>
        </w:numPr>
        <w:rPr/>
      </w:pPr>
      <w:bookmarkStart w:id="124" w:name="__RefHeading___Toc297183_1346298689"/>
      <w:bookmarkEnd w:id="124"/>
      <w:commentRangeStart w:id="3"/>
      <w:r>
        <w:rPr/>
        <w:t xml:space="preserve">Subas 5.1 Democratisering van digitale transformatie/subas 5.2 Cybersecurity </w:t>
      </w:r>
      <w:commentRangeEnd w:id="3"/>
      <w:r>
        <w:commentReference w:id="3"/>
      </w:r>
      <w:r>
        <w:rPr/>
      </w:r>
    </w:p>
    <w:p>
      <w:pPr>
        <w:pStyle w:val="Normal"/>
        <w:rPr/>
      </w:pPr>
      <w:r>
        <w:rPr/>
        <w:t xml:space="preserve"> </w:t>
      </w:r>
    </w:p>
    <w:p>
      <w:pPr>
        <w:pStyle w:val="P68B1DB1Normal15"/>
        <w:rPr>
          <w:b/>
          <w:b/>
        </w:rPr>
      </w:pPr>
      <w:r>
        <w:rPr/>
        <w:t xml:space="preserve">39. Wij raden de EU aan meer bevoegdheden te hebben om illegale inhoud en cybercriminaliteit te bestrijden. Wij raden aan de capaciteit van Europol/Europees Centrum voor cybercriminaliteit te versterken, waaronder: </w:t>
      </w:r>
    </w:p>
    <w:p>
      <w:pPr>
        <w:pStyle w:val="P68B1DB1Normal15"/>
        <w:rPr>
          <w:b/>
          <w:b/>
        </w:rPr>
      </w:pPr>
      <w:r>
        <w:rPr/>
        <w:t xml:space="preserve">● </w:t>
      </w:r>
      <w:r>
        <w:rPr/>
        <w:t xml:space="preserve">verhoging van de financiële middelen en personeel </w:t>
      </w:r>
    </w:p>
    <w:p>
      <w:pPr>
        <w:pStyle w:val="P68B1DB1Normal15"/>
        <w:rPr>
          <w:b/>
          <w:b/>
        </w:rPr>
      </w:pPr>
      <w:r>
        <w:rPr/>
        <w:t xml:space="preserve">● </w:t>
      </w:r>
      <w:r>
        <w:rPr/>
        <w:t xml:space="preserve">waarborgen van vergelijkbare sancties in elk land ● zorgen voor een snelle en effectieve controle van de wettigheid </w:t>
      </w:r>
    </w:p>
    <w:p>
      <w:pPr>
        <w:pStyle w:val="Normal"/>
        <w:rPr/>
      </w:pPr>
      <w:r>
        <w:rPr/>
        <w:t xml:space="preserve"> </w:t>
      </w:r>
    </w:p>
    <w:p>
      <w:pPr>
        <w:pStyle w:val="Normal"/>
        <w:rPr/>
      </w:pPr>
      <w:r>
        <w:rPr/>
        <w:t xml:space="preserve">We doen deze aanbeveling om de vrijheid op het internet te waarborgen en ervoor te zorgen dat discriminatie, misbruik en intimidatie worden bestraft. Wij steunen het idee van een Europees overheidsorgaan omdat we de regulering van onlineplatforms niet alleen aan particuliere bedrijven willen overlaten. Online platforms moeten de verantwoordelijkheid nemen voor gedistribueerde inhoud, maar we willen ervoor zorgen dat het niet hun belangen zijn die prevaleren. Inhoudsregulering en vervolging van daders moeten tijdig en doeltreffend zijn, zodat ze ook een afschrikkend effect hebben op kwaadwillende personen. </w:t>
      </w:r>
    </w:p>
    <w:p>
      <w:pPr>
        <w:pStyle w:val="Normal"/>
        <w:rPr/>
      </w:pPr>
      <w:r>
        <w:rPr/>
      </w:r>
    </w:p>
    <w:p>
      <w:pPr>
        <w:pStyle w:val="P68B1DB1Normal15"/>
        <w:rPr>
          <w:b/>
          <w:b/>
        </w:rPr>
      </w:pPr>
      <w:r>
        <w:rPr/>
        <w:t xml:space="preserve">40. Wij raden de EU aan om te investeren in innovatieve en hoogwaardige digitale infrastructuur (zoals 5G die in Europa wordt ontwikkeld) om de autonomie van Europa te waarborgen en afhankelijkheid van derde landen of particuliere ondernemingen te voorkomen. De EU moet ook bijzondere aandacht besteden aan investeringen in haar achterstandsregio’s. </w:t>
      </w:r>
    </w:p>
    <w:p>
      <w:pPr>
        <w:pStyle w:val="Normal"/>
        <w:rPr/>
      </w:pPr>
      <w:r>
        <w:rPr/>
        <w:t xml:space="preserve"> </w:t>
      </w:r>
    </w:p>
    <w:p>
      <w:pPr>
        <w:pStyle w:val="Normal"/>
        <w:rPr/>
      </w:pPr>
      <w:r>
        <w:rPr/>
        <w:t xml:space="preserve">We doen deze aanbeveling omdat digitale infrastructuur een sleutelrol speelt in de Europese economie en in het dagelijks leven van Europeanen, die zij faciliteren. Europa heeft daarom digitale infrastructuur van hoge kwaliteit nodig. Als het afhankelijk is van derden, kan Europa kwetsbaar zijn voor negatieve invloeden van particuliere bedrijven of andere landen. Europa moet daarom investeren in digitale infrastructuur om zijn autonomie te verbeteren. Het is ook belangrijk digitale inclusie te waarborgen door ervoor te zorgen dat minder digitaal ontwikkelde regio’s profiteren van investeringen. </w:t>
      </w:r>
    </w:p>
    <w:p>
      <w:pPr>
        <w:pStyle w:val="Normal"/>
        <w:rPr/>
      </w:pPr>
      <w:r>
        <w:rPr/>
      </w:r>
    </w:p>
    <w:p>
      <w:pPr>
        <w:pStyle w:val="P68B1DB1Normal15"/>
        <w:rPr>
          <w:b/>
          <w:b/>
        </w:rPr>
      </w:pPr>
      <w:r>
        <w:rPr/>
        <w:t xml:space="preserve">41. Wij raden de EU aan om op Europese scholen onderwijs over nepnieuws, desinformatie en onlinebeveiliging te bevorderen. Daarbij moet gebruik worden gemaakt van voorbeelden van goede praktijken uit de hele EU. De EU moet een organisatie oprichten die specifiek verantwoordelijk is voor het bevorderen van dit werk en het doen van aanbevelingen aan de onderwijsstelsels. Het moet ook niet-formeel onderwijs en innovatieve en creatieve onderwijstechnieken (bv. participatieve spelen) bevorderen. </w:t>
      </w:r>
    </w:p>
    <w:p>
      <w:pPr>
        <w:pStyle w:val="Normal"/>
        <w:rPr/>
      </w:pPr>
      <w:r>
        <w:rPr/>
      </w:r>
    </w:p>
    <w:p>
      <w:pPr>
        <w:pStyle w:val="Normal"/>
        <w:rPr/>
      </w:pPr>
      <w:r>
        <w:rPr/>
        <w:t xml:space="preserve">We doen deze aanbeveling omdat het introduceren van cursussen over online beveiliging en digitale beveiligingscultuur (het bestrijden van online oplichting, nepnieuws, enz.) op school belangrijk is om iedereen de tools te geven om zichzelf te beschermen tegen online bedreigingen. Het is belangrijk om zich te richten op jongeren die sterk worden blootgesteld aan dergelijke bedreigingen. Scholen kunnen ook communiceren met ouders om goede praktijken te bevorderen. Deze cursussen kunnen worden gebaseerd op voorbeelden van goede praktijken in Europa (bijvoorbeeld Finland), en passen zich aan de behoeften van elk land aan. </w:t>
      </w:r>
    </w:p>
    <w:p>
      <w:pPr>
        <w:pStyle w:val="Normal"/>
        <w:rPr/>
      </w:pPr>
      <w:r>
        <w:rPr/>
        <w:t xml:space="preserve"> </w:t>
      </w:r>
    </w:p>
    <w:p>
      <w:pPr>
        <w:pStyle w:val="Titre4"/>
        <w:numPr>
          <w:ilvl w:val="3"/>
          <w:numId w:val="2"/>
        </w:numPr>
        <w:rPr/>
      </w:pPr>
      <w:bookmarkStart w:id="125" w:name="__RefHeading___Toc297185_1346298689"/>
      <w:bookmarkEnd w:id="125"/>
      <w:r>
        <w:rPr/>
        <w:t xml:space="preserve">Subas 5.3 Gegevensbescherming </w:t>
      </w:r>
    </w:p>
    <w:p>
      <w:pPr>
        <w:pStyle w:val="Normal"/>
        <w:rPr/>
      </w:pPr>
      <w:r>
        <w:rPr/>
        <w:t xml:space="preserve"> </w:t>
      </w:r>
    </w:p>
    <w:p>
      <w:pPr>
        <w:pStyle w:val="P68B1DB1Normal15"/>
        <w:rPr>
          <w:b/>
          <w:b/>
        </w:rPr>
      </w:pPr>
      <w:r>
        <w:rPr/>
        <w:t xml:space="preserve">42. We raden aan het misbruik van gegevens door „datagiganten” verder te beperken door de naleving van de AVG (algemene verordening gegevensbescherming) te verbeteren, meer gestandaardiseerde mechanismen in de hele EU te creëren en ervoor te zorgen dat zelfs niet-Europese bedrijven die in de EU actief zijn, aan deze verordening voldoen. Deze verbetering moet voorzien in een duidelijke en beknopte uitleg van de gebruiksvoorwaarden van de gegevens om dubbelzinnigheid te voorkomen en aanvullende informatie te verstrekken over hoe de gegevens zullen worden gebruikt en door wie, en om te voorkomen dat toestemming voor het hergebruik en doorverkoop van de gegevens de standaardoptie is. Het moet ervoor zorgen dat gegevens permanent worden gewist op verzoek van een burger. Het moet ook de samenhang verbeteren van het toezicht op de naleving van de regels met betrekking tot de profilering van personen op basis van hun onlineactiviteiten. Wij stellen twee soorten sancties voor: een boete die evenredig is aan de omzet van de onderneming en de beperkingen van de activiteiten van de onderneming. </w:t>
      </w:r>
    </w:p>
    <w:p>
      <w:pPr>
        <w:pStyle w:val="Normal"/>
        <w:rPr/>
      </w:pPr>
      <w:r>
        <w:rPr/>
        <w:t xml:space="preserve"> </w:t>
      </w:r>
    </w:p>
    <w:p>
      <w:pPr>
        <w:pStyle w:val="Normal"/>
        <w:rPr/>
      </w:pPr>
      <w:r>
        <w:rPr/>
        <w:t xml:space="preserve">We doen deze aanbeveling omdat transparantie momenteel zeer beperkt is met betrekking tot het soort verzamelde gegevens, hoe deze wordt verwerkt en de identiteit van degenen aan wie ze worden verkocht. We moeten machtsmisbruik door datagiganten verder beperken en ervoor zorgen dat burgers bewust instemmen met de verwerking van hun gegevens. </w:t>
      </w:r>
    </w:p>
    <w:p>
      <w:pPr>
        <w:pStyle w:val="Normal"/>
        <w:rPr/>
      </w:pPr>
      <w:r>
        <w:rPr/>
        <w:t xml:space="preserve"> </w:t>
      </w:r>
    </w:p>
    <w:p>
      <w:pPr>
        <w:pStyle w:val="P68B1DB1Normal15"/>
        <w:rPr>
          <w:b/>
          <w:b/>
        </w:rPr>
      </w:pPr>
      <w:r>
        <w:rPr/>
        <w:t xml:space="preserve">43. Wij raden aan een onafhankelijk pan-Europees agentschap op te richten dat opdringerig gedrag duidelijk moet definiëren (bijv. spam) en richtsnoeren moet opstellen over de manier waarop burgers zich kunnen verzetten tegen de verwerking van hun gegevens en hun verwijdering kunnen verkrijgen, met name van derden. Dit agentschap moet het mandaat hebben om fraudeurs en organisaties die zich niet aan de regels houden, te identificeren en te bestraffen. Het moet gericht zijn op het waarborgen van de naleving van de EU-regels door entiteiten die buiten de EU zijn gevestigd maar daar actief zijn. Het zou worden gefinancierd door de EU-instellingen en zou bestaan uit een gezamenlijke raad van onafhankelijke organen (d.w.z. deskundigen uit de academische wereld en entiteiten die beroepsbeoefenaren vertegenwoordigen). Het moet een roterend praesidium hebben. Wij stellen twee soorten sancties voor: een geldboete in verhouding tot de omzet van de ondernemingen en de beperkingen van de activiteiten van de ondernemingen. </w:t>
      </w:r>
    </w:p>
    <w:p>
      <w:pPr>
        <w:pStyle w:val="Normal"/>
        <w:rPr/>
      </w:pPr>
      <w:r>
        <w:rPr/>
      </w:r>
    </w:p>
    <w:p>
      <w:pPr>
        <w:pStyle w:val="Normal"/>
        <w:rPr/>
      </w:pPr>
      <w:r>
        <w:rPr/>
        <w:t xml:space="preserve">We doen deze aanbeveling omdat er geen centraal agentschap is met een sterk mandaat dat burgers kan helpen, vooral wanneer ze een probleem hebben en hulp, advies of ondersteuning nodig hebben. Er zijn geen duidelijke en bindende regels die bedrijven moeten volgen. Sancties worden niet toegepast of hebben een verwaarloosbare impact op bedrijven. </w:t>
      </w:r>
    </w:p>
    <w:p>
      <w:pPr>
        <w:pStyle w:val="Normal"/>
        <w:rPr/>
      </w:pPr>
      <w:r>
        <w:rPr/>
        <w:t xml:space="preserve"> </w:t>
      </w:r>
    </w:p>
    <w:p>
      <w:pPr>
        <w:pStyle w:val="P68B1DB1Normal15"/>
        <w:rPr>
          <w:b/>
          <w:b/>
        </w:rPr>
      </w:pPr>
      <w:r>
        <w:rPr/>
        <w:t xml:space="preserve">44. Wij raden aan een EU-certificeringssysteem op te zetten dat de naleving van de AVG (algemene verordening gegevensbescherming) op transparante wijze aantoont en dat ervoor zorgt dat gegevensbeschermingsinformatie op een toegankelijke, duidelijke en eenvoudige manier wordt gepresenteerd. Dit certificaat is verplicht en zichtbaar op websites en platforms. Het moet worden afgegeven door een onafhankelijke certificerende instantie op Europees niveau, bestaande of daartoe opgericht, die geen banden zou hebben met nationale regeringen of de particuliere sector. </w:t>
      </w:r>
    </w:p>
    <w:p>
      <w:pPr>
        <w:pStyle w:val="Normal"/>
        <w:rPr/>
      </w:pPr>
      <w:r>
        <w:rPr/>
        <w:t xml:space="preserve"> </w:t>
      </w:r>
    </w:p>
    <w:p>
      <w:pPr>
        <w:pStyle w:val="Normal"/>
        <w:rPr/>
      </w:pPr>
      <w:r>
        <w:rPr/>
        <w:t xml:space="preserve">We doen deze aanbeveling omdat er momenteel weinig of geen transparantie is over hoe gegevens door elk bedrijf worden beschermd en gebruikers/klanten geen weloverwogen keuzes kunnen maken. </w:t>
      </w:r>
    </w:p>
    <w:p>
      <w:pPr>
        <w:pStyle w:val="Normal"/>
        <w:rPr/>
      </w:pPr>
      <w:r>
        <w:rPr/>
      </w:r>
    </w:p>
    <w:p>
      <w:pPr>
        <w:pStyle w:val="P68B1DB1Normal15"/>
        <w:rPr>
          <w:b/>
          <w:b/>
        </w:rPr>
      </w:pPr>
      <w:r>
        <w:rPr/>
        <w:t xml:space="preserve">45. We raden aan de AVG (Algemene Verordening Gegevensbescherming) beter uit te leggen en de communicatie erover te verbeteren door een standaardtekst over compliance te creëren die eenvoudige en duidelijke taal gebruikt, begrijpelijk voor iedereen. Deze tekst moet een belangrijke boodschap en/of fundamentele beginselen bevatten. De toestemmingsprocedure moet visueeler zijn (bv. een verzoek om uitdrukkelijke toestemming voor telefonische toegang door een aanvraag). Het moet vergezeld gaan van een voorlichtingscampagne (met inbegrip van televisie) en, systematisch, verplichte cursussen (ten minste voor degenen die met gegevens werken) en advies over de intentie van degenen die hulp nodig hebben. </w:t>
      </w:r>
    </w:p>
    <w:p>
      <w:pPr>
        <w:pStyle w:val="Normal"/>
        <w:rPr/>
      </w:pPr>
      <w:r>
        <w:rPr/>
        <w:t xml:space="preserve"> </w:t>
      </w:r>
    </w:p>
    <w:p>
      <w:pPr>
        <w:pStyle w:val="Normal"/>
        <w:rPr/>
      </w:pPr>
      <w:r>
        <w:rPr/>
        <w:t xml:space="preserve">We doen deze aanbeveling omdat de formulering van de AVG momenteel te vaag en te technisch is en de hoeveelheid informatie overweldigend is en niet voor iedereen toegankelijk is. Communicatie is ook niet vergelijkbaar in alle landen en sluit vaak verschillende groepen uit, voornamelijk ouderen en mensen die zijn geboren voordat ze digitaal zijn. </w:t>
      </w:r>
    </w:p>
    <w:p>
      <w:pPr>
        <w:pStyle w:val="Normal"/>
        <w:rPr/>
      </w:pPr>
      <w:r>
        <w:rPr/>
      </w:r>
    </w:p>
    <w:p>
      <w:pPr>
        <w:pStyle w:val="Titre4"/>
        <w:numPr>
          <w:ilvl w:val="3"/>
          <w:numId w:val="2"/>
        </w:numPr>
        <w:rPr/>
      </w:pPr>
      <w:bookmarkStart w:id="126" w:name="__RefHeading___Toc297187_1346298689"/>
      <w:bookmarkEnd w:id="126"/>
      <w:r>
        <w:rPr/>
        <w:t xml:space="preserve">Subas 5.4 Digitale transformatie en gezondheid </w:t>
      </w:r>
    </w:p>
    <w:p>
      <w:pPr>
        <w:pStyle w:val="Normal"/>
        <w:rPr/>
      </w:pPr>
      <w:r>
        <w:rPr/>
        <w:t xml:space="preserve"> </w:t>
      </w:r>
    </w:p>
    <w:p>
      <w:pPr>
        <w:pStyle w:val="P68B1DB1Normal15"/>
        <w:rPr>
          <w:b/>
          <w:b/>
        </w:rPr>
      </w:pPr>
      <w:r>
        <w:rPr/>
        <w:t xml:space="preserve">46. Wij raden de EU aan om het probleem van „valse informatie” op twee manieren aan te pakken: </w:t>
      </w:r>
    </w:p>
    <w:p>
      <w:pPr>
        <w:pStyle w:val="P68B1DB1Normal15"/>
        <w:rPr>
          <w:b/>
          <w:b/>
        </w:rPr>
      </w:pPr>
      <w:r>
        <w:rPr/>
        <w:t xml:space="preserve">● </w:t>
      </w:r>
      <w:r>
        <w:rPr/>
        <w:t xml:space="preserve">wetgeving die socialemediabedrijven in staat stelt om algoritmen voor machine learning te implementeren die de betrouwbaarheid van informatie op sociale media en nieuwe media kunnen benadrukken, waardoor de gebruiker geverifieerde informatiebronnen krijgt. Wij adviseren algoritmen te controleren door deskundigen om hun goede werking te waarborgen; </w:t>
      </w:r>
    </w:p>
    <w:p>
      <w:pPr>
        <w:pStyle w:val="P68B1DB1Normal15"/>
        <w:rPr>
          <w:b/>
          <w:b/>
        </w:rPr>
      </w:pPr>
      <w:r>
        <w:rPr/>
        <w:t xml:space="preserve">● </w:t>
      </w:r>
      <w:r>
        <w:rPr/>
        <w:t xml:space="preserve">de oprichting van een digitaal platform om een score toe te kennen aan informatie van traditionele media (bv. televisie, gedrukte radio) ongeacht politieke en economische belangen, en dat burgers informeert over de kwaliteit van informatie zonder enige vorm van censuur toe te passen. Dit platform moet worden onderworpen aan openbaar toezicht en aan de hoogste transparantienormen voldoen, en de EU moet ervoor zorgen dat de aan het platform toegewezen middelen voor het beoogde doel worden gebruikt. </w:t>
      </w:r>
    </w:p>
    <w:p>
      <w:pPr>
        <w:pStyle w:val="Normal"/>
        <w:rPr/>
      </w:pPr>
      <w:r>
        <w:rPr/>
        <w:t xml:space="preserve"> </w:t>
      </w:r>
    </w:p>
    <w:p>
      <w:pPr>
        <w:pStyle w:val="Normal"/>
        <w:rPr/>
      </w:pPr>
      <w:r>
        <w:rPr/>
        <w:t xml:space="preserve">We doen deze aanbeveling omdat verschillende soorten media zich zorgen maken en we geloven dat sancties of verwijdering van inhoud kunnen leiden tot censuur en de vrijheid van meningsuiting en persvrijheid kunnen ondermijnen. We raden experts aan om de goede werking van het algoritme te controleren en te controleren om ervoor te zorgen dat het goed werkt. Tot slot raden wij aan dat het platform apolitiek en onafhankelijk is om transparantie en vrijheid van meningsuiting te waarborgen. Aangezien het onmogelijk is om volledig van valse informatie af te komen, zal het beschikbaar stellen van deze instrumenten aan de burgers bijdragen tot het verminderen van hun effecten in Europa. </w:t>
      </w:r>
    </w:p>
    <w:p>
      <w:pPr>
        <w:pStyle w:val="Normal"/>
        <w:rPr/>
      </w:pPr>
      <w:r>
        <w:rPr/>
        <w:t xml:space="preserve"> </w:t>
      </w:r>
    </w:p>
    <w:p>
      <w:pPr>
        <w:pStyle w:val="P68B1DB1Normal15"/>
        <w:rPr>
          <w:b/>
          <w:b/>
        </w:rPr>
      </w:pPr>
      <w:r>
        <w:rPr/>
        <w:t xml:space="preserve">47. Wij raden de EU aan om verschillende maatregelen te nemen om een gezond gebruik van het internet te waarborgen: </w:t>
      </w:r>
    </w:p>
    <w:p>
      <w:pPr>
        <w:pStyle w:val="P68B1DB1Normal15"/>
        <w:rPr>
          <w:b/>
          <w:b/>
        </w:rPr>
      </w:pPr>
      <w:r>
        <w:rPr/>
        <w:t xml:space="preserve">● </w:t>
      </w:r>
      <w:r>
        <w:rPr/>
        <w:t xml:space="preserve">In de eerste plaats moet de EU het gebrek aan infrastructuur en uitrusting aanpakken waardoor burgers geen toegang hebben tot internet; </w:t>
      </w:r>
    </w:p>
    <w:p>
      <w:pPr>
        <w:pStyle w:val="P68B1DB1Normal15"/>
        <w:rPr>
          <w:b/>
          <w:b/>
        </w:rPr>
      </w:pPr>
      <w:r>
        <w:rPr/>
        <w:t xml:space="preserve">● </w:t>
      </w:r>
      <w:r>
        <w:rPr/>
        <w:t xml:space="preserve">Vervolgens raden wij de EU aan de lidstaten aan te moedigen opleidingen op het internet en de risico’s daarvan voor alle leeftijdsgroepen in te zetten. Dit kan worden gedaan door de invoering van cursussen in scholen voor kinderen en jongeren en het creëren van verschillende curricula en curricula om volwassen en oudere burgers te bereiken. De inhoud van deze cursussen moet op Europees niveau worden bepaald door een groep onafhankelijke deskundigen. </w:t>
      </w:r>
    </w:p>
    <w:p>
      <w:pPr>
        <w:pStyle w:val="P68B1DB1Normal15"/>
        <w:rPr>
          <w:b/>
          <w:b/>
        </w:rPr>
      </w:pPr>
      <w:r>
        <w:rPr/>
        <w:t xml:space="preserve">● </w:t>
      </w:r>
      <w:r>
        <w:rPr/>
        <w:t xml:space="preserve">Tot slot roepen wij de EU op alle nodige maatregelen te nemen om ervoor te zorgen dat de digitalisering van de samenleving ouderen niet uitsluit en ervoor te zorgen dat essentiële diensten ook persoonlijk toegankelijk zijn. </w:t>
      </w:r>
    </w:p>
    <w:p>
      <w:pPr>
        <w:pStyle w:val="Normal"/>
        <w:rPr/>
      </w:pPr>
      <w:r>
        <w:rPr/>
      </w:r>
    </w:p>
    <w:p>
      <w:pPr>
        <w:pStyle w:val="P68B1DB1Normal15"/>
        <w:rPr>
          <w:b/>
          <w:b/>
        </w:rPr>
      </w:pPr>
      <w:r>
        <w:rPr/>
        <w:t xml:space="preserve">● </w:t>
      </w:r>
      <w:r>
        <w:rPr/>
        <w:t xml:space="preserve">De EU moet ervoor zorgen dat specifiek aan deze activiteiten toegewezen middelen voor het beoogde doel worden gebruikt. </w:t>
      </w:r>
    </w:p>
    <w:p>
      <w:pPr>
        <w:pStyle w:val="Normal"/>
        <w:rPr/>
      </w:pPr>
      <w:r>
        <w:rPr/>
        <w:t xml:space="preserve"> </w:t>
      </w:r>
    </w:p>
    <w:p>
      <w:pPr>
        <w:pStyle w:val="Normal"/>
        <w:rPr/>
      </w:pPr>
      <w:r>
        <w:rPr/>
        <w:t xml:space="preserve">We doen deze aanbeveling, vanwege het gebrek aan infrastructuur en apparatuur (bijvoorbeeld apparaten) in sommige plaatsen in Europa en de noodzaak om de verbinding te waarborgen voordat de burgers worden opgeleid, aangezien we weten dat de internettoegang in sommige regio’s en voor bepaalde profielen beperkt is. We raden aan cursussen te organiseren om kinderen te helpen digitale vaardigheden te verwerven, aanvullende programma’s te bieden om ouderen te helpen digitaliseren en de nodige maatregelen te nemen om ervoor te zorgen dat digitale transformatie de rechten van ouderen niet ondermijnt. </w:t>
      </w:r>
    </w:p>
    <w:p>
      <w:pPr>
        <w:pStyle w:val="Normal"/>
        <w:rPr/>
      </w:pPr>
      <w:r>
        <w:rPr/>
      </w:r>
    </w:p>
    <w:p>
      <w:pPr>
        <w:pStyle w:val="P68B1DB1Normal15"/>
        <w:rPr>
          <w:b/>
          <w:b/>
        </w:rPr>
      </w:pPr>
      <w:r>
        <w:rPr/>
        <w:t xml:space="preserve">48. Wij raden de EU aan het onderwijs van burgers in elke lidstaat te bevorderen om kritisch denken, scepticisme en factchecking te versterken en hen te leren onafhankelijk te beoordelen of informatie betrouwbaar is of niet. Dit onderwijs moet de organisatie van specifieke cursussen op het niveau van het basisonderwijs omvatten en moet in andere openbare ruimten worden aangeboden aan burgers van alle leeftijden die ervan willen profiteren. De EU moet ervoor zorgen dat specifiek aan deze activiteiten toegewezen middelen voor het beoogde doel worden gebruikt. </w:t>
      </w:r>
    </w:p>
    <w:p>
      <w:pPr>
        <w:pStyle w:val="Normal"/>
        <w:rPr/>
      </w:pPr>
      <w:r>
        <w:rPr/>
        <w:t xml:space="preserve"> </w:t>
      </w:r>
    </w:p>
    <w:p>
      <w:pPr>
        <w:pStyle w:val="Normal"/>
        <w:rPr/>
      </w:pPr>
      <w:r>
        <w:rPr/>
        <w:t xml:space="preserve">We doen deze aanbeveling omdat we denken dat het onmogelijk is om volledig van valse informatie af te komen. Deze opleiding zal de burgers helpen hen voor zichzelf te herkennen. Als gevolg hiervan zullen de effecten van valse informatie op de samenleving en op de burgers zelf worden verminderd. Het zou de burgers ook meer mogelijkheden bieden om actie te ondernemen, in plaats van te vertrouwen op instellingen om betrouwbare informatie te verkrijgen. </w:t>
      </w:r>
    </w:p>
    <w:p>
      <w:pPr>
        <w:pStyle w:val="Normal"/>
        <w:rPr/>
      </w:pPr>
      <w:r>
        <w:rPr/>
        <w:t xml:space="preserve"> </w:t>
      </w:r>
    </w:p>
    <w:p>
      <w:pPr>
        <w:pStyle w:val="Titre3"/>
        <w:numPr>
          <w:ilvl w:val="2"/>
          <w:numId w:val="2"/>
        </w:numPr>
        <w:rPr/>
      </w:pPr>
      <w:bookmarkStart w:id="127" w:name="__RefHeading___Toc297189_1346298689"/>
      <w:bookmarkEnd w:id="127"/>
      <w:r>
        <w:rPr/>
        <w:t xml:space="preserve">Bijlage: ANDERE AANBEVELINGEN VAN HET PANEL DIE NIET ZIJN AANGENOMEN </w:t>
      </w:r>
    </w:p>
    <w:p>
      <w:pPr>
        <w:pStyle w:val="Normal"/>
        <w:rPr/>
      </w:pPr>
      <w:r>
        <w:rPr/>
        <w:t xml:space="preserve"> </w:t>
      </w:r>
    </w:p>
    <w:p>
      <w:pPr>
        <w:pStyle w:val="Titre4"/>
        <w:numPr>
          <w:ilvl w:val="3"/>
          <w:numId w:val="2"/>
        </w:numPr>
        <w:rPr/>
      </w:pPr>
      <w:bookmarkStart w:id="128" w:name="__RefHeading___Toc297191_1346298689"/>
      <w:bookmarkEnd w:id="128"/>
      <w:r>
        <w:rPr/>
        <w:t xml:space="preserve">As 3 Een rechtvaardige samenleving </w:t>
      </w:r>
    </w:p>
    <w:p>
      <w:pPr>
        <w:pStyle w:val="Normal"/>
        <w:rPr/>
      </w:pPr>
      <w:r>
        <w:rPr/>
        <w:t xml:space="preserve"> </w:t>
      </w:r>
    </w:p>
    <w:p>
      <w:pPr>
        <w:pStyle w:val="Normal"/>
        <w:rPr/>
      </w:pPr>
      <w:r>
        <w:rPr/>
        <w:t xml:space="preserve">Subas 3.2 Gelijkheid van rechten </w:t>
      </w:r>
    </w:p>
    <w:p>
      <w:pPr>
        <w:pStyle w:val="Normal"/>
        <w:rPr/>
      </w:pPr>
      <w:r>
        <w:rPr/>
        <w:t xml:space="preserve"> </w:t>
      </w:r>
    </w:p>
    <w:p>
      <w:pPr>
        <w:pStyle w:val="P68B1DB1Normal15"/>
        <w:rPr>
          <w:b/>
          <w:b/>
        </w:rPr>
      </w:pPr>
      <w:r>
        <w:rPr/>
        <w:t xml:space="preserve">Wij raden de EU aan een mechanisme op te zetten om de rechten van minderheden te monitoren en te eerbiedigen (bv. een portaal of kantoor waar mensen klachten kunnen indienen). </w:t>
      </w:r>
    </w:p>
    <w:p>
      <w:pPr>
        <w:pStyle w:val="Normal"/>
        <w:rPr/>
      </w:pPr>
      <w:r>
        <w:rPr/>
        <w:t xml:space="preserve"> </w:t>
      </w:r>
    </w:p>
    <w:p>
      <w:pPr>
        <w:pStyle w:val="Normal"/>
        <w:rPr/>
      </w:pPr>
      <w:r>
        <w:rPr/>
        <w:t xml:space="preserve">We doen deze aanbeveling omdat we geloven dat elk individu zijn of haar mening kan uiten en het recht heeft om hulp te zoeken en te ontvangen. Een dergelijk kantoor is noodzakelijk om de spanningen tussen minderheden en de meerderheid te verminderen. </w:t>
      </w:r>
    </w:p>
    <w:p>
      <w:pPr>
        <w:pStyle w:val="Normal"/>
        <w:rPr/>
      </w:pPr>
      <w:r>
        <w:rPr/>
      </w:r>
    </w:p>
    <w:p>
      <w:pPr>
        <w:pStyle w:val="Normal"/>
        <w:rPr/>
      </w:pPr>
      <w:r>
        <w:rPr/>
        <w:t xml:space="preserve">Subas 3.3 Eigendom/subas 3.4 Toegang tot sport </w:t>
      </w:r>
    </w:p>
    <w:p>
      <w:pPr>
        <w:pStyle w:val="Normal"/>
        <w:rPr/>
      </w:pPr>
      <w:r>
        <w:rPr/>
        <w:t xml:space="preserve"> </w:t>
      </w:r>
    </w:p>
    <w:p>
      <w:pPr>
        <w:pStyle w:val="P68B1DB1Normal15"/>
        <w:rPr>
          <w:b/>
          <w:b/>
        </w:rPr>
      </w:pPr>
      <w:r>
        <w:rPr/>
        <w:t xml:space="preserve">Wij raden de EU aan om het bewustzijn van lichaamsbeweging te vergroten door middel van „rolmodellering”, waarbij publieke figuren worden betrokken (zo zouden de door het Parlement georganiseerde evenementen een vorm van fysieke activiteit of beweging moeten omvatten, gedurende enkele seconden, zoals stretchen, lopen of springen). </w:t>
      </w:r>
    </w:p>
    <w:p>
      <w:pPr>
        <w:pStyle w:val="Normal"/>
        <w:rPr/>
      </w:pPr>
      <w:r>
        <w:rPr/>
        <w:t xml:space="preserve"> </w:t>
      </w:r>
    </w:p>
    <w:p>
      <w:pPr>
        <w:pStyle w:val="Normal"/>
        <w:rPr/>
      </w:pPr>
      <w:r>
        <w:rPr/>
        <w:t xml:space="preserve">We doen deze aanbeveling omdat de mobilisatie van publieke figuren voor lichaamsbeweging het bewustzijn van het publiek zal vergroten. </w:t>
      </w:r>
    </w:p>
    <w:p>
      <w:pPr>
        <w:pStyle w:val="Normal"/>
        <w:rPr/>
      </w:pPr>
      <w:r>
        <w:rPr/>
      </w:r>
    </w:p>
    <w:p>
      <w:pPr>
        <w:pStyle w:val="Titre4"/>
        <w:numPr>
          <w:ilvl w:val="3"/>
          <w:numId w:val="2"/>
        </w:numPr>
        <w:rPr/>
      </w:pPr>
      <w:bookmarkStart w:id="129" w:name="__RefHeading___Toc297193_1346298689"/>
      <w:bookmarkEnd w:id="129"/>
      <w:r>
        <w:rPr/>
        <w:t xml:space="preserve">As 5 Een ethische en veilige digitale transformatie </w:t>
      </w:r>
    </w:p>
    <w:p>
      <w:pPr>
        <w:pStyle w:val="Normal"/>
        <w:rPr/>
      </w:pPr>
      <w:r>
        <w:rPr/>
        <w:t xml:space="preserve"> </w:t>
      </w:r>
    </w:p>
    <w:p>
      <w:pPr>
        <w:pStyle w:val="Normal"/>
        <w:rPr/>
      </w:pPr>
      <w:r>
        <w:rPr/>
        <w:t xml:space="preserve">Subas 5.3 Gegevensbescherming </w:t>
      </w:r>
    </w:p>
    <w:p>
      <w:pPr>
        <w:pStyle w:val="Normal"/>
        <w:rPr/>
      </w:pPr>
      <w:r>
        <w:rPr/>
        <w:t xml:space="preserve"> </w:t>
      </w:r>
    </w:p>
    <w:p>
      <w:pPr>
        <w:pStyle w:val="P68B1DB1Normal15"/>
        <w:rPr>
          <w:b/>
          <w:b/>
        </w:rPr>
      </w:pPr>
      <w:r>
        <w:rPr/>
        <w:t xml:space="preserve">We raden aan om een web-ID aan te maken die persoonlijke en gevoelige gegevens zal opslaan, maar deze alleen beschikbaar zal stellen aan de autoriteiten en de politie. Onlineplatforms en verkopers gebruiken de aan die webidentificator gekoppelde online code en de gegevens die nodig zijn voor een bepaalde activiteit. De standaardinstelling voor het delen van gegevens met behulp van deze identificatiecode moet niet-toestemming zijn. De gegevens mogen alleen worden meegedeeld aan de rechtstreeks betrokken partijen en niet aan een derde partij. Als de gegevens aan een derde worden meegedeeld, moet een burger er gemakkelijk bezwaar tegen kunnen maken De gegevens mogen slechts voor een beperkte periode of voor een specifieke transactie beschikbaar zijn. De toestemming om de gegevens te gebruiken moet in de tijd worden beperkt of duidelijk definiëren wat bedrijven met deze gegevens kunnen doen. </w:t>
      </w:r>
    </w:p>
    <w:p>
      <w:pPr>
        <w:pStyle w:val="Normal"/>
        <w:rPr/>
      </w:pPr>
      <w:r>
        <w:rPr/>
        <w:t xml:space="preserve"> </w:t>
      </w:r>
    </w:p>
    <w:p>
      <w:pPr>
        <w:pStyle w:val="Normal"/>
        <w:rPr/>
      </w:pPr>
      <w:r>
        <w:rPr/>
        <w:t xml:space="preserve">We doen deze aanbeveling omdat bedrijven op dit moment alle gegevens kunnen verzamelen, inclusief persoonsgegevens en gevoelige gegevens, en deze voor vele doeleinden kunnen gebruiken zonder precies te onthullen hoe en waarom. Zo krijgen exploitanten meer informatie dan ze eigenlijk nodig hebben om ons diensten te leveren en kunnen ze dan andere gegevens doorverkopen of hergebruiken zonder onze toestemming. Tegelijkertijd zorgt dit voor de verantwoordingsplicht van internetgebruikers met behoud van hun relatieve anonimiteit. </w:t>
      </w:r>
      <w:r>
        <w:br w:type="page"/>
      </w:r>
    </w:p>
    <w:p>
      <w:pPr>
        <w:pStyle w:val="Titre2"/>
        <w:numPr>
          <w:ilvl w:val="1"/>
          <w:numId w:val="2"/>
        </w:numPr>
        <w:rPr/>
      </w:pPr>
      <w:bookmarkStart w:id="130" w:name="__RefHeading___Toc297195_1346298689"/>
      <w:bookmarkEnd w:id="130"/>
      <w:r>
        <w:rPr/>
        <w:t xml:space="preserve">Europees burgerpanel 2: „Europese democratie; waarden en rechten, rechtsstaat, veiligheid </w:t>
      </w:r>
    </w:p>
    <w:p>
      <w:pPr>
        <w:pStyle w:val="Normal"/>
        <w:rPr/>
      </w:pPr>
      <w:r>
        <w:rPr/>
      </w:r>
    </w:p>
    <w:p>
      <w:pPr>
        <w:pStyle w:val="Normal"/>
        <w:rPr/>
      </w:pPr>
      <w:r>
        <w:rPr/>
        <w:t xml:space="preserve">AANBEVELINGEN VAN HET PANEL (VOOR TE LEGGEN AAN DE PLENAIRE VERGADERING) </w:t>
      </w:r>
    </w:p>
    <w:p>
      <w:pPr>
        <w:pStyle w:val="Normal"/>
        <w:rPr/>
      </w:pPr>
      <w:r>
        <w:rPr/>
        <w:t xml:space="preserve"> </w:t>
      </w:r>
    </w:p>
    <w:p>
      <w:pPr>
        <w:pStyle w:val="Titre3"/>
        <w:numPr>
          <w:ilvl w:val="2"/>
          <w:numId w:val="2"/>
        </w:numPr>
        <w:rPr/>
      </w:pPr>
      <w:bookmarkStart w:id="131" w:name="__RefHeading___Toc297197_1346298689"/>
      <w:bookmarkEnd w:id="131"/>
      <w:r>
        <w:rPr/>
        <w:t xml:space="preserve">As 1: Waarborgen van rechten en non-discriminatie </w:t>
      </w:r>
    </w:p>
    <w:p>
      <w:pPr>
        <w:pStyle w:val="Normal"/>
        <w:rPr/>
      </w:pPr>
      <w:r>
        <w:rPr/>
        <w:t xml:space="preserve"> </w:t>
      </w:r>
    </w:p>
    <w:p>
      <w:pPr>
        <w:pStyle w:val="Titre4"/>
        <w:numPr>
          <w:ilvl w:val="3"/>
          <w:numId w:val="2"/>
        </w:numPr>
        <w:rPr/>
      </w:pPr>
      <w:bookmarkStart w:id="132" w:name="__RefHeading___Toc297199_1346298689"/>
      <w:bookmarkEnd w:id="132"/>
      <w:r>
        <w:rPr/>
        <w:t xml:space="preserve">Subas 1.1 Non-discriminatie/subas 1.2 Gendergelijkheid </w:t>
      </w:r>
    </w:p>
    <w:p>
      <w:pPr>
        <w:pStyle w:val="Normal"/>
        <w:rPr/>
      </w:pPr>
      <w:r>
        <w:rPr/>
        <w:t xml:space="preserve"> </w:t>
      </w:r>
    </w:p>
    <w:p>
      <w:pPr>
        <w:pStyle w:val="P68B1DB1Normal15"/>
        <w:rPr>
          <w:b/>
          <w:b/>
        </w:rPr>
      </w:pPr>
      <w:r>
        <w:rPr/>
        <w:t xml:space="preserve">1. „Wij bevelen de EU aan criteria op te nemen ter bestrijding van discriminatie op de arbeidsmarkt (quota voor jongeren, ouderen, vrouwen, minderheden). Als bedrijven aan deze criteria voldoen, ontvangen zij subsidies of belastingvoordelen.” </w:t>
      </w:r>
    </w:p>
    <w:p>
      <w:pPr>
        <w:pStyle w:val="P68B1DB1Normal15"/>
        <w:rPr>
          <w:b/>
          <w:b/>
        </w:rPr>
      </w:pPr>
      <w:r>
        <w:rPr/>
        <w:t xml:space="preserve">We raden aan om medewerkers bewust te maken van de volgende kwesties: </w:t>
      </w:r>
    </w:p>
    <w:p>
      <w:pPr>
        <w:pStyle w:val="P68B1DB1Normal15"/>
        <w:rPr>
          <w:b/>
          <w:b/>
        </w:rPr>
      </w:pPr>
      <w:r>
        <w:rPr/>
        <w:t xml:space="preserve">● </w:t>
      </w:r>
      <w:r>
        <w:rPr/>
        <w:t xml:space="preserve">supranationale en nationale instellingen (bv. vakbonden); </w:t>
      </w:r>
    </w:p>
    <w:p>
      <w:pPr>
        <w:pStyle w:val="P68B1DB1Normal15"/>
        <w:rPr>
          <w:b/>
          <w:b/>
        </w:rPr>
      </w:pPr>
      <w:r>
        <w:rPr/>
        <w:t xml:space="preserve">● </w:t>
      </w:r>
      <w:r>
        <w:rPr/>
        <w:t xml:space="preserve">mechanismen om ervoor te zorgen dat bedrijven de bestaande regels inzake non-discriminatie op de werkplek naleven; </w:t>
      </w:r>
    </w:p>
    <w:p>
      <w:pPr>
        <w:pStyle w:val="P68B1DB1Normal15"/>
        <w:rPr>
          <w:b/>
          <w:b/>
        </w:rPr>
      </w:pPr>
      <w:r>
        <w:rPr/>
        <w:t xml:space="preserve">● </w:t>
      </w:r>
      <w:r>
        <w:rPr/>
        <w:t xml:space="preserve">kwalificatieprogramma’s voor sociale groepen die op de arbeidsmarkt worden gediscrimineerd (jongeren, ouderen, vrouwen, minderheden). </w:t>
      </w:r>
    </w:p>
    <w:p>
      <w:pPr>
        <w:pStyle w:val="Normal"/>
        <w:rPr/>
      </w:pPr>
      <w:r>
        <w:rPr/>
        <w:t xml:space="preserve"> </w:t>
      </w:r>
    </w:p>
    <w:p>
      <w:pPr>
        <w:pStyle w:val="P68B1DB1Normal15"/>
        <w:rPr>
          <w:b/>
          <w:b/>
        </w:rPr>
      </w:pPr>
      <w:r>
        <w:rPr/>
        <w:t xml:space="preserve">Wij raden aan om EU-wetgeving in twee fasen aan te nemen. In de eerste plaats moeten subsidies worden verstrekt voor de indienstneming van werknemers uit bepaalde categorieën die mogelijk worden gediscrimineerd. Ten tweede moet de wetgevingshandeling werkgevers verplichten deze groepen gedurende een minimumperiode in dienst te nemen. </w:t>
      </w:r>
    </w:p>
    <w:p>
      <w:pPr>
        <w:pStyle w:val="Normal"/>
        <w:rPr/>
      </w:pPr>
      <w:r>
        <w:rPr/>
        <w:t xml:space="preserve"> </w:t>
      </w:r>
    </w:p>
    <w:p>
      <w:pPr>
        <w:pStyle w:val="Normal"/>
        <w:rPr/>
      </w:pPr>
      <w:r>
        <w:rPr/>
        <w:t xml:space="preserve">De EU is immers verantwoordelijk voor het handhaven van een evenwicht tussen de belangen van de vrije markt en de bescherming van kwetsbare groepen die wettelijk moeten worden beschermd. Heterogene groepen zijn wenselijk voor bedrijven omdat ze verschillende kwalificaties bieden. Subsidies zijn een extra stimulans voor bedrijven. </w:t>
      </w:r>
    </w:p>
    <w:p>
      <w:pPr>
        <w:pStyle w:val="Normal"/>
        <w:rPr/>
      </w:pPr>
      <w:r>
        <w:rPr/>
        <w:t xml:space="preserve"> </w:t>
      </w:r>
    </w:p>
    <w:p>
      <w:pPr>
        <w:pStyle w:val="P68B1DB1Normal15"/>
        <w:rPr>
          <w:b/>
          <w:b/>
        </w:rPr>
      </w:pPr>
      <w:r>
        <w:rPr/>
        <w:t xml:space="preserve">2. „Wij raden de EU aan een stimuleringsprogramma op te zetten dat het creëren van betaalbare kleuterscholen en speeltuinen in grote en kleine bedrijven vergemakkelijkt. Gedeelde faciliteiten zijn ook een haalbare oplossing voor kleine bedrijven om van de subsidie te profiteren. </w:t>
      </w:r>
    </w:p>
    <w:p>
      <w:pPr>
        <w:pStyle w:val="P68B1DB1Normal15"/>
        <w:rPr>
          <w:b/>
          <w:b/>
        </w:rPr>
      </w:pPr>
      <w:r>
        <w:rPr/>
        <w:t xml:space="preserve">Wij raden de EU aan bedrijven te verplichten kleuterscholen op te zetten in verhouding tot het aantal werknemers. </w:t>
      </w:r>
    </w:p>
    <w:p>
      <w:pPr>
        <w:pStyle w:val="Normal"/>
        <w:rPr/>
      </w:pPr>
      <w:r>
        <w:rPr/>
        <w:t xml:space="preserve"> </w:t>
      </w:r>
    </w:p>
    <w:p>
      <w:pPr>
        <w:pStyle w:val="Normal"/>
        <w:rPr/>
      </w:pPr>
      <w:r>
        <w:rPr/>
        <w:t xml:space="preserve">We raden dit aan omdat het combineren van gezins- en beroepsleven de arbeidsprestaties verbetert, de werkloosheid vermindert en ouders, vooral vrouwen, in een positie plaatst die hen in staat stelt om hun carrière voort te zetten. De voorgestelde oplossing, gericht op de sociale dimensie, zorgt voor de veiligheid van kinderen en vermindert de angsten van ouders. </w:t>
      </w:r>
    </w:p>
    <w:p>
      <w:pPr>
        <w:pStyle w:val="Normal"/>
        <w:rPr/>
      </w:pPr>
      <w:r>
        <w:rPr/>
      </w:r>
    </w:p>
    <w:p>
      <w:pPr>
        <w:pStyle w:val="Titre4"/>
        <w:numPr>
          <w:ilvl w:val="3"/>
          <w:numId w:val="2"/>
        </w:numPr>
        <w:rPr/>
      </w:pPr>
      <w:bookmarkStart w:id="133" w:name="__RefHeading___Toc297201_1346298689"/>
      <w:bookmarkEnd w:id="133"/>
      <w:r>
        <w:rPr/>
        <w:t xml:space="preserve">Subas 1.3: Bescherming van de mensenrechten en de rechten van natuur en dieren </w:t>
      </w:r>
    </w:p>
    <w:p>
      <w:pPr>
        <w:pStyle w:val="Normal"/>
        <w:rPr/>
      </w:pPr>
      <w:r>
        <w:rPr/>
        <w:t xml:space="preserve"> </w:t>
      </w:r>
    </w:p>
    <w:p>
      <w:pPr>
        <w:pStyle w:val="P68B1DB1Normal15"/>
        <w:rPr>
          <w:b/>
          <w:b/>
        </w:rPr>
      </w:pPr>
      <w:r>
        <w:rPr/>
        <w:t xml:space="preserve">3. „Wij bevelen aan het dierenwelzijn en de duurzaamheid in stand te houden door Richtlijn 98/58/EG inzake de bescherming van dieren op landbouwbedrijven te wijzigen. Er moeten meer gedetailleerde minimumcriteria worden vastgesteld. Zij moeten nauwkeurig, meetbaar en in de tijd beperkt zijn. De minimumcriteria moeten zodanig worden vastgesteld dat zij tot hogere normen voor dierenwelzijn leiden en tegelijkertijd een overgang naar een duurzaam klimaat en milieu en ecologische landbouw mogelijk maken. </w:t>
      </w:r>
    </w:p>
    <w:p>
      <w:pPr>
        <w:pStyle w:val="Normal"/>
        <w:rPr/>
      </w:pPr>
      <w:r>
        <w:rPr/>
        <w:t xml:space="preserve"> </w:t>
      </w:r>
    </w:p>
    <w:p>
      <w:pPr>
        <w:pStyle w:val="Normal"/>
        <w:rPr/>
      </w:pPr>
      <w:r>
        <w:rPr/>
        <w:t xml:space="preserve">Als burgers vinden wij het belangrijk om strengere minimumnormen voor de veehouderij in de EU te harmoniseren. We zijn ons ervan bewust dat de transitie problemen kan opleveren in sommige landbouwsectoren die subsidies ontvangen, en voor degenen die in transitie zijn naar ecologische en duurzame landbouw. Toch vinden wij het heel belangrijk om ervoor te zorgen dat deze overgang plaatsvindt. </w:t>
      </w:r>
    </w:p>
    <w:p>
      <w:pPr>
        <w:pStyle w:val="Normal"/>
        <w:rPr/>
      </w:pPr>
      <w:r>
        <w:rPr/>
        <w:t xml:space="preserve"> </w:t>
      </w:r>
    </w:p>
    <w:p>
      <w:pPr>
        <w:pStyle w:val="P68B1DB1Normal15"/>
        <w:rPr>
          <w:b/>
          <w:b/>
        </w:rPr>
      </w:pPr>
      <w:r>
        <w:rPr/>
        <w:t xml:space="preserve">4. We raden aan om milieuvriendelijkere landbouw in Europa en de rest van de wereld te bevorderen door bijvoorbeeld alle negatieve emissies, pesticiden en extreem watergebruik te belasten, afhankelijk van hun impact op het milieu. De douanerechten op alle landbouwproducten die in de Unie worden ingevoerd, moeten een einde maken aan de concurrentievoordelen van derde landen die niet aan dezelfde normen voldoen als de Unie. Om diervriendelijke landbouw te bevorderen, raden we aan om emissies te belasten die worden veroorzaakt door het vervoer van dieren over lange afstanden. </w:t>
      </w:r>
    </w:p>
    <w:p>
      <w:pPr>
        <w:pStyle w:val="Normal"/>
        <w:rPr/>
      </w:pPr>
      <w:r>
        <w:rPr/>
        <w:t xml:space="preserve"> </w:t>
      </w:r>
    </w:p>
    <w:p>
      <w:pPr>
        <w:pStyle w:val="Normal"/>
        <w:rPr/>
      </w:pPr>
      <w:r>
        <w:rPr/>
        <w:t xml:space="preserve">Door een dergelijk systeem op te zetten, zijn wij van mening dat het mogelijk is om de transitie naar klimaatvriendelijke en milieuvriendelijke landbouw te ondersteunen. </w:t>
      </w:r>
    </w:p>
    <w:p>
      <w:pPr>
        <w:pStyle w:val="Normal"/>
        <w:rPr/>
      </w:pPr>
      <w:r>
        <w:rPr/>
        <w:t xml:space="preserve"> </w:t>
      </w:r>
    </w:p>
    <w:p>
      <w:pPr>
        <w:pStyle w:val="P68B1DB1Normal15"/>
        <w:rPr>
          <w:b/>
          <w:b/>
        </w:rPr>
      </w:pPr>
      <w:r>
        <w:rPr/>
        <w:t xml:space="preserve">5. Hoewel veel nepnieuws de laatste tijd circuleren, raden we aan om meer onafhankelijke, objectieve en evenwichtige media-aandacht te promoten door de volgende stappen te nemen: 1. de ontwikkeling van een EU-richtlijn tot vaststelling van minimumnormen voor de onafhankelijkheid van de media; 2. op het niveau van de Unie de ontwikkeling van mediavaardigheden voor elke burger te bevorderen.” </w:t>
      </w:r>
    </w:p>
    <w:p>
      <w:pPr>
        <w:pStyle w:val="Normal"/>
        <w:rPr/>
      </w:pPr>
      <w:r>
        <w:rPr/>
        <w:t xml:space="preserve"> </w:t>
      </w:r>
    </w:p>
    <w:p>
      <w:pPr>
        <w:pStyle w:val="Normal"/>
        <w:rPr/>
      </w:pPr>
      <w:r>
        <w:rPr/>
        <w:t xml:space="preserve">De EU moet een richtlijn ontwikkelen om de onafhankelijkheid van de media en de vrijheid van meningsuiting te waarborgen. </w:t>
      </w:r>
    </w:p>
    <w:p>
      <w:pPr>
        <w:pStyle w:val="Normal"/>
        <w:rPr/>
      </w:pPr>
      <w:r>
        <w:rPr/>
        <w:t xml:space="preserve"> </w:t>
      </w:r>
    </w:p>
    <w:p>
      <w:pPr>
        <w:pStyle w:val="Normal"/>
        <w:rPr/>
      </w:pPr>
      <w:r>
        <w:rPr>
          <w:b/>
        </w:rPr>
        <w:t>6. We raden aan dat we stoppen met het subsidiëren van de massa landbouwproductie als dit niet leidt tot een transitie naar klimaat, ecologische en duurzame landbouw. In plaats daarvan raden we aan om subsidies om te zetten om een duurzame transitie te ondersteunen.</w:t>
      </w:r>
      <w:r>
        <w:rPr/>
        <w:t xml:space="preserve"> </w:t>
      </w:r>
    </w:p>
    <w:p>
      <w:pPr>
        <w:pStyle w:val="Normal"/>
        <w:rPr/>
      </w:pPr>
      <w:r>
        <w:rPr/>
        <w:t xml:space="preserve"> </w:t>
      </w:r>
    </w:p>
    <w:p>
      <w:pPr>
        <w:pStyle w:val="Normal"/>
        <w:rPr/>
      </w:pPr>
      <w:r>
        <w:rPr/>
        <w:t xml:space="preserve">In plaats van de landbouwsector van de massateelt te subsidiëren, moeten subsidies worden omgeleid naar landbouwbedrijven die in transitie zijn om te voldoen aan de nieuwe minimumnormen voor dierenwelzijn. </w:t>
      </w:r>
    </w:p>
    <w:p>
      <w:pPr>
        <w:pStyle w:val="Normal"/>
        <w:rPr/>
      </w:pPr>
      <w:r>
        <w:rPr/>
        <w:t xml:space="preserve"> </w:t>
      </w:r>
    </w:p>
    <w:p>
      <w:pPr>
        <w:pStyle w:val="Titre4"/>
        <w:numPr>
          <w:ilvl w:val="3"/>
          <w:numId w:val="2"/>
        </w:numPr>
        <w:rPr/>
      </w:pPr>
      <w:bookmarkStart w:id="134" w:name="__RefHeading___Toc297203_1346298689"/>
      <w:bookmarkEnd w:id="134"/>
      <w:r>
        <w:rPr/>
        <w:t xml:space="preserve">Subas 1.4 Recht op privacy </w:t>
      </w:r>
    </w:p>
    <w:p>
      <w:pPr>
        <w:pStyle w:val="Normal"/>
        <w:rPr/>
      </w:pPr>
      <w:r>
        <w:rPr/>
        <w:t xml:space="preserve"> </w:t>
      </w:r>
    </w:p>
    <w:p>
      <w:pPr>
        <w:pStyle w:val="P68B1DB1Normal15"/>
        <w:rPr>
          <w:b/>
          <w:b/>
        </w:rPr>
      </w:pPr>
      <w:r>
        <w:rPr/>
        <w:t xml:space="preserve">7. „Wij bevelen aan dat entiteiten die persoonsgegevens verwerken op EU-niveau een vergunning krijgen. Deze entiteiten zullen ook onderworpen moeten worden aan een onafhankelijke, externe jaarlijkse controle van gegevensbescherming. Deze entiteiten zullen worden bestraft voor inbreuken op de gegevensbescherming in verhouding tot hun jaaromzet, op een striktere manier dan in het kader van de huidige verordening. De goedkeuring moet worden ingetrokken na twee opeenvolgende overtredingen, en onmiddellijk na een ernstige inbreuk. </w:t>
      </w:r>
    </w:p>
    <w:p>
      <w:pPr>
        <w:pStyle w:val="Normal"/>
        <w:rPr/>
      </w:pPr>
      <w:r>
        <w:rPr/>
        <w:t xml:space="preserve"> </w:t>
      </w:r>
    </w:p>
    <w:p>
      <w:pPr>
        <w:pStyle w:val="Normal"/>
        <w:rPr/>
      </w:pPr>
      <w:r>
        <w:rPr/>
        <w:t xml:space="preserve">We raden dergelijke maatregelen aan, aangezien de huidige regelgeving (AVG) niet voldoende is en entiteiten beter moeten worden gecontroleerd en gesanctioneerd om ervoor te zorgen dat ze geen inbreuk maken op de gegevensbescherming en het recht op privacy. </w:t>
      </w:r>
    </w:p>
    <w:p>
      <w:pPr>
        <w:pStyle w:val="Normal"/>
        <w:rPr/>
      </w:pPr>
      <w:r>
        <w:rPr/>
        <w:t xml:space="preserve"> </w:t>
      </w:r>
    </w:p>
    <w:p>
      <w:pPr>
        <w:pStyle w:val="P68B1DB1Normal15"/>
        <w:rPr>
          <w:b/>
          <w:b/>
        </w:rPr>
      </w:pPr>
      <w:r>
        <w:rPr/>
        <w:t xml:space="preserve">8. „Wij bevelen aan de bevoegdheden van de Unie op de volgende gebieden te versterken: 1) voorlichting over gegevensbescherming, 2) bewustzijn van gegevensbescherming en 3) bescherming van persoonsgegevens van minderjarigen. Wij raden aan de regels met betrekking tot de verwerking van gegevens van minderjarigen in de AVG te verduidelijken en te versterken, met inbegrip van de regels inzake toestemming, leeftijdsverificatie en controle door wettelijke voogden. We raden ook aan om in de AVG een speciale categorie in te voeren voor gevoelige gegevens van minderjarigen (bijvoorbeeld strafblad, gezondheidsinformatie, naaktheid) zodat minderjarigen worden beschermd tegen elke vorm van misbruik en discriminatie. </w:t>
      </w:r>
    </w:p>
    <w:p>
      <w:pPr>
        <w:pStyle w:val="Normal"/>
        <w:rPr/>
      </w:pPr>
      <w:r>
        <w:rPr/>
        <w:t xml:space="preserve"> </w:t>
      </w:r>
    </w:p>
    <w:p>
      <w:pPr>
        <w:pStyle w:val="Normal"/>
        <w:rPr/>
      </w:pPr>
      <w:r>
        <w:rPr/>
        <w:t xml:space="preserve">Deze aanbeveling is noodzakelijk omdat minderjarigen bijzonder kwetsbaar zijn voor gegevensbescherming en privacyschendingen en omdat op dit moment de algemene bevolking (vooral minderjarigen, leerkrachten en wettelijke voogden) onvoldoende op de hoogte is van gegevensbescherming. Ze moeten allemaal leren hoe ze online en offline datadiensten kunnen gebruiken en de privacyrechten van kinderen moeten beschermen. Bovendien kunnen wettelijke voogden vaak instemmen met de verwerking van de gegevens van kinderen zonder volledig op de hoogte te zijn of te zijn geïnformeerd en kunnen kinderen ouderlijke toestemming vervalsen. Tot slot is deze aanbeveling noodzakelijk omdat er geen echte EU-brede bewustmakingscampagne inzake gegevensbescherming bestaat, met name gericht op minderjarigen, wettelijke voogden en leerkrachten, terwijl een dergelijke campagne onontbeerlijk is. </w:t>
      </w:r>
    </w:p>
    <w:p>
      <w:pPr>
        <w:pStyle w:val="Normal"/>
        <w:rPr/>
      </w:pPr>
      <w:r>
        <w:rPr/>
      </w:r>
    </w:p>
    <w:p>
      <w:pPr>
        <w:pStyle w:val="P68B1DB1Normal15"/>
        <w:rPr>
          <w:b/>
          <w:b/>
        </w:rPr>
      </w:pPr>
      <w:r>
        <w:rPr/>
        <w:t xml:space="preserve">9. We raden aan om gestandaardiseerd privacybeleid en eenvoudig te begrijpen, beknopte en intuïtieve toestemmingsformulieren in te voeren, die duidelijk aangeven welke gegevensverwerking strikt noodzakelijk is en wat optioneel is. Wij raden aan dat de intrekking van de toestemming eenvoudig, snel en permanent is. We raden entiteiten aan om hun diensten meer te beperken dan nodig is als er geen toestemming is gegeven voor optionele gegevensverwerking. </w:t>
      </w:r>
    </w:p>
    <w:p>
      <w:pPr>
        <w:pStyle w:val="Normal"/>
        <w:rPr/>
      </w:pPr>
      <w:r>
        <w:rPr/>
        <w:t xml:space="preserve"> </w:t>
      </w:r>
    </w:p>
    <w:p>
      <w:pPr>
        <w:pStyle w:val="Normal"/>
        <w:rPr/>
      </w:pPr>
      <w:r>
        <w:rPr/>
        <w:t xml:space="preserve">We raden dit aan omdat de huidige EU-regels niet nauwkeurig genoeg zijn, de intrekking van de toestemming lang, tijdelijk en complex is en entiteiten er geen belang bij hebben hun diensten aan te bieden aan burgers die een beroep doen op hun recht op gegevensbescherming. </w:t>
      </w:r>
    </w:p>
    <w:p>
      <w:pPr>
        <w:pStyle w:val="Normal"/>
        <w:rPr/>
      </w:pPr>
      <w:r>
        <w:rPr/>
        <w:t xml:space="preserve"> </w:t>
      </w:r>
    </w:p>
    <w:p>
      <w:pPr>
        <w:pStyle w:val="Titre3"/>
        <w:numPr>
          <w:ilvl w:val="2"/>
          <w:numId w:val="2"/>
        </w:numPr>
        <w:rPr/>
      </w:pPr>
      <w:bookmarkStart w:id="135" w:name="__RefHeading___Toc297205_1346298689"/>
      <w:bookmarkEnd w:id="135"/>
      <w:r>
        <w:rPr/>
        <w:t xml:space="preserve">As 2: Bescherming van de democratie en de rechtsstaat </w:t>
      </w:r>
    </w:p>
    <w:p>
      <w:pPr>
        <w:pStyle w:val="Normal"/>
        <w:rPr/>
      </w:pPr>
      <w:r>
        <w:rPr/>
        <w:t xml:space="preserve"> </w:t>
      </w:r>
    </w:p>
    <w:p>
      <w:pPr>
        <w:pStyle w:val="Titre4"/>
        <w:numPr>
          <w:ilvl w:val="3"/>
          <w:numId w:val="2"/>
        </w:numPr>
        <w:rPr/>
      </w:pPr>
      <w:bookmarkStart w:id="136" w:name="__RefHeading___Toc297207_1346298689"/>
      <w:bookmarkEnd w:id="136"/>
      <w:r>
        <w:rPr/>
        <w:t xml:space="preserve">Subas 2.1 Bescherming van de rechtsstaat </w:t>
      </w:r>
    </w:p>
    <w:p>
      <w:pPr>
        <w:pStyle w:val="Normal"/>
        <w:rPr/>
      </w:pPr>
      <w:r>
        <w:rPr/>
        <w:t xml:space="preserve"> </w:t>
      </w:r>
    </w:p>
    <w:p>
      <w:pPr>
        <w:pStyle w:val="P68B1DB1Normal15"/>
        <w:rPr>
          <w:b/>
          <w:b/>
        </w:rPr>
      </w:pPr>
      <w:r>
        <w:rPr/>
        <w:t xml:space="preserve">10. „Wij bevelen aan dat de verordening inzake randvoorwaarden (2020/2092, aangenomen op 16 december 2020) wordt gewijzigd om van toepassing te zijn op alle schendingen van de rechtsstaat in plaats van op schendingen die gevolgen hebben voor de EU-begroting.” </w:t>
      </w:r>
    </w:p>
    <w:p>
      <w:pPr>
        <w:pStyle w:val="Normal"/>
        <w:rPr/>
      </w:pPr>
      <w:r>
        <w:rPr/>
        <w:t xml:space="preserve"> </w:t>
      </w:r>
    </w:p>
    <w:p>
      <w:pPr>
        <w:pStyle w:val="Normal"/>
        <w:rPr/>
      </w:pPr>
      <w:r>
        <w:rPr/>
        <w:t xml:space="preserve">De verordening inzake randvoorwaarden voorziet in de opschorting van de uitbetaling van EU-middelen aan lidstaten die de rechtsstaat schenden. In de huidige formulering is het echter alleen van toepassing op schendingen die gevolgen hebben of waarschijnlijk zullen hebben voor de EU-begroting. Bovendien beschermt de huidige formulering van de verordening inzake randvoorwaarden de EU-begroting en de EU-instellingen in plaats van de burgers van de betrokken lidstaten. Daarom raden wij aan de huidige tekst van de verordening te wijzigen om alle schendingen van de rechtsstaat te bestrijken. </w:t>
      </w:r>
    </w:p>
    <w:p>
      <w:pPr>
        <w:pStyle w:val="Normal"/>
        <w:rPr/>
      </w:pPr>
      <w:r>
        <w:rPr/>
        <w:t xml:space="preserve"> </w:t>
      </w:r>
    </w:p>
    <w:p>
      <w:pPr>
        <w:pStyle w:val="P68B1DB1Normal15"/>
        <w:rPr>
          <w:b/>
          <w:b/>
        </w:rPr>
      </w:pPr>
      <w:r>
        <w:rPr/>
        <w:t xml:space="preserve">11. „Wij bevelen de EU aan jaarlijkse conferenties over de rechtsstaat te organiseren na de publicatie van het jaarlijkse verslag over de rechtsstaat (het mechanisme van de Commissie voor toezicht op de naleving van de rechtsstaat door de lidstaten). De lidstaten moeten worden verplicht verschillende sociale nationale delegaties naar de conferentie te sturen, waaronder zowel burgers als ambtenaren.” </w:t>
      </w:r>
    </w:p>
    <w:p>
      <w:pPr>
        <w:pStyle w:val="Normal"/>
        <w:rPr/>
      </w:pPr>
      <w:r>
        <w:rPr/>
        <w:t xml:space="preserve"> </w:t>
      </w:r>
    </w:p>
    <w:p>
      <w:pPr>
        <w:pStyle w:val="Normal"/>
        <w:rPr/>
      </w:pPr>
      <w:r>
        <w:rPr/>
        <w:t xml:space="preserve">Deze conferentie zou de dialoog tussen EU-burgers over kwesties op het gebied van de rechtsstaat en de dialoog tussen burgers en deskundigen die de jaarlijkse verslagen over de rechtsstaat opstellen, bevorderen. Wij geloven dat deelnemers, in een klimaat van wederzijdse waardering en uitwisseling, in staat zullen zijn om de beste praktijken en ideeën terug te brengen naar hun thuisland. Daarnaast zal de conferentie het bewustzijn van en het begrip van het beginsel van de rechtsstaat en de conclusies en het proces dat ten grondslag ligt aan het jaarlijkse verslag over de rechtsstaat vergroten. Het zou ook de aandacht van de media trekken en burgers in staat stellen hun ervaringen te delen en deze te vergelijken met de bevindingen van het verslag. </w:t>
      </w:r>
    </w:p>
    <w:p>
      <w:pPr>
        <w:pStyle w:val="Normal"/>
        <w:rPr/>
      </w:pPr>
      <w:r>
        <w:rPr/>
      </w:r>
    </w:p>
    <w:p>
      <w:pPr>
        <w:pStyle w:val="Titre4"/>
        <w:numPr>
          <w:ilvl w:val="3"/>
          <w:numId w:val="2"/>
        </w:numPr>
        <w:rPr/>
      </w:pPr>
      <w:bookmarkStart w:id="137" w:name="__RefHeading___Toc297209_1346298689"/>
      <w:bookmarkEnd w:id="137"/>
      <w:r>
        <w:rPr/>
        <w:t xml:space="preserve">Subas 2.2 Bescherming en versterking van de democratie/subas 2.4 Media en desinformatie </w:t>
      </w:r>
    </w:p>
    <w:p>
      <w:pPr>
        <w:pStyle w:val="Normal"/>
        <w:rPr/>
      </w:pPr>
      <w:r>
        <w:rPr/>
        <w:t xml:space="preserve"> </w:t>
      </w:r>
    </w:p>
    <w:p>
      <w:pPr>
        <w:pStyle w:val="P68B1DB1Normal15"/>
        <w:rPr>
          <w:b/>
          <w:b/>
        </w:rPr>
      </w:pPr>
      <w:r>
        <w:rPr/>
        <w:t xml:space="preserve">12. „Wij bevelen de EU aan haar mededingingsregels strenger toe te passen in de mediasector om de bescherming van het pluralisme van de media in alle lidstaten te waarborgen. De EU moet grote mediamonopolies en politieke benoemingen in mediabesturen voorkomen. We raden ook aan dat de toekomstige EU-wetgeving inzake mediavrijheid regels bevat om te voorkomen dat politici hun inhoud bezitten of sterk beïnvloeden. </w:t>
      </w:r>
    </w:p>
    <w:p>
      <w:pPr>
        <w:pStyle w:val="Normal"/>
        <w:rPr/>
      </w:pPr>
      <w:r>
        <w:rPr/>
        <w:t xml:space="preserve"> </w:t>
      </w:r>
    </w:p>
    <w:p>
      <w:pPr>
        <w:pStyle w:val="Normal"/>
        <w:rPr/>
      </w:pPr>
      <w:r>
        <w:rPr/>
        <w:t xml:space="preserve">We raden dit aan omdat de toepassing van de EU-mededingingsregels een pluralistisch medialandschap bevordert waarin burgers een keuze hebben. Aangezien de Commissie momenteel een wetgevingshandeling (inzake mediavrijheid) voorbereidt met het oog op de integriteit van de mediamarkt van de EU, moet ook worden bepaald dat de media niet mogen worden vastgehouden of beïnvloed door politici. </w:t>
      </w:r>
    </w:p>
    <w:p>
      <w:pPr>
        <w:pStyle w:val="Normal"/>
        <w:rPr/>
      </w:pPr>
      <w:r>
        <w:rPr/>
        <w:t xml:space="preserve"> </w:t>
      </w:r>
    </w:p>
    <w:p>
      <w:pPr>
        <w:pStyle w:val="Titre4"/>
        <w:numPr>
          <w:ilvl w:val="3"/>
          <w:numId w:val="2"/>
        </w:numPr>
        <w:rPr/>
      </w:pPr>
      <w:bookmarkStart w:id="138" w:name="__RefHeading___Toc297211_1346298689"/>
      <w:bookmarkEnd w:id="138"/>
      <w:r>
        <w:rPr/>
        <w:t xml:space="preserve">Subas 2.3 Beveiliging </w:t>
      </w:r>
    </w:p>
    <w:p>
      <w:pPr>
        <w:pStyle w:val="Normal"/>
        <w:rPr/>
      </w:pPr>
      <w:r>
        <w:rPr/>
        <w:t xml:space="preserve"> </w:t>
      </w:r>
    </w:p>
    <w:p>
      <w:pPr>
        <w:pStyle w:val="P68B1DB1Normal15"/>
        <w:rPr>
          <w:b/>
          <w:b/>
        </w:rPr>
      </w:pPr>
      <w:r>
        <w:rPr/>
        <w:t xml:space="preserve">13. „Wij bevelen de EU-instellingen aan een belangrijkere rol te spelen met alle instrumenten waarover zij beschikken, waaronder de nationale centra voor cyberbeveiliging en het Agentschap van de Europese Unie voor cyberbeveiliging (Enisa), teneinde burgers, organisaties en instellingen te beschermen tegen nieuwe bedreigingen als gevolg van inbreuken op cyberbeveiliging en het gebruik van kunstmatige intelligentie voor criminele doeleinden. Wij bevelen ook aan dat de richtlijnen van Europa en haar agentschappen naar behoren ten uitvoer worden gelegd en verspreid in alle lidstaten.” </w:t>
      </w:r>
    </w:p>
    <w:p>
      <w:pPr>
        <w:pStyle w:val="Normal"/>
        <w:rPr/>
      </w:pPr>
      <w:r>
        <w:rPr/>
        <w:t xml:space="preserve"> </w:t>
      </w:r>
    </w:p>
    <w:p>
      <w:pPr>
        <w:pStyle w:val="Normal"/>
        <w:rPr/>
      </w:pPr>
      <w:r>
        <w:rPr/>
        <w:t xml:space="preserve">Wij raden dit aan omdat burgers zich machteloos voelen en zich niet bewust zijn van wat de Europese Unie doet om deze bedreigingen te bestrijden. Wij raden dit aan omdat deze bedreigingen een ernstig nationaal en Europees veiligheidsprobleem vormen. Wij raden dit aan, omdat Europa een echte aanjager van innovatie op dit gebied moet zijn. </w:t>
      </w:r>
    </w:p>
    <w:p>
      <w:pPr>
        <w:pStyle w:val="Normal"/>
        <w:rPr/>
      </w:pPr>
      <w:r>
        <w:rPr/>
        <w:t xml:space="preserve"> </w:t>
      </w:r>
    </w:p>
    <w:p>
      <w:pPr>
        <w:pStyle w:val="P68B1DB1Normal15"/>
        <w:rPr>
          <w:b/>
          <w:b/>
        </w:rPr>
      </w:pPr>
      <w:r>
        <w:rPr/>
        <w:t xml:space="preserve">14. „Wij bevelen aan dat de Unie in haar betrekkingen met de externe landen eerst de gemeenschappelijke democratische waarden aan haar grenzen versterkt. Pas na het bereiken van dit doel raden wij de Unie aan om ambassadeur van ons democratisch model te worden in landen die dit model willen toepassen en bereid zijn dat te doen door middel van diplomatie en dialoog. </w:t>
      </w:r>
    </w:p>
    <w:p>
      <w:pPr>
        <w:pStyle w:val="Normal"/>
        <w:rPr/>
      </w:pPr>
      <w:r>
        <w:rPr/>
        <w:t xml:space="preserve"> </w:t>
      </w:r>
    </w:p>
    <w:p>
      <w:pPr>
        <w:pStyle w:val="Normal"/>
        <w:rPr/>
      </w:pPr>
      <w:r>
        <w:rPr/>
        <w:t xml:space="preserve">We raden deze maatregel aan omdat we naar binnen moeten kijken voordat we naar buiten kijken. Omdat Europa de lidstaten kan en moet helpen hun democratieën te versterken. Omdat we ook door het voorbeeld te geven en de inspanningen van externe landen voor democratie te ondersteunen, onszelf beschermen. </w:t>
      </w:r>
    </w:p>
    <w:p>
      <w:pPr>
        <w:pStyle w:val="Normal"/>
        <w:rPr/>
      </w:pPr>
      <w:r>
        <w:rPr/>
        <w:t xml:space="preserve"> </w:t>
      </w:r>
    </w:p>
    <w:p>
      <w:pPr>
        <w:pStyle w:val="Titre3"/>
        <w:numPr>
          <w:ilvl w:val="2"/>
          <w:numId w:val="2"/>
        </w:numPr>
        <w:rPr/>
      </w:pPr>
      <w:bookmarkStart w:id="139" w:name="__RefHeading___Toc297213_1346298689"/>
      <w:bookmarkEnd w:id="139"/>
      <w:r>
        <w:rPr/>
        <w:t xml:space="preserve">As 3: Hervorming van de Europese Unie </w:t>
      </w:r>
    </w:p>
    <w:p>
      <w:pPr>
        <w:pStyle w:val="Normal"/>
        <w:rPr/>
      </w:pPr>
      <w:r>
        <w:rPr/>
        <w:t xml:space="preserve"> </w:t>
      </w:r>
    </w:p>
    <w:p>
      <w:pPr>
        <w:pStyle w:val="Titre4"/>
        <w:numPr>
          <w:ilvl w:val="3"/>
          <w:numId w:val="2"/>
        </w:numPr>
        <w:rPr/>
      </w:pPr>
      <w:bookmarkStart w:id="140" w:name="__RefHeading___Toc297215_1346298689"/>
      <w:bookmarkEnd w:id="140"/>
      <w:r>
        <w:rPr/>
        <w:t>Subas 3.1 Institutionele hervorming</w:t>
      </w:r>
    </w:p>
    <w:p>
      <w:pPr>
        <w:pStyle w:val="Normal"/>
        <w:rPr/>
      </w:pPr>
      <w:r>
        <w:rPr/>
        <w:t xml:space="preserve"> </w:t>
      </w:r>
    </w:p>
    <w:p>
      <w:pPr>
        <w:pStyle w:val="Normal"/>
        <w:rPr/>
      </w:pPr>
      <w:r>
        <w:rPr>
          <w:b/>
        </w:rPr>
        <w:t>15. „Wij raden aan de namen van de EU-instellingen te wijzigen om hun taken te verduidelijken. De Raad van de Europese Unie zou bijvoorbeeld de Senaat van de Europese Unie kunnen worden genoemd. De Europese Commissie zou de Uitvoerende Commissie van de Europese Unie kunnen worden genoemd</w:t>
      </w:r>
      <w:r>
        <w:rPr/>
        <w:t xml:space="preserve">. </w:t>
      </w:r>
    </w:p>
    <w:p>
      <w:pPr>
        <w:pStyle w:val="Normal"/>
        <w:rPr/>
      </w:pPr>
      <w:r>
        <w:rPr/>
        <w:t xml:space="preserve"> </w:t>
      </w:r>
    </w:p>
    <w:p>
      <w:pPr>
        <w:pStyle w:val="Normal"/>
        <w:rPr/>
      </w:pPr>
      <w:r>
        <w:rPr/>
        <w:t xml:space="preserve">We raden dit aan omdat het voor burgers momenteel moeilijk is om de rollen en functies van elke EU-instelling te begrijpen. Hun namen weerspiegelen hun functies niet. Van de burgers kan niet worden verwacht dat zij een onderscheid maken tussen de Raad van de Europese Unie, de Europese Raad en de Raad van Europa. Het is belangrijk om overlappingen te vermijden. </w:t>
      </w:r>
    </w:p>
    <w:p>
      <w:pPr>
        <w:pStyle w:val="Normal"/>
        <w:rPr/>
      </w:pPr>
      <w:r>
        <w:rPr/>
        <w:t xml:space="preserve"> </w:t>
      </w:r>
    </w:p>
    <w:p>
      <w:pPr>
        <w:pStyle w:val="P68B1DB1Normal15"/>
        <w:rPr>
          <w:b/>
          <w:b/>
        </w:rPr>
      </w:pPr>
      <w:r>
        <w:rPr/>
        <w:t xml:space="preserve">16. Wij bevelen de aanneming aan van een kieswet voor het Europees Parlement, die de verkiezingsvoorwaarden harmoniseert (leeftijd van stemrecht, datum van verkiezingen, vereisten met betrekking tot kiesdistricten, kandidaten, politieke partijen en hun financiering). Europese burgers moeten het recht hebben om voor verschillende partijen op EU-niveau te stemmen, elk bestaande uit kandidaten uit verschillende lidstaten. Tijdens een voldoende overgangsperiode konden burgers nog voor nationale en transnationale partijen stemmen. </w:t>
      </w:r>
    </w:p>
    <w:p>
      <w:pPr>
        <w:pStyle w:val="Normal"/>
        <w:rPr/>
      </w:pPr>
      <w:r>
        <w:rPr/>
        <w:t xml:space="preserve"> </w:t>
      </w:r>
    </w:p>
    <w:p>
      <w:pPr>
        <w:pStyle w:val="Normal"/>
        <w:rPr/>
      </w:pPr>
      <w:r>
        <w:rPr/>
        <w:t xml:space="preserve">Wij bevelen dit aan omdat de Unie een gevoel van eenheid moet ontwikkelen, dat zou kunnen ontstaan door een werkelijk verenigde verkiezing van het Europees Parlement. Deze gezamenlijke verkiezing zal het mogelijk maken de leden van het Europees Parlement mondiger te maken en de verkiezingscampagne te richten op gemeenschappelijke Europese thema’s. </w:t>
      </w:r>
    </w:p>
    <w:p>
      <w:pPr>
        <w:pStyle w:val="Normal"/>
        <w:rPr/>
      </w:pPr>
      <w:r>
        <w:rPr/>
        <w:t xml:space="preserve"> </w:t>
      </w:r>
    </w:p>
    <w:p>
      <w:pPr>
        <w:pStyle w:val="Titre4"/>
        <w:numPr>
          <w:ilvl w:val="3"/>
          <w:numId w:val="2"/>
        </w:numPr>
        <w:rPr/>
      </w:pPr>
      <w:bookmarkStart w:id="141" w:name="__RefHeading___Toc297217_1346298689"/>
      <w:bookmarkEnd w:id="141"/>
      <w:r>
        <w:rPr/>
        <w:t xml:space="preserve">Subas 3.2 Beslissing </w:t>
      </w:r>
    </w:p>
    <w:p>
      <w:pPr>
        <w:pStyle w:val="Normal"/>
        <w:rPr/>
      </w:pPr>
      <w:r>
        <w:rPr/>
        <w:t xml:space="preserve"> </w:t>
      </w:r>
    </w:p>
    <w:p>
      <w:pPr>
        <w:pStyle w:val="P68B1DB1Normal15"/>
        <w:rPr>
          <w:b/>
          <w:b/>
        </w:rPr>
      </w:pPr>
      <w:r>
        <w:rPr/>
        <w:t xml:space="preserve">17. We raden aan om een online platform te creëren waar burgers feitelijk geverifieerde informatie kunnen vinden en opvragen. Het platform moet duidelijk worden geassocieerd met de EU-instellingen, thematisch gestructureerd en gemakkelijk toegankelijk zijn (bijvoorbeeld door een hotline aan te bieden). Burgers moeten de mogelijkheid hebben om kritische vragen te stellen aan deskundigen (bijv. academici, journalisten) en feitelijke antwoorden uit bronnen te krijgen. </w:t>
      </w:r>
    </w:p>
    <w:p>
      <w:pPr>
        <w:pStyle w:val="Normal"/>
        <w:rPr/>
      </w:pPr>
      <w:r>
        <w:rPr/>
        <w:t xml:space="preserve"> </w:t>
      </w:r>
    </w:p>
    <w:p>
      <w:pPr>
        <w:pStyle w:val="Normal"/>
        <w:rPr/>
      </w:pPr>
      <w:r>
        <w:rPr/>
        <w:t xml:space="preserve">Vrije toegang tot feitelijke informatie is van het grootste belang voor onze samenleving, zodat burgers goed worden geïnformeerd en beschermd tegen nepnieuws en desinformatie. We hebben een geloofwaardige en onafhankelijke bron van informatie nodig die niet wordt beïnvloed door politieke, economische en nationale belangen. Daarnaast kan het platform een brug slaan (d.w.z. een directe relatie) tussen burgers en de EU. </w:t>
      </w:r>
    </w:p>
    <w:p>
      <w:pPr>
        <w:pStyle w:val="Normal"/>
        <w:rPr/>
      </w:pPr>
      <w:r>
        <w:rPr/>
      </w:r>
    </w:p>
    <w:p>
      <w:pPr>
        <w:pStyle w:val="P68B1DB1Normal15"/>
        <w:rPr>
          <w:b/>
          <w:b/>
        </w:rPr>
      </w:pPr>
      <w:r>
        <w:rPr/>
        <w:t xml:space="preserve">18. Wij raden aan om in uitzonderlijke gevallen een EU-breed referendum te houden over kwesties die voor alle Europese burgers van groot belang zijn. Het referendum moet door het Europees Parlement worden gelanceerd en moet juridisch bindend zijn. </w:t>
      </w:r>
    </w:p>
    <w:p>
      <w:pPr>
        <w:pStyle w:val="Normal"/>
        <w:rPr/>
      </w:pPr>
      <w:r>
        <w:rPr/>
        <w:t xml:space="preserve"> </w:t>
      </w:r>
    </w:p>
    <w:p>
      <w:pPr>
        <w:pStyle w:val="Normal"/>
        <w:rPr/>
      </w:pPr>
      <w:r>
        <w:rPr/>
        <w:t xml:space="preserve">EU-burgers moeten een directere invloed hebben op belangrijke beslissingen over Europese kwesties. Toch mogen referenda alleen in uitzonderlijke omstandigheden worden gehouden, omdat het, gezien hun hoge kosten, niet mogelijk zou zijn om ze regelmatig te houden. Wij zijn ons ervan bewust dat deze aanbeveling een wijziging van het Verdrag en de aanpassing van de nationale grondwetten kan vereisen. </w:t>
      </w:r>
    </w:p>
    <w:p>
      <w:pPr>
        <w:pStyle w:val="Normal"/>
        <w:rPr/>
      </w:pPr>
      <w:r>
        <w:rPr/>
        <w:t xml:space="preserve"> </w:t>
      </w:r>
    </w:p>
    <w:p>
      <w:pPr>
        <w:pStyle w:val="P68B1DB1Normal15"/>
        <w:rPr>
          <w:b/>
          <w:b/>
        </w:rPr>
      </w:pPr>
      <w:r>
        <w:rPr/>
        <w:t xml:space="preserve">19. We raden aan om een multifunctioneel digitaal platform te creëren waarmee burgers kunnen stemmen bij online verkiezingen en peilingen. Burgers moeten de gelegenheid krijgen om hun stem te motiveren over belangrijke kwesties en wetgevingsvoorstellen van de Europese instellingen. Dit platform moet veilig, breed toegankelijk en goed zichtbaar zijn voor elke burger. </w:t>
      </w:r>
    </w:p>
    <w:p>
      <w:pPr>
        <w:pStyle w:val="Normal"/>
        <w:rPr/>
      </w:pPr>
      <w:r>
        <w:rPr/>
        <w:t xml:space="preserve"> </w:t>
      </w:r>
    </w:p>
    <w:p>
      <w:pPr>
        <w:pStyle w:val="Normal"/>
        <w:rPr/>
      </w:pPr>
      <w:r>
        <w:rPr/>
        <w:t xml:space="preserve">Het doel van dit platform is de deelname aan het Europees beleid te vergroten en de toegang van burgers tot raadpleging en stemming te vergemakkelijken. Bestaande tools en processen zijn niet zichtbaar genoeg en daarom hebben we een nieuwe geïntegreerde tool nodig voor deze verschillende functies. Een grotere participatie leidt tot betere beslissingen, meer vertrouwen bij de Europese burgers en een betere werking van de Unie in het algemeen. </w:t>
      </w:r>
    </w:p>
    <w:p>
      <w:pPr>
        <w:pStyle w:val="Normal"/>
        <w:rPr/>
      </w:pPr>
      <w:r>
        <w:rPr/>
        <w:t xml:space="preserve"> </w:t>
      </w:r>
    </w:p>
    <w:p>
      <w:pPr>
        <w:pStyle w:val="P68B1DB1Normal15"/>
        <w:rPr>
          <w:b/>
          <w:b/>
        </w:rPr>
      </w:pPr>
      <w:r>
        <w:rPr/>
        <w:t xml:space="preserve">20. „Wij bevelen aan de stemsystemen in de EU-instellingen opnieuw te beoordelen door zich te concentreren op de kwestie van eenparigheid van stemmen. De „weging” van de stemmen moet eerlijk worden berekend om de belangen van kleine landen te beschermen. </w:t>
      </w:r>
    </w:p>
    <w:p>
      <w:pPr>
        <w:pStyle w:val="Normal"/>
        <w:rPr/>
      </w:pPr>
      <w:r>
        <w:rPr/>
        <w:t xml:space="preserve"> </w:t>
      </w:r>
    </w:p>
    <w:p>
      <w:pPr>
        <w:pStyle w:val="Normal"/>
        <w:rPr/>
      </w:pPr>
      <w:r>
        <w:rPr/>
        <w:t xml:space="preserve">Eenparigheid van stemmen is een belangrijke uitdaging voor de besluitvorming in de EU. Gezien het grote aantal lidstaten is het zeer moeilijk om tot een akkoord te komen. Indien nodig moeten de Europese Verdragen worden gewijzigd om het probleem van eenparigheid van stemmen op te lossen. </w:t>
      </w:r>
    </w:p>
    <w:p>
      <w:pPr>
        <w:pStyle w:val="Normal"/>
        <w:rPr/>
      </w:pPr>
      <w:r>
        <w:rPr/>
        <w:t xml:space="preserve"> </w:t>
      </w:r>
    </w:p>
    <w:p>
      <w:pPr>
        <w:pStyle w:val="Titre4"/>
        <w:numPr>
          <w:ilvl w:val="3"/>
          <w:numId w:val="2"/>
        </w:numPr>
        <w:rPr/>
      </w:pPr>
      <w:bookmarkStart w:id="142" w:name="__RefHeading___Toc297219_1346298689"/>
      <w:bookmarkEnd w:id="142"/>
      <w:r>
        <w:rPr/>
        <w:t xml:space="preserve">Subas 3.3 Dichtere integratie </w:t>
      </w:r>
    </w:p>
    <w:p>
      <w:pPr>
        <w:pStyle w:val="Normal"/>
        <w:rPr/>
      </w:pPr>
      <w:r>
        <w:rPr/>
        <w:t xml:space="preserve"> </w:t>
      </w:r>
    </w:p>
    <w:p>
      <w:pPr>
        <w:pStyle w:val="P68B1DB1Normal15"/>
        <w:rPr>
          <w:b/>
          <w:b/>
        </w:rPr>
      </w:pPr>
      <w:r>
        <w:rPr/>
        <w:t xml:space="preserve">21. „Wij bevelen de Unie aan overheidsinvesteringen te doen die leiden tot het scheppen van passende banen en de verbetering en harmonisatie van de levenskwaliteit in de hele Unie, tussen de lidstaten en binnen de lidstaten (d.w.z. op regionaal niveau). Er moet worden gezorgd voor doeltreffend toezicht, transparantie en communicatie met de burgers bij de uitvoering van overheidsinvesteringen en om burgers in staat te stellen het gehele investeringsproces te monitoren. Voor een betere levenskwaliteit moeten investeringen worden gedaan op gebieden als onderwijs, gezondheid, huisvesting, fysieke infrastructuur, zorg voor ouderen en personen met een handicap, rekening houdend met de behoeften van elke lidstaat. De extra investeringen moeten gericht zijn op een goed evenwicht tussen een passend beroeps- en privéleven om een gezonde levensstijl mogelijk te maken. </w:t>
      </w:r>
    </w:p>
    <w:p>
      <w:pPr>
        <w:pStyle w:val="Normal"/>
        <w:rPr/>
      </w:pPr>
      <w:r>
        <w:rPr/>
        <w:t xml:space="preserve"> </w:t>
      </w:r>
    </w:p>
    <w:p>
      <w:pPr>
        <w:pStyle w:val="Normal"/>
        <w:rPr/>
      </w:pPr>
      <w:r>
        <w:rPr/>
        <w:t xml:space="preserve">Wij bevelen deze maatregel aan, omdat de harmonisatie van de levensstandaard in de Unie de economische vooruitgang in de hele Unie zal verbeteren en tot een eengemaakte Europese Unie zal leiden. Dit is een belangrijke indicator voor de verdere integratie van de Unie. Hoewel sommige van deze mechanismen al bestaan, zijn we van mening dat ze nog kunnen worden verbeterd. </w:t>
      </w:r>
    </w:p>
    <w:p>
      <w:pPr>
        <w:pStyle w:val="Normal"/>
        <w:rPr/>
      </w:pPr>
      <w:r>
        <w:rPr/>
        <w:t xml:space="preserve"> </w:t>
      </w:r>
    </w:p>
    <w:p>
      <w:pPr>
        <w:pStyle w:val="P68B1DB1Normal15"/>
        <w:rPr>
          <w:b/>
          <w:b/>
        </w:rPr>
      </w:pPr>
      <w:r>
        <w:rPr/>
        <w:t xml:space="preserve">22. „We raden aan om voor alle lidstaten een gemeenschappelijke basis op basis van een reeks economische en levenskwaliteitsindicatoren vast te stellen om gelijke kansen te bieden en iedereen op gelijke voet te plaatsen om een gemeenschappelijke economische structuur tot stand te brengen. Het is van belang dat deze gemeenschappelijke basis wordt vastgesteld volgens een duidelijk en realistisch tijdschema dat de instellingen op aanbeveling van de deskundigen vaststellen. Deskundigen moeten ook worden geraadpleegd over de vorm van een dergelijke gemeenschappelijke economische structuur. Het is ook belangrijk dat de indicatoren waarop deze gemeenschappelijke basis is gebaseerd, nauwkeuriger worden gedefinieerd met behulp van deskundigen. </w:t>
      </w:r>
    </w:p>
    <w:p>
      <w:pPr>
        <w:pStyle w:val="Normal"/>
        <w:rPr/>
      </w:pPr>
      <w:r>
        <w:rPr/>
        <w:t xml:space="preserve"> </w:t>
      </w:r>
    </w:p>
    <w:p>
      <w:pPr>
        <w:pStyle w:val="Normal"/>
        <w:rPr/>
      </w:pPr>
      <w:r>
        <w:rPr/>
        <w:t xml:space="preserve">We raden dit aan, want als we een eerlijke Unie hebben, zullen we een meer verenigd Europa hebben. Om eerlijk te zijn, moeten we gelijke kansen en een gemeenschappelijke basis voor de hele Unie bieden. Het zal pas mogelijk zijn een gemeenschappelijke economische structuur tot stand te brengen zodra een gemeenschappelijke basis is vastgesteld. </w:t>
      </w:r>
    </w:p>
    <w:p>
      <w:pPr>
        <w:pStyle w:val="Normal"/>
        <w:rPr/>
      </w:pPr>
      <w:r>
        <w:rPr/>
        <w:t xml:space="preserve"> </w:t>
      </w:r>
    </w:p>
    <w:p>
      <w:pPr>
        <w:pStyle w:val="P68B1DB1Normal15"/>
        <w:rPr>
          <w:b/>
          <w:b/>
        </w:rPr>
      </w:pPr>
      <w:r>
        <w:rPr/>
        <w:t xml:space="preserve">23. We raden aan grote bedrijven en bedrijfsinkomsten te belasten om bij te dragen aan overheidsinvesteringen en belasting te gebruiken om te investeren in onderwijs en ontwikkeling in elk land (O &amp; O, beurzen — Erasmus, enz.). Het is ook belangrijk ervoor te zorgen dat belastingparadijzen in de EU worden afgeschaft.” </w:t>
      </w:r>
    </w:p>
    <w:p>
      <w:pPr>
        <w:pStyle w:val="Normal"/>
        <w:rPr/>
      </w:pPr>
      <w:r>
        <w:rPr/>
        <w:t xml:space="preserve"> </w:t>
      </w:r>
    </w:p>
    <w:p>
      <w:pPr>
        <w:pStyle w:val="Normal"/>
        <w:rPr/>
      </w:pPr>
      <w:r>
        <w:rPr/>
        <w:t xml:space="preserve">Wij bevelen deze maatregel aan omdat deze belastingontduiking en het creëren van belastingparadijzen zal helpen voorkomen en naleving zal bevorderen. </w:t>
      </w:r>
    </w:p>
    <w:p>
      <w:pPr>
        <w:pStyle w:val="Normal"/>
        <w:rPr/>
      </w:pPr>
      <w:r>
        <w:rPr/>
      </w:r>
    </w:p>
    <w:p>
      <w:pPr>
        <w:pStyle w:val="Titre3"/>
        <w:numPr>
          <w:ilvl w:val="2"/>
          <w:numId w:val="2"/>
        </w:numPr>
        <w:rPr/>
      </w:pPr>
      <w:bookmarkStart w:id="143" w:name="__RefHeading___Toc297221_1346298689"/>
      <w:bookmarkEnd w:id="143"/>
      <w:r>
        <w:rPr/>
        <w:t xml:space="preserve">As 4: Bouwen aan een Europese identiteit </w:t>
      </w:r>
    </w:p>
    <w:p>
      <w:pPr>
        <w:pStyle w:val="Normal"/>
        <w:rPr/>
      </w:pPr>
      <w:r>
        <w:rPr/>
        <w:t xml:space="preserve"> </w:t>
      </w:r>
    </w:p>
    <w:p>
      <w:pPr>
        <w:pStyle w:val="Titre4"/>
        <w:numPr>
          <w:ilvl w:val="3"/>
          <w:numId w:val="2"/>
        </w:numPr>
        <w:rPr/>
      </w:pPr>
      <w:bookmarkStart w:id="144" w:name="__RefHeading___Toc297223_1346298689"/>
      <w:bookmarkEnd w:id="144"/>
      <w:r>
        <w:rPr/>
        <w:t xml:space="preserve">Subas 4.1 Onderwijs voor democratie </w:t>
      </w:r>
    </w:p>
    <w:p>
      <w:pPr>
        <w:pStyle w:val="Normal"/>
        <w:rPr/>
      </w:pPr>
      <w:r>
        <w:rPr/>
        <w:t xml:space="preserve"> </w:t>
      </w:r>
    </w:p>
    <w:p>
      <w:pPr>
        <w:pStyle w:val="P68B1DB1Normal15"/>
        <w:rPr>
          <w:b/>
          <w:b/>
        </w:rPr>
      </w:pPr>
      <w:r>
        <w:rPr/>
        <w:t xml:space="preserve">24. Wij bevelen aan dat democratieonderwijs in de EU in alle lidstaten een minimumniveau van kennis verbetert en bereikt. Dit onderwijs moet betrekking hebben op, maar niet beperkt tot, democratische processen en algemene informatie over de Unie, die in alle EU-lidstaten moet worden onderwezen. Het moet worden verrijkt met een reeks verschillende concepten die gericht zijn op het onderwijzen van het democratische proces, dat aantrekkelijk en leeftijdsgeschikt moet zijn. </w:t>
      </w:r>
    </w:p>
    <w:p>
      <w:pPr>
        <w:pStyle w:val="Normal"/>
        <w:rPr/>
      </w:pPr>
      <w:r>
        <w:rPr/>
        <w:t xml:space="preserve"> </w:t>
      </w:r>
    </w:p>
    <w:p>
      <w:pPr>
        <w:pStyle w:val="Normal"/>
        <w:rPr/>
      </w:pPr>
      <w:r>
        <w:rPr/>
        <w:t xml:space="preserve">Deze aanbeveling en de redenen daarvoor zijn belangrijk omdat zij, indien zij ten uitvoer wordt gelegd, zullen leiden tot een meer harmonieus en democratisch leven in de Unie. De rechtvaardigingsgronden zijn als volgt: jongeren zouden worden opgeleid in democratische processen; dit onderwijs kan populisme en desinformatie in het publieke debat beperken; het zou discriminatie kunnen verminderen; en ten slotte zou het mogelijk maken burgers op te leiden en te mobiliseren voor democratie die verder gaat dan hun eenvoudige plicht om te stemmen. </w:t>
      </w:r>
    </w:p>
    <w:p>
      <w:pPr>
        <w:pStyle w:val="Normal"/>
        <w:rPr/>
      </w:pPr>
      <w:r>
        <w:rPr/>
        <w:t xml:space="preserve"> </w:t>
      </w:r>
    </w:p>
    <w:p>
      <w:pPr>
        <w:pStyle w:val="P68B1DB1Normal15"/>
        <w:rPr>
          <w:b/>
          <w:b/>
        </w:rPr>
      </w:pPr>
      <w:r>
        <w:rPr/>
        <w:t xml:space="preserve">25. „Wij bevelen aan bestaande en opkomende vertaaltechnologieën, zoals kunstmatige intelligentie, verder te ontwikkelen, te verbeteren en toegankelijker te maken om taalbarrières te verminderen en de gemeenschappelijke identiteit en democratie in de EU te versterken.” </w:t>
      </w:r>
    </w:p>
    <w:p>
      <w:pPr>
        <w:pStyle w:val="Normal"/>
        <w:rPr/>
      </w:pPr>
      <w:r>
        <w:rPr/>
        <w:t xml:space="preserve"> </w:t>
      </w:r>
    </w:p>
    <w:p>
      <w:pPr>
        <w:pStyle w:val="Normal"/>
        <w:rPr/>
      </w:pPr>
      <w:r>
        <w:rPr/>
        <w:t xml:space="preserve">Deze aanbeveling en de redenen daarvoor zijn belangrijk omdat zij, indien zij ten uitvoer wordt gelegd, zullen bijdragen tot de opbouw van een gemeenschappelijke Europese identiteit door de communicatie tussen de burgers van alle lidstaten te verbeteren. </w:t>
      </w:r>
    </w:p>
    <w:p>
      <w:pPr>
        <w:pStyle w:val="Normal"/>
        <w:rPr/>
      </w:pPr>
      <w:r>
        <w:rPr/>
        <w:t xml:space="preserve"> </w:t>
      </w:r>
    </w:p>
    <w:p>
      <w:pPr>
        <w:pStyle w:val="P68B1DB1Normal15"/>
        <w:rPr>
          <w:b/>
          <w:b/>
        </w:rPr>
      </w:pPr>
      <w:r>
        <w:rPr/>
        <w:t xml:space="preserve">26. Wij raden aan dat verifieerbare informatie gemakkelijk toegankelijk wordt gemaakt, in begrijpelijke bewoordingen, voor burgers via een mobiele app, teneinde de transparantie, het publieke debat en de democratie te verbeteren. Deze toepassing kan worden gebruikt om informatie te verspreiden over bijvoorbeeld wetgeving, discussies binnen de EU, wijzigingen van de Verdragen, enz. </w:t>
      </w:r>
    </w:p>
    <w:p>
      <w:pPr>
        <w:pStyle w:val="Normal"/>
        <w:rPr/>
      </w:pPr>
      <w:r>
        <w:rPr/>
        <w:t xml:space="preserve"> </w:t>
      </w:r>
    </w:p>
    <w:p>
      <w:pPr>
        <w:pStyle w:val="Normal"/>
        <w:rPr/>
      </w:pPr>
      <w:r>
        <w:rPr/>
        <w:t xml:space="preserve">Deze aanbeveling en de redenen daarvoor zijn belangrijk omdat zij, indien zij ten uitvoer wordt gelegd, de communicatie zullen vergemakkelijken voor zover zij een beter geïnformeerd debat tussen de burgers van de verschillende lidstaten mogelijk maakt, door middel van een aanvraag die veel verschillende functies kan hebben. Deze toepassing moet zodanig zijn ontworpen dat zij voor iedereen interessant kan zijn en in staat is om nog meer nieuwsgierigheid aan te trekken en technische informatie toegankelijker en aantrekkelijker te maken. De aanvraag moet worden gezien als een aanvullende bron, die informatie verspreidt die officieel rechtstreeks door de Unie is geverifieerd om het vertrouwen en de transparantie in het publieke debat te verbeteren en bij te dragen tot de opbouw van een gemeenschappelijke Europese identiteit. </w:t>
      </w:r>
    </w:p>
    <w:p>
      <w:pPr>
        <w:pStyle w:val="Normal"/>
        <w:rPr/>
      </w:pPr>
      <w:r>
        <w:rPr/>
      </w:r>
    </w:p>
    <w:p>
      <w:pPr>
        <w:pStyle w:val="Titre4"/>
        <w:numPr>
          <w:ilvl w:val="3"/>
          <w:numId w:val="2"/>
        </w:numPr>
        <w:rPr/>
      </w:pPr>
      <w:bookmarkStart w:id="145" w:name="__RefHeading___Toc297225_1346298689"/>
      <w:bookmarkEnd w:id="145"/>
      <w:r>
        <w:rPr/>
        <w:t xml:space="preserve">Subas 4.2 Europese waarden en identiteit </w:t>
      </w:r>
    </w:p>
    <w:p>
      <w:pPr>
        <w:pStyle w:val="Normal"/>
        <w:rPr/>
      </w:pPr>
      <w:r>
        <w:rPr/>
        <w:t xml:space="preserve"> </w:t>
      </w:r>
    </w:p>
    <w:p>
      <w:pPr>
        <w:pStyle w:val="P68B1DB1Normal15"/>
        <w:rPr>
          <w:b/>
          <w:b/>
        </w:rPr>
      </w:pPr>
      <w:r>
        <w:rPr/>
        <w:t xml:space="preserve">27. „Wij bevelen de EU aan een speciaal fonds op te richten voor online en offline interacties (d.w.z. uitwisselingsprogramma’s, panels, vergaderingen) van korte en lange duur tussen EU-burgers, teneinde de Europese identiteit te versterken. Deelnemers moeten representatief zijn voor de samenleving binnen de Unie, met inbegrip van groepen die op gerichte wijze worden geselecteerd op basis van verschillende criteria, d.w.z. demografische, sociaaleconomische en beroepscriteria. De doelstellingen van dit fonds moeten duidelijk worden vermeld om de Europese identiteit te bevorderen, en dit fonds moet regelmatig worden geëvalueerd. </w:t>
      </w:r>
    </w:p>
    <w:p>
      <w:pPr>
        <w:pStyle w:val="Normal"/>
        <w:rPr/>
      </w:pPr>
      <w:r>
        <w:rPr/>
        <w:t xml:space="preserve"> </w:t>
      </w:r>
    </w:p>
    <w:p>
      <w:pPr>
        <w:pStyle w:val="Normal"/>
        <w:rPr/>
      </w:pPr>
      <w:r>
        <w:rPr/>
        <w:t xml:space="preserve">We raden dit aan, omdat dit soort interactie burgers in staat stelt ideeën te delen en langere uitwisselingen hen in staat stellen om verschillende culturen te begrijpen en ervaringen te delen, waaronder professionele praktijken. Er is behoefte aan een EU-fonds, aangezien het belangrijk is dat iedereen kan deelnemen, ook degenen die gewoonlijk niet deelnemen. </w:t>
      </w:r>
    </w:p>
    <w:p>
      <w:pPr>
        <w:pStyle w:val="Normal"/>
        <w:rPr/>
      </w:pPr>
      <w:r>
        <w:rPr/>
        <w:t xml:space="preserve"> </w:t>
      </w:r>
    </w:p>
    <w:p>
      <w:pPr>
        <w:pStyle w:val="P68B1DB1Normal15"/>
        <w:rPr>
          <w:b/>
          <w:b/>
        </w:rPr>
      </w:pPr>
      <w:r>
        <w:rPr/>
        <w:t xml:space="preserve">28. „Wij bevelen de EU aan snel te investeren in de strijd tegen desinformatie, bestaande organisaties en initiatieven te ondersteunen, zoals de praktijkcode inzake desinformatie en het Europees Waarnemingscentrum voor digitale media, en vergelijkbare initiatieven in de lidstaten. Er kunnen verschillende tegenmaatregelen worden genomen: de verificatie van feiten, het bewustzijn van desinformatie, de productie van gemakkelijk toegankelijke statistieken, het opleggen van passende sancties in het kader van een rechtskader aan degenen die desinformatie verspreiden, en de bestrijding van bronnen van desinformatie. </w:t>
      </w:r>
    </w:p>
    <w:p>
      <w:pPr>
        <w:pStyle w:val="Normal"/>
        <w:rPr/>
      </w:pPr>
      <w:r>
        <w:rPr/>
        <w:t xml:space="preserve"> </w:t>
      </w:r>
    </w:p>
    <w:p>
      <w:pPr>
        <w:pStyle w:val="Normal"/>
        <w:rPr/>
      </w:pPr>
      <w:r>
        <w:rPr/>
        <w:t xml:space="preserve">Deze aanbeveling is belangrijk omdat desinformatie en desinformatie, van binnen en buiten de EU, tot gevolg hebben dat conflicten tussen EU-burgers ontstaan, de samenleving wordt gepolariseerd, de democratie in gevaar wordt gebracht en de economie wordt geharmoniseerd. Gezien de complexiteit van het onderwerp zijn aanzienlijke personele en financiële middelen nodig. </w:t>
      </w:r>
    </w:p>
    <w:p>
      <w:pPr>
        <w:pStyle w:val="Normal"/>
        <w:rPr/>
      </w:pPr>
      <w:r>
        <w:rPr/>
        <w:t xml:space="preserve"> </w:t>
      </w:r>
    </w:p>
    <w:p>
      <w:pPr>
        <w:pStyle w:val="P68B1DB1Normal15"/>
        <w:rPr>
          <w:b/>
          <w:b/>
        </w:rPr>
      </w:pPr>
      <w:r>
        <w:rPr/>
        <w:t xml:space="preserve">29. „Wij raden aan 1) de frequentie van online- en offline interacties tussen de Unie en haar burgers te verhogen (d.w.z. door burgers rechtstreeks te interviewen over Europese kwesties en door een gebruiksvriendelijk platform op te zetten om ervoor te zorgen dat elke burger kan communiceren met EU-instellingen en -ambtenaren); en 2) ervoor te zorgen dat burgers kunnen deelnemen aan het EU-beleidsproces, hun mening kunnen uiten en feedback kunnen krijgen, en we raden aan een handvest of gedragscode of richtsnoeren voor EU-ambtenaren op te stellen. Er moeten verschillende manieren van interactie bestaan, zodat elke burger kan deelnemen. </w:t>
      </w:r>
    </w:p>
    <w:p>
      <w:pPr>
        <w:pStyle w:val="Normal"/>
        <w:rPr/>
      </w:pPr>
      <w:r>
        <w:rPr/>
        <w:t xml:space="preserve"> </w:t>
      </w:r>
    </w:p>
    <w:p>
      <w:pPr>
        <w:pStyle w:val="Normal"/>
        <w:rPr/>
      </w:pPr>
      <w:r>
        <w:rPr/>
        <w:t xml:space="preserve">We raden deze maatregel aan omdat er verschillende manieren zijn om contact op te nemen met de Europese instellingen (onlineplatforms, representatieve organen), maar ze zijn niet bekend, niet effectief en niet transparant. De toegankelijkheid verschilt sterk van land tot land. Frequentere en betere interacties zullen leiden tot een gevoel van eigendom van het Europees burgerschap. </w:t>
      </w:r>
    </w:p>
    <w:p>
      <w:pPr>
        <w:pStyle w:val="Normal"/>
        <w:rPr/>
      </w:pPr>
      <w:r>
        <w:rPr/>
        <w:t xml:space="preserve"> </w:t>
      </w:r>
    </w:p>
    <w:p>
      <w:pPr>
        <w:pStyle w:val="P68B1DB1Normal15"/>
        <w:rPr>
          <w:b/>
          <w:b/>
        </w:rPr>
      </w:pPr>
      <w:r>
        <w:rPr/>
        <w:t xml:space="preserve">30. Wij bevelen aan dat de Europese identiteit en waarden (d.w.z. de rechtsstaat, democratie en solidariteit) een bijzondere rol spelen in het integratieproces van migranten. Er kunnen verschillende maatregelen worden overwogen, zoals het opzetten van programma’s of de ondersteuning van reeds bestaande (lokale) programma’s, om sociale interacties tussen migranten en EU-burgers aan te moedigen, of de deelname van bedrijven aan programma’s ter ondersteuning van de integratie van migranten. Tegelijkertijd moeten soortgelijke programma’s worden gelanceerd om EU-burgers bewuster te maken van migratiegerelateerde kwesties. </w:t>
      </w:r>
    </w:p>
    <w:p>
      <w:pPr>
        <w:pStyle w:val="Normal"/>
        <w:rPr/>
      </w:pPr>
      <w:r>
        <w:rPr/>
        <w:t xml:space="preserve"> </w:t>
      </w:r>
    </w:p>
    <w:p>
      <w:pPr>
        <w:pStyle w:val="Normal"/>
        <w:rPr/>
      </w:pPr>
      <w:r>
        <w:rPr/>
        <w:t xml:space="preserve">Deze aanbeveling is belangrijk, aangezien sociale interactieprogramma’s migranten in hun nieuwe leven kunnen helpen en niet-migranten in staat kunnen stellen het dagelijkse leven van migranten beter te begrijpen. Als migranten in getto’s leven, is er geen mogelijkheid om ze op nationaal of EU-niveau in de samenleving te integreren. Een gemeenschappelijk beleid is noodzakelijk, want zodra migranten het grondgebied van de Unie binnenkomen, kunnen ze naar alle EU-landen gaan. Lokale initiatieven moeten worden ondersteund, aangezien lokale overheden de middelen effectiever zullen gebruiken dan op nationaal niveau. </w:t>
      </w:r>
    </w:p>
    <w:p>
      <w:pPr>
        <w:pStyle w:val="Normal"/>
        <w:rPr/>
      </w:pPr>
      <w:r>
        <w:rPr/>
        <w:t xml:space="preserve"> </w:t>
      </w:r>
    </w:p>
    <w:p>
      <w:pPr>
        <w:pStyle w:val="Titre4"/>
        <w:numPr>
          <w:ilvl w:val="3"/>
          <w:numId w:val="2"/>
        </w:numPr>
        <w:rPr/>
      </w:pPr>
      <w:bookmarkStart w:id="146" w:name="__RefHeading___Toc297227_1346298689"/>
      <w:bookmarkEnd w:id="146"/>
      <w:r>
        <w:rPr/>
        <w:t xml:space="preserve">Subas 4.3 EU-informatie </w:t>
      </w:r>
    </w:p>
    <w:p>
      <w:pPr>
        <w:pStyle w:val="Normal"/>
        <w:rPr/>
      </w:pPr>
      <w:r>
        <w:rPr/>
        <w:t xml:space="preserve"> </w:t>
      </w:r>
    </w:p>
    <w:p>
      <w:pPr>
        <w:pStyle w:val="P68B1DB1Normal15"/>
        <w:rPr>
          <w:b/>
          <w:b/>
        </w:rPr>
      </w:pPr>
      <w:r>
        <w:rPr/>
        <w:t xml:space="preserve">31. „We raden de EU aan de Europese burgers beter te informeren. Daartoe moet de Unie alle nodige middelen gebruiken met inachtneming van de vrijheid en onafhankelijkheid van de media. Het moet de media voorzien van algemene en betrouwbare middelen en informatie over de activiteiten en het beleid van de Unie. De Unie moet ervoor zorgen dat de informatie in alle lidstaten op gelijke wijze wordt verspreid via nationale en Europese media en ervoor zorgt dat de lidstaten openbare omroepen en openbare nieuwsagentschappen aanmoedigen om Europese kwesties aan te pakken.” </w:t>
      </w:r>
    </w:p>
    <w:p>
      <w:pPr>
        <w:pStyle w:val="Normal"/>
        <w:rPr/>
      </w:pPr>
      <w:r>
        <w:rPr/>
      </w:r>
    </w:p>
    <w:p>
      <w:pPr>
        <w:pStyle w:val="Normal"/>
        <w:rPr/>
      </w:pPr>
      <w:r>
        <w:rPr/>
        <w:t xml:space="preserve">Wij raden dit aan omdat, in onze persoonlijke ervaring en volgens Eurobarometer-gegevens, de meerderheid van de Europese burgers wordt geïnformeerd door de mainstream media (pers, radio en televisie) en deze kanalen bieden momenteel zeer weinig informatie over de EU. De media, met inbegrip van de publieke media, hebben een openbare dienstfunctie. Het is daarom van essentieel belang om de Europese bevolking aan te pakken om deze functie te vervullen. Wij bevelen aan dat de in de verschillende lidstaten verspreide EU-informatie dezelfde is om de integratie te bevorderen en we raden aan om in elk land uiteenlopende informatie over verschillende kwesties te vermijden. Het is handiger en goedkoper om bestaande mediakanalen te gebruiken dan om een nieuw kanaal te creëren, voor hetzelfde resultaat. Bestaande kanalen hebben ook het voordeel dat burgers al bekend zijn. Geen enkele burger hoeft te kiezen tussen verschillende kanalen om toegang te krijgen tot verschillende inhoud (nationaal of Europees). </w:t>
      </w:r>
    </w:p>
    <w:p>
      <w:pPr>
        <w:pStyle w:val="Normal"/>
        <w:rPr/>
      </w:pPr>
      <w:r>
        <w:rPr/>
        <w:t xml:space="preserve"> </w:t>
      </w:r>
    </w:p>
    <w:p>
      <w:pPr>
        <w:pStyle w:val="P68B1DB1Normal15"/>
        <w:rPr>
          <w:b/>
          <w:b/>
        </w:rPr>
      </w:pPr>
      <w:r>
        <w:rPr/>
        <w:t xml:space="preserve">32. „Wij bevelen de EU aan meertalige onlinefora en offlinebijeenkomsten op te richten en te bevorderen, zodat burgers een debat kunnen voeren met vertegenwoordigers van de EU, ongeacht het onderwerp en de geografische reikwijdte van de aan de orde gestelde kwestie. De antwoorden op de vragen die op deze onlineforums en offlinevergaderingen worden gesteld, moeten binnen een duidelijk gedefinieerd kort tijdsbestek worden verstrekt. Alle informatie met betrekking tot deze ruimten moet worden gecentraliseerd op een geïntegreerde officiële website met verschillende functies, zoals een ruimte voor veelgestelde vragen, de mogelijkheid om ideeën, voorstellen of zorgen met andere burgers te delen, en een mechanisme om aan te geven welke informatie het meest wordt ondersteund. In ieder geval moet de toegang tot deze site eenvoudig en niet-bureaucratische taal worden gebruikt. </w:t>
      </w:r>
    </w:p>
    <w:p>
      <w:pPr>
        <w:pStyle w:val="Normal"/>
        <w:rPr/>
      </w:pPr>
      <w:r>
        <w:rPr/>
        <w:t xml:space="preserve"> </w:t>
      </w:r>
    </w:p>
    <w:p>
      <w:pPr>
        <w:pStyle w:val="Normal"/>
        <w:rPr/>
      </w:pPr>
      <w:r>
        <w:rPr/>
        <w:t xml:space="preserve">We raden dit aan omdat het een manier is om een directe brug te slaan tussen Europese burgers en Europese vertegenwoordigers om samen te spreken en samen te werken, om burgers gemakkelijk toegang te geven tot informatie over de Unie en hen beter te informeren over de reeds beschikbare informatie. Dit zal een transparantere en openre Unie tot stand brengen en burgers helpen hun problemen en reflecties te delen en beleidsreacties en oplossingen te ontvangen, en burgers in staat stellen hun perspectieven en ervaringen met andere burgers te delen. </w:t>
      </w:r>
    </w:p>
    <w:p>
      <w:pPr>
        <w:pStyle w:val="Normal"/>
        <w:rPr/>
      </w:pPr>
      <w:r>
        <w:rPr/>
        <w:t xml:space="preserve"> </w:t>
      </w:r>
    </w:p>
    <w:p>
      <w:pPr>
        <w:pStyle w:val="Normal"/>
        <w:rPr>
          <w:b/>
          <w:b/>
        </w:rPr>
      </w:pPr>
      <w:r>
        <w:rPr>
          <w:b/>
        </w:rPr>
        <w:t xml:space="preserve">33. </w:t>
      </w:r>
      <w:commentRangeStart w:id="4"/>
      <w:r>
        <w:rPr>
          <w:b/>
        </w:rPr>
        <w:t>„</w:t>
      </w:r>
      <w:r>
        <w:rPr>
          <w:b/>
          <w:i/>
        </w:rPr>
        <w:t>Wij raden de EU-instellingen en vertegenwoordigers aan om meer toegankelijke taal te gebruiken en bureaucratische termen in hun communicatie te vermijden, met behoud van de kwaliteit en het technische niveau van de verstrekte informatie.</w:t>
      </w:r>
      <w:r>
        <w:rPr>
          <w:b/>
        </w:rPr>
        <w:t xml:space="preserve"> </w:t>
      </w:r>
      <w:r>
        <w:rPr>
          <w:b/>
        </w:rPr>
      </w:r>
      <w:commentRangeEnd w:id="4"/>
      <w:r>
        <w:commentReference w:id="4"/>
      </w:r>
      <w:r>
        <w:rPr>
          <w:b/>
        </w:rPr>
        <w:t xml:space="preserve">De Unie moet ook de informatie die zij verstrekt aan burgers via verschillende communicatiekanalen en verschillende doelgroepen (bv. kranten, televisie, sociale media) aanpassen. De EU moet bijzondere inspanningen leveren om de communicatie aan te passen aan digitale media om haar capaciteit om jongeren te bereiken te vergroten.” </w:t>
      </w:r>
    </w:p>
    <w:p>
      <w:pPr>
        <w:pStyle w:val="Normal"/>
        <w:rPr/>
      </w:pPr>
      <w:r>
        <w:rPr/>
        <w:t xml:space="preserve"> </w:t>
      </w:r>
    </w:p>
    <w:p>
      <w:pPr>
        <w:pStyle w:val="Normal"/>
        <w:rPr/>
      </w:pPr>
      <w:r>
        <w:rPr/>
        <w:t xml:space="preserve">Wij bevelen deze maatregel aan, aangezien het beschikken over begrijpelijke informatie de Unie in staat zal stellen meer Europese burgers te bereiken en niet alleen degenen die erbij betrokken zijn. Met nieuwe moderne instrumenten om zich op specifieke doelgroepen te richten, zullen burgers een beter inzicht krijgen in de activiteiten en het beleid van de EU, met name jongeren die zich niet dicht bij de EU voelen of zich niet gehecht voelen aan de EU. </w:t>
      </w:r>
    </w:p>
    <w:p>
      <w:pPr>
        <w:pStyle w:val="Normal"/>
        <w:rPr/>
      </w:pPr>
      <w:r>
        <w:rPr/>
      </w:r>
    </w:p>
    <w:p>
      <w:pPr>
        <w:pStyle w:val="Titre3"/>
        <w:numPr>
          <w:ilvl w:val="2"/>
          <w:numId w:val="2"/>
        </w:numPr>
        <w:rPr/>
      </w:pPr>
      <w:bookmarkStart w:id="147" w:name="__RefHeading___Toc297229_1346298689"/>
      <w:bookmarkEnd w:id="147"/>
      <w:r>
        <w:rPr/>
        <w:t xml:space="preserve">As 5: Versterking van de participatie van de burgers </w:t>
      </w:r>
    </w:p>
    <w:p>
      <w:pPr>
        <w:pStyle w:val="Normal"/>
        <w:rPr/>
      </w:pPr>
      <w:r>
        <w:rPr/>
        <w:t xml:space="preserve"> </w:t>
      </w:r>
    </w:p>
    <w:p>
      <w:pPr>
        <w:pStyle w:val="Titre4"/>
        <w:numPr>
          <w:ilvl w:val="3"/>
          <w:numId w:val="2"/>
        </w:numPr>
        <w:rPr/>
      </w:pPr>
      <w:bookmarkStart w:id="148" w:name="__RefHeading___Toc297231_1346298689"/>
      <w:bookmarkEnd w:id="148"/>
      <w:r>
        <w:rPr/>
        <w:t xml:space="preserve">Subas 5.1 Burgerparticipatie </w:t>
      </w:r>
    </w:p>
    <w:p>
      <w:pPr>
        <w:pStyle w:val="Normal"/>
        <w:rPr/>
      </w:pPr>
      <w:r>
        <w:rPr/>
        <w:t xml:space="preserve"> </w:t>
      </w:r>
    </w:p>
    <w:p>
      <w:pPr>
        <w:pStyle w:val="P68B1DB1Normal15"/>
        <w:rPr>
          <w:b/>
          <w:b/>
        </w:rPr>
      </w:pPr>
      <w:r>
        <w:rPr/>
        <w:t xml:space="preserve">34. „Wij bevelen aan dat onafhankelijke waarnemers van burgers aanwezig zijn in alle besluitvormingsprocessen van de EU. Er moet een permanent forum of een permanent orgaan van burgervertegenwoordigers zijn, dat verantwoordelijk zou zijn voor de verspreiding van relevante en belangrijke informatie onder alle burgers van de Unie die als zodanig zijn gedefinieerd. Deze burgers zouden met alle andere Europese burgers een top-down-/bottom-upbenadering volgen, die de dialoog tussen burgers en EU-instellingen verder zou ontwikkelen.” </w:t>
      </w:r>
    </w:p>
    <w:p>
      <w:pPr>
        <w:pStyle w:val="Normal"/>
        <w:rPr/>
      </w:pPr>
      <w:r>
        <w:rPr/>
        <w:t xml:space="preserve"> </w:t>
      </w:r>
    </w:p>
    <w:p>
      <w:pPr>
        <w:pStyle w:val="Normal"/>
        <w:rPr/>
      </w:pPr>
      <w:r>
        <w:rPr/>
        <w:t xml:space="preserve">De burgers verdienen het natuurlijk om op de hoogte te worden gehouden van alle kwesties, en het is belangrijk om ervoor te zorgen dat politici sommige van de kwesties die zij liever negeren, niet over het hoofd kunnen zien. Een dergelijke maatregel zou de kloof tussen burgers en gekozen vertegenwoordigers overbruggen door nieuwe wegen van vertrouwen in te stellen. </w:t>
      </w:r>
    </w:p>
    <w:p>
      <w:pPr>
        <w:pStyle w:val="Normal"/>
        <w:rPr/>
      </w:pPr>
      <w:r>
        <w:rPr/>
        <w:t xml:space="preserve"> </w:t>
      </w:r>
    </w:p>
    <w:p>
      <w:pPr>
        <w:pStyle w:val="P68B1DB1Normal15"/>
        <w:rPr>
          <w:b/>
          <w:b/>
        </w:rPr>
      </w:pPr>
      <w:r>
        <w:rPr/>
        <w:t xml:space="preserve"> </w:t>
      </w:r>
      <w:r>
        <w:rPr/>
        <w:t xml:space="preserve">35. „Wij bevelen de Unie aan de discussie over de grondwet van Europa te heropenen met het oog op de opstelling van een grondwet die geïnspireerd is door de burgers van de Unie. Burgers moeten voor een dergelijke grondwet kunnen stemmen. Om conflicten met de lidstaten te voorkomen, moeten de waarden van mensenrechten en democratie als prioriteit in deze grondwet worden opgenomen. Bij het opstellen van een dergelijke grondwet moet rekening worden gehouden met eerdere inspanningen die nooit tot een grondwet hebben geleid. </w:t>
      </w:r>
    </w:p>
    <w:p>
      <w:pPr>
        <w:pStyle w:val="Normal"/>
        <w:rPr/>
      </w:pPr>
      <w:r>
        <w:rPr/>
        <w:t xml:space="preserve"> </w:t>
      </w:r>
    </w:p>
    <w:p>
      <w:pPr>
        <w:pStyle w:val="Normal"/>
        <w:rPr/>
      </w:pPr>
      <w:r>
        <w:rPr/>
        <w:t xml:space="preserve">Omdat deze grondwet jongeren zou betrekken bij de politiek op EU-niveau en de krachten van het nationalisme die terrein winnen zou dwarsbomen. Het zou een gemeenschappelijke definitie geven van wat democratie in Europa is en in alle lidstaten gelijk zal worden toegepast. Omdat de EU gemeenschappelijke waarden op het gebied van democratie en mensenrechten deelt. Omdat de burgers de kans krijgen om bij het besluitvormingsproces te worden betrokken en zich meer met de Unie te identificeren door aan dat proces deel te nemen. </w:t>
      </w:r>
    </w:p>
    <w:p>
      <w:pPr>
        <w:pStyle w:val="Normal"/>
        <w:rPr/>
      </w:pPr>
      <w:r>
        <w:rPr/>
        <w:t xml:space="preserve"> </w:t>
      </w:r>
    </w:p>
    <w:p>
      <w:pPr>
        <w:pStyle w:val="P68B1DB1Normal15"/>
        <w:rPr>
          <w:b/>
          <w:b/>
        </w:rPr>
      </w:pPr>
      <w:r>
        <w:rPr/>
        <w:t xml:space="preserve">36. We raden politici aan om meer verantwoording af te leggen over hoe ze de burgers vertegenwoordigen die hen hebben gekozen. Vooral jongeren zijn bijzonder los van de politiek en worden niet serieus genomen wanneer ze deelnemen. Maar desinteresse is een universeel probleem en mensen van alle leeftijden moeten meer betrokken zijn dan ze nu zijn. </w:t>
      </w:r>
    </w:p>
    <w:p>
      <w:pPr>
        <w:pStyle w:val="Normal"/>
        <w:rPr/>
      </w:pPr>
      <w:r>
        <w:rPr/>
        <w:t xml:space="preserve"> </w:t>
      </w:r>
    </w:p>
    <w:p>
      <w:pPr>
        <w:pStyle w:val="Normal"/>
        <w:rPr/>
      </w:pPr>
      <w:r>
        <w:rPr/>
        <w:t xml:space="preserve">De definitie van democratie moet worden geactualiseerd. We moeten onthouden wat democratie werkelijk is. Omdat jongeren genoeg hebben gehad en gedesillusioneerd zijn door de politici die ze zien als elites die hun mening niet delen. Daarom moeten burgers op een originele en aantrekkelijke manier betrokken zijn. Het onderwijssysteem, sociale media en alle andere vormen van media kunnen deze rol gedurende de hele levenscyclus en in alle talen vervullen. </w:t>
      </w:r>
    </w:p>
    <w:p>
      <w:pPr>
        <w:pStyle w:val="Normal"/>
        <w:rPr/>
      </w:pPr>
      <w:r>
        <w:rPr/>
        <w:t xml:space="preserve"> </w:t>
      </w:r>
    </w:p>
    <w:p>
      <w:pPr>
        <w:pStyle w:val="Titre4"/>
        <w:numPr>
          <w:ilvl w:val="3"/>
          <w:numId w:val="2"/>
        </w:numPr>
        <w:rPr/>
      </w:pPr>
      <w:bookmarkStart w:id="149" w:name="__RefHeading___Toc297233_1346298689"/>
      <w:bookmarkEnd w:id="149"/>
      <w:r>
        <w:rPr/>
        <w:t xml:space="preserve">Subas 5.2 Participatie van de burger </w:t>
      </w:r>
    </w:p>
    <w:p>
      <w:pPr>
        <w:pStyle w:val="Normal"/>
        <w:rPr/>
      </w:pPr>
      <w:r>
        <w:rPr/>
        <w:t xml:space="preserve"> </w:t>
      </w:r>
    </w:p>
    <w:p>
      <w:pPr>
        <w:pStyle w:val="P68B1DB1Normal15"/>
        <w:rPr>
          <w:b/>
          <w:b/>
        </w:rPr>
      </w:pPr>
      <w:r>
        <w:rPr/>
        <w:t xml:space="preserve">37. „We raden de EU aan om op een assertievere manier dichter bij de burgers te komen. Daartoe moeten de lidstaten worden betrokken bij de bevordering van de deelname van de burgers aan de Unie. De Unie moet het gebruik van mechanismen voor burgerparticipatie bevorderen door commerciële en reclamecampagnes op te zetten. Nationale en lokale overheden moeten worden verplicht aan dit proces deel te nemen. De Unie moet zorgen voor de doeltreffendheid van platforms voor de participatiedemocratie.” </w:t>
      </w:r>
    </w:p>
    <w:p>
      <w:pPr>
        <w:pStyle w:val="Normal"/>
        <w:rPr/>
      </w:pPr>
      <w:r>
        <w:rPr/>
        <w:t xml:space="preserve"> </w:t>
      </w:r>
    </w:p>
    <w:p>
      <w:pPr>
        <w:pStyle w:val="Normal"/>
        <w:rPr/>
      </w:pPr>
      <w:r>
        <w:rPr/>
        <w:t xml:space="preserve">We raden dit aan omdat het reeds bestaande platform moet worden versterkt en effectiever moet worden gemaakt: er moet meer feedback komen van burgers naar de EU en vice versa. Er is niet genoeg discussie binnen de EU, zowel tussen burgers als tussen regeringen. Omdat burgers geen verzoekschriften indienen, hetzij omdat zij niet weten dat het mechanisme bestaat, of omdat zij geloven dat dergelijke verzoekschriften niet kunnen slagen. </w:t>
      </w:r>
    </w:p>
    <w:p>
      <w:pPr>
        <w:pStyle w:val="Normal"/>
        <w:rPr/>
      </w:pPr>
      <w:r>
        <w:rPr/>
        <w:t xml:space="preserve"> </w:t>
      </w:r>
    </w:p>
    <w:p>
      <w:pPr>
        <w:pStyle w:val="P68B1DB1Normal15"/>
        <w:rPr>
          <w:b/>
          <w:b/>
        </w:rPr>
      </w:pPr>
      <w:r>
        <w:rPr/>
        <w:t xml:space="preserve">38. „Wij bevelen de Unie aan curricula voor scholen op te stellen en uit te voeren over wat er in de EU wordt gedaan met betrekking tot participatiemechanismen. Dergelijke programma’s moeten worden geïntegreerd in de schoolcurricula over Europees burgerschap en ethiek, met inhoud die is aangepast aan de leeftijd van de leerlingen. Er moeten ook programma’s voor volwassenen zijn. Programma’s voor een leven lang leren moeten ter beschikking van de burgers worden gesteld om hun kennis van de mogelijkheden voor burgerparticipatie in de Unie te verdiepen.” </w:t>
      </w:r>
    </w:p>
    <w:p>
      <w:pPr>
        <w:pStyle w:val="Normal"/>
        <w:rPr/>
      </w:pPr>
      <w:r>
        <w:rPr/>
        <w:t xml:space="preserve"> </w:t>
      </w:r>
    </w:p>
    <w:p>
      <w:pPr>
        <w:pStyle w:val="Normal"/>
        <w:rPr/>
      </w:pPr>
      <w:r>
        <w:rPr/>
        <w:t xml:space="preserve">We raden deze maatregel aan omdat het belangrijk is voor de toekomst van onze kinderen. Burgers willen weten hoe ze hun stem kunnen uiten. Het is belangrijk dat zij de exacte mechanismen kennen en hoe ze kunnen worden gebruikt, zodat hun stem door de Unie wordt gehoord. Dit is belangrijk voor alle Europese burgers om op gelijke voet te worden geplaatst. Als Europese burgers moeten we weten hoe we onze rechten kunnen gebruiken. Als Europese burgers hebben wij het recht om deze informatie te kennen. </w:t>
      </w:r>
    </w:p>
    <w:p>
      <w:pPr>
        <w:pStyle w:val="Normal"/>
        <w:rPr/>
      </w:pPr>
      <w:r>
        <w:rPr/>
        <w:t xml:space="preserve"> </w:t>
      </w:r>
    </w:p>
    <w:p>
      <w:pPr>
        <w:pStyle w:val="Titre4"/>
        <w:numPr>
          <w:ilvl w:val="3"/>
          <w:numId w:val="2"/>
        </w:numPr>
        <w:rPr/>
      </w:pPr>
      <w:bookmarkStart w:id="150" w:name="__RefHeading___Toc297235_1346298689"/>
      <w:bookmarkEnd w:id="150"/>
      <w:r>
        <w:rPr/>
        <w:t xml:space="preserve">Subas 5.3 Participatie van de burger </w:t>
      </w:r>
    </w:p>
    <w:p>
      <w:pPr>
        <w:pStyle w:val="Normal"/>
        <w:rPr/>
      </w:pPr>
      <w:r>
        <w:rPr/>
        <w:t xml:space="preserve"> </w:t>
      </w:r>
    </w:p>
    <w:p>
      <w:pPr>
        <w:pStyle w:val="P68B1DB1Normal15"/>
        <w:rPr>
          <w:b/>
          <w:b/>
        </w:rPr>
      </w:pPr>
      <w:r>
        <w:rPr/>
        <w:t xml:space="preserve">39. Wij raden de Unie aan burgervergaderingen te organiseren. Wij raden ten zeerste aan dat ze worden ingevoerd onder een wettelijk bindende en dwingende wet- of regelgeving. Deze burgervergaderingen moeten om de 12 tot 18 maanden worden gehouden. De deelname van burgers mag niet verplicht zijn, maar moet worden aangemoedigd, terwijl ze worden georganiseerd op basis van beperkte mandaten. Deelnemers moeten willekeurig worden geselecteerd op basis van representativiteitscriteria. Zij mogen geen organisaties van welke aard dan ook vertegenwoordigen en mogen niet worden opgeroepen om deel te nemen vanwege hun professionele functie wanneer zij lid zijn van de vergadering. Indien nodig wordt door deskundigen steun verleend om ervoor te zorgen dat de leden van de vergadering over voldoende informatie beschikken om te beraadslagen. De besluitvorming zal in handen zijn van de burgers. De Unie moet ervoor zorgen dat politici zich inzetten voor de beslissingen die de burgers in burgervergaderingen nemen. Als voorstellen van burgers worden genegeerd of uitdrukkelijk afgewezen, moeten de Europese instellingen daarover verslag uitbrengen, met opgave van de redenen waarom dit besluit is genomen. </w:t>
      </w:r>
    </w:p>
    <w:p>
      <w:pPr>
        <w:pStyle w:val="Normal"/>
        <w:rPr/>
      </w:pPr>
      <w:r>
        <w:rPr/>
        <w:t xml:space="preserve"> </w:t>
      </w:r>
    </w:p>
    <w:p>
      <w:pPr>
        <w:pStyle w:val="Normal"/>
        <w:rPr/>
      </w:pPr>
      <w:r>
        <w:rPr/>
        <w:t xml:space="preserve">We raden de oprichting van burgervergaderingen aan, omdat we willen dat burgers zich dichter bij de Europese instellingen voelen en rechtstreeks bijdragen aan de besluitvorming, hand in hand met politici, om het gevoel van verbondenheid en directe doeltreffendheid te versterken. Daarnaast willen we dat politieke partijen verantwoording afleggen aan de burgers, met inbegrip van hun verkiezingsprogramma’s. </w:t>
      </w:r>
    </w:p>
    <w:p>
      <w:pPr>
        <w:pStyle w:val="Normal"/>
        <w:rPr/>
      </w:pPr>
      <w:r>
        <w:rPr/>
        <w:t xml:space="preserve"> </w:t>
      </w:r>
    </w:p>
    <w:p>
      <w:pPr>
        <w:pStyle w:val="Titre3"/>
        <w:numPr>
          <w:ilvl w:val="2"/>
          <w:numId w:val="2"/>
        </w:numPr>
        <w:rPr/>
      </w:pPr>
      <w:bookmarkStart w:id="151" w:name="__RefHeading___Toc297237_1346298689"/>
      <w:bookmarkEnd w:id="151"/>
      <w:r>
        <w:rPr/>
        <w:t xml:space="preserve">Bijlage: ANDERE AANBEVELINGEN DIE HET PANEL IN OVERWEGING HEEFT GENOMEN, MAAR NIET ZIJN AANGENOMEN </w:t>
      </w:r>
    </w:p>
    <w:p>
      <w:pPr>
        <w:pStyle w:val="Normal"/>
        <w:rPr/>
      </w:pPr>
      <w:r>
        <w:rPr/>
        <w:t xml:space="preserve"> </w:t>
      </w:r>
    </w:p>
    <w:p>
      <w:pPr>
        <w:pStyle w:val="Titre4"/>
        <w:numPr>
          <w:ilvl w:val="3"/>
          <w:numId w:val="2"/>
        </w:numPr>
        <w:rPr/>
      </w:pPr>
      <w:bookmarkStart w:id="152" w:name="__RefHeading___Toc297239_1346298689"/>
      <w:bookmarkEnd w:id="152"/>
      <w:r>
        <w:rPr/>
        <w:t xml:space="preserve">As 1: Waarborgen van rechten en non-discriminatie </w:t>
      </w:r>
    </w:p>
    <w:p>
      <w:pPr>
        <w:pStyle w:val="Normal"/>
        <w:rPr/>
      </w:pPr>
      <w:r>
        <w:rPr/>
        <w:t xml:space="preserve"> </w:t>
      </w:r>
    </w:p>
    <w:p>
      <w:pPr>
        <w:pStyle w:val="Normal"/>
        <w:rPr/>
      </w:pPr>
      <w:r>
        <w:rPr/>
        <w:t xml:space="preserve">Subas 1.1 Non-discriminatie/subas 1.2 Gendergelijkheid </w:t>
      </w:r>
    </w:p>
    <w:p>
      <w:pPr>
        <w:pStyle w:val="Normal"/>
        <w:rPr/>
      </w:pPr>
      <w:r>
        <w:rPr/>
        <w:t xml:space="preserve"> </w:t>
      </w:r>
    </w:p>
    <w:p>
      <w:pPr>
        <w:pStyle w:val="P68B1DB1Normal15"/>
        <w:rPr>
          <w:b/>
          <w:b/>
        </w:rPr>
      </w:pPr>
      <w:r>
        <w:rPr/>
        <w:t>„</w:t>
      </w:r>
      <w:r>
        <w:rPr/>
        <w:t xml:space="preserve">Wij bevelen de EU aan minderheden actief te betrekken bij de beleidsvorming over belangrijke aspecten van overheidsinstellingen (bv. politie en ngo’s). Wij raden de Unie aan een adviesraad op te richten, die rechtstreeks door minderheden wordt gekozen. Het moet voornamelijk bestaan uit vertegenwoordigers van minderheden, met inbegrip van vertegenwoordigers van ngo’s. Het zou een opleidingsrol moeten hebben om overheidsfunctionarissen bewust te maken van de behoeften van minderheden. Dit orgaan moet een veto hebben over minderheidskwesties. </w:t>
      </w:r>
    </w:p>
    <w:p>
      <w:pPr>
        <w:pStyle w:val="Normal"/>
        <w:rPr/>
      </w:pPr>
      <w:r>
        <w:rPr/>
        <w:t xml:space="preserve">We raden dit aan omdat de stemmen van minderheden onvoldoende worden gehoord. Zij moeten zich namens zichzelf, op zelfbepaalde wijze en op professioneel niveau uitdrukken; daarom hebben we vertegenwoordiging gecombineerd door middel van stemmen en expertise. </w:t>
      </w:r>
    </w:p>
    <w:p>
      <w:pPr>
        <w:pStyle w:val="Normal"/>
        <w:rPr/>
      </w:pPr>
      <w:r>
        <w:rPr/>
        <w:t xml:space="preserve"> </w:t>
      </w:r>
    </w:p>
    <w:p>
      <w:pPr>
        <w:pStyle w:val="Titre4"/>
        <w:numPr>
          <w:ilvl w:val="3"/>
          <w:numId w:val="2"/>
        </w:numPr>
        <w:rPr/>
      </w:pPr>
      <w:bookmarkStart w:id="153" w:name="__RefHeading___Toc297241_1346298689"/>
      <w:bookmarkEnd w:id="153"/>
      <w:r>
        <w:rPr/>
        <w:t xml:space="preserve">As 2: Bescherming van de democratie en de rechtsstaat </w:t>
      </w:r>
    </w:p>
    <w:p>
      <w:pPr>
        <w:pStyle w:val="Normal"/>
        <w:rPr/>
      </w:pPr>
      <w:r>
        <w:rPr/>
        <w:t xml:space="preserve"> </w:t>
      </w:r>
    </w:p>
    <w:p>
      <w:pPr>
        <w:pStyle w:val="Normal"/>
        <w:rPr/>
      </w:pPr>
      <w:r>
        <w:rPr/>
        <w:t xml:space="preserve">Subas 2.2 Bescherming en versterking van de democratie/subas 2.4 Media en desinformatie </w:t>
      </w:r>
    </w:p>
    <w:p>
      <w:pPr>
        <w:pStyle w:val="Normal"/>
        <w:rPr/>
      </w:pPr>
      <w:r>
        <w:rPr/>
        <w:t xml:space="preserve"> </w:t>
      </w:r>
    </w:p>
    <w:p>
      <w:pPr>
        <w:pStyle w:val="P68B1DB1Normal15"/>
        <w:rPr>
          <w:b/>
          <w:b/>
        </w:rPr>
      </w:pPr>
      <w:r>
        <w:rPr/>
        <w:t>„</w:t>
      </w:r>
      <w:r>
        <w:rPr/>
        <w:t xml:space="preserve">Wij bevelen de oprichting aan van een monitoringbureau voor audiovisuele, gedrukte en digitale media op Europees niveau. Dit agentschap moet nagaan of de nationale media bij de productie van hun inhoud een onpartijdig en objectief proces volgen. Om desinformatie te voorkomen, moet het Agentschap voorzien in een systeem voor de beoordeling van de betrouwbaarheid van de nationale media. Dit ratingsysteem moet voor burgers gemakkelijk te begrijpen zijn. </w:t>
      </w:r>
    </w:p>
    <w:p>
      <w:pPr>
        <w:pStyle w:val="Normal"/>
        <w:rPr/>
      </w:pPr>
      <w:r>
        <w:rPr/>
        <w:t xml:space="preserve"> </w:t>
      </w:r>
    </w:p>
    <w:p>
      <w:pPr>
        <w:pStyle w:val="Normal"/>
        <w:rPr/>
      </w:pPr>
      <w:r>
        <w:rPr/>
        <w:t xml:space="preserve">We raden dit aan omdat we een beoordeling van de media en hun betrouwbaarheid nodig hebben, maar ook de diversiteit van de media in de EU-landen. Een Europees agentschap zou het meest objectieve orgaan zijn om een dergelijke missie te waarborgen. Bovendien stelt een dergelijk ratingsysteem burgers in staat weloverwogen keuzes te maken en moedigt zij de media aan betrouwbare informatie te verstrekken. Indien het ratingsysteem onvoldoende blijkt om de betrouwbaarheid van de media te waarborgen, moet het agentschap ook de bevoegdheid krijgen om sancties op te leggen. </w:t>
      </w:r>
    </w:p>
    <w:p>
      <w:pPr>
        <w:pStyle w:val="Normal"/>
        <w:rPr/>
      </w:pPr>
      <w:r>
        <w:rPr/>
        <w:t xml:space="preserve"> </w:t>
      </w:r>
    </w:p>
    <w:p>
      <w:pPr>
        <w:pStyle w:val="Titre3"/>
        <w:numPr>
          <w:ilvl w:val="2"/>
          <w:numId w:val="2"/>
        </w:numPr>
        <w:rPr/>
      </w:pPr>
      <w:bookmarkStart w:id="154" w:name="__RefHeading___Toc297243_1346298689"/>
      <w:bookmarkEnd w:id="154"/>
      <w:r>
        <w:rPr/>
        <w:t xml:space="preserve">As 5: Versterking van de participatie van de burgers </w:t>
      </w:r>
    </w:p>
    <w:p>
      <w:pPr>
        <w:pStyle w:val="Normal"/>
        <w:rPr/>
      </w:pPr>
      <w:r>
        <w:rPr/>
        <w:t xml:space="preserve"> </w:t>
      </w:r>
    </w:p>
    <w:p>
      <w:pPr>
        <w:pStyle w:val="Titre4"/>
        <w:numPr>
          <w:ilvl w:val="3"/>
          <w:numId w:val="2"/>
        </w:numPr>
        <w:rPr/>
      </w:pPr>
      <w:r>
        <w:rPr/>
        <w:t xml:space="preserve">Subas 5.1 Burgerparticipatie </w:t>
      </w:r>
    </w:p>
    <w:p>
      <w:pPr>
        <w:pStyle w:val="Normal"/>
        <w:rPr/>
      </w:pPr>
      <w:r>
        <w:rPr/>
        <w:t xml:space="preserve"> </w:t>
      </w:r>
    </w:p>
    <w:p>
      <w:pPr>
        <w:pStyle w:val="P68B1DB1Normal15"/>
        <w:rPr>
          <w:b/>
          <w:b/>
        </w:rPr>
      </w:pPr>
      <w:r>
        <w:rPr/>
        <w:t>„</w:t>
      </w:r>
      <w:r>
        <w:rPr/>
        <w:t xml:space="preserve">Wij raden aan een vertegenwoordigend orgaan van de burgers op te richten om het besluitvormingsproces te bespreken en aanzienlijk bij te dragen — telkens wanneer op EU-niveau een belangrijke kwestie voor de Europese burgers wordt vastgesteld (volgens het besluit van de burgers — mogelijk door middel van een onderzoek). Dit zou een heterogene groep moeten zijn van ongeveer 100 burgers uit alle EU-landen, waarin elk land in gelijke mate vertegenwoordigd is. Het moet een roterende groep zijn, waarvan de leden regelmatig worden vervangen. </w:t>
      </w:r>
    </w:p>
    <w:p>
      <w:pPr>
        <w:pStyle w:val="Normal"/>
        <w:rPr/>
      </w:pPr>
      <w:r>
        <w:rPr/>
        <w:t xml:space="preserve"> </w:t>
      </w:r>
    </w:p>
    <w:p>
      <w:pPr>
        <w:pStyle w:val="Normal"/>
        <w:rPr/>
      </w:pPr>
      <w:r>
        <w:rPr/>
        <w:t xml:space="preserve">Omdat het belangrijk is om problemen als corruptie, die kunnen voortvloeien uit een permanent vertegenwoordigend orgaan, te vermijden, en het is van essentieel belang dat een dergelijk orgaan gelijke vertegenwoordiging van alle landen heeft om oneerlijke beslissingsbevoegdheid te vermijden. Omdat deze werkingswijze problemen in verband met de installatie of het constante gebruik van technologieën op afstand zou voorkomen. </w:t>
      </w:r>
    </w:p>
    <w:p>
      <w:pPr>
        <w:pStyle w:val="Normal"/>
        <w:rPr/>
      </w:pPr>
      <w:r>
        <w:rPr/>
        <w:t xml:space="preserve"> </w:t>
      </w:r>
      <w:r>
        <w:br w:type="page"/>
      </w:r>
    </w:p>
    <w:p>
      <w:pPr>
        <w:pStyle w:val="P68B1DB1Normal19"/>
        <w:rPr>
          <w:rFonts w:ascii="Times New Roman" w:hAnsi="Times New Roman"/>
          <w:color w:val="000000"/>
          <w:sz w:val="24"/>
        </w:rPr>
      </w:pPr>
      <w:r>
        <w:rPr/>
        <w:t xml:space="preserve"> </w:t>
      </w:r>
    </w:p>
    <w:p>
      <w:pPr>
        <w:pStyle w:val="Titre2"/>
        <w:numPr>
          <w:ilvl w:val="1"/>
          <w:numId w:val="2"/>
        </w:numPr>
        <w:rPr/>
      </w:pPr>
      <w:bookmarkStart w:id="155" w:name="__RefHeading___Toc297245_1346298689"/>
      <w:bookmarkEnd w:id="155"/>
      <w:r>
        <w:rPr/>
        <w:t xml:space="preserve">Europees burgerpanel 3: Klimaatverandering en milieu/gezondheid </w:t>
      </w:r>
    </w:p>
    <w:p>
      <w:pPr>
        <w:pStyle w:val="Normal"/>
        <w:rPr/>
      </w:pPr>
      <w:r>
        <w:rPr/>
        <w:t xml:space="preserve"> </w:t>
      </w:r>
    </w:p>
    <w:p>
      <w:pPr>
        <w:pStyle w:val="Normal"/>
        <w:rPr/>
      </w:pPr>
      <w:r>
        <w:rPr/>
        <w:t xml:space="preserve">AANBEVELINGEN AANGENOMEN DOOR HET PANEL (MOET AAN DE PLENAIRE VERGADERING WORDEN VOORGELEGD) </w:t>
      </w:r>
    </w:p>
    <w:p>
      <w:pPr>
        <w:pStyle w:val="Normal"/>
        <w:rPr/>
      </w:pPr>
      <w:r>
        <w:rPr/>
        <w:t xml:space="preserve"> </w:t>
      </w:r>
    </w:p>
    <w:p>
      <w:pPr>
        <w:pStyle w:val="Titre3"/>
        <w:numPr>
          <w:ilvl w:val="2"/>
          <w:numId w:val="2"/>
        </w:numPr>
        <w:rPr/>
      </w:pPr>
      <w:bookmarkStart w:id="156" w:name="__RefHeading___Toc297247_1346298689"/>
      <w:bookmarkEnd w:id="156"/>
      <w:r>
        <w:rPr/>
        <w:t xml:space="preserve">As 1: Betere manieren van leven </w:t>
      </w:r>
    </w:p>
    <w:p>
      <w:pPr>
        <w:pStyle w:val="Normal"/>
        <w:rPr/>
      </w:pPr>
      <w:r>
        <w:rPr/>
        <w:t xml:space="preserve"> </w:t>
      </w:r>
    </w:p>
    <w:p>
      <w:pPr>
        <w:pStyle w:val="Titre4"/>
        <w:numPr>
          <w:ilvl w:val="3"/>
          <w:numId w:val="2"/>
        </w:numPr>
        <w:rPr/>
      </w:pPr>
      <w:bookmarkStart w:id="157" w:name="__RefHeading___Toc297249_1346298689"/>
      <w:bookmarkEnd w:id="157"/>
      <w:r>
        <w:rPr/>
        <w:t xml:space="preserve">Subas 1.1 Gezonde levensstijl </w:t>
      </w:r>
    </w:p>
    <w:p>
      <w:pPr>
        <w:pStyle w:val="P68B1DB1Normal15"/>
        <w:rPr>
          <w:b/>
          <w:b/>
        </w:rPr>
      </w:pPr>
      <w:r>
        <w:rPr/>
        <w:t xml:space="preserve">1. Wij raden de EU aan om subsidies te verstrekken aan de biologische landbouw, met inbegrip van stimulansen voor biologische pesticiden, om biologische producten betaalbaarder te maken. Daarnaast moet de EU steun verlenen aan het onderwijs van landbouwers op het gebied van biologische en duurzame landbouw en moeten monoculturen worden vermeden. Kleine biologische landbouwbedrijven, niet-intensieve landbouwbedrijven en landbouwbedrijven met korte toeleveringsketens moeten steun krijgen waardoor zij concurrerender kunnen worden. </w:t>
      </w:r>
    </w:p>
    <w:p>
      <w:pPr>
        <w:pStyle w:val="Normal"/>
        <w:rPr/>
      </w:pPr>
      <w:r>
        <w:rPr/>
        <w:t xml:space="preserve"> </w:t>
      </w:r>
    </w:p>
    <w:p>
      <w:pPr>
        <w:pStyle w:val="Normal"/>
        <w:rPr/>
      </w:pPr>
      <w:r>
        <w:rPr/>
        <w:t xml:space="preserve">Het subsidiëren van biologische producten zou ze betaalbaarder maken. We moeten supermarkten helpen met kortere toeleveringsketens en kleine boeren door hen kansen te bieden om hun producten te verkopen. Dit maakt het mogelijk om de toegang tot versere producten uit te breiden. Bovendien weerspiegelen de lage prijzen van niet-biologische producten niet de schade die ze veroorzaken. </w:t>
      </w:r>
    </w:p>
    <w:p>
      <w:pPr>
        <w:pStyle w:val="Normal"/>
        <w:rPr/>
      </w:pPr>
      <w:r>
        <w:rPr/>
        <w:t xml:space="preserve"> </w:t>
      </w:r>
    </w:p>
    <w:p>
      <w:pPr>
        <w:pStyle w:val="P68B1DB1Normal15"/>
        <w:rPr>
          <w:b/>
          <w:b/>
        </w:rPr>
      </w:pPr>
      <w:r>
        <w:rPr/>
        <w:t xml:space="preserve">2. Wij raden aan innovatie in verticale landbouw te financieren met EU-investeringen. </w:t>
      </w:r>
    </w:p>
    <w:p>
      <w:pPr>
        <w:pStyle w:val="Normal"/>
        <w:rPr/>
      </w:pPr>
      <w:r>
        <w:rPr/>
        <w:t xml:space="preserve">Verticale landbouw stelt ons in staat om landruimte te besparen die in plaats daarvan kan worden gebruikt voor bosbouw. Het heeft ook geen pesticiden nodig, waardoor we meer biologisch voedsel kunnen produceren. Bovendien wordt het niet beïnvloed door slechte weersomstandigheden, die steeds vaker voorkomen als gevolg van klimaatverandering, en kan het de toeleveringsketens verkorten. </w:t>
      </w:r>
    </w:p>
    <w:p>
      <w:pPr>
        <w:pStyle w:val="Normal"/>
        <w:rPr/>
      </w:pPr>
      <w:r>
        <w:rPr/>
        <w:t xml:space="preserve"> </w:t>
      </w:r>
    </w:p>
    <w:p>
      <w:pPr>
        <w:pStyle w:val="P68B1DB1Normal15"/>
        <w:rPr>
          <w:b/>
          <w:b/>
        </w:rPr>
      </w:pPr>
      <w:r>
        <w:rPr/>
        <w:t xml:space="preserve">3. De EU moet minimumnormen vaststellen voor voedselkwaliteit, traceerbaarheid van levensmiddelen en consumptie van seizoensproducten in schoolkantines. Gezonde ingrediënten voor schoolkantines moeten daarom worden gesubsidieerd om studenten kwalitatief betaalbaar voedsel te bieden. </w:t>
      </w:r>
    </w:p>
    <w:p>
      <w:pPr>
        <w:pStyle w:val="Normal"/>
        <w:rPr/>
      </w:pPr>
      <w:r>
        <w:rPr/>
        <w:t xml:space="preserve"> </w:t>
      </w:r>
    </w:p>
    <w:p>
      <w:pPr>
        <w:pStyle w:val="Normal"/>
        <w:rPr/>
      </w:pPr>
      <w:r>
        <w:rPr/>
        <w:t xml:space="preserve">We verwerven vanaf jonge leeftijd gewoonten die onze houding ten opzichte van gezondheid vormgeven; goede gewoontes moeten worden aangemoedigd op school en studenten kunnen ze thuis repliceren. Het is ook een kwestie van sociale rechtvaardigheid: elke EU-student moet recht hebben op kwaliteitsvoedsel op school. </w:t>
      </w:r>
    </w:p>
    <w:p>
      <w:pPr>
        <w:pStyle w:val="Normal"/>
        <w:rPr/>
      </w:pPr>
      <w:r>
        <w:rPr/>
        <w:t xml:space="preserve"> </w:t>
      </w:r>
    </w:p>
    <w:p>
      <w:pPr>
        <w:pStyle w:val="P68B1DB1Normal15"/>
        <w:rPr>
          <w:b/>
          <w:b/>
        </w:rPr>
      </w:pPr>
      <w:r>
        <w:rPr/>
        <w:t xml:space="preserve">4. We raden aan om te investeren in nieuwe fietspaden en in het verbeteren van bestaande paden, om fietsen veilig en aantrekkelijk te maken, en om ervoor te zorgen dat alle leeftijdsgroepen kunnen profiteren van training in verkeersregels in Europa, met name voor e-bikegebruikers en mensen zonder rijbewijs. Fabrikanten van elektrische fietsen moeten worden verplicht informatie te verstrekken over het gebruik van de elektrische fiets en de daaraan verbonden risico’s. Er moet wettelijke bescherming worden geboden aan fietsers in geval van een ongeval met een voertuig (zie de Nederlandse regels). Wij zijn voorstander van autovrije gebieden in steden (zonder schade aan commerciële gebieden). Meer in het algemeen raden we aan om fietsers en voetgangers voorrang en extra rechten te geven ten opzichte van gemotoriseerde voertuigen, waarbij de verkeersveiligheid en de naleving van de verkeersregels worden gewaarborgd. </w:t>
      </w:r>
    </w:p>
    <w:p>
      <w:pPr>
        <w:pStyle w:val="Normal"/>
        <w:rPr/>
      </w:pPr>
      <w:r>
        <w:rPr/>
        <w:t xml:space="preserve"> </w:t>
      </w:r>
    </w:p>
    <w:p>
      <w:pPr>
        <w:pStyle w:val="Normal"/>
        <w:rPr/>
      </w:pPr>
      <w:r>
        <w:rPr/>
        <w:t xml:space="preserve">Deze aanbevelingen zijn belangrijk omdat fietsen voordelen opleveren op het gebied van individuele en volksgezondheid, luchtkwaliteit, geluidsniveaus, klimaat en verkeer in stadscentra. Fietsers en voetgangers moeten zich veilig voelen, gezien de risico’s die gepaard gaan met een verhoogd gebruik van de elektrische fiets. Soms ontbreken fietspaden of verkeren ze in slechte staat. </w:t>
      </w:r>
    </w:p>
    <w:p>
      <w:pPr>
        <w:pStyle w:val="Normal"/>
        <w:rPr/>
      </w:pPr>
      <w:r>
        <w:rPr/>
        <w:t xml:space="preserve"> </w:t>
      </w:r>
    </w:p>
    <w:p>
      <w:pPr>
        <w:pStyle w:val="P68B1DB1Normal15"/>
        <w:rPr>
          <w:b/>
          <w:b/>
        </w:rPr>
      </w:pPr>
      <w:r>
        <w:rPr/>
        <w:t xml:space="preserve">5. We raden aan om voedselproductie te integreren in het openbaar onderwijs. We raden aan om, indien mogelijk, de aanleg van tuinen in scholen te subsidiëren en te ondersteunen, en stadstuinprojecten in openbare en particuliere ruimtes. In de kaders voor stedenbouw moeten de behoefte aan ruimte, water en ondersteunende infrastructuur worden geïntegreerd. Voormalige parkeerplaatsen kunnen bijvoorbeeld worden gebruikt voor vergroeningsprojecten, verticale tuinbouwprojecten kunnen worden uitgevoerd op gebouwen of het verkrijgen van bouwvergunningen kan worden geconditioneerd door de integratie van groene ruimten. We raden aan innovatieve en goede praktijken in alle lidstaten te delen. </w:t>
      </w:r>
    </w:p>
    <w:p>
      <w:pPr>
        <w:pStyle w:val="Normal"/>
        <w:rPr/>
      </w:pPr>
      <w:r>
        <w:rPr/>
        <w:t xml:space="preserve"> </w:t>
      </w:r>
    </w:p>
    <w:p>
      <w:pPr>
        <w:pStyle w:val="Normal"/>
        <w:rPr/>
      </w:pPr>
      <w:r>
        <w:rPr/>
        <w:t xml:space="preserve">Tuinbouwprojecten bevorderen de veerkracht van steden en hun inwoners en brengen mensen van verschillende leeftijden en sociale groepen bij elkaar. De vermenigvuldiging van groene ruimten verbetert de kwaliteit van leven, luchtkwaliteit, mentale en fysieke gezondheid en het milieu. </w:t>
      </w:r>
    </w:p>
    <w:p>
      <w:pPr>
        <w:pStyle w:val="Normal"/>
        <w:rPr/>
      </w:pPr>
      <w:r>
        <w:rPr/>
        <w:t xml:space="preserve"> </w:t>
      </w:r>
    </w:p>
    <w:p>
      <w:pPr>
        <w:pStyle w:val="Titre4"/>
        <w:numPr>
          <w:ilvl w:val="3"/>
          <w:numId w:val="2"/>
        </w:numPr>
        <w:rPr/>
      </w:pPr>
      <w:bookmarkStart w:id="158" w:name="__RefHeading___Toc297251_1346298689"/>
      <w:bookmarkEnd w:id="158"/>
      <w:r>
        <w:rPr/>
        <w:t xml:space="preserve">Subas 1.2 Milieueducatie </w:t>
      </w:r>
    </w:p>
    <w:p>
      <w:pPr>
        <w:pStyle w:val="P68B1DB1Normal15"/>
        <w:rPr>
          <w:b/>
          <w:b/>
        </w:rPr>
      </w:pPr>
      <w:r>
        <w:rPr/>
        <w:t>6. Wij raden de EU aan een richtlijn aan te nemen die vereist dat stadsplanningsprogramma’s voldoen aan specifieke milieueisen om steden groener te maken. Deze richtlijn moet van toepassing zijn op particuliere en openbare goederen en ruimten, met name op nieuwe gebouwen in ontwikkeling. Het moet minimumnormen opleggen om ervoor te zorgen dat gebouwen en ruimten zo groen mogelijk zijn. Het bijvoeglijk naamwoord „groen” verwijst hier naar het gebruik van hernieuwbare energiebronnen, verminderd energieverbruik, lage CO2-uitstoot</w:t>
      </w:r>
      <w:r>
        <w:rPr>
          <w:vertAlign w:val="subscript"/>
        </w:rPr>
        <w:t>en</w:t>
      </w:r>
      <w:r>
        <w:rPr/>
        <w:t xml:space="preserve"> de opname van installaties in architectonische projecten. </w:t>
      </w:r>
    </w:p>
    <w:p>
      <w:pPr>
        <w:pStyle w:val="Normal"/>
        <w:rPr/>
      </w:pPr>
      <w:r>
        <w:rPr/>
        <w:t xml:space="preserve"> </w:t>
      </w:r>
    </w:p>
    <w:p>
      <w:pPr>
        <w:pStyle w:val="Normal"/>
        <w:rPr/>
      </w:pPr>
      <w:r>
        <w:rPr/>
        <w:t>Groenere steden dragen actief bij aan het verminderen van de effecten van klimaatverandering, met name de uitstoot van CO2 en</w:t>
      </w:r>
      <w:r>
        <w:rPr>
          <w:vertAlign w:val="subscript"/>
        </w:rPr>
        <w:t>ozon</w:t>
      </w:r>
      <w:r>
        <w:rPr/>
        <w:t xml:space="preserve">, die een negatief effect hebben op de gezondheid van de burgers. Investeren in groenere steden draagt bij aan duurzame gemeenschapsontwikkeling die economische en sociale voordelen op lange termijn oplevert. </w:t>
      </w:r>
    </w:p>
    <w:p>
      <w:pPr>
        <w:pStyle w:val="Normal"/>
        <w:rPr/>
      </w:pPr>
      <w:r>
        <w:rPr/>
        <w:t xml:space="preserve"> </w:t>
      </w:r>
    </w:p>
    <w:p>
      <w:pPr>
        <w:pStyle w:val="P68B1DB1Normal15"/>
        <w:rPr>
          <w:b/>
          <w:b/>
        </w:rPr>
      </w:pPr>
      <w:r>
        <w:rPr/>
        <w:t xml:space="preserve">7. Wij raden de EU aan om, met de hulp van de lidstaten, een gemeenschappelijk Europees Handvest te ontwikkelen, aan te nemen en uit te voeren dat gericht is op milieukwesties in hun complexiteit. Het Handvest biedt de lidstaten een kader voor het organiseren van regelmatige voorlichtings- en opleidingscampagnes, verspreid via alle beschikbare mediakanalen en op een nieuw informatieportaal dat voor dit doel is opgezet. Deze campagnes moeten in de hele EU en op alle niveaus worden georganiseerd om alle burgers bewust te maken van het milieu. </w:t>
      </w:r>
    </w:p>
    <w:p>
      <w:pPr>
        <w:pStyle w:val="Normal"/>
        <w:rPr/>
      </w:pPr>
      <w:r>
        <w:rPr/>
        <w:t xml:space="preserve"> </w:t>
      </w:r>
    </w:p>
    <w:p>
      <w:pPr>
        <w:pStyle w:val="Normal"/>
        <w:rPr/>
      </w:pPr>
      <w:r>
        <w:rPr/>
        <w:t xml:space="preserve">Het gebrek aan coördinatie tussen de lidstaten belemmert de doeltreffendheid van bestaande campagnes en vertraagt de inspanningen om de mondiale uitdaging van klimaatverandering aan te pakken. Een gemeenschappelijk handvest zal synergieën tussen de actieplannen van de lidstaten bevorderen en zorgen voor een grotere doeltreffendheid van de inspanningen. Bovendien zal het ervoor zorgen dat de burgers consistente en consistente informatie wordt verstrekt over de gevolgen van hun dagelijkse acties, zoals de keuze van de vervoerswijze en de verwerking van hun afval. </w:t>
      </w:r>
    </w:p>
    <w:p>
      <w:pPr>
        <w:pStyle w:val="Normal"/>
        <w:rPr/>
      </w:pPr>
      <w:r>
        <w:rPr/>
        <w:t xml:space="preserve"> </w:t>
      </w:r>
    </w:p>
    <w:p>
      <w:pPr>
        <w:pStyle w:val="Titre3"/>
        <w:numPr>
          <w:ilvl w:val="2"/>
          <w:numId w:val="2"/>
        </w:numPr>
        <w:rPr/>
      </w:pPr>
      <w:bookmarkStart w:id="159" w:name="__RefHeading___Toc297253_1346298689"/>
      <w:bookmarkEnd w:id="159"/>
      <w:r>
        <w:rPr/>
        <w:t xml:space="preserve">As 2: Bescherming van ons milieu en onze gezondheid </w:t>
      </w:r>
    </w:p>
    <w:p>
      <w:pPr>
        <w:pStyle w:val="Titre4"/>
        <w:numPr>
          <w:ilvl w:val="3"/>
          <w:numId w:val="2"/>
        </w:numPr>
        <w:rPr/>
      </w:pPr>
      <w:bookmarkStart w:id="160" w:name="__RefHeading___Toc297255_1346298689"/>
      <w:bookmarkEnd w:id="160"/>
      <w:r>
        <w:rPr/>
        <w:t xml:space="preserve">Subas 2.1 Een gezonde natuurlijke omgeving </w:t>
      </w:r>
    </w:p>
    <w:p>
      <w:pPr>
        <w:pStyle w:val="P68B1DB1Normal15"/>
        <w:rPr>
          <w:b/>
          <w:b/>
        </w:rPr>
      </w:pPr>
      <w:r>
        <w:rPr/>
        <w:t xml:space="preserve">8. We raden een uniform eco-scoresysteem aan dat de totale ecologische voetafdruk weergeeft van elk beschikbaar product dat in de EU wordt gekocht. Producten uit derde landen moeten dit ecoscoresysteem op transparante wijze respecteren. Dit systeem moet gebaseerd zijn op duidelijke classificatiecriteria die van toepassing zijn op de producten zelf en bijvoorbeeld een QR-code gebruiken die meer gedetailleerde productinformatie biedt. </w:t>
      </w:r>
    </w:p>
    <w:p>
      <w:pPr>
        <w:pStyle w:val="Normal"/>
        <w:rPr/>
      </w:pPr>
      <w:r>
        <w:rPr/>
        <w:t xml:space="preserve"> </w:t>
      </w:r>
    </w:p>
    <w:p>
      <w:pPr>
        <w:pStyle w:val="Normal"/>
        <w:rPr/>
      </w:pPr>
      <w:r>
        <w:rPr/>
        <w:t xml:space="preserve">Deze informatie over de levenscyclus van producten is van fundamenteel belang voor alle EU-burgers om consumenten sterker te maken bij het winkelen. Hierdoor kunnen EU-burgers verantwoorde beslissingen nemen die bijdragen tot de bescherming van hun milieu. </w:t>
      </w:r>
    </w:p>
    <w:p>
      <w:pPr>
        <w:pStyle w:val="Normal"/>
        <w:rPr/>
      </w:pPr>
      <w:r>
        <w:rPr/>
        <w:t xml:space="preserve"> </w:t>
      </w:r>
    </w:p>
    <w:p>
      <w:pPr>
        <w:pStyle w:val="P68B1DB1Normal15"/>
        <w:rPr>
          <w:b/>
          <w:b/>
        </w:rPr>
      </w:pPr>
      <w:r>
        <w:rPr/>
        <w:t xml:space="preserve">9. We raden aan meer investeringen te doen om nieuwe milieuvriendelijke energiebronnen te verkennen en, tot de inzet van deze nieuwe bronnen, extra investeringen toe te wijzen aan bestaande optimale energieproductieoplossingen. We raden ook aan de Europese burgers op transparante wijze te informeren en op te leiden over specifieke energiebronnen. We raden ten zeerste aan om rekening te houden met de algehele ecologische en sociale gevolgen van het energieproductieproces voor de huidige en toekomstige generaties. </w:t>
      </w:r>
    </w:p>
    <w:p>
      <w:pPr>
        <w:pStyle w:val="Normal"/>
        <w:rPr/>
      </w:pPr>
      <w:r>
        <w:rPr/>
        <w:t xml:space="preserve"> </w:t>
      </w:r>
    </w:p>
    <w:p>
      <w:pPr>
        <w:pStyle w:val="Normal"/>
        <w:rPr/>
      </w:pPr>
      <w:r>
        <w:rPr/>
        <w:t xml:space="preserve">We worden geconfronteerd met zeer hoge niveaus van koolstofemissies en andere giftige stoffen van energieproductie die het klimaat en de luchtkwaliteit aantasten. Om te voldoen aan de EU-richtsnoeren, de aanbevelingen van de IPCC-verslagen en de doelstellingen van COP26, moeten we onderzoek en investeringen versterken om klimaatneutrale energieproductie te bereiken. </w:t>
      </w:r>
    </w:p>
    <w:p>
      <w:pPr>
        <w:pStyle w:val="Normal"/>
        <w:rPr/>
      </w:pPr>
      <w:r>
        <w:rPr/>
        <w:t xml:space="preserve"> </w:t>
      </w:r>
    </w:p>
    <w:p>
      <w:pPr>
        <w:pStyle w:val="Titre4"/>
        <w:numPr>
          <w:ilvl w:val="3"/>
          <w:numId w:val="2"/>
        </w:numPr>
        <w:rPr/>
      </w:pPr>
      <w:bookmarkStart w:id="161" w:name="__RefHeading___Toc297257_1346298689"/>
      <w:bookmarkEnd w:id="161"/>
      <w:r>
        <w:rPr/>
        <w:t xml:space="preserve">Subas 2.2 Bescherming van onze biodiversiteit </w:t>
      </w:r>
    </w:p>
    <w:p>
      <w:pPr>
        <w:pStyle w:val="P68B1DB1Normal15"/>
        <w:rPr>
          <w:b/>
          <w:b/>
        </w:rPr>
      </w:pPr>
      <w:r>
        <w:rPr/>
        <w:t xml:space="preserve">10. Wij raden aan het gebruik van chemische pesticiden en meststoffen in alle soorten landbouw drastisch te verminderen door te zorgen voor de toepassing van strengere gemeenschappelijke normen, het onderzoek naar natuurlijke alternatieven te versnellen en de invoering van nieuwe oplossingen, waaronder opleiding voor landbouwers, te ondersteunen. </w:t>
      </w:r>
    </w:p>
    <w:p>
      <w:pPr>
        <w:pStyle w:val="Normal"/>
        <w:rPr/>
      </w:pPr>
      <w:r>
        <w:rPr/>
        <w:t xml:space="preserve"> </w:t>
      </w:r>
    </w:p>
    <w:p>
      <w:pPr>
        <w:pStyle w:val="Normal"/>
        <w:rPr/>
      </w:pPr>
      <w:r>
        <w:rPr/>
        <w:t xml:space="preserve">Hoewel er vooruitgang is geboekt op het gebied van meststoffen en alternatieve pesticiden, zijn de meeste nog niet bruikbaar voor grote landbouwbedrijven. Daarom is een duurzamere inspanning nodig om nieuwe oplossingen te ontwikkelen. Onderzoek moet worden aangemoedigd door overheidsuitgaven en hogere normen voor het gebruik van pesticiden en meststoffen. Onderzoeksresultaten moeten snel op EU-niveau worden verspreid. </w:t>
      </w:r>
    </w:p>
    <w:p>
      <w:pPr>
        <w:pStyle w:val="Normal"/>
        <w:rPr/>
      </w:pPr>
      <w:r>
        <w:rPr/>
        <w:t xml:space="preserve"> </w:t>
      </w:r>
    </w:p>
    <w:p>
      <w:pPr>
        <w:pStyle w:val="P68B1DB1Normal15"/>
        <w:rPr>
          <w:b/>
          <w:b/>
        </w:rPr>
      </w:pPr>
      <w:r>
        <w:rPr/>
        <w:t xml:space="preserve">11. We raden aan beschermde gebieden uit te breiden voor het behoud van de biodiversiteit (zoogdieren, vogels, insecten en planten) en de rechtsstaat te versterken met betrekking tot menselijke interventie in deze gebieden. Beschermde gebieden worden niet alleen beschouwd als eilandjes, maar ook als een continuüm met groenere stedelijke gebieden, in overeenstemming met geharmoniseerde EU-normen. </w:t>
      </w:r>
    </w:p>
    <w:p>
      <w:pPr>
        <w:pStyle w:val="Normal"/>
        <w:rPr/>
      </w:pPr>
      <w:r>
        <w:rPr/>
        <w:t xml:space="preserve"> </w:t>
      </w:r>
    </w:p>
    <w:p>
      <w:pPr>
        <w:pStyle w:val="Normal"/>
        <w:rPr/>
      </w:pPr>
      <w:r>
        <w:rPr/>
        <w:t xml:space="preserve">Biodiversiteit lijdt sterk onder ontbossing. Het creëren van beschermde gebieden is een van de belangrijkste middelen om de terrestrische biodiversiteit te beschermen. Het is echter moeilijk om beschermde gebieden in de buurt van vervuilde steden te behouden of menselijke interferentie te vermijden wanneer de omliggende gebieden weinig ruimte laten voor de natuur. We moeten de leefgebieden vergroenen en integreren in hun omringende natuur. </w:t>
      </w:r>
    </w:p>
    <w:p>
      <w:pPr>
        <w:pStyle w:val="Normal"/>
        <w:rPr/>
      </w:pPr>
      <w:r>
        <w:rPr/>
        <w:t xml:space="preserve"> </w:t>
      </w:r>
    </w:p>
    <w:p>
      <w:pPr>
        <w:pStyle w:val="Normal"/>
        <w:rPr/>
      </w:pPr>
      <w:r>
        <w:rPr>
          <w:b/>
        </w:rPr>
        <w:t>12. Wij raden aan om generieke subsidies te heroriënteren naar landbouw, voornamelijk naar projecten in verband met de ontwikkeling van duurzame landbouw, waaronder respect voor de natuur en werknemers. Begunstigden moeten duidelijke milieunormen naleven en nauwlettend worden gemonitord.</w:t>
      </w:r>
      <w:r>
        <w:rPr/>
        <w:t xml:space="preserve"> </w:t>
      </w:r>
    </w:p>
    <w:p>
      <w:pPr>
        <w:pStyle w:val="Normal"/>
        <w:rPr/>
      </w:pPr>
      <w:r>
        <w:rPr/>
        <w:t xml:space="preserve"> </w:t>
      </w:r>
    </w:p>
    <w:p>
      <w:pPr>
        <w:pStyle w:val="Normal"/>
        <w:rPr/>
      </w:pPr>
      <w:r>
        <w:rPr/>
        <w:t xml:space="preserve">Wij zijn van mening dat alleen duurzame landbouw moet worden aangemoedigd, wat inhoudt dat de middelen die momenteel voor generieke subsidies worden gebruikt, opnieuw worden toegewezen. Daarnaast is het mogelijk om de efficiëntie van de gebruikte middelen te verhogen door zich te concentreren op transformatieve projecten en innovatieve oplossingen in plaats van op jaarlijkse betalingen. Er moet worden gezorgd voor een betere monitoring van de ecologische impact van landbouwactiviteiten en -projecten. De mensenrechten van werknemers moeten ook worden gezien als een integraal onderdeel van duurzaamheid. </w:t>
      </w:r>
    </w:p>
    <w:p>
      <w:pPr>
        <w:pStyle w:val="Normal"/>
        <w:rPr/>
      </w:pPr>
      <w:r>
        <w:rPr/>
        <w:t xml:space="preserve"> </w:t>
      </w:r>
    </w:p>
    <w:p>
      <w:pPr>
        <w:pStyle w:val="Normal"/>
        <w:rPr/>
      </w:pPr>
      <w:r>
        <w:rPr>
          <w:b/>
        </w:rPr>
        <w:t>13. Wij raden de EU aan te zorgen voor eerlijke concurrentie voor milieuvriendelijke landbouwproducten door hogere normen vast te stellen voor zowel EU- als geïmporteerde producten, en te zorgen voor traceerbaarheid, etikettering en kwaliteitscontrole.</w:t>
      </w:r>
      <w:r>
        <w:rPr/>
        <w:t xml:space="preserve"> </w:t>
      </w:r>
    </w:p>
    <w:p>
      <w:pPr>
        <w:pStyle w:val="Normal"/>
        <w:rPr/>
      </w:pPr>
      <w:r>
        <w:rPr/>
        <w:t xml:space="preserve"> </w:t>
      </w:r>
    </w:p>
    <w:p>
      <w:pPr>
        <w:pStyle w:val="Normal"/>
        <w:rPr/>
      </w:pPr>
      <w:r>
        <w:rPr/>
        <w:t xml:space="preserve">De lagere productiviteit van duurzame landbouwproducten ondermijnt hun kostenconcurrentievermogen. Ingevoerde producten moeten voldoen aan dezelfde strenge normen met betrekking tot de milieueffecten van hun productie. Onze autoriteiten moeten de traceerbaarheid van ingevoerde landbouwproducten kunnen waarborgen. </w:t>
      </w:r>
    </w:p>
    <w:p>
      <w:pPr>
        <w:pStyle w:val="Normal"/>
        <w:rPr/>
      </w:pPr>
      <w:r>
        <w:rPr/>
        <w:t xml:space="preserve"> </w:t>
      </w:r>
    </w:p>
    <w:p>
      <w:pPr>
        <w:pStyle w:val="P68B1DB1Normal15"/>
        <w:rPr>
          <w:b/>
          <w:b/>
        </w:rPr>
      </w:pPr>
      <w:r>
        <w:rPr/>
        <w:t xml:space="preserve">14. We raden snelle en massale herbebossing en bebossing in de EU aan, dankzij geoptimaliseerd landgebruik. Bijzondere aandacht moet worden besteed aan herbebossing van geëxploiteerde of vernietigde bossen en bebossing van gebieden met aangetaste bodems. Nieuwe, meer verantwoorde oplossingen moeten worden bevorderd voor een beter gebruik van hout, bijvoorbeeld om kunststoffen en andere chemische stoffen te vervangen, meer energie-efficiëntie uit biomassa te bereiken en houtproducten te recyclen. </w:t>
      </w:r>
    </w:p>
    <w:p>
      <w:pPr>
        <w:pStyle w:val="Normal"/>
        <w:rPr/>
      </w:pPr>
      <w:r>
        <w:rPr/>
        <w:t xml:space="preserve"> </w:t>
      </w:r>
    </w:p>
    <w:p>
      <w:pPr>
        <w:pStyle w:val="Normal"/>
        <w:rPr/>
      </w:pPr>
      <w:r>
        <w:rPr/>
        <w:t xml:space="preserve">Herbebossing heeft een duidelijk positief effect op het milieu en de biodiversiteit in het algemeen. Tegelijkertijd moeten we minder hout gebruiken om onszelf te verwarmen, maar meer om ze producten met een hoge toegevoegde waarde te maken; om bijvoorbeeld kunststoffen te vervangen, staat het gebruik van hout voorop. </w:t>
      </w:r>
    </w:p>
    <w:p>
      <w:pPr>
        <w:pStyle w:val="Normal"/>
        <w:rPr/>
      </w:pPr>
      <w:r>
        <w:rPr/>
        <w:t xml:space="preserve"> </w:t>
      </w:r>
    </w:p>
    <w:p>
      <w:pPr>
        <w:pStyle w:val="Titre4"/>
        <w:numPr>
          <w:ilvl w:val="3"/>
          <w:numId w:val="2"/>
        </w:numPr>
        <w:rPr/>
      </w:pPr>
      <w:bookmarkStart w:id="162" w:name="__RefHeading___Toc297259_1346298689"/>
      <w:bookmarkEnd w:id="162"/>
      <w:r>
        <w:rPr/>
        <w:t xml:space="preserve">Subas 2.3 Veilige en gezonde voeding </w:t>
      </w:r>
    </w:p>
    <w:p>
      <w:pPr>
        <w:pStyle w:val="P68B1DB1Normal15"/>
        <w:rPr>
          <w:b/>
          <w:b/>
        </w:rPr>
      </w:pPr>
      <w:r>
        <w:rPr/>
        <w:t xml:space="preserve">15. Wij raden een snelle en geleidelijke verwijdering van niet-duurzame verpakkingen voor levensmiddelen aan, waaronder plastic verpakkingen en andere niet-biologisch afbreekbare verpakkingen. Daarom stellen we voor om bedrijven financiële prikkels te bieden om over te stappen op volledig biologisch afbreekbare verpakkingen, te investeren in het vinden van alternatieven en sancties op te leggen aan bedrijven die geen biologisch afbreekbare verpakkingen gebruiken. </w:t>
      </w:r>
    </w:p>
    <w:p>
      <w:pPr>
        <w:pStyle w:val="Normal"/>
        <w:rPr/>
      </w:pPr>
      <w:r>
        <w:rPr/>
        <w:t xml:space="preserve"> </w:t>
      </w:r>
    </w:p>
    <w:p>
      <w:pPr>
        <w:pStyle w:val="Normal"/>
        <w:rPr/>
      </w:pPr>
      <w:r>
        <w:rPr/>
        <w:t xml:space="preserve">Plastic afval, met name microplastics, wordt steeds overvloediger en langzaam vernederend. Plasticconsumptie ondermijnt de kwaliteit en veiligheid van voedsel en brengt tegelijkertijd risico’s voor de gezondheid van mens en dier met zich mee. Bovendien is de bestaande EU-wetgeving ter vermindering van niet-biologisch afbreekbare verpakkingen ontoereikend. </w:t>
      </w:r>
    </w:p>
    <w:p>
      <w:pPr>
        <w:pStyle w:val="Normal"/>
        <w:rPr/>
      </w:pPr>
      <w:r>
        <w:rPr/>
        <w:t xml:space="preserve"> </w:t>
      </w:r>
    </w:p>
    <w:p>
      <w:pPr>
        <w:pStyle w:val="P68B1DB1Normal15"/>
        <w:rPr>
          <w:b/>
          <w:b/>
        </w:rPr>
      </w:pPr>
      <w:r>
        <w:rPr/>
        <w:t xml:space="preserve">16. Wij raden de geleidelijke stopzetting van intensieve landbouw aan, met inbegrip van het einde van de vernederende levensomstandigheden voor dieren. Wij stellen voor gemeenschappelijke normen vast te stellen voor de veehouderij (bv. maximumaantal dieren, aangepaste buitenruimte) en meer te investeren in niet-intensieve methoden (uitgebreide en duurzame landbouw) door financiële stimulansen en opleiding te bieden aan landbouwers om deze ontwikkeling te ondersteunen. </w:t>
      </w:r>
    </w:p>
    <w:p>
      <w:pPr>
        <w:pStyle w:val="Normal"/>
        <w:rPr/>
      </w:pPr>
      <w:r>
        <w:rPr/>
        <w:t xml:space="preserve"> </w:t>
      </w:r>
    </w:p>
    <w:p>
      <w:pPr>
        <w:pStyle w:val="Normal"/>
        <w:rPr/>
      </w:pPr>
      <w:r>
        <w:rPr/>
        <w:t xml:space="preserve">De geleidelijke afschaffing van de intensieve landbouw zal de milieuvervuiling verminderen en de bescherming van de natuur versterken. Bovendien zal de geleidelijke afschaffing van de intensieve veehouderij de hoeveelheid medicijnen verminderen die nodig is om dierziekten te bestrijden en de kwaliteit van ons dieet te verbeteren. Intensieve landbouw houdt ook geen rekening met dierenwelzijn, maar er zijn duurzamere vormen van landbouw, zoals extensieve landbouw; het is noodzakelijk subsidies te verstrekken aan landbouwers om hen te helpen op deze weg te gaan. </w:t>
      </w:r>
    </w:p>
    <w:p>
      <w:pPr>
        <w:pStyle w:val="Normal"/>
        <w:rPr/>
      </w:pPr>
      <w:r>
        <w:rPr/>
        <w:t xml:space="preserve"> </w:t>
      </w:r>
    </w:p>
    <w:p>
      <w:pPr>
        <w:pStyle w:val="P68B1DB1Normal15"/>
        <w:rPr>
          <w:b/>
          <w:b/>
        </w:rPr>
      </w:pPr>
      <w:r>
        <w:rPr/>
        <w:t xml:space="preserve">17. Wij raden aan de controles op het verbod op onnodig gebruik van antibiotica en andere diergeneesmiddelen in toevoegingsmiddelen voor diervoeding aan te scherpen: laten we dit initiatief laten gebeuren! Wij stellen voor dat het gebruik van antibiotica in de veehouderij alleen mag worden toegestaan wanneer dit absoluut noodzakelijk is, om de gezondheid en het welzijn van dieren te beschermen, in plaats van preventief. Daarnaast is het nodig om meer te investeren in het zoeken naar effectievere antibiotica, alternatieven te ontwikkelen en tegelijkertijd voort te bouwen op lopend onderzoek op dit gebied. </w:t>
      </w:r>
    </w:p>
    <w:p>
      <w:pPr>
        <w:pStyle w:val="Normal"/>
        <w:rPr/>
      </w:pPr>
      <w:r>
        <w:rPr/>
        <w:t xml:space="preserve"> </w:t>
      </w:r>
    </w:p>
    <w:p>
      <w:pPr>
        <w:pStyle w:val="Normal"/>
        <w:rPr/>
      </w:pPr>
      <w:r>
        <w:rPr/>
        <w:t xml:space="preserve">Menselijke resistentie tegen antibiotica wordt verminderd als gevolg van de consumptie van voedsel afkomstig van dieren waaraan antibiotica zijn toegediend. Daarnaast kost het tijd om passende oplossingen te ontwikkelen om bestaande antibiotica te vervangen en om ervoor te zorgen dat landbouwers geïnformeerd zijn en bereid zijn ze te gebruiken. Wij erkennen dat er EU-antibioticarichtlijnen bestaan; deze zijn echter niet in alle lidstaten op dezelfde wijze uitgevoerd. Ten slotte worden geneesmiddelen voor diergeneeskundig gebruik misbruikt voor dopingdoeleinden; daarom zal strengere wetgeving op dit gebied het welzijn van dieren verbeteren en hun kwaliteit van leven verbeteren. </w:t>
      </w:r>
    </w:p>
    <w:p>
      <w:pPr>
        <w:pStyle w:val="Normal"/>
        <w:rPr/>
      </w:pPr>
      <w:r>
        <w:rPr/>
        <w:t xml:space="preserve"> </w:t>
      </w:r>
    </w:p>
    <w:p>
      <w:pPr>
        <w:pStyle w:val="P68B1DB1Normal15"/>
        <w:rPr>
          <w:b/>
          <w:b/>
        </w:rPr>
      </w:pPr>
      <w:r>
        <w:rPr/>
        <w:t xml:space="preserve">18. Wij bevelen aan dat in de EU-wetgeving melding wordt gemaakt van het gebruik van hormonale stoffen en hormoonontregelende stoffen bij de voedselproductie, teneinde het type, de hoeveelheid en de blootstelling van het gebruikte eindproduct te specificeren. Etiketten met duidelijke vermelding van de aanwezige stoffen en de redenen voor het gebruik ervan moeten op de verpakking van alle betrokken levensmiddelen worden aangebracht. Daarnaast moet het onderzoek naar de effecten van hormonale stoffen en hormoonontregelaars op de menselijke gezondheid worden versneld. </w:t>
      </w:r>
    </w:p>
    <w:p>
      <w:pPr>
        <w:pStyle w:val="Normal"/>
        <w:rPr/>
      </w:pPr>
      <w:r>
        <w:rPr/>
        <w:t xml:space="preserve"> </w:t>
      </w:r>
    </w:p>
    <w:p>
      <w:pPr>
        <w:pStyle w:val="Normal"/>
        <w:rPr/>
      </w:pPr>
      <w:r>
        <w:rPr/>
        <w:t xml:space="preserve">Momenteel is de traceerbaarheid van levensmiddelen ontoereikend, met name wat hormonale stoffen en hormoonontregelende stoffen betreft. Wij zijn van mening dat transparantie in de voedselproductie noodzakelijk is om verantwoording af te leggen. Bovendien moeten de consumenten in staat zijn om de samenstelling, in zijn geheel, van de voedingsmiddelen die ze consumeren te kennen en vrij te kunnen kiezen wat ze eten. Daarnaast is er onvoldoende onderzoek naar de impact op de mens (en mogelijke risico’s) verbonden aan de consumptie van voedingsmiddelen die hormonale stoffen en hormoonontregelaars bevatten. </w:t>
      </w:r>
    </w:p>
    <w:p>
      <w:pPr>
        <w:pStyle w:val="Normal"/>
        <w:rPr/>
      </w:pPr>
      <w:r>
        <w:rPr/>
        <w:t xml:space="preserve"> </w:t>
      </w:r>
    </w:p>
    <w:p>
      <w:pPr>
        <w:pStyle w:val="P68B1DB1Normal15"/>
        <w:rPr>
          <w:b/>
          <w:b/>
        </w:rPr>
      </w:pPr>
      <w:r>
        <w:rPr/>
        <w:t xml:space="preserve">19. We raden aan om de consumptie van bewerkte voedingsmiddelen te ontmoedigen door belastingen toe te passen op voedingsmiddelen die schadelijk zijn voor de gezondheid en door fondsen te investeren in gezond voedsel. Wij stellen voor een Europees classificatiesysteem voor gezonde voedingsmiddelen op te zetten op basis van beste praktijken in de lidstaten en etiketten op levensmiddelen te plaatsen om de consumenten te informeren over hun gezondheidseffecten. </w:t>
      </w:r>
    </w:p>
    <w:p>
      <w:pPr>
        <w:pStyle w:val="Normal"/>
        <w:rPr/>
      </w:pPr>
      <w:r>
        <w:rPr/>
        <w:t xml:space="preserve"> </w:t>
      </w:r>
    </w:p>
    <w:p>
      <w:pPr>
        <w:pStyle w:val="Normal"/>
        <w:rPr/>
      </w:pPr>
      <w:r>
        <w:rPr/>
        <w:t xml:space="preserve">Op deze manier kunnen de ingezamelde fondsen worden gebruikt om bewustmakings- en promotiecampagnes te ontwikkelen, prioriteit te geven aan gezond eten in de onderwijssector en ongezond voedsel minder zichtbaar te maken in supermarkten. Investeringen in gezond voedsel dragen ook bij tot de verbetering van de algemene gezondheid van de bevolking en bijgevolg tot een verlaging van de overheidsuitgaven die nodig zijn om gezondheidsproblemen als gevolg van slechte voeding aan te pakken. Daarnaast zijn wij van mening dat belastingen en subsidies bedrijven zullen aanmoedigen om gezonder voedsel te produceren. </w:t>
      </w:r>
    </w:p>
    <w:p>
      <w:pPr>
        <w:pStyle w:val="Normal"/>
        <w:rPr/>
      </w:pPr>
      <w:r>
        <w:rPr/>
        <w:t xml:space="preserve"> </w:t>
      </w:r>
    </w:p>
    <w:p>
      <w:pPr>
        <w:pStyle w:val="Titre3"/>
        <w:numPr>
          <w:ilvl w:val="2"/>
          <w:numId w:val="2"/>
        </w:numPr>
        <w:rPr/>
      </w:pPr>
      <w:bookmarkStart w:id="163" w:name="__RefHeading___Toc297261_1346298689"/>
      <w:bookmarkEnd w:id="163"/>
      <w:r>
        <w:rPr/>
        <w:t xml:space="preserve">As 3: heroriënteren van onze economie en consumptie </w:t>
      </w:r>
    </w:p>
    <w:p>
      <w:pPr>
        <w:pStyle w:val="Titre4"/>
        <w:numPr>
          <w:ilvl w:val="3"/>
          <w:numId w:val="2"/>
        </w:numPr>
        <w:rPr/>
      </w:pPr>
      <w:bookmarkStart w:id="164" w:name="__RefHeading___Toc297263_1346298689"/>
      <w:bookmarkEnd w:id="164"/>
      <w:r>
        <w:rPr/>
        <w:t xml:space="preserve">Subas 3.1 Overproductie en overconsumptie reguleren </w:t>
      </w:r>
    </w:p>
    <w:p>
      <w:pPr>
        <w:pStyle w:val="P68B1DB1Normal15"/>
        <w:rPr>
          <w:b/>
          <w:b/>
        </w:rPr>
      </w:pPr>
      <w:r>
        <w:rPr/>
        <w:t xml:space="preserve">20. Wij raden de EU aan meer maatregelen te nemen om consumenten in staat te stellen langer producten te gebruiken en hen aan te moedigen dit te doen. De EU moet de geplande veroudering bestrijden door de productgarantie te verlengen en een maximumprijs voor reserveonderdelen vast te stellen na het verstrijken van de garantieperiode. Alle lidstaten moeten een belastingverlaging voor reparatiediensten invoeren, zoals in Zweden het geval is. Fabrikanten moeten worden verplicht de verwachte levensduur van hun producten aan te geven. De EU moet informatie verstrekken over het hergebruik en de reparatie van producten via een website en via onderwijs. </w:t>
      </w:r>
    </w:p>
    <w:p>
      <w:pPr>
        <w:pStyle w:val="Normal"/>
        <w:rPr/>
      </w:pPr>
      <w:r>
        <w:rPr/>
        <w:t xml:space="preserve"> </w:t>
      </w:r>
    </w:p>
    <w:p>
      <w:pPr>
        <w:pStyle w:val="Normal"/>
        <w:rPr/>
      </w:pPr>
      <w:r>
        <w:rPr/>
        <w:t xml:space="preserve">Onze afvalmaatschappij is niet levensvatbaar omdat het te veel afval genereert. Door de voorgestelde maatregelen toe te passen, zullen we evolueren naar een samenleving waarin producten worden hergebruikt en gerepareerd, waarvan het aantal zal afnemen, waardoor overconsumptie wordt verminderd. </w:t>
      </w:r>
    </w:p>
    <w:p>
      <w:pPr>
        <w:pStyle w:val="Normal"/>
        <w:rPr/>
      </w:pPr>
      <w:r>
        <w:rPr/>
        <w:t xml:space="preserve"> </w:t>
      </w:r>
    </w:p>
    <w:p>
      <w:pPr>
        <w:pStyle w:val="P68B1DB1Normal15"/>
        <w:rPr>
          <w:b/>
          <w:b/>
        </w:rPr>
      </w:pPr>
      <w:r>
        <w:rPr/>
        <w:t xml:space="preserve">21. Wij raden de EU aan strengere milieunormen toe te passen en eerlijke arbeidsomstandigheden in de gehele productieketen te waarborgen. De productienormen van de EU moeten tussen de lidstaten duurzamer en geharmoniseerder zijn en op ingevoerde goederen worden toegepast. Deze normen moeten ook van sociale aard zijn, met inbegrip van een fatsoenlijk inkomen voor werknemers en bevredigende arbeidsomstandigheden in fabrieken. Er moeten gevolgen zijn voor goederen die niet aan deze normen voldoen. </w:t>
      </w:r>
    </w:p>
    <w:p>
      <w:pPr>
        <w:pStyle w:val="Normal"/>
        <w:rPr/>
      </w:pPr>
      <w:r>
        <w:rPr/>
        <w:t xml:space="preserve"> </w:t>
      </w:r>
    </w:p>
    <w:p>
      <w:pPr>
        <w:pStyle w:val="Normal"/>
        <w:rPr/>
      </w:pPr>
      <w:r>
        <w:rPr/>
        <w:t xml:space="preserve">Het is belangrijk in Europa milieu- en sociaal homogene productienormen vast te stellen om ervoor te zorgen dat alle aangeboden producten duurzaam worden geproduceerd. Deze maatregelen zijn essentieel om onze economie te heroriënteren en de productiepatronen van bedrijven te veranderen. </w:t>
      </w:r>
    </w:p>
    <w:p>
      <w:pPr>
        <w:pStyle w:val="Normal"/>
        <w:rPr/>
      </w:pPr>
      <w:r>
        <w:rPr/>
        <w:t xml:space="preserve"> </w:t>
      </w:r>
    </w:p>
    <w:p>
      <w:pPr>
        <w:pStyle w:val="P68B1DB1Normal15"/>
        <w:rPr>
          <w:b/>
          <w:b/>
        </w:rPr>
      </w:pPr>
      <w:r>
        <w:rPr/>
        <w:t xml:space="preserve">22. Wij bevelen de EU en de lidstaten aan maatregelen te nemen om reclame voor producten die schadelijk zijn voor het milieu te beperken. Producten met een lage duurzaamheid moeten worden onderworpen aan een verplichte niet-aansprakelijkheidsclausule in alle vormen van reclame waaruit blijkt dat ze schadelijk zijn voor het milieu. De EU moet reclame voor producten die helemaal niet duurzaam zijn, verbieden. </w:t>
      </w:r>
    </w:p>
    <w:p>
      <w:pPr>
        <w:pStyle w:val="Normal"/>
        <w:rPr/>
      </w:pPr>
      <w:r>
        <w:rPr/>
        <w:t xml:space="preserve"> </w:t>
      </w:r>
    </w:p>
    <w:p>
      <w:pPr>
        <w:pStyle w:val="Normal"/>
        <w:rPr/>
      </w:pPr>
      <w:r>
        <w:rPr/>
        <w:t xml:space="preserve">Reclame stimuleert consumptie; producten die schadelijk zijn voor het milieu moeten niet worden benadrukt. Op deze manier zullen consumenten minder geneigd zijn om milieuschadelijke producten te kopen. </w:t>
      </w:r>
    </w:p>
    <w:p>
      <w:pPr>
        <w:pStyle w:val="Normal"/>
        <w:rPr/>
      </w:pPr>
      <w:r>
        <w:rPr/>
        <w:t xml:space="preserve"> </w:t>
      </w:r>
    </w:p>
    <w:p>
      <w:pPr>
        <w:pStyle w:val="P68B1DB1Normal15"/>
        <w:rPr>
          <w:b/>
          <w:b/>
        </w:rPr>
      </w:pPr>
      <w:r>
        <w:rPr/>
        <w:t xml:space="preserve">23. Wij raden de EU aan om overal in de EU een gedeponeerde infrastructuur op te zetten en te ontwikkelen voor alle primaire verpakkingen van glas, kunststof, aluminium, enz.. Fabrikanten moeten de retourverpakking zoveel mogelijk hergebruiken door ze te steriliseren in plaats van simpelweg de materialen te recyclen. Naast voedsel- en drankverpakkingen moet het apparaat ook andere soorten flessen en containers omvatten, zoals shampooflessen. </w:t>
      </w:r>
    </w:p>
    <w:p>
      <w:pPr>
        <w:pStyle w:val="Normal"/>
        <w:rPr/>
      </w:pPr>
      <w:r>
        <w:rPr/>
        <w:t xml:space="preserve"> </w:t>
      </w:r>
    </w:p>
    <w:p>
      <w:pPr>
        <w:pStyle w:val="Normal"/>
        <w:rPr/>
      </w:pPr>
      <w:r>
        <w:rPr/>
        <w:t xml:space="preserve">Op dit moment gooien consumenten te veel verpakkingen, vervuilen en vernietigen onze ecosystemen. Statiegeldsystemen helpen bij het verminderen van afval door burgers aan te moedigen verpakkingen terug te brengen in plaats van weg te gooien. Door de ontwikkeling van dit systeem zullen we minder middelen gebruiken; de hoeveelheid afval zal worden verminderd. </w:t>
      </w:r>
    </w:p>
    <w:p>
      <w:pPr>
        <w:pStyle w:val="Normal"/>
        <w:rPr/>
      </w:pPr>
      <w:r>
        <w:rPr/>
        <w:t xml:space="preserve"> </w:t>
      </w:r>
    </w:p>
    <w:p>
      <w:pPr>
        <w:pStyle w:val="Titre4"/>
        <w:numPr>
          <w:ilvl w:val="3"/>
          <w:numId w:val="2"/>
        </w:numPr>
        <w:rPr/>
      </w:pPr>
      <w:bookmarkStart w:id="165" w:name="__RefHeading___Toc297265_1346298689"/>
      <w:bookmarkEnd w:id="165"/>
      <w:r>
        <w:rPr/>
        <w:t xml:space="preserve">Subas 3.2 Afval verminderen </w:t>
      </w:r>
    </w:p>
    <w:p>
      <w:pPr>
        <w:pStyle w:val="P68B1DB1Normal15"/>
        <w:rPr>
          <w:b/>
          <w:b/>
        </w:rPr>
      </w:pPr>
      <w:r>
        <w:rPr/>
        <w:t xml:space="preserve">24. Wij raden aan om het beleid inzake de circulaire economie op Europees niveau krachtiger uit te voeren, zowel voor bedrijven als voor burgers, in de vorm van financiële stimulansen voor degenen die hieraan voldoen. </w:t>
      </w:r>
    </w:p>
    <w:p>
      <w:pPr>
        <w:pStyle w:val="Normal"/>
        <w:rPr/>
      </w:pPr>
      <w:r>
        <w:rPr/>
        <w:t xml:space="preserve"> </w:t>
      </w:r>
    </w:p>
    <w:p>
      <w:pPr>
        <w:pStyle w:val="Normal"/>
        <w:rPr/>
      </w:pPr>
      <w:r>
        <w:rPr/>
        <w:t xml:space="preserve">Veel mensen zullen uiteindelijk werkloos worden als productiebedrijven hun personeelsbestand verminderen of zelfs in een staat van stopzetting van betaling/ferment terechtkomen. Omscholingsmaatregelen voor werklozen zullen milieuvriendelijke praktijken aanmoedigen en tegelijkertijd de werkloosheid beperken en de modernisering van een gediversifieerde economie bevorderen. </w:t>
      </w:r>
    </w:p>
    <w:p>
      <w:pPr>
        <w:pStyle w:val="Normal"/>
        <w:rPr/>
      </w:pPr>
      <w:r>
        <w:rPr/>
        <w:t xml:space="preserve"> </w:t>
      </w:r>
    </w:p>
    <w:p>
      <w:pPr>
        <w:pStyle w:val="P68B1DB1Normal15"/>
        <w:rPr>
          <w:b/>
          <w:b/>
        </w:rPr>
      </w:pPr>
      <w:r>
        <w:rPr/>
        <w:t xml:space="preserve">25. Wij raden de EU aan het gebruik van milieuveilige verpakkingen (d.w.z. verpakkingen op basis van biologisch afbreekbare of recyclebare of duurzamere materialen, indien mogelijk) en/of het gebruik van minder omvangrijke verpakkingen te reguleren, ook met een QR-code met informatie die relevant is voor het recycling- en/of verwijderingsproces van verpakkingen na gebruik. </w:t>
      </w:r>
    </w:p>
    <w:p>
      <w:pPr>
        <w:pStyle w:val="Normal"/>
        <w:rPr/>
      </w:pPr>
      <w:r>
        <w:rPr/>
        <w:t xml:space="preserve"> </w:t>
      </w:r>
    </w:p>
    <w:p>
      <w:pPr>
        <w:pStyle w:val="Normal"/>
        <w:rPr/>
      </w:pPr>
      <w:r>
        <w:rPr/>
        <w:t xml:space="preserve">Deze aanbeveling zal leiden tot een vermindering van de verpakking, een vermindering van afval en bijgevolg tot verontreiniging; het milieu zal dus schoner zijn en uiteindelijk zal de CO2-voetafdruk minder zijn. Ook de belastingdruk voor producenten zal lager zijn. </w:t>
      </w:r>
    </w:p>
    <w:p>
      <w:pPr>
        <w:pStyle w:val="Normal"/>
        <w:rPr/>
      </w:pPr>
      <w:r>
        <w:rPr/>
        <w:t xml:space="preserve"> </w:t>
      </w:r>
    </w:p>
    <w:p>
      <w:pPr>
        <w:pStyle w:val="Titre4"/>
        <w:numPr>
          <w:ilvl w:val="3"/>
          <w:numId w:val="2"/>
        </w:numPr>
        <w:rPr/>
      </w:pPr>
      <w:bookmarkStart w:id="166" w:name="__RefHeading___Toc297267_1346298689"/>
      <w:bookmarkEnd w:id="166"/>
      <w:r>
        <w:rPr/>
        <w:t xml:space="preserve">Subas 3.3 eerlijke producten, gelijke toegang en eerlijke consumptie </w:t>
      </w:r>
    </w:p>
    <w:p>
      <w:pPr>
        <w:pStyle w:val="P68B1DB1Normal15"/>
        <w:rPr>
          <w:b/>
          <w:b/>
        </w:rPr>
      </w:pPr>
      <w:r>
        <w:rPr/>
        <w:t xml:space="preserve">26. Wij raden de Europese Unie aan een wettelijk kader vast te stellen om ervoor te zorgen dat alle Europese consumenten betaalbare en betere toegang hebben tot kwaliteits- en lokale levensmiddelen. </w:t>
      </w:r>
    </w:p>
    <w:p>
      <w:pPr>
        <w:pStyle w:val="Normal"/>
        <w:rPr/>
      </w:pPr>
      <w:r>
        <w:rPr/>
        <w:t xml:space="preserve"> </w:t>
      </w:r>
    </w:p>
    <w:p>
      <w:pPr>
        <w:pStyle w:val="Normal"/>
        <w:rPr/>
      </w:pPr>
      <w:r>
        <w:rPr/>
        <w:t xml:space="preserve">Er is momenteel op EU-niveau geen gemeenschappelijke interpretatie van wat als lokaal en kwaliteitsvoedsel moet worden beschouwd. Deze kloof moet worden opgevuld. </w:t>
      </w:r>
    </w:p>
    <w:p>
      <w:pPr>
        <w:pStyle w:val="Normal"/>
        <w:rPr/>
      </w:pPr>
      <w:r>
        <w:rPr/>
        <w:t xml:space="preserve">De invoer van producten van slechte kwaliteit heeft directe negatieve gevolgen voor het milieu. Om de klimaatverandering te bestrijden, moeten we al haar oorzaken aanpakken, met inbegrip van de import van producten van lage kwaliteit: er is behoefte aan een vermindering van de vervoersafstand en bevordering van seizoensproducten. </w:t>
      </w:r>
    </w:p>
    <w:p>
      <w:pPr>
        <w:pStyle w:val="Normal"/>
        <w:rPr/>
      </w:pPr>
      <w:r>
        <w:rPr/>
        <w:t xml:space="preserve">Deze aanbeveling is veelbelovend omdat het ook van toepassing kan zijn op non-foodproducten. </w:t>
      </w:r>
    </w:p>
    <w:p>
      <w:pPr>
        <w:pStyle w:val="Normal"/>
        <w:rPr/>
      </w:pPr>
      <w:r>
        <w:rPr/>
        <w:t xml:space="preserve"> </w:t>
      </w:r>
    </w:p>
    <w:p>
      <w:pPr>
        <w:pStyle w:val="P68B1DB1Normal15"/>
        <w:rPr>
          <w:b/>
          <w:b/>
        </w:rPr>
      </w:pPr>
      <w:r>
        <w:rPr/>
        <w:t xml:space="preserve">27. Wij bevelen de Europese Unie aan om onderzoek en ontwikkeling aan te moedigen door middel van financieringsprogramma’s om ervoor te zorgen dat duurzamere en betaalbarere producten op de Europese markt beschikbaar zijn. De Europese Unie moet ook overleg plegen met de burgers, op alle besluitvormingsniveaus, ook op lokaal niveau, om hun behoeften aan duurzame producten te bepalen. </w:t>
      </w:r>
    </w:p>
    <w:p>
      <w:pPr>
        <w:pStyle w:val="Normal"/>
        <w:rPr/>
      </w:pPr>
      <w:r>
        <w:rPr/>
        <w:t xml:space="preserve"> </w:t>
      </w:r>
    </w:p>
    <w:p>
      <w:pPr>
        <w:pStyle w:val="Normal"/>
        <w:rPr/>
      </w:pPr>
      <w:r>
        <w:rPr/>
        <w:t xml:space="preserve">Wij zijn van mening dat onderzoek naar duurzame producten ontoereikend is en er is dringend behoefte aan meer financiële middelen voor onderzoek, zodat Europeanen toegang kunnen krijgen tot meer betaalbare duurzame producten. </w:t>
      </w:r>
    </w:p>
    <w:p>
      <w:pPr>
        <w:pStyle w:val="Normal"/>
        <w:rPr/>
      </w:pPr>
      <w:r>
        <w:rPr/>
        <w:t xml:space="preserve">Burgers moeten deelnemen aan het besluitvormingsproces. Het programma voor onderzoeks- en innovatieacties moet samen met de burgers worden opgesteld. Zij moeten op de hoogte worden gebracht van de follow-up en de resultaten moeten aan hen worden meegedeeld. </w:t>
      </w:r>
    </w:p>
    <w:p>
      <w:pPr>
        <w:pStyle w:val="Normal"/>
        <w:rPr/>
      </w:pPr>
      <w:r>
        <w:rPr/>
      </w:r>
    </w:p>
    <w:p>
      <w:pPr>
        <w:pStyle w:val="P68B1DB1Normal15"/>
        <w:rPr>
          <w:b/>
          <w:b/>
        </w:rPr>
      </w:pPr>
      <w:r>
        <w:rPr/>
        <w:t xml:space="preserve">28. Wij raden de Europese Unie aan een regelgevingsmechanisme in te voeren voor modeartikelen die de gemeenschappelijke markt betreden. Dit mechanisme zou bedoeld zijn om een betere consumptie aan te moedigen door middel van een indicator die ervoor zorgt dat het product aan de duurzaamheidscriteria voldoet. </w:t>
      </w:r>
    </w:p>
    <w:p>
      <w:pPr>
        <w:pStyle w:val="Normal"/>
        <w:rPr/>
      </w:pPr>
      <w:r>
        <w:rPr/>
        <w:t xml:space="preserve"> </w:t>
      </w:r>
    </w:p>
    <w:p>
      <w:pPr>
        <w:pStyle w:val="Normal"/>
        <w:rPr/>
      </w:pPr>
      <w:r>
        <w:rPr/>
        <w:t xml:space="preserve">De modesector, die te veel goederen van slechte kwaliteit buiten de Europese grenzen produceert, past geen ethische normen toe en neemt geen duurzaam gedrag aan. </w:t>
      </w:r>
    </w:p>
    <w:p>
      <w:pPr>
        <w:pStyle w:val="Normal"/>
        <w:rPr/>
      </w:pPr>
      <w:r>
        <w:rPr/>
        <w:t xml:space="preserve">We moeten een eerlijk mechanisme vinden dat consumenten in staat stelt om beter te consumeren. Het is echter belangrijk de belastingen niet te verhogen, wat negatieve gevolgen zou hebben voor consumenten door hun koopkracht te verminderen. </w:t>
      </w:r>
    </w:p>
    <w:p>
      <w:pPr>
        <w:pStyle w:val="Normal"/>
        <w:rPr/>
      </w:pPr>
      <w:r>
        <w:rPr/>
        <w:t xml:space="preserve">Consumenten moeten weten onder welke voorwaarden de producten die ze kopen worden geproduceerd en of ze voldoen aan duurzame kwaliteitsnormen. </w:t>
      </w:r>
    </w:p>
    <w:p>
      <w:pPr>
        <w:pStyle w:val="Normal"/>
        <w:rPr/>
      </w:pPr>
      <w:r>
        <w:rPr/>
        <w:t xml:space="preserve"> </w:t>
      </w:r>
    </w:p>
    <w:p>
      <w:pPr>
        <w:pStyle w:val="Titre3"/>
        <w:numPr>
          <w:ilvl w:val="2"/>
          <w:numId w:val="2"/>
        </w:numPr>
        <w:rPr/>
      </w:pPr>
      <w:bookmarkStart w:id="167" w:name="__RefHeading___Toc297269_1346298689"/>
      <w:bookmarkEnd w:id="167"/>
      <w:r>
        <w:rPr/>
        <w:t xml:space="preserve">As 4: naar een duurzame samenleving </w:t>
      </w:r>
    </w:p>
    <w:p>
      <w:pPr>
        <w:pStyle w:val="Titre4"/>
        <w:numPr>
          <w:ilvl w:val="3"/>
          <w:numId w:val="2"/>
        </w:numPr>
        <w:rPr/>
      </w:pPr>
      <w:bookmarkStart w:id="168" w:name="__RefHeading___Toc297271_1346298689"/>
      <w:bookmarkEnd w:id="168"/>
      <w:r>
        <w:rPr/>
        <w:t xml:space="preserve">Subas 4.1 Hernieuwbare energieën, vanaf nu </w:t>
      </w:r>
    </w:p>
    <w:p>
      <w:pPr>
        <w:pStyle w:val="P68B1DB1Normal15"/>
        <w:rPr>
          <w:b/>
          <w:b/>
        </w:rPr>
      </w:pPr>
      <w:r>
        <w:rPr/>
        <w:t xml:space="preserve">29. Wij raden de EU aan om tijdens een overgangsperiode maatregelen te nemen om CO2-filters verplicht te stellen, met name voor kolengestookte centrales, zolang we op conventionele energie blijven vertrouwen. Daarnaast bevelen wij aan dat de EU financiële bijstand verleent aan lidstaten die niet over financiële middelen beschikken om CO2-filters uit te voeren. De steun is afhankelijk van de naleving van het klimaatbeleid van de EU in verband met de Overeenkomst van Parijs, de Green Deal en eventuele nieuwe klimaatwetgeving. </w:t>
      </w:r>
    </w:p>
    <w:p>
      <w:pPr>
        <w:pStyle w:val="Normal"/>
        <w:rPr/>
      </w:pPr>
      <w:r>
        <w:rPr>
          <w:b/>
        </w:rPr>
        <w:t>Dit is een concrete stap die parallel moet worden gezet met de voortdurende investeringen in onderzoek naar de veiligheid van energieproductie en die tot doel heeft de EU-lidstaten te helpen de gemeenschappelijke CO2-reductiedoelstellingen geleidelijk te halen.</w:t>
      </w:r>
      <w:r>
        <w:rPr/>
        <w:t xml:space="preserve"> </w:t>
      </w:r>
    </w:p>
    <w:p>
      <w:pPr>
        <w:pStyle w:val="Normal"/>
        <w:rPr/>
      </w:pPr>
      <w:r>
        <w:rPr/>
        <w:t xml:space="preserve"> </w:t>
      </w:r>
    </w:p>
    <w:p>
      <w:pPr>
        <w:pStyle w:val="Normal"/>
        <w:rPr/>
      </w:pPr>
      <w:r>
        <w:rPr/>
        <w:t xml:space="preserve">We weten dat het gebruik van conventionele brandstoffen leidt tot broeikasgasemissies en dat de EU-lidstaten het gebruik van conventionele brandstoffen moeten verminderen om aan de Overeenkomst van Parijs te voldoen. Aangezien het niet mogelijk is om onmiddellijk een einde te maken aan de CO2-uitstoot en we nog steeds afhankelijk zijn van steenkool, moeten we op korte en middellange termijn actie ondernemen. </w:t>
      </w:r>
    </w:p>
    <w:p>
      <w:pPr>
        <w:pStyle w:val="Normal"/>
        <w:rPr/>
      </w:pPr>
      <w:r>
        <w:rPr/>
        <w:t xml:space="preserve">Vermindering van de CO2-uitstoot is van gemeenschappelijk belang voor alle burgers, zowel binnen als buiten de EU; de EU heeft als instelling haar eigen verantwoordelijkheden en de instelling doet aanbevelingen en biedt oplossingen omdat de lidstaten de doelstellingen niet alleen kunnen verwezenlijken. </w:t>
      </w:r>
    </w:p>
    <w:p>
      <w:pPr>
        <w:pStyle w:val="Normal"/>
        <w:rPr/>
      </w:pPr>
      <w:r>
        <w:rPr/>
      </w:r>
    </w:p>
    <w:p>
      <w:pPr>
        <w:pStyle w:val="P68B1DB1Normal15"/>
        <w:rPr>
          <w:b/>
          <w:b/>
        </w:rPr>
      </w:pPr>
      <w:r>
        <w:rPr/>
        <w:t xml:space="preserve">30. We raden aan om de intensieve industriële veehouderij te verminderen om de productie van methaan en watervervuiling te verminderen. Daartoe herziet de EU haar gemeenschappelijk landbouwbeleid om haar subsidies te richten op duurzame en lokale landbouw, onder meer door middel van een etiketteringssysteem waarmee consumenten duurzame vleesproducten kunnen herkennen. We moedigen de EU ook aan te investeren in methoden voor hergebruik van afval van dierlijke productie en andere industrieën. </w:t>
      </w:r>
    </w:p>
    <w:p>
      <w:pPr>
        <w:pStyle w:val="Normal"/>
        <w:rPr/>
      </w:pPr>
      <w:r>
        <w:rPr/>
        <w:t xml:space="preserve"> </w:t>
      </w:r>
    </w:p>
    <w:p>
      <w:pPr>
        <w:pStyle w:val="Normal"/>
        <w:rPr/>
      </w:pPr>
      <w:r>
        <w:rPr/>
        <w:t xml:space="preserve">De bevolking groeit, wat in de toekomst zal leiden tot een toename van de vraag naar vlees. Daarom moet de vleesconsumptie worden verminderd. </w:t>
      </w:r>
    </w:p>
    <w:p>
      <w:pPr>
        <w:pStyle w:val="Normal"/>
        <w:rPr/>
      </w:pPr>
      <w:r>
        <w:rPr/>
        <w:t xml:space="preserve">Aangezien methaan broeikasgassen produceert, geloven we dat het natuurlijk is om te beginnen met het verminderen van de uitstoot van dieren. </w:t>
      </w:r>
    </w:p>
    <w:p>
      <w:pPr>
        <w:pStyle w:val="Normal"/>
        <w:rPr/>
      </w:pPr>
      <w:r>
        <w:rPr/>
        <w:t xml:space="preserve">We weten allemaal dat er minder vlees moet worden geconsumeerd en daarom moet het aantal runderen dienovereenkomstig worden verminderd. </w:t>
      </w:r>
    </w:p>
    <w:p>
      <w:pPr>
        <w:pStyle w:val="Normal"/>
        <w:rPr/>
      </w:pPr>
      <w:r>
        <w:rPr/>
        <w:t xml:space="preserve"> </w:t>
      </w:r>
    </w:p>
    <w:p>
      <w:pPr>
        <w:pStyle w:val="P68B1DB1Normal15"/>
        <w:rPr>
          <w:b/>
          <w:b/>
        </w:rPr>
      </w:pPr>
      <w:r>
        <w:rPr/>
        <w:t xml:space="preserve">31. Hoewel de productie van groene waterstof een duur proces is, omdat het 75 % van de energie kost om 25 % waterstof te verkrijgen, heeft dit type energie veel positieve aspecten. De beste oplossing kan zijn om CO2-vrije energie te produceren naast de ontwikkeling van groene waterstof. Windenergie moet worden gebruikt voor de productie van groene waterstof en de EU moet meer investeren en de productie van windenergie verhogen en opslaan voor toekomstige behoeften. </w:t>
      </w:r>
    </w:p>
    <w:p>
      <w:pPr>
        <w:pStyle w:val="Normal"/>
        <w:rPr/>
      </w:pPr>
      <w:r>
        <w:rPr/>
        <w:t xml:space="preserve"> </w:t>
      </w:r>
    </w:p>
    <w:p>
      <w:pPr>
        <w:pStyle w:val="Normal"/>
        <w:rPr/>
      </w:pPr>
      <w:r>
        <w:rPr/>
        <w:t xml:space="preserve">Groene waterstof is flexibel en kan worden opgeslagen voor gebruik wanneer dat nodig is. Het veroorzaakt geen CO2-vervuiling. </w:t>
      </w:r>
    </w:p>
    <w:p>
      <w:pPr>
        <w:pStyle w:val="Normal"/>
        <w:rPr/>
      </w:pPr>
      <w:r>
        <w:rPr/>
        <w:t xml:space="preserve"> </w:t>
      </w:r>
    </w:p>
    <w:p>
      <w:pPr>
        <w:pStyle w:val="Titre4"/>
        <w:numPr>
          <w:ilvl w:val="3"/>
          <w:numId w:val="2"/>
        </w:numPr>
        <w:rPr/>
      </w:pPr>
      <w:bookmarkStart w:id="169" w:name="__RefHeading___Toc297273_1346298689"/>
      <w:bookmarkEnd w:id="169"/>
      <w:r>
        <w:rPr/>
        <w:t xml:space="preserve">Subas 4.2 Ondersteunende verandering </w:t>
      </w:r>
    </w:p>
    <w:p>
      <w:pPr>
        <w:pStyle w:val="P68B1DB1Normal15"/>
        <w:rPr>
          <w:b/>
          <w:b/>
        </w:rPr>
      </w:pPr>
      <w:r>
        <w:rPr/>
        <w:t xml:space="preserve">32. Wij raden de EU aan een systeem van dwang en beloning in te voeren om vervuiling, met inbegrip van water, bodem, lucht en straling, te bestrijden. Boetes moeten worden opgelegd aan vervuilers, in combinatie met de verplichte steun van een gespecialiseerde organisatie, die specifiek is ontworpen om entiteiten te helpen bij het elimineren van vervuiling en het herstel van het ecosysteem. Deze gespecialiseerde organisatie moet een leidende rol spelen bij het voorkomen en beheersen van verontreinigingsniveaus. </w:t>
      </w:r>
    </w:p>
    <w:p>
      <w:pPr>
        <w:pStyle w:val="Normal"/>
        <w:rPr/>
      </w:pPr>
      <w:r>
        <w:rPr/>
        <w:t xml:space="preserve"> </w:t>
      </w:r>
    </w:p>
    <w:p>
      <w:pPr>
        <w:pStyle w:val="Normal"/>
        <w:rPr/>
      </w:pPr>
      <w:r>
        <w:rPr/>
        <w:t xml:space="preserve">Omdat het belangrijk is om zich te concentreren op de verantwoordelijkheden van vervuilers en entiteiten aan te moedigen om vervuiling te verminderen door zich te richten op nulvervuiling. Het is essentieel om een gezonde planeet te hebben, omdat het rechtstreeks verband houdt met ons welzijn en ons toekomstige bestaan. </w:t>
      </w:r>
    </w:p>
    <w:p>
      <w:pPr>
        <w:pStyle w:val="Normal"/>
        <w:rPr/>
      </w:pPr>
      <w:r>
        <w:rPr/>
        <w:t xml:space="preserve"> </w:t>
      </w:r>
    </w:p>
    <w:p>
      <w:pPr>
        <w:pStyle w:val="P68B1DB1Normal15"/>
        <w:rPr>
          <w:b/>
          <w:b/>
        </w:rPr>
      </w:pPr>
      <w:r>
        <w:rPr/>
        <w:t xml:space="preserve">33. Wij raden de EU aan een specifieke website/platform op te zetten die door meerdere deskundigen wordt geverifieerd — met diverse en regelmatig bijgewerkte wetenschappelijke milieu-informatie — die gemakkelijk toegankelijk en transparant is voor alle burgers. Deze website/platform zal worden gekoppeld aan een forum waar burgers en deskundigen kunnen communiceren. We raden ook ten zeerste aan om een mediacampagne te lanceren om deze website/platform te promoten (bijvoorbeeld via sociale media zoals YouTube, TikTok en LinkedIn). </w:t>
      </w:r>
    </w:p>
    <w:p>
      <w:pPr>
        <w:pStyle w:val="Normal"/>
        <w:rPr/>
      </w:pPr>
      <w:r>
        <w:rPr/>
        <w:t xml:space="preserve"> </w:t>
      </w:r>
    </w:p>
    <w:p>
      <w:pPr>
        <w:pStyle w:val="Normal"/>
        <w:rPr/>
      </w:pPr>
      <w:r>
        <w:rPr/>
        <w:t xml:space="preserve">Alle burgers moeten beschikken over onafhankelijke informatiebronnen, gebaseerd op wetenschappelijk bewijs, om inzicht te krijgen in de uitdagingen in verband met klimaatverandering (de gevolgen ervan en de maatregelen die moeten worden genomen om deze om te keren), en om vals nieuws aan te pakken. De mediacampagne zal het bewustzijn van het bestaan van dit platform/website vergroten. Het is ook belangrijk dat de informatie die door de website/platform wordt verstrekt begrijpelijk is voor alle burgers, met toegang tot bronmateriaal voor degenen die het onderwerp willen verdiepen. </w:t>
      </w:r>
    </w:p>
    <w:p>
      <w:pPr>
        <w:pStyle w:val="Normal"/>
        <w:rPr/>
      </w:pPr>
      <w:r>
        <w:rPr/>
        <w:t xml:space="preserve"> </w:t>
      </w:r>
    </w:p>
    <w:p>
      <w:pPr>
        <w:pStyle w:val="P68B1DB1Normal15"/>
        <w:rPr>
          <w:b/>
          <w:b/>
        </w:rPr>
      </w:pPr>
      <w:r>
        <w:rPr/>
        <w:t xml:space="preserve">34. Wij raden de EU aan om de hoeveelheid ingevoerde goederen die niet voldoen aan de EU-normen voor de ecologische voetafdruk te verminderen. </w:t>
      </w:r>
    </w:p>
    <w:p>
      <w:pPr>
        <w:pStyle w:val="Normal"/>
        <w:rPr/>
      </w:pPr>
      <w:r>
        <w:rPr/>
        <w:t xml:space="preserve"> </w:t>
      </w:r>
    </w:p>
    <w:p>
      <w:pPr>
        <w:pStyle w:val="Normal"/>
        <w:rPr/>
      </w:pPr>
      <w:r>
        <w:rPr/>
        <w:t xml:space="preserve">Daarmee zorgen we ervoor dat goederen die in de EU worden ingevoerd een groenere voetafdruk hebben. Het doel is om de vervuiling wereldwijd te verminderen. Het is ook belangrijk om de normen aan landen voor te leggen als zij goederen naar de EU willen exporteren. </w:t>
      </w:r>
    </w:p>
    <w:p>
      <w:pPr>
        <w:pStyle w:val="Normal"/>
        <w:rPr/>
      </w:pPr>
      <w:r>
        <w:rPr/>
        <w:t xml:space="preserve"> </w:t>
      </w:r>
    </w:p>
    <w:p>
      <w:pPr>
        <w:pStyle w:val="P68B1DB1Normal15"/>
        <w:rPr>
          <w:b/>
          <w:b/>
        </w:rPr>
      </w:pPr>
      <w:r>
        <w:rPr/>
        <w:t xml:space="preserve">35. Wij raden de EU aan om de dialoog over klimaatverandering tussen alle besluitvormingsniveaus, van zeer lokale (burgers) tot wereldwijd (nationaal, internationaal en intercontinentaal) aan te moedigen, te bevorderen en te vergemakkelijken, teneinde tegemoet te komen aan de zorgen van alle belanghebbenden. </w:t>
      </w:r>
    </w:p>
    <w:p>
      <w:pPr>
        <w:pStyle w:val="Normal"/>
        <w:rPr/>
      </w:pPr>
      <w:r>
        <w:rPr/>
        <w:t xml:space="preserve"> </w:t>
      </w:r>
    </w:p>
    <w:p>
      <w:pPr>
        <w:pStyle w:val="Normal"/>
        <w:rPr/>
      </w:pPr>
      <w:r>
        <w:rPr/>
        <w:t xml:space="preserve">Omdat dialoog en consensus de beste manier zijn om uitdagingen op het gebied van klimaatverandering aan te pakken: als de partijen elkaar begrijpen, is er meer bereidheid om gemeenschappelijke grond te vinden. </w:t>
      </w:r>
    </w:p>
    <w:p>
      <w:pPr>
        <w:pStyle w:val="Normal"/>
        <w:rPr/>
      </w:pPr>
      <w:r>
        <w:rPr/>
        <w:t xml:space="preserve"> </w:t>
      </w:r>
    </w:p>
    <w:p>
      <w:pPr>
        <w:pStyle w:val="Titre4"/>
        <w:numPr>
          <w:ilvl w:val="3"/>
          <w:numId w:val="2"/>
        </w:numPr>
        <w:rPr/>
      </w:pPr>
      <w:bookmarkStart w:id="170" w:name="__RefHeading___Toc297275_1346298689"/>
      <w:bookmarkEnd w:id="170"/>
      <w:r>
        <w:rPr/>
        <w:t xml:space="preserve">Subas 4.3 Milieuvriendelijk vervoer </w:t>
      </w:r>
    </w:p>
    <w:p>
      <w:pPr>
        <w:pStyle w:val="Normal"/>
        <w:rPr/>
      </w:pPr>
      <w:r>
        <w:rPr>
          <w:b/>
        </w:rPr>
        <w:t>36. Wij raden de EU aan de Europese lidstaten financieel te ondersteunen om de connectiviteit in plattelandsgebieden te verbeteren. Dit vereist de ontwikkeling van een Europees openbaar vervoersnetwerk op basis van betaalbare prijzen (prioritaire spoorwegen) en stimulansen voor het gebruik van het openbaar vervoer. Daartoe moet in plattelandsgebieden binnen een kort en realistisch tijdsbestek internetconnectiviteit worden ontwikkeld.</w:t>
      </w:r>
      <w:r>
        <w:rPr/>
        <w:t xml:space="preserve"> </w:t>
      </w:r>
    </w:p>
    <w:p>
      <w:pPr>
        <w:pStyle w:val="Normal"/>
        <w:rPr/>
      </w:pPr>
      <w:r>
        <w:rPr/>
        <w:t xml:space="preserve"> </w:t>
      </w:r>
    </w:p>
    <w:p>
      <w:pPr>
        <w:pStyle w:val="Normal"/>
        <w:rPr/>
      </w:pPr>
      <w:r>
        <w:rPr/>
        <w:t xml:space="preserve">We doen deze aanbeveling omdat er geen gelijke toegang is tot openbaar vervoer en internetconnectiviteit tussen landelijke en stedelijke gebieden. Een gemeenschappelijk Europees project zou worden versterkt, aangezien alle burgers het gevoel zouden hebben dat zij dezelfde rechten hadden. De versterking van het openbaarvervoersnetwerk en de internetconnectiviteit zou mensen ertoe aanzetten zich op het platteland te vestigen. Dit proces zou de vervuiling verminderen omdat er minder mensen in overvolle steden zouden leven. </w:t>
      </w:r>
    </w:p>
    <w:p>
      <w:pPr>
        <w:pStyle w:val="Normal"/>
        <w:rPr/>
      </w:pPr>
      <w:r>
        <w:rPr/>
        <w:t xml:space="preserve"> </w:t>
      </w:r>
    </w:p>
    <w:p>
      <w:pPr>
        <w:pStyle w:val="P68B1DB1Normal15"/>
        <w:rPr>
          <w:b/>
          <w:b/>
        </w:rPr>
      </w:pPr>
      <w:r>
        <w:rPr/>
        <w:t xml:space="preserve">37. Wij raden aan de bestaande vervoersinfrastructuur te verbeteren die in onbruik is geraakt of vanuit ecologisch oogpunt verder kan worden verbeterd (oprichting van elektrische treinen). Dit proces moet worden uitgevoerd zonder afbreuk te doen aan milieubeschermde gebieden. </w:t>
      </w:r>
    </w:p>
    <w:p>
      <w:pPr>
        <w:pStyle w:val="Normal"/>
        <w:rPr/>
      </w:pPr>
      <w:r>
        <w:rPr/>
        <w:t xml:space="preserve"> </w:t>
      </w:r>
    </w:p>
    <w:p>
      <w:pPr>
        <w:pStyle w:val="Normal"/>
        <w:rPr/>
      </w:pPr>
      <w:r>
        <w:rPr/>
        <w:t>Verbetering van de bestaande infrastructuur zou voorkomen dat te veel middelen worden besteed en belangrijke beschermde gebieden worden beschadigd voor het behoud van de biodiversiteit. Het verhogen van de spoorweginfrastructuur zou de CO2-uitstoot verminderen en de mobiliteit van mensen van stedelijke naar plattelandsgebieden</w:t>
      </w:r>
      <w:r>
        <w:rPr>
          <w:vertAlign w:val="subscript"/>
        </w:rPr>
        <w:t>bevorderen</w:t>
      </w:r>
      <w:r>
        <w:rPr/>
        <w:t xml:space="preserve">. </w:t>
      </w:r>
    </w:p>
    <w:p>
      <w:pPr>
        <w:pStyle w:val="Normal"/>
        <w:rPr/>
      </w:pPr>
      <w:r>
        <w:rPr/>
        <w:t xml:space="preserve"> </w:t>
      </w:r>
    </w:p>
    <w:p>
      <w:pPr>
        <w:pStyle w:val="P68B1DB1Normal15"/>
        <w:rPr>
          <w:b/>
          <w:b/>
        </w:rPr>
      </w:pPr>
      <w:r>
        <w:rPr/>
        <w:t xml:space="preserve">38. Wij raden de EU aan om elektrische voertuigen aan te moedigen die voldoen aan goede normen voor de levensduur van de batterij. Daartoe zou de EU stimulansen voor alle lidstaten kunnen nemen en de elektriciteitsinfrastructuur kunnen verbeteren. Tegelijkertijd moet de EU investeren in de ontwikkeling van andere schone technologieën, zoals biobrandstoffen en waterstof voor voertuigen waarvan de elektrificatie moeilijk te realiseren is, zoals boten en vrachtwagens. </w:t>
      </w:r>
    </w:p>
    <w:p>
      <w:pPr>
        <w:pStyle w:val="Normal"/>
        <w:rPr/>
      </w:pPr>
      <w:r>
        <w:rPr/>
        <w:t xml:space="preserve"> </w:t>
      </w:r>
    </w:p>
    <w:p>
      <w:pPr>
        <w:pStyle w:val="Normal"/>
        <w:rPr/>
      </w:pPr>
      <w:r>
        <w:rPr/>
        <w:t xml:space="preserve">We doen deze aanbeveling omdat elektriciteit de snelste manier is om de uitstoot van voertuigen te verminderen, met andere energiebronnen zoals waterstof en biobrandstoffen. De snelste, economische en haalbare oplossing is elektriciteit, gevolgd door biobrandstoffen. Op langere termijn moet groene waterstof een complementaire rol spelen bij het bestrijken van vervoerswijzen die niet geëlektrificeerd kunnen worden. </w:t>
      </w:r>
    </w:p>
    <w:p>
      <w:pPr>
        <w:pStyle w:val="Normal"/>
        <w:rPr/>
      </w:pPr>
      <w:r>
        <w:rPr/>
        <w:t xml:space="preserve"> </w:t>
      </w:r>
    </w:p>
    <w:p>
      <w:pPr>
        <w:pStyle w:val="Titre3"/>
        <w:numPr>
          <w:ilvl w:val="2"/>
          <w:numId w:val="2"/>
        </w:numPr>
        <w:rPr/>
      </w:pPr>
      <w:bookmarkStart w:id="171" w:name="__RefHeading___Toc297277_1346298689"/>
      <w:bookmarkEnd w:id="171"/>
      <w:r>
        <w:rPr/>
        <w:t xml:space="preserve">Axis 5 Zorg voor iedereen </w:t>
      </w:r>
    </w:p>
    <w:p>
      <w:pPr>
        <w:pStyle w:val="Titre4"/>
        <w:numPr>
          <w:ilvl w:val="3"/>
          <w:numId w:val="2"/>
        </w:numPr>
        <w:rPr/>
      </w:pPr>
      <w:bookmarkStart w:id="172" w:name="__RefHeading___Toc297279_1346298689"/>
      <w:bookmarkEnd w:id="172"/>
      <w:r>
        <w:rPr/>
        <w:t xml:space="preserve">Subas 5.1 Versterk het gezondheidszorgsysteem </w:t>
      </w:r>
    </w:p>
    <w:p>
      <w:pPr>
        <w:pStyle w:val="P68B1DB1Normal15"/>
        <w:rPr>
          <w:b/>
          <w:b/>
        </w:rPr>
      </w:pPr>
      <w:r>
        <w:rPr/>
        <w:t xml:space="preserve">39. Wij raden de Europese Unie aan gemeenschappelijke gezondheidsnormen te garanderen, maar pleit ook voor fatsoenlijke minimumlonen, maximale werktijden en dezelfde opleidingsnormen, voor dezelfde kwalificaties, voor gezondheidswerkers in de hele Europese Unie. </w:t>
      </w:r>
    </w:p>
    <w:p>
      <w:pPr>
        <w:pStyle w:val="Normal"/>
        <w:rPr/>
      </w:pPr>
      <w:r>
        <w:rPr/>
        <w:t xml:space="preserve"> </w:t>
      </w:r>
    </w:p>
    <w:p>
      <w:pPr>
        <w:pStyle w:val="Normal"/>
        <w:rPr/>
      </w:pPr>
      <w:r>
        <w:rPr/>
        <w:t xml:space="preserve">Als we geen gemeenschappelijke normen voor gezondheidszorg, lonen en gemeenschappelijke opleiding voor gezondheidswerkers hebben, kunnen verschillen tussen de lidstaten leiden tot onevenwichtige situaties in de Europese Unie. Normalisatie van de gezondheidszorg kan bijdragen tot een sterker, efficiënter en veerkrachtiger systeem (bv. de COVID-19-crisis met betrekking tot de stabiliteit van onze systemen). Het zou ook de uitwisseling van kennis en informatie in de gezondheidssector vergemakkelijken. </w:t>
      </w:r>
    </w:p>
    <w:p>
      <w:pPr>
        <w:pStyle w:val="Normal"/>
        <w:rPr/>
      </w:pPr>
      <w:r>
        <w:rPr/>
        <w:t xml:space="preserve"> </w:t>
      </w:r>
    </w:p>
    <w:p>
      <w:pPr>
        <w:pStyle w:val="P68B1DB1Normal15"/>
        <w:rPr>
          <w:b/>
          <w:b/>
        </w:rPr>
      </w:pPr>
      <w:r>
        <w:rPr/>
        <w:t xml:space="preserve">40. Wij raden de Europese Unie aan ervoor te zorgen dat behandelingen in de hele EU van gelijke kwaliteit zijn en tegen eerlijke lokale kosten. Dit kan bijvoorbeeld worden gewaarborgd door een uitbreiding van de bevoegdheden van het Europees Geneesmiddelenbureau (EMA) of de oprichting van een nieuw Europees agentschap voor overheidsopdrachten, dat bevoegd zou zijn om voor alle lidstaten te onderhandelen en geschiktere prijzen voor geneesmiddelen te verkrijgen. Het risico van monopolies in de farmaceutische industrie moet worden geminimaliseerd. </w:t>
      </w:r>
    </w:p>
    <w:p>
      <w:pPr>
        <w:pStyle w:val="Normal"/>
        <w:rPr/>
      </w:pPr>
      <w:r>
        <w:rPr/>
        <w:t xml:space="preserve"> </w:t>
      </w:r>
    </w:p>
    <w:p>
      <w:pPr>
        <w:pStyle w:val="Normal"/>
        <w:rPr/>
      </w:pPr>
      <w:r>
        <w:rPr/>
        <w:t xml:space="preserve">De gelijkheid van medische voorzieningen en behandeling in de EU garandeert gelijke gezondheidsrechten voor alle Europese burgers. Grotere inkoopcapaciteit zorgt voor betere inkoopvoorwaarden. Dit mag echter niet leiden tot monopoliestructuren en farmaceutische lobbyen. Het beheer van de COVID-19-crisis is een goed voorbeeld van gezamenlijk gezondheidsbeheer door de Europese Unie als geheel. </w:t>
      </w:r>
    </w:p>
    <w:p>
      <w:pPr>
        <w:pStyle w:val="Normal"/>
        <w:rPr/>
      </w:pPr>
      <w:r>
        <w:rPr/>
        <w:t xml:space="preserve"> </w:t>
      </w:r>
    </w:p>
    <w:p>
      <w:pPr>
        <w:pStyle w:val="P68B1DB1Normal15"/>
        <w:rPr>
          <w:b/>
          <w:b/>
        </w:rPr>
      </w:pPr>
      <w:r>
        <w:rPr/>
        <w:t xml:space="preserve">41. Wij raden aan om een Europese databank over de gezondheidszorg op te zetten, waarin medische dossiers toegankelijk zijn in geval van nood of ziekte. Deelname moet facultatief zijn en de bescherming van persoonsgegevens moet worden gewaarborgd. </w:t>
      </w:r>
    </w:p>
    <w:p>
      <w:pPr>
        <w:pStyle w:val="Normal"/>
        <w:rPr/>
      </w:pPr>
      <w:r>
        <w:rPr/>
        <w:t xml:space="preserve"> </w:t>
      </w:r>
    </w:p>
    <w:p>
      <w:pPr>
        <w:pStyle w:val="Normal"/>
        <w:rPr/>
      </w:pPr>
      <w:r>
        <w:rPr/>
        <w:t xml:space="preserve">Toegang tot gegevens en het gebruik van gegevens maken het mogelijk om snel te reageren in gevallen waarin het leven in gevaar is. Piraterij of misbruik vormen grote bedreigingen voor een dergelijk Europees zorgdatabanksysteem, vandaar de noodzaak om gegevens te beveiligen, terwijl deelname facultatief blijft, en natuurlijk om veiligheidsgerelateerde bedreigingen te voorkomen. </w:t>
      </w:r>
    </w:p>
    <w:p>
      <w:pPr>
        <w:pStyle w:val="Normal"/>
        <w:rPr/>
      </w:pPr>
      <w:r>
        <w:rPr/>
        <w:t xml:space="preserve"> </w:t>
      </w:r>
    </w:p>
    <w:p>
      <w:pPr>
        <w:pStyle w:val="P68B1DB1Normal15"/>
        <w:rPr>
          <w:b/>
          <w:b/>
        </w:rPr>
      </w:pPr>
      <w:r>
        <w:rPr/>
        <w:t xml:space="preserve">42. Wij raden de Europese Unie aan bestaande programma’s voor onderzoek en innovatie op het gebied van gezondheid te blijven ontwikkelen en synchroniseren, zoals het geval is in het bestaande Horizon Europa-programma. De resultaten van de studies moeten vrij beschikbaar zijn in alle lidstaten. </w:t>
      </w:r>
    </w:p>
    <w:p>
      <w:pPr>
        <w:pStyle w:val="Normal"/>
        <w:rPr/>
      </w:pPr>
      <w:r>
        <w:rPr/>
        <w:t xml:space="preserve"> </w:t>
      </w:r>
    </w:p>
    <w:p>
      <w:pPr>
        <w:pStyle w:val="Normal"/>
        <w:rPr/>
      </w:pPr>
      <w:r>
        <w:rPr/>
        <w:t xml:space="preserve">Wetenschappelijke samenwerking op EU-niveau zou de wetenschappelijke capaciteiten en kennis van individuele onderzoekers kunnen verrijken. Het delen van kennis kan bijvoorbeeld leiden tot vroegtijdige diagnose en betere behandelingen om ernstige en dodelijke ziekten in heel Europa te verminderen. Het zou ook de Europese zelfvoorziening in geneesmiddelen en apparatuur bevorderen. </w:t>
      </w:r>
    </w:p>
    <w:p>
      <w:pPr>
        <w:pStyle w:val="Normal"/>
        <w:rPr/>
      </w:pPr>
      <w:r>
        <w:rPr/>
        <w:t xml:space="preserve"> </w:t>
      </w:r>
    </w:p>
    <w:p>
      <w:pPr>
        <w:pStyle w:val="P68B1DB1Normal15"/>
        <w:rPr>
          <w:b/>
          <w:b/>
        </w:rPr>
      </w:pPr>
      <w:r>
        <w:rPr/>
        <w:t xml:space="preserve">43. Wij raden de EU aan haar begroting voor gezamenlijke onderzoeks- en innovatieprojecten op het gebied van gezondheid te verhogen (zonder bezuinigingen in andere gezondheidsgerelateerde programma’s van de EU). Dit zou ook de Europese wetenschappelijke en onderzoeksinstellingen als geheel versterken. </w:t>
      </w:r>
    </w:p>
    <w:p>
      <w:pPr>
        <w:pStyle w:val="Normal"/>
        <w:rPr/>
      </w:pPr>
      <w:r>
        <w:rPr/>
        <w:t xml:space="preserve"> </w:t>
      </w:r>
    </w:p>
    <w:p>
      <w:pPr>
        <w:pStyle w:val="Normal"/>
        <w:rPr/>
      </w:pPr>
      <w:r>
        <w:rPr/>
        <w:t xml:space="preserve">Gezondheidsonderzoek en -investeringen zullen de preventieve geneeskunde op de lange termijn versterken en gezondheidsgerelateerde kosten verlagen. Meer middelen kunnen Europese braindrain naar andere ontwikkelde landen met hogere O &amp; O-budgetten voor gezondheid voorkomen. Deze financiering mag niet afkomstig zijn uit bestaande financiële middelen voor de gezondheidszorg. </w:t>
      </w:r>
    </w:p>
    <w:p>
      <w:pPr>
        <w:pStyle w:val="Normal"/>
        <w:rPr/>
      </w:pPr>
      <w:r>
        <w:rPr/>
        <w:t xml:space="preserve"> </w:t>
      </w:r>
    </w:p>
    <w:p>
      <w:pPr>
        <w:pStyle w:val="Titre4"/>
        <w:numPr>
          <w:ilvl w:val="3"/>
          <w:numId w:val="2"/>
        </w:numPr>
        <w:rPr/>
      </w:pPr>
      <w:bookmarkStart w:id="173" w:name="__RefHeading___Toc297281_1346298689"/>
      <w:bookmarkEnd w:id="173"/>
      <w:r>
        <w:rPr/>
        <w:t xml:space="preserve">Subas 5.2 Een bredere kijk op gezondheid </w:t>
      </w:r>
    </w:p>
    <w:p>
      <w:pPr>
        <w:pStyle w:val="P68B1DB1Normal15"/>
        <w:rPr>
          <w:b/>
          <w:b/>
        </w:rPr>
      </w:pPr>
      <w:r>
        <w:rPr/>
        <w:t xml:space="preserve">44. We raden aan om in alle lidstaten, dezelfde week, een gezondheidsweek in te stellen als een EU-initiatief dat gewijd is aan alle gezondheidskwesties, met de nadruk op geestelijke gezondheid. Tijdens deze week zullen alle belangrijke thema’s op het gebied van geestelijke gezondheid collectief worden behandeld en gepromoot, evenals andere reeds bestaande initiatieven, zoals die van Mental Health Europe. </w:t>
      </w:r>
    </w:p>
    <w:p>
      <w:pPr>
        <w:pStyle w:val="Normal"/>
        <w:rPr/>
      </w:pPr>
      <w:r>
        <w:rPr/>
        <w:t xml:space="preserve"> </w:t>
      </w:r>
    </w:p>
    <w:p>
      <w:pPr>
        <w:pStyle w:val="Normal"/>
        <w:rPr/>
      </w:pPr>
      <w:r>
        <w:rPr/>
        <w:t xml:space="preserve">We doen deze aanbeveling omdat alle Europese burgers zich geaccepteerd en betrokken moeten voelen, vooral als ze last hebben van psychische problemen. Daarnaast is het noodzakelijk het bewustzijn van geestelijke gezondheidsproblemen te standaardiseren en te verbeteren, en om gerelateerde sociale problemen zoals discriminatie te voorkomen. Aangezien de geestelijke gezondheidsproblemen met de pandemie zijn toegenomen en waarschijnlijk zullen doorgaan, is dit initiatief des te belangrijker. </w:t>
      </w:r>
    </w:p>
    <w:p>
      <w:pPr>
        <w:pStyle w:val="Normal"/>
        <w:rPr/>
      </w:pPr>
      <w:r>
        <w:rPr/>
        <w:t xml:space="preserve"> </w:t>
      </w:r>
    </w:p>
    <w:p>
      <w:pPr>
        <w:pStyle w:val="P68B1DB1Normal15"/>
        <w:rPr>
          <w:b/>
          <w:b/>
        </w:rPr>
      </w:pPr>
      <w:r>
        <w:rPr/>
        <w:t xml:space="preserve">45. Wij raden aan dat vrouwenhygiëneproducten ophouden te worden beschouwd als luxegoederen op het gebied van belastingen, aangezien het essentiële producten zijn. We raden ook aan om hormonale anticonceptieproducten die worden gebruikt om medische redenen, zoals fibromyalgie en endometriose, te belasten als reguliere medische behandeling. Wij bevelen ook aan dat de Europese Unie de harmonisatie van medisch begeleide reproductieve behandeling voor alle vrouwen (eenpersoons of gehuwden) in alle lidstaten bevordert. </w:t>
      </w:r>
    </w:p>
    <w:p>
      <w:pPr>
        <w:pStyle w:val="Normal"/>
        <w:rPr/>
      </w:pPr>
      <w:r>
        <w:rPr/>
        <w:t xml:space="preserve"> </w:t>
      </w:r>
    </w:p>
    <w:p>
      <w:pPr>
        <w:pStyle w:val="Normal"/>
        <w:rPr/>
      </w:pPr>
      <w:r>
        <w:rPr/>
        <w:t xml:space="preserve">In sommige Europese landen worden hygiënische producten voor vrouwen belast als luxegoederen, wat oneerlijk is. Sommige hormonale anticonceptiva worden gebruikt voor medische doeleinden en moeten daarom dienovereenkomstig worden belast. Aangezien reproductieve behandelingen voor vrouwen, zoals in-vitrofertilisatie en eicelvriesmethoden, in de lidstaten verschillende toelatingsvoorwaarden hebben en de Europese Unie ernaar moet streven deze te harmoniseren. </w:t>
      </w:r>
    </w:p>
    <w:p>
      <w:pPr>
        <w:pStyle w:val="Normal"/>
        <w:rPr/>
      </w:pPr>
      <w:r>
        <w:rPr/>
        <w:t xml:space="preserve"> </w:t>
      </w:r>
    </w:p>
    <w:p>
      <w:pPr>
        <w:pStyle w:val="P68B1DB1Normal15"/>
        <w:rPr>
          <w:b/>
          <w:b/>
        </w:rPr>
      </w:pPr>
      <w:r>
        <w:rPr/>
        <w:t xml:space="preserve">46. Wij raden de Europese Unie aan een krachtig standpunt in te nemen om alle lidstaten aan te moedigen om, waar passend, kwesties in verband met geestelijke gezondheid en seksuele voorlichting op te nemen in hun schoolcurricula. Om de lidstaten te helpen deze kwesties in schoolcurricula goed te keuren, moet de Europese Unie een standaardprogramma voor geestelijke gezondheid en seksuele kwesties ontwikkelen en beschikbaar stellen. </w:t>
      </w:r>
    </w:p>
    <w:p>
      <w:pPr>
        <w:pStyle w:val="Normal"/>
        <w:rPr/>
      </w:pPr>
      <w:r>
        <w:rPr/>
        <w:t xml:space="preserve"> </w:t>
      </w:r>
    </w:p>
    <w:p>
      <w:pPr>
        <w:pStyle w:val="Normal"/>
        <w:rPr/>
      </w:pPr>
      <w:r>
        <w:rPr/>
        <w:t xml:space="preserve">Discriminatie en taboes met betrekking tot geestelijke gezondheidsproblemen moeten worden teruggedrongen. Ook desinformatie en niet-wetenschappelijke benaderingen moeten worden vermeden. Daarnaast is seksuele voorlichting van fundamenteel belang voor een gezond leven en gemeenschap, en voorkomt het problemen zoals tienerzwangerschappen. </w:t>
      </w:r>
    </w:p>
    <w:p>
      <w:pPr>
        <w:pStyle w:val="Normal"/>
        <w:rPr/>
      </w:pPr>
      <w:r>
        <w:rPr/>
        <w:t xml:space="preserve"> </w:t>
      </w:r>
    </w:p>
    <w:p>
      <w:pPr>
        <w:pStyle w:val="P68B1DB1Normal15"/>
        <w:rPr>
          <w:b/>
          <w:b/>
        </w:rPr>
      </w:pPr>
      <w:r>
        <w:rPr/>
        <w:t xml:space="preserve">47. Wij raden de Europese Unie aan een beter communicatiesysteem te ontwikkelen voor al haar initiatieven op het gebied van geestelijke gezondheid, namelijk het volksgezondheidsportaal over beste praktijken, binnen de lidstaten en voor alle burgers. De leden van het Europees Parlement zouden deze beste praktijken aan elkaar kunnen presenteren om ze in alle lidstaten beter bekend te maken. </w:t>
      </w:r>
    </w:p>
    <w:p>
      <w:pPr>
        <w:pStyle w:val="Normal"/>
        <w:rPr/>
      </w:pPr>
      <w:r>
        <w:rPr/>
        <w:t xml:space="preserve"> </w:t>
      </w:r>
    </w:p>
    <w:p>
      <w:pPr>
        <w:pStyle w:val="Normal"/>
        <w:rPr/>
      </w:pPr>
      <w:r>
        <w:rPr/>
        <w:t xml:space="preserve">Burgers zijn niet goed geïnformeerd over EU-initiatieven en het delen van beste praktijken stelt ons in staat van elkaar te leren. </w:t>
      </w:r>
    </w:p>
    <w:p>
      <w:pPr>
        <w:pStyle w:val="Normal"/>
        <w:rPr/>
      </w:pPr>
      <w:r>
        <w:rPr/>
        <w:t xml:space="preserve"> </w:t>
      </w:r>
    </w:p>
    <w:p>
      <w:pPr>
        <w:pStyle w:val="Titre4"/>
        <w:numPr>
          <w:ilvl w:val="3"/>
          <w:numId w:val="2"/>
        </w:numPr>
        <w:rPr/>
      </w:pPr>
      <w:bookmarkStart w:id="174" w:name="__RefHeading___Toc297283_1346298689"/>
      <w:bookmarkEnd w:id="174"/>
      <w:r>
        <w:rPr/>
        <w:t xml:space="preserve">Subas 5.3 Gelijke toegang tot gezondheid voor iedereen </w:t>
      </w:r>
    </w:p>
    <w:p>
      <w:pPr>
        <w:pStyle w:val="P68B1DB1Normal15"/>
        <w:rPr>
          <w:b/>
          <w:b/>
        </w:rPr>
      </w:pPr>
      <w:r>
        <w:rPr/>
        <w:t xml:space="preserve">48. Wij raden de EU aan minimumnormen voor hoogwaardige tandheelkundige zorg, met inbegrip van profylaxe, vast te stellen en te bevorderen voor alle EU-lidstaten. Kinderen, groepen met een laag inkomen en andere kwetsbare groepen moeten gratis tandheelkundige zorg krijgen. Binnen 15-20 jaar moet de EU ervoor zorgen dat betaalbare tandheelkundige zorg voor iedereen toegankelijk is. </w:t>
      </w:r>
    </w:p>
    <w:p>
      <w:pPr>
        <w:pStyle w:val="Normal"/>
        <w:rPr/>
      </w:pPr>
      <w:r>
        <w:rPr/>
        <w:t xml:space="preserve"> </w:t>
      </w:r>
    </w:p>
    <w:p>
      <w:pPr>
        <w:pStyle w:val="Normal"/>
        <w:rPr/>
      </w:pPr>
      <w:r>
        <w:rPr/>
        <w:t xml:space="preserve">We doen deze aanbeveling omdat tandheelkundige zorg momenteel niet betaalbaar is voor veel mensen die in de EU wonen. De afwezigheid van tandheelkundige zorg en tandheelkundige profylaxe is schadelijk voor hun gezondheid en levensperspectieven. De EU moet beginnen met het vaststellen van een minimumnorm voor tandheelkundige zorg en gratis tandheelkundige zorg voor kinderen en groepen met een laag inkomen vereisen. Uiteindelijk moet iedereen recht hebben op hoogwaardige tandheelkundige zorg. </w:t>
      </w:r>
    </w:p>
    <w:p>
      <w:pPr>
        <w:pStyle w:val="Normal"/>
        <w:rPr/>
      </w:pPr>
      <w:r>
        <w:rPr/>
        <w:t xml:space="preserve"> </w:t>
      </w:r>
    </w:p>
    <w:p>
      <w:pPr>
        <w:pStyle w:val="P68B1DB1Normal15"/>
        <w:rPr>
          <w:b/>
          <w:b/>
        </w:rPr>
      </w:pPr>
      <w:r>
        <w:rPr/>
        <w:t xml:space="preserve">49. Wij raden aan gezondheid en gezondheidszorg op te nemen in de bevoegdheden die de EU en haar lidstaten delen. Om deze nieuwe gedeelde bevoegdheid op te nemen, moet artikel 4 van het Verdrag betreffende de werking van de Europese Unie (VWEU) worden gewijzigd. </w:t>
      </w:r>
    </w:p>
    <w:p>
      <w:pPr>
        <w:pStyle w:val="Normal"/>
        <w:rPr/>
      </w:pPr>
      <w:r>
        <w:rPr/>
        <w:t xml:space="preserve"> </w:t>
      </w:r>
    </w:p>
    <w:p>
      <w:pPr>
        <w:pStyle w:val="Normal"/>
        <w:rPr/>
      </w:pPr>
      <w:r>
        <w:rPr/>
        <w:t xml:space="preserve">Wij doen deze aanbeveling omdat de Europese Unie momenteel niet over voldoende bevoegdheden beschikt om wetgeving op het gebied van de gezondheidszorg vast te stellen. De COVID-19-pandemie heeft aangetoond dat er behoefte is aan een grotere aanwezigheid van de EU in het gezondheidsbeleid. Dit verdragswijziging zal de EU in staat stellen meer te doen om de gezondheidszorg voor alle EU-burgers te waarborgen en bindende verordeningen en besluiten uit te vaardigen. </w:t>
      </w:r>
    </w:p>
    <w:p>
      <w:pPr>
        <w:pStyle w:val="Normal"/>
        <w:rPr/>
      </w:pPr>
      <w:r>
        <w:rPr/>
        <w:t xml:space="preserve"> </w:t>
      </w:r>
    </w:p>
    <w:p>
      <w:pPr>
        <w:pStyle w:val="P68B1DB1Normal15"/>
        <w:rPr>
          <w:b/>
          <w:b/>
        </w:rPr>
      </w:pPr>
      <w:r>
        <w:rPr/>
        <w:t xml:space="preserve">50. Wij raden de EU aan alle EU-burgers gratis EHBO-cursussen aan te bieden. De EU zou kunnen overwegen om deze cursussen verplicht te stellen voor studenten en op de werkplek (zowel in de publieke als in de particuliere sector). Deze cursussen moeten ook praktisch, terugkerend en aangepast zijn aan de leeftijd van de studenten. Een minimumaantal defibrillators moet ook beschikbaar zijn op openbare plaatsen in alle EU-lidstaten. </w:t>
      </w:r>
    </w:p>
    <w:p>
      <w:pPr>
        <w:pStyle w:val="Normal"/>
        <w:rPr/>
      </w:pPr>
      <w:r>
        <w:rPr/>
        <w:t xml:space="preserve"> </w:t>
      </w:r>
    </w:p>
    <w:p>
      <w:pPr>
        <w:pStyle w:val="Normal"/>
        <w:rPr/>
      </w:pPr>
      <w:r>
        <w:rPr/>
        <w:t xml:space="preserve">We raden het aan omdat veel mensen in de Europese Unie niet bereid zijn om op te treden wanneer iemand hulp nodig heeft en omdat ze geen eerstehulptechnieken kennen. Dat is de reden waarom veel levens verloren gaan. Op sommige openbare plaatsen is geen defibrillator beschikbaar. </w:t>
      </w:r>
    </w:p>
    <w:p>
      <w:pPr>
        <w:pStyle w:val="Normal"/>
        <w:rPr/>
      </w:pPr>
      <w:r>
        <w:rPr/>
        <w:t xml:space="preserve"> </w:t>
      </w:r>
    </w:p>
    <w:p>
      <w:pPr>
        <w:pStyle w:val="P68B1DB1Normal15"/>
        <w:rPr>
          <w:b/>
          <w:b/>
        </w:rPr>
      </w:pPr>
      <w:r>
        <w:rPr/>
        <w:t xml:space="preserve">51. Wij raden de Europese Unie aan ervoor te zorgen dat particuliere zorgverleners niet ten onrechte profiteren van overheidsmiddelen en geen gebruik maken van de middelen van de openbare gezondheidszorgstelsels. De Europese Unie moet krachtige aanbevelingen doen aan de lidstaten om de financiering van de openbare gezondheidszorg te verhogen. </w:t>
      </w:r>
    </w:p>
    <w:p>
      <w:pPr>
        <w:pStyle w:val="Normal"/>
        <w:rPr/>
      </w:pPr>
      <w:r>
        <w:rPr/>
        <w:t xml:space="preserve"> </w:t>
      </w:r>
    </w:p>
    <w:p>
      <w:pPr>
        <w:pStyle w:val="Normal"/>
        <w:rPr/>
      </w:pPr>
      <w:r>
        <w:rPr/>
        <w:t xml:space="preserve">Wij doen deze aanbeveling omdat de Europese Unie en haar lidstaten verplicht zijn om voor al hun burgers toegang tot gezondheidszorg te waarborgen. Daarnaast vereist een sterker volksgezondheidsstelsel ook een betere paraatheid voor toekomstige pandemieën. </w:t>
      </w:r>
    </w:p>
    <w:p>
      <w:pPr>
        <w:pStyle w:val="Normal"/>
        <w:rPr/>
      </w:pPr>
      <w:r>
        <w:rPr/>
        <w:t xml:space="preserve"> </w:t>
      </w:r>
    </w:p>
    <w:p>
      <w:pPr>
        <w:pStyle w:val="Titre3"/>
        <w:numPr>
          <w:ilvl w:val="2"/>
          <w:numId w:val="2"/>
        </w:numPr>
        <w:rPr/>
      </w:pPr>
      <w:bookmarkStart w:id="175" w:name="__RefHeading___Toc297285_1346298689"/>
      <w:bookmarkEnd w:id="175"/>
      <w:r>
        <w:rPr/>
        <w:t xml:space="preserve">Bijlage: ANDERE AANBEVELINGEN VAN HET PANEL DIE NIET ZIJN AANGENOMEN </w:t>
      </w:r>
    </w:p>
    <w:p>
      <w:pPr>
        <w:pStyle w:val="Titre4"/>
        <w:numPr>
          <w:ilvl w:val="3"/>
          <w:numId w:val="2"/>
        </w:numPr>
        <w:rPr/>
      </w:pPr>
      <w:bookmarkStart w:id="176" w:name="__RefHeading___Toc297287_1346298689"/>
      <w:bookmarkEnd w:id="176"/>
      <w:r>
        <w:rPr/>
        <w:t xml:space="preserve">As 1: Betere manieren van leven </w:t>
      </w:r>
    </w:p>
    <w:p>
      <w:pPr>
        <w:pStyle w:val="Normal"/>
        <w:rPr/>
      </w:pPr>
      <w:r>
        <w:rPr/>
        <w:t xml:space="preserve">Subas 1.1 Gezonde levensstijl </w:t>
      </w:r>
    </w:p>
    <w:p>
      <w:pPr>
        <w:pStyle w:val="P68B1DB1Normal15"/>
        <w:rPr>
          <w:b/>
          <w:b/>
        </w:rPr>
      </w:pPr>
      <w:r>
        <w:rPr/>
        <w:t xml:space="preserve">Wij bevelen de EU aan alle lidstaten een aanbeveling te doen toekomen over beste praktijken inzake het verbieden of beperken van alcohol- en tabaksreclame in alle vormen van media en voor alle leeftijdsgroepen, maar met bijzondere aandacht voor jonge doelgroepen. De EU moet zorgen voor de handhaving van wetten die de verkoop van deze producten aan minderjarigen beperken. Alle lidstaten moeten zorgen voor de tenuitvoerlegging, met sancties, van de wettelijke bepalingen inzake roken in openbare ruimten, met name in scholen, en moeten ruimte creëren voor rokers. </w:t>
      </w:r>
    </w:p>
    <w:p>
      <w:pPr>
        <w:pStyle w:val="Normal"/>
        <w:rPr/>
      </w:pPr>
      <w:r>
        <w:rPr/>
        <w:t xml:space="preserve"> </w:t>
      </w:r>
    </w:p>
    <w:p>
      <w:pPr>
        <w:pStyle w:val="Normal"/>
        <w:rPr/>
      </w:pPr>
      <w:r>
        <w:rPr/>
        <w:t xml:space="preserve">Gezondheidsschadelijke levensstijlen kunnen niet voorkomen in reclame en moeten minder zichtbaar zijn in het openbare leven. Aangezien alcohol en tabak tot de meest gebruikte schadelijke stoffen behoren, zal deze aanbeveling bovendien misbruik ervan voorkomen. </w:t>
      </w:r>
    </w:p>
    <w:p>
      <w:pPr>
        <w:pStyle w:val="Normal"/>
        <w:rPr/>
      </w:pPr>
      <w:r>
        <w:rPr/>
        <w:t xml:space="preserve"> </w:t>
      </w:r>
    </w:p>
    <w:p>
      <w:pPr>
        <w:pStyle w:val="P68B1DB1Normal15"/>
        <w:rPr>
          <w:b/>
          <w:b/>
        </w:rPr>
      </w:pPr>
      <w:r>
        <w:rPr/>
        <w:t xml:space="preserve">Wij raden de EU aan de lidstaten aan te moedigen cursussen in nationale schoolcurricula op te nemen om te leren koken op een duurzame, gezonde en smakelijke manier. Daartoe kan de EU gezondheidsgidsen zowel online als in gedrukte vorm beschikbaar stellen. Jongeren moeten worden bereikt door actief te adverteren op traditionele en sociale media. We moeten ook ouders opvoeden om te leren hoe we voedsel het beste kunnen gebruiken om een ​​gezonde levensstijl aan te nemen. Onderzoek op dit gebied moet worden bevorderd en verrijkt. </w:t>
      </w:r>
    </w:p>
    <w:p>
      <w:pPr>
        <w:pStyle w:val="Normal"/>
        <w:rPr/>
      </w:pPr>
      <w:r>
        <w:rPr/>
        <w:t xml:space="preserve"> </w:t>
      </w:r>
    </w:p>
    <w:p>
      <w:pPr>
        <w:pStyle w:val="Normal"/>
        <w:rPr/>
      </w:pPr>
      <w:r>
        <w:rPr/>
        <w:t xml:space="preserve">Het organiseren van kook- en voedingslessen op school zou de gezondheid van jongeren verbeteren en de consumptie van fastfood ontmoedigen. Het opleiden van jongeren zou hen in staat stellen om hun ouders uit te leggen wat ze geleerd hebben. Bovendien zou het opleiden van ouders over een gezonde levensstijl hen in staat stellen een voorbeeld te geven aan hun kinderen. </w:t>
      </w:r>
    </w:p>
    <w:p>
      <w:pPr>
        <w:pStyle w:val="Normal"/>
        <w:rPr/>
      </w:pPr>
      <w:r>
        <w:rPr/>
      </w:r>
    </w:p>
    <w:p>
      <w:pPr>
        <w:pStyle w:val="P68B1DB1Normal15"/>
        <w:rPr>
          <w:b/>
          <w:b/>
        </w:rPr>
      </w:pPr>
      <w:r>
        <w:rPr/>
        <w:t xml:space="preserve">We raden aan om de publieke campagne van de Europese Commissie voor een gezonde levensstijl, HealthyLifestyle4All en de positieve impact van sociale activiteiten op te voeren aan de hand van concrete voorbeelden en een alomvattende strategie. Voorlichtingscampagnes voor goed gestructureerde doelgroepen moeten worden vastgesteld en voor elk van deze groepen moeten passende communicatiemiddelen worden gekozen. Daarnaast is het belangrijk om belonings- en stimuleringssystemen in te voeren om positief gedrag te bevorderen. Campagnes moeten influencers, beroemdheden of autoriteiten betrekken. Zij moeten de dubbele voordelen voor de gezondheid, het milieu en het klimaat onder de aandacht brengen. Daarnaast moeten in alle lidstaten subsidies beschikbaar zijn om vrije openbare sportinfrastructuur te bevorderen. </w:t>
      </w:r>
    </w:p>
    <w:p>
      <w:pPr>
        <w:pStyle w:val="Normal"/>
        <w:rPr/>
      </w:pPr>
      <w:r>
        <w:rPr/>
        <w:t xml:space="preserve"> </w:t>
      </w:r>
    </w:p>
    <w:p>
      <w:pPr>
        <w:pStyle w:val="Normal"/>
        <w:rPr/>
      </w:pPr>
      <w:r>
        <w:rPr/>
        <w:t xml:space="preserve">Gezondere levensstijlen hebben een positief effect op de gezondheidszorg omdat ze gezondheidsproblemen verminderen. Lichamelijke gezondheid beïnvloedt geestelijke gezondheid en geluk. De huidige campagnes zijn niet voldoende bekend. Ze zijn effectiever en motiverender wanneer persoonlijkheden en beïnvloeders ermee worden geassocieerd. </w:t>
      </w:r>
    </w:p>
    <w:p>
      <w:pPr>
        <w:pStyle w:val="Normal"/>
        <w:rPr/>
      </w:pPr>
      <w:r>
        <w:rPr/>
        <w:t xml:space="preserve"> </w:t>
      </w:r>
    </w:p>
    <w:p>
      <w:pPr>
        <w:pStyle w:val="P68B1DB1Normal15"/>
        <w:rPr>
          <w:b/>
          <w:b/>
        </w:rPr>
      </w:pPr>
      <w:r>
        <w:rPr/>
        <w:t xml:space="preserve">We raden een voorlichtingscampagne aan over gezond eten en voeding. De EU moet een hogere belasting op vlees en suiker in de lidstaten aanmoedigen. Het moet de mogelijkheden onderzoeken om een onderscheid te maken tussen gezonde voedingsmiddelen en schadelijke voedingsmiddelen en daarop gedifferentieerde btw toepassen. We raden aan om zeer duidelijke waarschuwingssignalen te plaatsen op producten die zeer schadelijk zijn voor de gezondheid (zoals tabaksproducten). Daarnaast raden we een Europees voedingsscoresysteem aan, dat relevante informatie en QR-code biedt waarmee consumenten beter geïnformeerde beslissingen kunnen nemen. Ontdek mogelijkheden om gezond voedsel goedkoper te maken dan junkfood en moedig boeren verder aan om gezonde producten te produceren. </w:t>
      </w:r>
    </w:p>
    <w:p>
      <w:pPr>
        <w:pStyle w:val="Normal"/>
        <w:rPr/>
      </w:pPr>
      <w:r>
        <w:rPr/>
        <w:t xml:space="preserve"> </w:t>
      </w:r>
    </w:p>
    <w:p>
      <w:pPr>
        <w:pStyle w:val="Normal"/>
        <w:rPr/>
      </w:pPr>
      <w:r>
        <w:rPr/>
        <w:t xml:space="preserve">Een gezond dieet is de basis van een gezond leven. Het is noodzakelijk om zowel aan de producent als aan de consument in te grijpen. De productie van gezonde producten heeft ook positieve effecten op het milieu en kan lokale landbouwers helpen ondersteunen. Als de gezonde voedselproductie stijgt, dalen de prijzen en stijgt de vraag. </w:t>
      </w:r>
    </w:p>
    <w:p>
      <w:pPr>
        <w:pStyle w:val="Normal"/>
        <w:rPr/>
      </w:pPr>
      <w:r>
        <w:rPr/>
        <w:t xml:space="preserve"> </w:t>
      </w:r>
    </w:p>
    <w:p>
      <w:pPr>
        <w:pStyle w:val="Normal"/>
        <w:rPr/>
      </w:pPr>
      <w:r>
        <w:rPr/>
        <w:t xml:space="preserve">Subas 1.2 Milieueducatie </w:t>
      </w:r>
    </w:p>
    <w:p>
      <w:pPr>
        <w:pStyle w:val="P68B1DB1Normal15"/>
        <w:rPr>
          <w:b/>
          <w:b/>
        </w:rPr>
      </w:pPr>
      <w:r>
        <w:rPr/>
        <w:t xml:space="preserve">Wij raden de EU aan een financieringsmechanisme op te zetten om de opname van een langetermijnprogramma voor milieu-educatie in de nationale onderwijsstelsels voor kinderen op basis- en middelbare scholen te bevorderen. Dit financieringsmechanisme moet ook financiering omvatten voor ouders die financiële bijstand nodig hebben. </w:t>
      </w:r>
    </w:p>
    <w:p>
      <w:pPr>
        <w:pStyle w:val="Normal"/>
        <w:rPr/>
      </w:pPr>
      <w:r>
        <w:rPr/>
        <w:t xml:space="preserve"> </w:t>
      </w:r>
    </w:p>
    <w:p>
      <w:pPr>
        <w:pStyle w:val="Normal"/>
        <w:rPr/>
      </w:pPr>
      <w:r>
        <w:rPr/>
        <w:t xml:space="preserve">De huidige onderwijsstelsels bevatten niet voldoende praktische elementen die directe en diepe interacties tussen kinderen en de omgeving vergemakkelijken. Bestaande programma’s, ontworpen vanuit kortetermijnperspectief, zijn heterogeen en bevorderen niet de noodzakelijke verandering van houding. Ouders moeten worden ondersteund om ervoor te zorgen dat alle kinderen in gelijke mate van het programma kunnen profiteren en dat geen kinderen om financiële redenen worden uitgesloten. </w:t>
      </w:r>
    </w:p>
    <w:p>
      <w:pPr>
        <w:pStyle w:val="Normal"/>
        <w:rPr/>
      </w:pPr>
      <w:r>
        <w:rPr/>
        <w:t xml:space="preserve"> </w:t>
      </w:r>
    </w:p>
    <w:p>
      <w:pPr>
        <w:pStyle w:val="Titre4"/>
        <w:numPr>
          <w:ilvl w:val="3"/>
          <w:numId w:val="2"/>
        </w:numPr>
        <w:rPr/>
      </w:pPr>
      <w:bookmarkStart w:id="177" w:name="__RefHeading___Toc297289_1346298689"/>
      <w:bookmarkEnd w:id="177"/>
      <w:r>
        <w:rPr/>
        <w:t xml:space="preserve">As 2: Bescherming van ons milieu en onze gezondheid </w:t>
      </w:r>
    </w:p>
    <w:p>
      <w:pPr>
        <w:pStyle w:val="Normal"/>
        <w:rPr/>
      </w:pPr>
      <w:r>
        <w:rPr/>
        <w:t xml:space="preserve">Subas 2.1 Een gezonde natuurlijke omgeving </w:t>
      </w:r>
    </w:p>
    <w:p>
      <w:pPr>
        <w:pStyle w:val="P68B1DB1Normal15"/>
        <w:rPr>
          <w:b/>
          <w:b/>
        </w:rPr>
      </w:pPr>
      <w:r>
        <w:rPr/>
        <w:t xml:space="preserve">Wij raden aan om in de hele EU onmiddellijk de hoogst mogelijke waterkwaliteitsnorm toe te passen. Om water te besparen bieden we een beloningssysteem op basis van waterprijzen om minder verbruik aan te moedigen en aan te moedigen, bijvoorbeeld: 1) door een dynamisch systeem te creëren dat de consument ervan weerhoudt het gemiddelde waterverbruik te overschrijden (bijvoorbeeld een stijging van 10 % van het waterverbruik leidt tot een prijsstijging met 11 %), 2) door een marktsysteem te creëren voor quota voor door productiebedrijven verontreinigd water, dat vergelijkbaar zou zijn met de reeds bestaande markt voor koolstofvergunningen. </w:t>
      </w:r>
    </w:p>
    <w:p>
      <w:pPr>
        <w:pStyle w:val="Normal"/>
        <w:rPr/>
      </w:pPr>
      <w:r>
        <w:rPr/>
        <w:t xml:space="preserve"> </w:t>
      </w:r>
    </w:p>
    <w:p>
      <w:pPr>
        <w:pStyle w:val="Normal"/>
        <w:rPr/>
      </w:pPr>
      <w:r>
        <w:rPr/>
        <w:t xml:space="preserve">Deze aanbeveling wordt gerechtvaardigd door het feit dat prijsverhogingen alle gebruikers aanmoedigen om beter geïnformeerde beslissingen te nemen. Gezien de verschillende realiteiten van de EU-landen en om een sociaal rechtvaardig systeem tot stand te brengen, kunnen we armere mensen bij hun waterbeheer ondersteunen door samen te investeren in watervoorzieningsinfrastructuur en onderzoek. </w:t>
      </w:r>
    </w:p>
    <w:p>
      <w:pPr>
        <w:pStyle w:val="Normal"/>
        <w:rPr/>
      </w:pPr>
      <w:r>
        <w:rPr/>
        <w:t xml:space="preserve"> </w:t>
      </w:r>
    </w:p>
    <w:p>
      <w:pPr>
        <w:pStyle w:val="Titre4"/>
        <w:numPr>
          <w:ilvl w:val="3"/>
          <w:numId w:val="2"/>
        </w:numPr>
        <w:rPr/>
      </w:pPr>
      <w:bookmarkStart w:id="178" w:name="__RefHeading___Toc297291_1346298689"/>
      <w:bookmarkEnd w:id="178"/>
      <w:r>
        <w:rPr/>
        <w:t xml:space="preserve">As 3: heroriënteren van onze economie en consumptie </w:t>
      </w:r>
    </w:p>
    <w:p>
      <w:pPr>
        <w:pStyle w:val="Normal"/>
        <w:rPr/>
      </w:pPr>
      <w:r>
        <w:rPr/>
        <w:t xml:space="preserve">Subas 3.1 Overproductie en overconsumptie reguleren </w:t>
      </w:r>
    </w:p>
    <w:p>
      <w:pPr>
        <w:pStyle w:val="P68B1DB1Normal15"/>
        <w:rPr>
          <w:b/>
          <w:b/>
        </w:rPr>
      </w:pPr>
      <w:r>
        <w:rPr/>
        <w:t xml:space="preserve">Wij raden de EU aan om boetes op te leggen aan bedrijven die onverkochte producten die door overproductie worden geproduceerd, uitbannen. </w:t>
      </w:r>
    </w:p>
    <w:p>
      <w:pPr>
        <w:pStyle w:val="Normal"/>
        <w:rPr/>
      </w:pPr>
      <w:r>
        <w:rPr/>
        <w:t xml:space="preserve"> </w:t>
      </w:r>
    </w:p>
    <w:p>
      <w:pPr>
        <w:pStyle w:val="Normal"/>
        <w:rPr/>
      </w:pPr>
      <w:r>
        <w:rPr/>
        <w:t xml:space="preserve">In sommige gevallen zijn bedrijven van mening dat het kostenefficiënter is om onverkochte goederen weg te gooien in plaats van ze te recyclen of te hergebruiken. Het is daarom belangrijk overproductie te ontmoedigen door boetes op te leggen, zodat deze praktijk niet langer winstgevend is voor de producenten. </w:t>
      </w:r>
    </w:p>
    <w:p>
      <w:pPr>
        <w:pStyle w:val="Normal"/>
        <w:rPr/>
      </w:pPr>
      <w:r>
        <w:rPr/>
        <w:t xml:space="preserve"> </w:t>
      </w:r>
    </w:p>
    <w:p>
      <w:pPr>
        <w:pStyle w:val="Normal"/>
        <w:rPr/>
      </w:pPr>
      <w:r>
        <w:rPr/>
        <w:t xml:space="preserve">Subas 3.2 Afval verminderen </w:t>
      </w:r>
    </w:p>
    <w:p>
      <w:pPr>
        <w:pStyle w:val="P68B1DB1Normal15"/>
        <w:rPr>
          <w:b/>
          <w:b/>
        </w:rPr>
      </w:pPr>
      <w:r>
        <w:rPr/>
        <w:t xml:space="preserve">Wij raden de EU aan een afvalbeheerbeleid voor huishoudens en burgers uit te werken en uit te voeren, waarbij de aandacht wordt gevestigd op de werkelijke hoeveelheid afval die zij produceren en aanvullen met de nodige maatregelen om burgers bewust te maken van de voordelen van het verminderen van afvalproductie en selectieve afvalinzameling. Er moeten ook maatregelen worden genomen die gericht zijn op sociaal achtergestelde gezinnen (bv. jonge gezinnen met kinderen, ouderen, enz.) met inachtneming van het beginsel „niemand achterlaten”. </w:t>
      </w:r>
    </w:p>
    <w:p>
      <w:pPr>
        <w:pStyle w:val="Normal"/>
        <w:rPr/>
      </w:pPr>
      <w:r>
        <w:rPr/>
        <w:t xml:space="preserve"> </w:t>
      </w:r>
    </w:p>
    <w:p>
      <w:pPr>
        <w:pStyle w:val="Normal"/>
        <w:rPr/>
      </w:pPr>
      <w:r>
        <w:rPr/>
        <w:t xml:space="preserve">Het doel van een dergelijk beleid is een uniforme aanpak van afvalbeheer binnen huishoudens te ontwikkelen; het vergemakkelijkt ook de bescherming van het milieu door afvalvermindering, stimuleert de circulaire economie verder en verhoogt de efficiëntie van afvalinzameling. Tot slot, dat niet te verwaarlozen is, verhoogt het bewustzijn van de burgers en versterkt het gevoel van milieuverantwoordelijkheid. </w:t>
      </w:r>
    </w:p>
    <w:p>
      <w:pPr>
        <w:pStyle w:val="Normal"/>
        <w:rPr/>
      </w:pPr>
      <w:r>
        <w:rPr/>
        <w:t xml:space="preserve"> </w:t>
      </w:r>
    </w:p>
    <w:p>
      <w:pPr>
        <w:pStyle w:val="P68B1DB1Normal15"/>
        <w:rPr>
          <w:b/>
          <w:b/>
        </w:rPr>
      </w:pPr>
      <w:r>
        <w:rPr/>
        <w:t xml:space="preserve">Wij raden de EU aan om vrije concurrentie aan te moedigen en de particuliere sector aan te moedigen actiever bij te dragen aan afvalverwerking, met inbegrip van afvalwater, en aan activiteiten op het gebied van afvalrecycling en terugwinning. </w:t>
      </w:r>
    </w:p>
    <w:p>
      <w:pPr>
        <w:pStyle w:val="Normal"/>
        <w:rPr/>
      </w:pPr>
      <w:r>
        <w:rPr/>
        <w:t xml:space="preserve"> </w:t>
      </w:r>
    </w:p>
    <w:p>
      <w:pPr>
        <w:pStyle w:val="Normal"/>
        <w:rPr/>
      </w:pPr>
      <w:r>
        <w:rPr/>
        <w:t xml:space="preserve">De EU is het passende niveau om deze aanbeveling uit te voeren, aangezien zij een aanvulling vormt op de kaderrichtlijn afvalstoffen en het actieplan voor de circulaire economie. Bovendien zal de tenuitvoerlegging van de aanbeveling innovatieve oplossingen voor afvalbeheer versterken, de kwaliteit van het afvalbeheer verbeteren en de hoeveelheid behandeld afval vergroten, aangezien meer bedrijven aan deze activiteiten zullen deelnemen. </w:t>
      </w:r>
    </w:p>
    <w:p>
      <w:pPr>
        <w:pStyle w:val="Normal"/>
        <w:rPr/>
      </w:pPr>
      <w:r>
        <w:rPr/>
        <w:t xml:space="preserve"> </w:t>
      </w:r>
    </w:p>
    <w:p>
      <w:pPr>
        <w:pStyle w:val="Normal"/>
        <w:rPr/>
      </w:pPr>
      <w:r>
        <w:rPr/>
        <w:t xml:space="preserve">Subas 3.3 eerlijke producten, gelijke toegang en eerlijke consumptie </w:t>
      </w:r>
    </w:p>
    <w:p>
      <w:pPr>
        <w:pStyle w:val="P68B1DB1Normal15"/>
        <w:rPr>
          <w:b/>
          <w:b/>
        </w:rPr>
      </w:pPr>
      <w:r>
        <w:rPr/>
        <w:t xml:space="preserve">We raden aan om industrieën naar de Europese Unie te verplaatsen om eerlijke producten van hoge kwaliteit te leveren en klimaatkwesties te beïnvloeden. </w:t>
      </w:r>
    </w:p>
    <w:p>
      <w:pPr>
        <w:pStyle w:val="Normal"/>
        <w:rPr/>
      </w:pPr>
      <w:r>
        <w:rPr/>
        <w:t xml:space="preserve"> </w:t>
      </w:r>
    </w:p>
    <w:p>
      <w:pPr>
        <w:pStyle w:val="Normal"/>
        <w:rPr/>
      </w:pPr>
      <w:r>
        <w:rPr/>
        <w:t xml:space="preserve">De Europese Unie beschikt over knowhow die op haar eigen markt moet worden bevorderd. </w:t>
      </w:r>
    </w:p>
    <w:p>
      <w:pPr>
        <w:pStyle w:val="Normal"/>
        <w:rPr/>
      </w:pPr>
      <w:r>
        <w:rPr/>
        <w:t xml:space="preserve">Als gevolg van de verplaatsing van industrieën buiten de EU, met name in Azië, worden ook enkele beroepsvaardigheden verplaatst. Deze aanbeveling omvat de beroepsopleiding van Europese werknemers. We benadrukken dat herplaatsing tussen de verschillende lidstaten moet worden vermeden om oneerlijke concurrentie te voorkomen. </w:t>
      </w:r>
    </w:p>
    <w:p>
      <w:pPr>
        <w:pStyle w:val="Normal"/>
        <w:rPr/>
      </w:pPr>
      <w:r>
        <w:rPr/>
        <w:t xml:space="preserve">We hebben geconstateerd dat de massale verhuizing van industrieën over de hele wereld gevolgen heeft voor de Europese industrieën. Daarom zal lokale productie de gezondheid van burgers en het milieu verbeteren. </w:t>
      </w:r>
    </w:p>
    <w:p>
      <w:pPr>
        <w:pStyle w:val="Normal"/>
        <w:rPr/>
      </w:pPr>
      <w:r>
        <w:rPr/>
      </w:r>
    </w:p>
    <w:p>
      <w:pPr>
        <w:pStyle w:val="Titre4"/>
        <w:numPr>
          <w:ilvl w:val="3"/>
          <w:numId w:val="2"/>
        </w:numPr>
        <w:rPr/>
      </w:pPr>
      <w:bookmarkStart w:id="179" w:name="__RefHeading___Toc297293_1346298689"/>
      <w:bookmarkEnd w:id="179"/>
      <w:r>
        <w:rPr/>
        <w:t xml:space="preserve">As 4: naar een duurzame samenleving </w:t>
      </w:r>
    </w:p>
    <w:p>
      <w:pPr>
        <w:pStyle w:val="Normal"/>
        <w:rPr/>
      </w:pPr>
      <w:r>
        <w:rPr/>
        <w:t xml:space="preserve">Subas 4.3 Milieuvriendelijk vervoer </w:t>
      </w:r>
    </w:p>
    <w:p>
      <w:pPr>
        <w:pStyle w:val="P68B1DB1Normal15"/>
        <w:rPr>
          <w:b/>
          <w:b/>
        </w:rPr>
      </w:pPr>
      <w:r>
        <w:rPr/>
        <w:t xml:space="preserve">Wij raden grote steden aan een boete te krijgen of te subsidiëren op basis van de milieu- en vervuilingsprestaties van hun openbaar vervoer (elektrische voertuigen, groen openbaar vervoer, aanleg van voetgangerszones, bevordering van het fietsgebruik, enz.). Met name boetes of subsidies die van toepassing zijn op lokale overheden in een stad moeten worden vastgesteld op basis van veranderingen in groen vervoer ten opzichte van de uitgangssituatie in die stad. Het is de Europese Unie die via haar wetgeving prestatie-indicatoren voor maatregelen in verband met verontreiniging moet vaststellen en de evenredige vermindering moet bepalen. Hierbij moet rekening worden gehouden met het vertrekpunt van elke stad. </w:t>
      </w:r>
    </w:p>
    <w:p>
      <w:pPr>
        <w:pStyle w:val="Normal"/>
        <w:rPr/>
      </w:pPr>
      <w:r>
        <w:rPr/>
        <w:t xml:space="preserve"> </w:t>
      </w:r>
    </w:p>
    <w:p>
      <w:pPr>
        <w:pStyle w:val="Normal"/>
        <w:rPr/>
      </w:pPr>
      <w:r>
        <w:rPr/>
        <w:t xml:space="preserve">We doen deze aanbeveling omdat steden getroffen zijn door luchtvervuiling, wat gezondheidsproblemen heeft veroorzaakt. De ontwikkeling van groen vervoer zou het leven en de gezondheid van mensen verbeteren en het broeikaseffect verminderen. Subsidies en sancties zijn doeltreffende maatregelen om verandering te bevorderen en aanpassing aan verschillende situaties in verschillende steden te vergemakkelijken. </w:t>
      </w:r>
    </w:p>
    <w:p>
      <w:pPr>
        <w:pStyle w:val="Normal"/>
        <w:rPr/>
      </w:pPr>
      <w:r>
        <w:rPr/>
        <w:t xml:space="preserve"> </w:t>
      </w:r>
    </w:p>
    <w:p>
      <w:pPr>
        <w:pStyle w:val="P68B1DB1Normal15"/>
        <w:rPr>
          <w:b/>
          <w:b/>
        </w:rPr>
      </w:pPr>
      <w:r>
        <w:rPr/>
        <w:t xml:space="preserve">Wij bevelen aan dat de EU-wetgeving het gebruik van korteafstandsvluchten en cruiseschepen beperkt en regelt. Milieuvriendelijke vervoersalternatieven moeten worden aangeboden. Een dergelijk alternatief zou de standaardisatie van de spoorwegen moeten zijn om de Europese hoofdsteden met elkaar te verbinden. We raden ook aan dat de EU subsidies verstrekt om het vervoer van goederen milieuvriendelijker te maken, met inbegrip van spoor- en bootvervoer (voor korte ritten). </w:t>
      </w:r>
    </w:p>
    <w:p>
      <w:pPr>
        <w:pStyle w:val="Normal"/>
        <w:rPr/>
      </w:pPr>
      <w:r>
        <w:rPr/>
        <w:t xml:space="preserve"> </w:t>
      </w:r>
    </w:p>
    <w:p>
      <w:pPr>
        <w:pStyle w:val="Normal"/>
        <w:rPr/>
      </w:pPr>
      <w:r>
        <w:rPr/>
        <w:t xml:space="preserve">We doen deze aanbeveling, omdat korteafstandsreizen te frequent, vervuilend en gemakkelijk te vervangen zijn. Het beperken van cruiseschepen zou de verontreiniging van de zee (een groot milieuprobleem) en negatieve gevolgen voor kuststeden verminderen. Daarom moeten we meer betaalbare alternatieven voor meer vervuilende oplossingen invoeren. Uniforme spoorwijdte zou de spoorverbindingen tussen Europese hoofdsteden verbeteren. </w:t>
      </w:r>
    </w:p>
    <w:p>
      <w:pPr>
        <w:pStyle w:val="Normal"/>
        <w:rPr/>
      </w:pPr>
      <w:r>
        <w:rPr/>
        <w:t xml:space="preserve"> </w:t>
      </w:r>
    </w:p>
    <w:p>
      <w:pPr>
        <w:pStyle w:val="Titre4"/>
        <w:numPr>
          <w:ilvl w:val="3"/>
          <w:numId w:val="2"/>
        </w:numPr>
        <w:rPr/>
      </w:pPr>
      <w:bookmarkStart w:id="180" w:name="__RefHeading___Toc297295_1346298689"/>
      <w:bookmarkEnd w:id="180"/>
      <w:r>
        <w:rPr/>
        <w:t xml:space="preserve">As 5: Zorg voor iedereen </w:t>
      </w:r>
    </w:p>
    <w:p>
      <w:pPr>
        <w:pStyle w:val="Normal"/>
        <w:rPr/>
      </w:pPr>
      <w:r>
        <w:rPr/>
        <w:t xml:space="preserve">Subas 5.2 Een bredere kijk op gezondheid </w:t>
      </w:r>
    </w:p>
    <w:p>
      <w:pPr>
        <w:pStyle w:val="Normal"/>
        <w:rPr>
          <w:b/>
          <w:b/>
        </w:rPr>
      </w:pPr>
      <w:r>
        <w:rPr>
          <w:b/>
        </w:rPr>
        <w:t xml:space="preserve">Wij raden de Europese Unie aan om, overeenkomstig haar </w:t>
      </w:r>
      <w:commentRangeStart w:id="5"/>
      <w:r>
        <w:rPr>
          <w:b/>
        </w:rPr>
        <w:t>campagne</w:t>
      </w:r>
      <w:r>
        <w:rPr>
          <w:b/>
        </w:rPr>
      </w:r>
      <w:commentRangeEnd w:id="5"/>
      <w:r>
        <w:commentReference w:id="5"/>
      </w:r>
      <w:r>
        <w:rPr>
          <w:b/>
        </w:rPr>
        <w:t xml:space="preserve"> HealthyLife4All, ook initiatieven aan te moedigen zoals sociale sportevenementen, schoolsportactiviteiten, halfjaarlijkse Olympische Spelen die openstaan voor alle leeftijden en alle sporten [niet voor professionals]. We raden ook de ontwikkeling van een gratis Europese sport app aan om collectieve sportactiviteiten aan te moedigen. Deze app moet mensen helpen elkaar te ontmoeten door middel van sport. Bovendien moeten deze initiatieven algemeen bekend zijn en verspreid worden. </w:t>
      </w:r>
    </w:p>
    <w:p>
      <w:pPr>
        <w:pStyle w:val="Normal"/>
        <w:rPr/>
      </w:pPr>
      <w:r>
        <w:rPr/>
        <w:t xml:space="preserve"> </w:t>
      </w:r>
    </w:p>
    <w:p>
      <w:pPr>
        <w:pStyle w:val="Normal"/>
        <w:rPr/>
      </w:pPr>
      <w:r>
        <w:rPr/>
        <w:t xml:space="preserve">Om de gezondheid van de Europese bevolking te verbeteren, moet de Europese Unie sport en een gezonde levensstijl bevorderen. Bovendien is de bevolking zich vaak niet bewust van de relatie tussen sport en een gezonde levensstijl. De app is belangrijk, omdat mensen meer bereid zijn om te sporten als ze het samen doen. </w:t>
      </w:r>
      <w:r>
        <w:br w:type="page"/>
      </w:r>
    </w:p>
    <w:p>
      <w:pPr>
        <w:pStyle w:val="P68B1DB1Normal19"/>
        <w:rPr>
          <w:rFonts w:ascii="Times New Roman" w:hAnsi="Times New Roman"/>
          <w:color w:val="000000"/>
          <w:sz w:val="24"/>
        </w:rPr>
      </w:pPr>
      <w:r>
        <w:rPr/>
        <w:t xml:space="preserve"> </w:t>
      </w:r>
    </w:p>
    <w:p>
      <w:pPr>
        <w:pStyle w:val="Titre2"/>
        <w:numPr>
          <w:ilvl w:val="1"/>
          <w:numId w:val="2"/>
        </w:numPr>
        <w:rPr/>
      </w:pPr>
      <w:bookmarkStart w:id="181" w:name="__RefHeading___Toc297297_1346298689"/>
      <w:bookmarkEnd w:id="181"/>
      <w:r>
        <w:rPr/>
        <w:t xml:space="preserve">Europees burgerpanel 4: „De EU in de wereld/Migratie” </w:t>
      </w:r>
    </w:p>
    <w:p>
      <w:pPr>
        <w:pStyle w:val="Normal"/>
        <w:rPr/>
      </w:pPr>
      <w:r>
        <w:rPr/>
        <w:t xml:space="preserve">AANBEVELINGEN VAN HET PANEL (VOOR TE LEGGEN AAN DE PLENAIRE VERGADERING) </w:t>
      </w:r>
    </w:p>
    <w:p>
      <w:pPr>
        <w:pStyle w:val="Normal"/>
        <w:rPr/>
      </w:pPr>
      <w:r>
        <w:rPr/>
      </w:r>
    </w:p>
    <w:p>
      <w:pPr>
        <w:pStyle w:val="Titre3"/>
        <w:numPr>
          <w:ilvl w:val="2"/>
          <w:numId w:val="2"/>
        </w:numPr>
        <w:rPr/>
      </w:pPr>
      <w:bookmarkStart w:id="182" w:name="__RefHeading___Toc297299_1346298689"/>
      <w:bookmarkEnd w:id="182"/>
      <w:r>
        <w:rPr/>
        <w:t xml:space="preserve">As 1: Zelfvoorziening en stabiliteit </w:t>
      </w:r>
    </w:p>
    <w:p>
      <w:pPr>
        <w:pStyle w:val="Titre4"/>
        <w:numPr>
          <w:ilvl w:val="3"/>
          <w:numId w:val="2"/>
        </w:numPr>
        <w:rPr/>
      </w:pPr>
      <w:bookmarkStart w:id="183" w:name="__RefHeading___Toc297301_1346298689"/>
      <w:bookmarkEnd w:id="183"/>
      <w:r>
        <w:rPr/>
        <w:t xml:space="preserve">Subas 1.1 — Autonomie van de EU </w:t>
      </w:r>
    </w:p>
    <w:p>
      <w:pPr>
        <w:pStyle w:val="Normal"/>
        <w:rPr>
          <w:b/>
          <w:b/>
        </w:rPr>
      </w:pPr>
      <w:r>
        <w:rPr>
          <w:b/>
        </w:rPr>
        <w:t>1. We raden aan om strategische Europese productieproducten (zoals landbouwproducten, halfgeleiders, medische producten of innovatieve digitale en milieutechnologieën) verder te stimuleren en financieel te ondersteunen om beschikbaar en toegankelijk te zijn voor Europese consumenten en om de afhankelijkheid van niet-Europese leveranciers zoveel mogelijk te verminderen. Dergelijke steun kan structurele en regionale maatregelen omvatten, steun voor het onderhoud van industrieën en toeleveringsketens binnen de Unie,</w:t>
      </w:r>
      <w:r>
        <w:rPr>
          <w:b/>
        </w:rPr>
        <w:commentReference w:id="6"/>
      </w:r>
      <w:r>
        <w:rPr>
          <w:b/>
        </w:rPr>
        <w:t xml:space="preserve"> belastingvoordelen, subsidies, een actief mkb-beleid of onderwijsprogramma’s om relevante vaardigheden en banen in Europa te waarborgen. Een actief industriebeleid moet echter selectief zijn en gericht zijn op innovatieve producten of producten die essentieel zijn om basisgoederen en -diensten te garanderen. </w:t>
      </w:r>
    </w:p>
    <w:p>
      <w:pPr>
        <w:pStyle w:val="Normal"/>
        <w:rPr/>
      </w:pPr>
      <w:r>
        <w:rPr/>
        <w:t xml:space="preserve"> </w:t>
      </w:r>
    </w:p>
    <w:p>
      <w:pPr>
        <w:pStyle w:val="Normal"/>
        <w:rPr/>
      </w:pPr>
      <w:r>
        <w:rPr/>
        <w:t xml:space="preserve">Wij bevelen deze maatregelen aan omdat Europa veel te afhankelijk is </w:t>
      </w:r>
      <w:commentRangeStart w:id="7"/>
      <w:r>
        <w:rPr/>
        <w:t>van niet-Europese leveranciers</w:t>
      </w:r>
      <w:r>
        <w:rPr/>
      </w:r>
      <w:commentRangeEnd w:id="7"/>
      <w:r>
        <w:commentReference w:id="7"/>
      </w:r>
      <w:r>
        <w:rPr/>
        <w:t xml:space="preserve"> op belangrijke gebieden die diplomatieke conflicten kunnen veroorzaken en leiden tot een tekort aan basisproducten of -diensten of van strategisch belang. Aangezien de productiekosten in de EU over het algemeen hoger zijn dan elders in de wereld, zal een beleid van actieve aanmoediging en ondersteuning van deze producten de Europeanen in staat stellen concurrerende Europese producten te kopen en daartoe worden aangemoedigd. Dit beleid zal ook het Europese concurrentievermogen versterken en toekomstige industrieën en banen in Europa in stand houden. Bovendien zal een grotere regionalisering van de productie de vervoerskosten verlagen en aantasting van het milieu voorkomen. </w:t>
      </w:r>
    </w:p>
    <w:p>
      <w:pPr>
        <w:pStyle w:val="Normal"/>
        <w:rPr/>
      </w:pPr>
      <w:r>
        <w:rPr/>
        <w:t xml:space="preserve"> </w:t>
      </w:r>
    </w:p>
    <w:p>
      <w:pPr>
        <w:pStyle w:val="P68B1DB1Normal15"/>
        <w:rPr>
          <w:b/>
          <w:b/>
        </w:rPr>
      </w:pPr>
      <w:r>
        <w:rPr/>
        <w:t>2. Wij raden de EU aan haar afhankelijkheid van olie- en gasinvoer te verminderen. Hiervoor zou actieve steun nodig zijn voor projecten op het gebied van openbaar vervoer en energie-efficiëntie, een Europees hogesnelheidsspoorwegnet, de uitbreiding van de schone en hernieuwbare energievoorziening (met inbegrip van zonne- en windenergie) en alternatieve technologieën (zoals waterstof of energieterugwinning van afval). De Europese Unie moet ook een mentaliteitsverandering aanmoedigen en het opgeven van particuliere auto’s ten gunste van het openbaar vervoer, het delen van auto’s door middel van elektrische voertuigen en fietsen aanmoedigen.</w:t>
      </w:r>
    </w:p>
    <w:p>
      <w:pPr>
        <w:pStyle w:val="Normal"/>
        <w:rPr/>
      </w:pPr>
      <w:r>
        <w:rPr/>
      </w:r>
    </w:p>
    <w:p>
      <w:pPr>
        <w:pStyle w:val="Normal"/>
        <w:rPr/>
      </w:pPr>
      <w:r>
        <w:rPr/>
        <w:t>Wij bevelen deze maatregelen aan omdat zij een situatie creëren die de autonomie van Europa bevordert door zijn externe afhankelijkheid te verminderen en ambitieuze klimaat- en CO2-</w:t>
      </w:r>
      <w:r>
        <w:rPr>
          <w:vertAlign w:val="subscript"/>
        </w:rPr>
        <w:t>emissiereductiedoelstellingen te verwezenlijken</w:t>
      </w:r>
      <w:r>
        <w:rPr/>
        <w:t xml:space="preserve">. Ze zullen Europa ook in staat stellen een belangrijke speler te worden in toekomstige technologieën, zijn economie te versterken en banen te creëren. </w:t>
      </w:r>
    </w:p>
    <w:p>
      <w:pPr>
        <w:pStyle w:val="Normal"/>
        <w:rPr/>
      </w:pPr>
      <w:r>
        <w:rPr/>
        <w:t xml:space="preserve"> </w:t>
      </w:r>
    </w:p>
    <w:p>
      <w:pPr>
        <w:pStyle w:val="P68B1DB1Normal15"/>
        <w:rPr>
          <w:b/>
          <w:b/>
        </w:rPr>
      </w:pPr>
      <w:r>
        <w:rPr/>
        <w:t xml:space="preserve">3. Wij raden aan om op EU-niveau een wet aan te nemen om ervoor te zorgen dat alle EU-productie- en leveringsprocessen en ingevoerde goederen voldoen aan de Europese normen inzake kwaliteit, ethiek en duurzaamheid, alsook aan alle toepasselijke Europese mensenrechtennormen, en dat producten die aan deze criteria voldoen, gecertificeerd zijn. </w:t>
      </w:r>
    </w:p>
    <w:p>
      <w:pPr>
        <w:pStyle w:val="Normal"/>
        <w:rPr/>
      </w:pPr>
      <w:r>
        <w:rPr/>
        <w:t xml:space="preserve"> </w:t>
      </w:r>
    </w:p>
    <w:p>
      <w:pPr>
        <w:pStyle w:val="Normal"/>
        <w:rPr/>
      </w:pPr>
      <w:r>
        <w:rPr/>
        <w:t xml:space="preserve">We raden deze maatregelen aan omdat consumenten en handelaren gemakkelijk toegang hebben tot informatie over de producten die ze kopen of verkopen. Raadpleeg hiervoor het certificeringssysteem. Certificering vermindert ook de kloof tussen goedkope en dure producten die op de markt verkrijgbaar zijn. Goedkope producten voldoen niet aan de vereiste criteria en kunnen zich daarom niet presenteren als van goede kwaliteit. Door aan de certificeringscriteria te voldoen, zal het milieu worden beschermd, hulpbronnen worden bespaard en verantwoord verbruik worden aangemoedigd. </w:t>
      </w:r>
    </w:p>
    <w:p>
      <w:pPr>
        <w:pStyle w:val="Normal"/>
        <w:rPr/>
      </w:pPr>
      <w:r>
        <w:rPr/>
        <w:t xml:space="preserve"> </w:t>
      </w:r>
    </w:p>
    <w:p>
      <w:pPr>
        <w:pStyle w:val="P68B1DB1Normal15"/>
        <w:rPr>
          <w:b/>
          <w:b/>
        </w:rPr>
      </w:pPr>
      <w:r>
        <w:rPr/>
        <w:t xml:space="preserve">4. Wij bevelen de uitvoering aan van een Europees programma ter ondersteuning van kleine lokale producenten in strategische sectoren in alle lidstaten. Deze producenten zouden profiteren van beroepsopleiding, financiële steun via subsidies en (indien grondstoffen beschikbaar zijn in de Unie) een stimulans om meer in aanmerking komende goederen te produceren ten nadele van de invoer. </w:t>
      </w:r>
    </w:p>
    <w:p>
      <w:pPr>
        <w:pStyle w:val="Normal"/>
        <w:rPr/>
      </w:pPr>
      <w:r>
        <w:rPr/>
        <w:t xml:space="preserve"> </w:t>
      </w:r>
    </w:p>
    <w:p>
      <w:pPr>
        <w:pStyle w:val="Normal"/>
        <w:rPr/>
      </w:pPr>
      <w:r>
        <w:rPr/>
        <w:t xml:space="preserve">Wij bevelen deze maatregelen aan omdat de Unie, door producenten in strategische sectoren in de Unie te ondersteunen, in staat is haar economische onafhankelijkheid in deze sectoren te verwerven. Dit kan alleen maar de versterking van het gehele productieproces stimuleren en zo innovatie stimuleren. Dit zal leiden tot een duurzamere productie van grondstoffen in de EU die de transportkosten zal verlagen en het milieu zal beschermen. </w:t>
      </w:r>
    </w:p>
    <w:p>
      <w:pPr>
        <w:pStyle w:val="Normal"/>
        <w:rPr/>
      </w:pPr>
      <w:r>
        <w:rPr/>
        <w:t xml:space="preserve"> </w:t>
      </w:r>
    </w:p>
    <w:p>
      <w:pPr>
        <w:pStyle w:val="P68B1DB1Normal15"/>
        <w:rPr>
          <w:b/>
          <w:b/>
        </w:rPr>
      </w:pPr>
      <w:r>
        <w:rPr/>
        <w:t xml:space="preserve">5. Wij raden aan de toepassing van de mensenrechten op Europees niveau als volgt te verbeteren: bewustmaking van landen die, voor zover passend, niet voldoen aan het Europees Verdrag tot bescherming van de rechten van de mens (EVRM) of het Verdrag tot bescherming van de rechten van de mens en de fundamentele vrijheden; zorgen voor strikte monitoring, gecoördineerd door de Europese Unie en het scorebord voor justitie, van de mate waarin de mensenrechten in de verschillende lidstaten worden geëerbiedigd en ervoor zorgen dat de mensenrechten strikt worden nageleefd door middel van verschillende vormen van sancties. </w:t>
      </w:r>
    </w:p>
    <w:p>
      <w:pPr>
        <w:pStyle w:val="Normal"/>
        <w:rPr/>
      </w:pPr>
      <w:r>
        <w:rPr/>
        <w:t xml:space="preserve"> </w:t>
      </w:r>
    </w:p>
    <w:p>
      <w:pPr>
        <w:pStyle w:val="Normal"/>
        <w:rPr/>
      </w:pPr>
      <w:r>
        <w:rPr/>
        <w:t xml:space="preserve">Wij bevelen deze maatregelen aan omdat de mensenrechten reeds door de lidstaten zijn aanvaard toen zij het Europees Verdrag tot bescherming van de rechten van de mens ratificeerden, maar het is nu noodzakelijk hun aanvaarding in elk van de lidstaten te verbeteren, zodat de mensenrechten in die lidstaten bekend en actief ten uitvoer worden gelegd. </w:t>
      </w:r>
    </w:p>
    <w:p>
      <w:pPr>
        <w:pStyle w:val="Normal"/>
        <w:rPr/>
      </w:pPr>
      <w:r>
        <w:rPr/>
        <w:t xml:space="preserve"> </w:t>
      </w:r>
    </w:p>
    <w:p>
      <w:pPr>
        <w:pStyle w:val="P68B1DB1Normal15"/>
        <w:rPr>
          <w:b/>
          <w:b/>
        </w:rPr>
      </w:pPr>
      <w:r>
        <w:rPr/>
        <w:t xml:space="preserve">6. Wij raden aan een evaluatie op te zetten en een intensieve communicatiecampagne op Europees niveau te organiseren om ervoor te zorgen dat Eures (het Europees netwerk voor arbeidsvoorziening), het EU-immigratieportaal en het Europees vaardighedenprofielinstrument voor onderdanen van derde landen beter bekend zijn bij de Europese burgers en vaker door EU-bedrijven worden gebruikt om hun vacatures te publiceren en te adverteren. </w:t>
      </w:r>
    </w:p>
    <w:p>
      <w:pPr>
        <w:pStyle w:val="Normal"/>
        <w:rPr/>
      </w:pPr>
      <w:r>
        <w:rPr/>
        <w:t xml:space="preserve"> </w:t>
      </w:r>
    </w:p>
    <w:p>
      <w:pPr>
        <w:pStyle w:val="Normal"/>
        <w:rPr/>
      </w:pPr>
      <w:r>
        <w:rPr/>
        <w:t xml:space="preserve">We raden aan om geen nieuw online platform te creëren voor de publicatie van vacatures voor jonge Europeanen. Op Europees niveau zijn er al meer dan genoeg initiatieven van dit soort. Wij zijn van mening dat het, om het bewustzijn van de bestaande beroepsbevolking en werkgelegenheidskansen op Europees niveau te vergroten, de voorkeur verdient om te verbeteren wat er al bestaat. </w:t>
      </w:r>
    </w:p>
    <w:p>
      <w:pPr>
        <w:pStyle w:val="Normal"/>
        <w:rPr/>
      </w:pPr>
      <w:r>
        <w:rPr/>
        <w:t xml:space="preserve"> </w:t>
      </w:r>
    </w:p>
    <w:p>
      <w:pPr>
        <w:pStyle w:val="Titre4"/>
        <w:numPr>
          <w:ilvl w:val="3"/>
          <w:numId w:val="2"/>
        </w:numPr>
        <w:rPr/>
      </w:pPr>
      <w:bookmarkStart w:id="184" w:name="__RefHeading___Toc297303_1346298689"/>
      <w:bookmarkEnd w:id="184"/>
      <w:r>
        <w:rPr/>
        <w:t xml:space="preserve">Subas 1.2 — Grenzen </w:t>
      </w:r>
    </w:p>
    <w:p>
      <w:pPr>
        <w:pStyle w:val="P68B1DB1Normal15"/>
        <w:rPr>
          <w:b/>
          <w:b/>
        </w:rPr>
      </w:pPr>
      <w:r>
        <w:rPr/>
        <w:t xml:space="preserve">7. Wij raden aan een mechanisme voor arbeidsmigratie in de EU in te voeren dat gebaseerd is op de werkelijke behoeften van de Europese arbeidsmarkten. Er moet een uniform systeem komen voor de erkenning van beroeps- en academische diploma’s die binnen de Europese Unie en in derde landen bestaan. Er moeten professionele kwalificaties worden aangeboden, evenals aanbiedingen voor culturele en taalkundige integratie voor gekwalificeerde migranten. Asielzoekers met de juiste kwalificaties moeten toegang hebben tot de arbeidsmarkt. Er moet een geïntegreerd agentschap komen waarop het Europese netwerk van arbeidsbemiddelingsdiensten de basis zou kunnen vormen. </w:t>
      </w:r>
    </w:p>
    <w:p>
      <w:pPr>
        <w:pStyle w:val="Normal"/>
        <w:rPr/>
      </w:pPr>
      <w:r>
        <w:rPr/>
        <w:t xml:space="preserve"> </w:t>
      </w:r>
    </w:p>
    <w:p>
      <w:pPr>
        <w:pStyle w:val="Normal"/>
        <w:rPr/>
      </w:pPr>
      <w:r>
        <w:rPr/>
        <w:t xml:space="preserve">Wij bevelen deze maatregelen aan omdat Europa geschoolde arbeidskrachten nodig heeft in bepaalde sectoren waar het niet mogelijk is de vraag van werknemers in de EU volledig te dekken. Er zijn momenteel onvoldoende haalbare manieren om legaal een werkvergunning aan te vragen in de EU. Een Europees systeem voor de erkenning van beroeps- en academische diploma’s zal het gemakkelijker maken om aan deze behoeften te voldoen en arbeidsmigratie binnen de Unie en arbeidsmigratie uit landen buiten de Unie te vereenvoudigen. De vraag naar arbeid zou dus beter kunnen worden vervuld en illegale immigratie zou beter worden beheerd. Het openstellen van het mechanisme voor arbeidsmigratie voor asielzoekers zou hun integratie in de Europese economieën en samenlevingen versnellen. </w:t>
      </w:r>
    </w:p>
    <w:p>
      <w:pPr>
        <w:pStyle w:val="Normal"/>
        <w:rPr/>
      </w:pPr>
      <w:r>
        <w:rPr/>
        <w:t xml:space="preserve"> </w:t>
      </w:r>
    </w:p>
    <w:p>
      <w:pPr>
        <w:pStyle w:val="P68B1DB1Normal15"/>
        <w:rPr>
          <w:b/>
          <w:b/>
        </w:rPr>
      </w:pPr>
      <w:r>
        <w:rPr/>
        <w:t xml:space="preserve">8. Wij raden de Europese Unie aan haar wetgeving aan te scherpen om Frontex meer macht en onafhankelijkheid te geven. Het zal dus in staat zijn om in alle lidstaten in te grijpen om de bescherming van alle buitengrenzen van de Unie te waarborgen. De Unie moet echter audits uitvoeren van de organisatorische processen van Frontex, aangezien zij op transparante wijze moet functioneren om elke vorm van misbruik te voorkomen. </w:t>
      </w:r>
    </w:p>
    <w:p>
      <w:pPr>
        <w:pStyle w:val="Normal"/>
        <w:rPr/>
      </w:pPr>
      <w:r>
        <w:rPr/>
        <w:t xml:space="preserve"> </w:t>
      </w:r>
    </w:p>
    <w:p>
      <w:pPr>
        <w:pStyle w:val="Normal"/>
        <w:rPr/>
      </w:pPr>
      <w:r>
        <w:rPr/>
        <w:t xml:space="preserve">Wij bevelen deze maatregelen aan omdat het naar onze mening onaanvaardbaar is dat Frontex de toegang tot grenzen wordt ontzegd, vooral wanneer er sprake is van een schending van de mensenrechten. We willen er zeker van zijn dat Frontex de Europese wetgeving toepast. Frontex zelf moet worden onderworpen aan controles en verificaties om ongepast gedrag binnen het Frontex te voorkomen. </w:t>
      </w:r>
    </w:p>
    <w:p>
      <w:pPr>
        <w:pStyle w:val="Normal"/>
        <w:rPr/>
      </w:pPr>
      <w:r>
        <w:rPr/>
        <w:t xml:space="preserve"> </w:t>
      </w:r>
    </w:p>
    <w:p>
      <w:pPr>
        <w:pStyle w:val="P68B1DB1Normal15"/>
        <w:rPr>
          <w:b/>
          <w:b/>
        </w:rPr>
      </w:pPr>
      <w:r>
        <w:rPr/>
        <w:t xml:space="preserve">9. Wij raden de Europese Unie aan, met name voor economische migranten, de mogelijkheid te organiseren om burgers in het land van herkomst te selecteren (op basis van hun bewezen vaardigheden, achtergrond, enz.), om te bepalen wie in de EU zou kunnen komen werken op basis van de behoeften van de economie en de vacante banen van het gastland. Deze selectiecriteria moeten openbaar zijn en voor iedereen toegankelijk zijn. Daartoe moet een Europees Immigratieagentschap (online) worden opgericht. </w:t>
      </w:r>
    </w:p>
    <w:p>
      <w:pPr>
        <w:pStyle w:val="Normal"/>
        <w:rPr/>
      </w:pPr>
      <w:r>
        <w:rPr/>
        <w:t xml:space="preserve"> </w:t>
      </w:r>
    </w:p>
    <w:p>
      <w:pPr>
        <w:pStyle w:val="Normal"/>
        <w:rPr/>
      </w:pPr>
      <w:r>
        <w:rPr/>
        <w:t xml:space="preserve">Wij bevelen deze maatregelen aan omdat het op deze manier niet langer nodig zou zijn om de grenzen illegaal over te steken. De stroom van mensen die de EU binnenkomen, zou worden gecontroleerd, wat de druk aan de grenzen zou verminderen en het gemakkelijker zou maken om aan de arbeidsbehoeften van de gastlanden te voldoen. </w:t>
      </w:r>
    </w:p>
    <w:p>
      <w:pPr>
        <w:pStyle w:val="Normal"/>
        <w:rPr/>
      </w:pPr>
      <w:r>
        <w:rPr/>
        <w:t xml:space="preserve"> </w:t>
      </w:r>
    </w:p>
    <w:p>
      <w:pPr>
        <w:pStyle w:val="P68B1DB1Normal15"/>
        <w:rPr>
          <w:b/>
          <w:b/>
        </w:rPr>
      </w:pPr>
      <w:r>
        <w:rPr/>
        <w:t xml:space="preserve">10. Wij raden de Europese Unie aan ervoor te zorgen dat het opvangbeleid en de opvangvoorzieningen aan alle grenzen identiek zijn, de mensenrechten eerbiedigen en de veiligheid en gezondheid van alle migranten (met inbegrip van bijvoorbeeld zwangere vrouwen en kinderen) waarborgen. </w:t>
      </w:r>
    </w:p>
    <w:p>
      <w:pPr>
        <w:pStyle w:val="Normal"/>
        <w:rPr/>
      </w:pPr>
      <w:r>
        <w:rPr/>
        <w:t xml:space="preserve"> </w:t>
      </w:r>
    </w:p>
    <w:p>
      <w:pPr>
        <w:pStyle w:val="Normal"/>
        <w:rPr/>
      </w:pPr>
      <w:r>
        <w:rPr/>
        <w:t xml:space="preserve">We bevelen deze maatregelen aan omdat we veel belang hechten aan gelijke behandeling van migranten aan alle grenzen. We willen ervoor zorgen dat migranten niet te lang aan de grenzen blijven en dat de lidstaten overweldigd worden door de stroom van migranten. De lidstaten moeten goed uitgerust zijn om hen tegemoet te komen. </w:t>
      </w:r>
    </w:p>
    <w:p>
      <w:pPr>
        <w:pStyle w:val="Normal"/>
        <w:rPr/>
      </w:pPr>
      <w:r>
        <w:rPr/>
        <w:t xml:space="preserve"> </w:t>
      </w:r>
    </w:p>
    <w:p>
      <w:pPr>
        <w:pStyle w:val="Titre3"/>
        <w:numPr>
          <w:ilvl w:val="2"/>
          <w:numId w:val="2"/>
        </w:numPr>
        <w:rPr/>
      </w:pPr>
      <w:bookmarkStart w:id="185" w:name="__RefHeading___Toc297305_1346298689"/>
      <w:bookmarkEnd w:id="185"/>
      <w:r>
        <w:rPr/>
        <w:t xml:space="preserve">As 2: De EU als internationale partner </w:t>
      </w:r>
    </w:p>
    <w:p>
      <w:pPr>
        <w:pStyle w:val="Titre4"/>
        <w:numPr>
          <w:ilvl w:val="3"/>
          <w:numId w:val="2"/>
        </w:numPr>
        <w:rPr/>
      </w:pPr>
      <w:bookmarkStart w:id="186" w:name="__RefHeading___Toc297307_1346298689"/>
      <w:bookmarkEnd w:id="186"/>
      <w:r>
        <w:rPr/>
        <w:t xml:space="preserve">Subas 2.1 — Handel en betrekkingen vanuit een ethisch perspectief </w:t>
      </w:r>
    </w:p>
    <w:p>
      <w:pPr>
        <w:pStyle w:val="P68B1DB1Normal15"/>
        <w:rPr>
          <w:b/>
          <w:b/>
        </w:rPr>
      </w:pPr>
      <w:r>
        <w:rPr/>
        <w:t xml:space="preserve">11. Wij raden de EU aan beperkingen op te leggen aan de invoer van producten uit landen die kinderarbeid toestaan. Daartoe moet een zwarte lijst van ondernemingen worden opgesteld, die regelmatig wordt bijgewerkt in overeenstemming met de ontwikkelingen. We raden ook aan te zorgen voor geleidelijke toegang tot onderwijs voor kinderen die stoppen met werken, en het bewustzijn van de consument over kinderarbeid te vergroten door middel van informatie die officieel door de Europese Unie wordt verspreid, bijvoorbeeld door middel van campagnes of verhalen. </w:t>
      </w:r>
    </w:p>
    <w:p>
      <w:pPr>
        <w:pStyle w:val="Normal"/>
        <w:rPr/>
      </w:pPr>
      <w:r>
        <w:rPr/>
        <w:t xml:space="preserve"> </w:t>
      </w:r>
    </w:p>
    <w:p>
      <w:pPr>
        <w:pStyle w:val="Normal"/>
        <w:rPr/>
      </w:pPr>
      <w:r>
        <w:rPr/>
        <w:t xml:space="preserve">We raden deze maatregelen aan omdat we geloven dat er een verband is tussen gebrek aan scholing en kinderarbeid. Met deze aanbeveling willen we het bewustzijn van de consument vergroten en de vraag naar producten van kinderen verminderen, zodat deze praktijk uiteindelijk verdwijnt. </w:t>
      </w:r>
    </w:p>
    <w:p>
      <w:pPr>
        <w:pStyle w:val="Normal"/>
        <w:rPr/>
      </w:pPr>
      <w:r>
        <w:rPr/>
        <w:t xml:space="preserve"> </w:t>
      </w:r>
    </w:p>
    <w:p>
      <w:pPr>
        <w:pStyle w:val="P68B1DB1Normal15"/>
        <w:rPr>
          <w:b/>
          <w:b/>
        </w:rPr>
      </w:pPr>
      <w:r>
        <w:rPr/>
        <w:t xml:space="preserve">12. Wij raden de Europese Unie aan partnerschappen met ontwikkelingslanden te ontwikkelen om hun infrastructuur te ondersteunen en expertise te delen in ruil voor wederzijds voordelige handelsovereenkomsten om hen te begeleiden bij de overgang naar groene energiebronnen. </w:t>
      </w:r>
    </w:p>
    <w:p>
      <w:pPr>
        <w:pStyle w:val="Normal"/>
        <w:rPr/>
      </w:pPr>
      <w:r>
        <w:rPr/>
        <w:t xml:space="preserve"> </w:t>
      </w:r>
    </w:p>
    <w:p>
      <w:pPr>
        <w:pStyle w:val="Normal"/>
        <w:rPr/>
      </w:pPr>
      <w:r>
        <w:rPr/>
        <w:t xml:space="preserve">Wij bevelen deze maatregelen aan om de overgang van ontwikkelingslanden naar hernieuwbare energie te vergemakkelijken door middel van handelspartnerschappen en diplomatieke overeenkomsten. De Europese Unie en de ontwikkelingslanden zouden aldus goede betrekkingen op lange termijn ontwikkelen, die zouden bijdragen tot de bestrijding van de klimaatverandering. </w:t>
      </w:r>
    </w:p>
    <w:p>
      <w:pPr>
        <w:pStyle w:val="Normal"/>
        <w:rPr/>
      </w:pPr>
      <w:r>
        <w:rPr/>
        <w:t xml:space="preserve"> </w:t>
      </w:r>
    </w:p>
    <w:p>
      <w:pPr>
        <w:pStyle w:val="P68B1DB1Normal15"/>
        <w:rPr>
          <w:b/>
          <w:b/>
        </w:rPr>
      </w:pPr>
      <w:r>
        <w:rPr/>
        <w:t xml:space="preserve">13. Wij raden de Europese Unie aan om voor alle consumentenproducten een Europese milieu-impactindicator (ecoscore) op te leggen. De Ecoscore zou worden berekend op basis van de emissies van de productie en het vervoer en de schadelijkheid van de inhoud, op basis van een lijst van gevaarlijke producten. De Ecoscore moet worden beheerd en gecontroleerd door een Europese autoriteit. </w:t>
      </w:r>
    </w:p>
    <w:p>
      <w:pPr>
        <w:pStyle w:val="Normal"/>
        <w:rPr/>
      </w:pPr>
      <w:r>
        <w:rPr/>
        <w:t xml:space="preserve"> </w:t>
      </w:r>
    </w:p>
    <w:p>
      <w:pPr>
        <w:pStyle w:val="Normal"/>
        <w:rPr/>
      </w:pPr>
      <w:r>
        <w:rPr/>
        <w:t xml:space="preserve">Wij bevelen deze maatregelen aan, zodat de Europese consumenten zich beter bewust zijn van de ecologische voetafdruk van de producten die zij kopen. De Ecoscore zou het gemakkelijk maken om aan te geven in hoeverre een product het milieu respecteert door middel van een gemeenschappelijke schaal in heel Europa. De Ecoscore moet een QR-code op de achterkant van het product hebben om aanvullende informatie over zijn ecologische voetafdruk te kunnen raadplegen. </w:t>
      </w:r>
    </w:p>
    <w:p>
      <w:pPr>
        <w:pStyle w:val="Normal"/>
        <w:rPr/>
      </w:pPr>
      <w:r>
        <w:rPr/>
        <w:t xml:space="preserve"> </w:t>
      </w:r>
    </w:p>
    <w:p>
      <w:pPr>
        <w:pStyle w:val="Titre4"/>
        <w:numPr>
          <w:ilvl w:val="3"/>
          <w:numId w:val="2"/>
        </w:numPr>
        <w:rPr/>
      </w:pPr>
      <w:bookmarkStart w:id="187" w:name="__RefHeading___Toc297309_1346298689"/>
      <w:bookmarkEnd w:id="187"/>
      <w:r>
        <w:rPr/>
        <w:t xml:space="preserve">Subas 2.2 — Internationale klimaatactie </w:t>
      </w:r>
    </w:p>
    <w:p>
      <w:pPr>
        <w:pStyle w:val="P68B1DB1Normal15"/>
        <w:rPr>
          <w:b/>
          <w:b/>
        </w:rPr>
      </w:pPr>
      <w:r>
        <w:rPr/>
        <w:t xml:space="preserve">14. Wij raden de Europese Unie aan een strategie vast te stellen om haar autonomer te maken in haar energieproductie. Een Europees orgaan dat de huidige Europese energie-instellingen samenbrengt, moet de ontwikkeling van hernieuwbare energie coördineren op basis van de behoeften, capaciteiten en hulpbronnen van de lidstaten, met inachtneming van hun soevereiniteit. De instellingen zouden de uitwisseling van kennis onderling aanmoedigen om deze strategie uit te voeren. </w:t>
      </w:r>
    </w:p>
    <w:p>
      <w:pPr>
        <w:pStyle w:val="Normal"/>
        <w:rPr/>
      </w:pPr>
      <w:r>
        <w:rPr/>
        <w:t xml:space="preserve"> </w:t>
      </w:r>
    </w:p>
    <w:p>
      <w:pPr>
        <w:pStyle w:val="Normal"/>
        <w:rPr/>
      </w:pPr>
      <w:r>
        <w:rPr/>
        <w:t xml:space="preserve">We bevelen deze maatregelen aan omdat onze huidige afhankelijkheid ons kwetsbaar maakt in het geval van politieke spanningen met de landen die we onze energie importeren. Dat zien we nu met de elektriciteitscrisis. Niettemin moet een dergelijke coördinatie de soevereiniteit van elk land eerbiedigen. </w:t>
      </w:r>
    </w:p>
    <w:p>
      <w:pPr>
        <w:pStyle w:val="Normal"/>
        <w:rPr/>
      </w:pPr>
      <w:r>
        <w:rPr/>
        <w:t xml:space="preserve"> </w:t>
      </w:r>
    </w:p>
    <w:p>
      <w:pPr>
        <w:pStyle w:val="P68B1DB1Normal15"/>
        <w:rPr>
          <w:b/>
          <w:b/>
        </w:rPr>
      </w:pPr>
      <w:r>
        <w:rPr/>
        <w:t xml:space="preserve">15. We raden aan de milieunormen voor de uitvoer van afval binnen en buiten de EU te versterken, evenals strengere controles en sancties om illegale uitvoer te stoppen. De EU moet de lidstaten aanmoedigen om hun eigen afval verder te recyclen en het te gebruiken om energie te produceren. </w:t>
      </w:r>
    </w:p>
    <w:p>
      <w:pPr>
        <w:pStyle w:val="Normal"/>
        <w:rPr/>
      </w:pPr>
      <w:r>
        <w:rPr/>
        <w:t xml:space="preserve"> </w:t>
      </w:r>
    </w:p>
    <w:p>
      <w:pPr>
        <w:pStyle w:val="Normal"/>
        <w:rPr/>
      </w:pPr>
      <w:r>
        <w:rPr/>
        <w:t xml:space="preserve">Wij bevelen deze maatregelen aan om een einde te maken aan milieuschade door landen die hun afval verwijderen ten nadele van andere landen, vooral wanneer er sprake is van een volledig gebrek aan naleving van de milieunormen. </w:t>
      </w:r>
    </w:p>
    <w:p>
      <w:pPr>
        <w:pStyle w:val="Normal"/>
        <w:rPr/>
      </w:pPr>
      <w:r>
        <w:rPr/>
        <w:t xml:space="preserve"> </w:t>
      </w:r>
    </w:p>
    <w:p>
      <w:pPr>
        <w:pStyle w:val="P68B1DB1Normal15"/>
        <w:rPr>
          <w:b/>
          <w:b/>
        </w:rPr>
      </w:pPr>
      <w:r>
        <w:rPr/>
        <w:t xml:space="preserve">16. Wij raden de EU aan de lopende ecologische transitie krachtiger aan te moedigen door te streven naar het elimineren van vervuilende verpakkingen. Dit moet gebeuren door de vermindering van verpakkingen aan te moedigen of groenere verpakkingen te bevorderen. Om kleine ondernemingen aan te passen, moeten zij steun en aanpassingen krijgen. </w:t>
      </w:r>
    </w:p>
    <w:p>
      <w:pPr>
        <w:pStyle w:val="Normal"/>
        <w:rPr/>
      </w:pPr>
      <w:r>
        <w:rPr/>
        <w:t xml:space="preserve"> </w:t>
      </w:r>
    </w:p>
    <w:p>
      <w:pPr>
        <w:pStyle w:val="Normal"/>
        <w:rPr/>
      </w:pPr>
      <w:r>
        <w:rPr/>
        <w:t xml:space="preserve">We bevelen deze maatregelen aan omdat we het gebruik van natuurlijke hulpbronnen, inclusief grondstoffen uit landen buiten de EU, moeten verminderen. We moeten ook de schade die de Europeanen aan onze planeet en haar klimaat toebrengen, verminderen. Het is van essentieel belang om kleine bedrijven beter te ondersteunen zodat ze zich kunnen aanpassen zonder hun prijzen te hoeven verhogen. </w:t>
      </w:r>
    </w:p>
    <w:p>
      <w:pPr>
        <w:pStyle w:val="Normal"/>
        <w:rPr/>
      </w:pPr>
      <w:r>
        <w:rPr/>
        <w:t xml:space="preserve"> </w:t>
      </w:r>
    </w:p>
    <w:p>
      <w:pPr>
        <w:pStyle w:val="P68B1DB1Normal15"/>
        <w:rPr>
          <w:b/>
          <w:b/>
        </w:rPr>
      </w:pPr>
      <w:r>
        <w:rPr/>
        <w:t xml:space="preserve">17. Wij raden de landen van de Europese Unie aan om samen een serieuzere blik te werpen op de kwestie van kernenergie. De samenwerking moet worden geïntensiveerd om het gebruik van kernenergie en de rol ervan in de groene energietransitie in Europa te beoordelen. </w:t>
      </w:r>
    </w:p>
    <w:p>
      <w:pPr>
        <w:pStyle w:val="Normal"/>
        <w:rPr/>
      </w:pPr>
      <w:r>
        <w:rPr/>
        <w:t xml:space="preserve"> </w:t>
      </w:r>
    </w:p>
    <w:p>
      <w:pPr>
        <w:pStyle w:val="Normal"/>
        <w:rPr/>
      </w:pPr>
      <w:r>
        <w:rPr/>
        <w:t xml:space="preserve">Wij bevelen deze maatregelen aan omdat het nucleaire probleem niet kan worden opgelost door een land dat geïsoleerd is. Er zijn nu meer dan 100 reactoren in de helft van de lidstaten en nieuwe reactoren zijn in aanbouw. Aangezien we een gemeenschappelijk elektriciteitsnet delen, komt de koolstofarme elektriciteit die ze produceren ten goede aan alle Europeanen en vergroot de energieautonomie van ons continent. Bovendien zou het opgeven van kernafval of een ongeval gevolgen hebben voor verschillende landen. Of over het gebruik van kernenergie wordt besloten of niet, de Europeanen moeten het samen bespreken en meer convergente strategieën definiëren met inachtneming van de nationale soevereiniteit. </w:t>
      </w:r>
    </w:p>
    <w:p>
      <w:pPr>
        <w:pStyle w:val="Normal"/>
        <w:rPr/>
      </w:pPr>
      <w:r>
        <w:rPr/>
        <w:t xml:space="preserve"> </w:t>
      </w:r>
    </w:p>
    <w:p>
      <w:pPr>
        <w:pStyle w:val="Titre4"/>
        <w:numPr>
          <w:ilvl w:val="3"/>
          <w:numId w:val="2"/>
        </w:numPr>
        <w:rPr/>
      </w:pPr>
      <w:bookmarkStart w:id="188" w:name="__RefHeading___Toc297311_1346298689"/>
      <w:bookmarkEnd w:id="188"/>
      <w:r>
        <w:rPr/>
        <w:t xml:space="preserve">Subas 2.3 — Bevordering van Europese waarden </w:t>
      </w:r>
    </w:p>
    <w:p>
      <w:pPr>
        <w:pStyle w:val="P68B1DB1Normal15"/>
        <w:rPr>
          <w:b/>
          <w:b/>
        </w:rPr>
      </w:pPr>
      <w:r>
        <w:rPr/>
        <w:t xml:space="preserve">18. De EU moet dichter bij de burgers staan. Wij raden de EU aan banden te leggen en te versterken met burgers en lokale instellingen zoals lokale overheden, scholen en gemeenten. Het doel is de transparantie te verbeteren, burgers te bereiken, hen beter te informeren over concrete EU-initiatieven en algemene EU-informatie beter te communiceren. </w:t>
      </w:r>
    </w:p>
    <w:p>
      <w:pPr>
        <w:pStyle w:val="Normal"/>
        <w:rPr/>
      </w:pPr>
      <w:r>
        <w:rPr/>
        <w:t xml:space="preserve"> </w:t>
      </w:r>
    </w:p>
    <w:p>
      <w:pPr>
        <w:pStyle w:val="Normal"/>
        <w:rPr/>
      </w:pPr>
      <w:r>
        <w:rPr/>
        <w:t xml:space="preserve">Wij bevelen deze maatregelen aan omdat de huidige informatie over de EU niet voldoende toegankelijk is voor alle sociale groepen en geen gevolgen heeft voor gewone burgers. Ze zijn vaak saai, moeilijk te begrijpen en onvriendelijk. Deze situatie moet veranderen zodat de burgers een duidelijke visie hebben op het optreden en de rol van de EU. Om het algemeen belang aan te trekken, moet EU-gerelateerde informatie gemakkelijk te vinden, motiverend, interessant en geschreven zijn in gemeenschappelijke taal. Hier zijn onze suggesties: de organisatie van bezoeken van Europese politici aan scholen, radiocampagnes in de vorm van podcasts, brieven, persartikelen, reclamebussen en sociale media, lokale burgervergaderingen en de oprichting van een werkgroep die specifiek de communicatie van de EU moet verbeteren. Deze maatregelen zullen burgers in staat stellen informatie te verkrijgen over de EU die niet door de nationale media wordt gefilterd. </w:t>
      </w:r>
    </w:p>
    <w:p>
      <w:pPr>
        <w:pStyle w:val="Normal"/>
        <w:rPr/>
      </w:pPr>
      <w:r>
        <w:rPr/>
        <w:t xml:space="preserve"> </w:t>
      </w:r>
    </w:p>
    <w:p>
      <w:pPr>
        <w:pStyle w:val="P68B1DB1Normal15"/>
        <w:rPr>
          <w:b/>
          <w:b/>
        </w:rPr>
      </w:pPr>
      <w:r>
        <w:rPr/>
        <w:t xml:space="preserve">19. Wij pleiten voor een grotere deelname van burgers aan het EU-beleid. Wij stellen voor om evenementen te organiseren waarbij burgers rechtstreeks deelnemen aan het model van de Conferentie over de toekomst van Europa. Ze moeten op nationaal, lokaal en Europees niveau worden georganiseerd. De EU moet een coherente strategie en gecentraliseerde richtsnoeren voor deze gebeurtenissen vaststellen. </w:t>
      </w:r>
    </w:p>
    <w:p>
      <w:pPr>
        <w:pStyle w:val="Normal"/>
        <w:rPr/>
      </w:pPr>
      <w:r>
        <w:rPr/>
        <w:t xml:space="preserve"> </w:t>
      </w:r>
    </w:p>
    <w:p>
      <w:pPr>
        <w:pStyle w:val="Normal"/>
        <w:rPr/>
      </w:pPr>
      <w:r>
        <w:rPr/>
        <w:t xml:space="preserve">Wij bevelen deze maatregelen aan omdat deze participatieve democratieoefeningen correcte informatie over de EU zullen verschaffen en de kwaliteit van het EU-beleid zullen verbeteren. Evenementen moeten zodanig worden georganiseerd dat de fundamentele waarden van de Unie — democratie en burgerparticipatie — worden bevorderd. Deze gebeurtenissen zouden politici de gelegenheid bieden om aan de burgers te laten zien dat het voor hen belangrijk is dat burgers op de hoogte zijn van actuele gebeurtenissen en worden geassocieerd met hun definitie. Gecentraliseerde richtsnoeren zorgen voor consistentie en consistentie van nationale en lokale conferenties. </w:t>
      </w:r>
    </w:p>
    <w:p>
      <w:pPr>
        <w:pStyle w:val="Normal"/>
        <w:rPr/>
      </w:pPr>
      <w:r>
        <w:rPr/>
        <w:t xml:space="preserve"> </w:t>
      </w:r>
    </w:p>
    <w:p>
      <w:pPr>
        <w:pStyle w:val="Titre3"/>
        <w:numPr>
          <w:ilvl w:val="2"/>
          <w:numId w:val="2"/>
        </w:numPr>
        <w:rPr/>
      </w:pPr>
      <w:bookmarkStart w:id="189" w:name="__RefHeading___Toc297313_1346298689"/>
      <w:bookmarkEnd w:id="189"/>
      <w:r>
        <w:rPr/>
        <w:t xml:space="preserve">As 3: Een sterke EU in een vreedzame wereld </w:t>
      </w:r>
    </w:p>
    <w:p>
      <w:pPr>
        <w:pStyle w:val="Titre4"/>
        <w:numPr>
          <w:ilvl w:val="3"/>
          <w:numId w:val="2"/>
        </w:numPr>
        <w:rPr/>
      </w:pPr>
      <w:bookmarkStart w:id="190" w:name="__RefHeading___Toc297315_1346298689"/>
      <w:bookmarkEnd w:id="190"/>
      <w:r>
        <w:rPr/>
        <w:t xml:space="preserve">Subas 3.1 — Veiligheid en defensie </w:t>
      </w:r>
    </w:p>
    <w:p>
      <w:pPr>
        <w:pStyle w:val="P68B1DB1Normal15"/>
        <w:rPr>
          <w:b/>
          <w:b/>
        </w:rPr>
      </w:pPr>
      <w:r>
        <w:rPr/>
        <w:t xml:space="preserve">20. Wij raden aan de toekomstige „gemeenschappelijke strijdkrachten van de Europese Unie” in de eerste plaats te gebruiken voor defensiedoeleinden. Elke agressieve militaire actie, ongeacht de aard ervan, is uitgesloten. In Europa zou dit de middelen bieden om bijstand te verlenen in geval van een crisis, met name in geval van een natuurramp. Buiten de Europese grenzen zou dit de inzet van middelen in gebieden met uitzonderlijke omstandigheden mogelijk maken, uitsluitend in het kader van een wettelijk mandaat van de VN-Veiligheidsraad, en dus met inachtneming van het internationaal recht. </w:t>
      </w:r>
    </w:p>
    <w:p>
      <w:pPr>
        <w:pStyle w:val="Normal"/>
        <w:rPr/>
      </w:pPr>
      <w:r>
        <w:rPr/>
        <w:t xml:space="preserve"> </w:t>
      </w:r>
    </w:p>
    <w:p>
      <w:pPr>
        <w:pStyle w:val="Normal"/>
        <w:rPr/>
      </w:pPr>
      <w:r>
        <w:rPr/>
        <w:t xml:space="preserve">Als het wordt uitgevoerd, zou de Europese Unie kunnen worden beschouwd als een geloofwaardige, verantwoordelijke, sterke en vreedzame partner op het internationale toneel. Het versterkte vermogen om te reageren op crisissituaties in binnen- en buitenland moet dus zijn kernwaarden beschermen. </w:t>
      </w:r>
    </w:p>
    <w:p>
      <w:pPr>
        <w:pStyle w:val="Normal"/>
        <w:rPr/>
      </w:pPr>
      <w:r>
        <w:rPr/>
        <w:t xml:space="preserve"> </w:t>
      </w:r>
    </w:p>
    <w:p>
      <w:pPr>
        <w:pStyle w:val="Titre4"/>
        <w:numPr>
          <w:ilvl w:val="3"/>
          <w:numId w:val="2"/>
        </w:numPr>
        <w:rPr/>
      </w:pPr>
      <w:bookmarkStart w:id="191" w:name="__RefHeading___Toc297317_1346298689"/>
      <w:bookmarkEnd w:id="191"/>
      <w:r>
        <w:rPr/>
        <w:t xml:space="preserve">Subas 3.2 — Beslissing en buitenlands beleid van de EU </w:t>
      </w:r>
    </w:p>
    <w:p>
      <w:pPr>
        <w:pStyle w:val="P68B1DB1Normal15"/>
        <w:rPr>
          <w:b/>
          <w:b/>
        </w:rPr>
      </w:pPr>
      <w:r>
        <w:rPr/>
        <w:t xml:space="preserve">21. Wij bevelen aan dat alle gebieden waarop besluiten met eenparigheid van stemmen worden genomen, nu met gekwalificeerde meerderheid van stemmen worden genomen. De enige uitzonderingen zijn de toelating van nieuwe lidstaten tot de Unie en de wijziging van de fundamentele beginselen van de Unie die zijn verankerd in artikel 2 van het Verdrag van Lissabon en in het Handvest van de grondrechten van de Europese Unie. </w:t>
      </w:r>
    </w:p>
    <w:p>
      <w:pPr>
        <w:pStyle w:val="Normal"/>
        <w:rPr/>
      </w:pPr>
      <w:r>
        <w:rPr/>
        <w:t xml:space="preserve"> </w:t>
      </w:r>
    </w:p>
    <w:p>
      <w:pPr>
        <w:pStyle w:val="Normal"/>
        <w:rPr/>
      </w:pPr>
      <w:r>
        <w:rPr/>
        <w:t xml:space="preserve">Dit zou de positie van de EU in de wereld versterken door een verenigd front ten opzichte van derde landen te presenteren en haar algemene responscapaciteit, met inbegrip van crisisrespons, te vergemakkelijken. </w:t>
      </w:r>
    </w:p>
    <w:p>
      <w:pPr>
        <w:pStyle w:val="Normal"/>
        <w:rPr/>
      </w:pPr>
      <w:r>
        <w:rPr/>
        <w:t xml:space="preserve"> </w:t>
      </w:r>
    </w:p>
    <w:p>
      <w:pPr>
        <w:pStyle w:val="P68B1DB1Normal15"/>
        <w:rPr>
          <w:b/>
          <w:b/>
        </w:rPr>
      </w:pPr>
      <w:r>
        <w:rPr/>
        <w:t xml:space="preserve">22. Wij bevelen de Europese Unie aan om sancties op te leggen aan lidstaten, regeringen, entiteiten, groepen of organisaties en personen die haar fundamentele beginselen, overeenkomsten en wetten niet naleven. Het is absoluut noodzakelijk dat de reeds bestaande sancties snel ten uitvoer worden gelegd en daadwerkelijk worden nageleefd. De sancties die aan derde landen worden opgelegd, moeten evenredig zijn met de actie die hen in gang heeft gezet, doeltreffend zijn en tijdig worden toegepast. </w:t>
      </w:r>
    </w:p>
    <w:p>
      <w:pPr>
        <w:pStyle w:val="Normal"/>
        <w:rPr/>
      </w:pPr>
      <w:r>
        <w:rPr/>
        <w:t xml:space="preserve"> </w:t>
      </w:r>
    </w:p>
    <w:p>
      <w:pPr>
        <w:pStyle w:val="Normal"/>
        <w:rPr/>
      </w:pPr>
      <w:r>
        <w:rPr/>
        <w:t xml:space="preserve">Wil de EU geloofwaardig en betrouwbaar zijn, dan moet zij sancties opleggen aan degenen die haar beginselen schenden. Dergelijke sancties moeten doeltreffend en snel worden toegepast en moeten aan controles worden onderworpen. </w:t>
      </w:r>
    </w:p>
    <w:p>
      <w:pPr>
        <w:pStyle w:val="Normal"/>
        <w:rPr/>
      </w:pPr>
      <w:r>
        <w:rPr/>
        <w:t xml:space="preserve"> </w:t>
      </w:r>
    </w:p>
    <w:p>
      <w:pPr>
        <w:pStyle w:val="Titre4"/>
        <w:numPr>
          <w:ilvl w:val="3"/>
          <w:numId w:val="2"/>
        </w:numPr>
        <w:rPr/>
      </w:pPr>
      <w:bookmarkStart w:id="192" w:name="__RefHeading___Toc297319_1346298689"/>
      <w:bookmarkEnd w:id="192"/>
      <w:r>
        <w:rPr/>
        <w:t xml:space="preserve">Subas 3.3 — Nabuurschapslanden en uitbreiding </w:t>
      </w:r>
    </w:p>
    <w:p>
      <w:pPr>
        <w:pStyle w:val="P68B1DB1Normal15"/>
        <w:rPr>
          <w:b/>
          <w:b/>
        </w:rPr>
      </w:pPr>
      <w:r>
        <w:rPr/>
        <w:t xml:space="preserve">23. Wij raden de Europese Unie aan een specifiek budget toe te wijzen voor de ontwikkeling van onderwijsprogramma’s die gewijd zijn aan de werking van de EU en haar waarden. Deze programma’s zullen vervolgens aan de lidstaten worden aangeboden indien zij deze wensen te integreren in hun schoolcurricula (basis- en middelbaar onderwijs en universiteiten). Daarnaast kan een specifieke cursus over de EU en de werking ervan worden aangeboden aan studenten die via het Erasmus-programma in een ander Europees land willen studeren. Studenten die voor deze cursus kiezen, krijgen voorrang om van deze Erasmus-programma’s te kunnen profiteren. </w:t>
      </w:r>
    </w:p>
    <w:p>
      <w:pPr>
        <w:pStyle w:val="Normal"/>
        <w:rPr/>
      </w:pPr>
      <w:r>
        <w:rPr/>
        <w:t xml:space="preserve"> </w:t>
      </w:r>
    </w:p>
    <w:p>
      <w:pPr>
        <w:pStyle w:val="Normal"/>
        <w:rPr/>
      </w:pPr>
      <w:r>
        <w:rPr/>
        <w:t xml:space="preserve">Wij bevelen deze maatregelen aan om het gevoel tot de EU te behoren te vergroten. Op die manier zullen de burgers zich beter met de Unie identificeren en haar waarden overbrengen. Bovendien zullen deze maatregelen de transparantie ten aanzien van de werking van de EU en de voordelen ervan en de bestrijding van anti-Europese bewegingen verbeteren. Deze maatregelen moeten de lidstaten ervan weerhouden de EU te verlaten. </w:t>
      </w:r>
    </w:p>
    <w:p>
      <w:pPr>
        <w:pStyle w:val="Normal"/>
        <w:rPr/>
      </w:pPr>
      <w:r>
        <w:rPr/>
        <w:t xml:space="preserve"> </w:t>
      </w:r>
    </w:p>
    <w:p>
      <w:pPr>
        <w:pStyle w:val="P68B1DB1Normal15"/>
        <w:rPr>
          <w:b/>
          <w:b/>
        </w:rPr>
      </w:pPr>
      <w:r>
        <w:rPr/>
        <w:t xml:space="preserve">24. Wij bevelen de EU aan meer gebruik te maken van haar politieke en economische gewicht in haar betrekkingen met andere landen om te voorkomen dat bepaalde lidstaten onder bilaterale economische, politieke en sociale druk komen te staan. </w:t>
      </w:r>
    </w:p>
    <w:p>
      <w:pPr>
        <w:pStyle w:val="Normal"/>
        <w:rPr/>
      </w:pPr>
      <w:r>
        <w:rPr/>
        <w:t xml:space="preserve"> </w:t>
      </w:r>
    </w:p>
    <w:p>
      <w:pPr>
        <w:pStyle w:val="Normal"/>
        <w:rPr/>
      </w:pPr>
      <w:r>
        <w:rPr/>
        <w:t xml:space="preserve">Wij bevelen deze maatregelen aan om drie redenen. In de eerste plaats zullen zij het gevoel van eenheid binnen de EU versterken. Ten tweede zal een unilaterale reactie een duidelijke, krachtige en snelle reactie zijn om elke poging van derde landen om EU-lidstaten te pesten of aan te pakken te voorkomen. Tot slot zullen zij de veiligheid van de Unie versterken en ervoor zorgen dat geen enkele lidstaat zich verlaten of genegeerd voelt. Bilaterale reacties verdelen de EU en zijn een zwakte die derde landen tegen ons gebruiken. </w:t>
      </w:r>
    </w:p>
    <w:p>
      <w:pPr>
        <w:pStyle w:val="Normal"/>
        <w:rPr/>
      </w:pPr>
      <w:r>
        <w:rPr/>
        <w:t xml:space="preserve"> </w:t>
      </w:r>
    </w:p>
    <w:p>
      <w:pPr>
        <w:pStyle w:val="P68B1DB1Normal15"/>
        <w:rPr>
          <w:b/>
          <w:b/>
        </w:rPr>
      </w:pPr>
      <w:r>
        <w:rPr/>
        <w:t xml:space="preserve">25. „Wij bevelen de Unie aan haar communicatiestrategie te verbeteren”. Enerzijds moet de EU haar zichtbaarheid op sociale netwerken vergroten en haar inhoud actief promoten. Anderzijds moet zij elk jaar conferenties zoals de conferentie over de toekomst van Europa blijven organiseren. We raden ook aan om innovatie te blijven stimuleren door een toegankelijk Europees sociaal netwerk te bevorderen. </w:t>
      </w:r>
    </w:p>
    <w:p>
      <w:pPr>
        <w:pStyle w:val="Normal"/>
        <w:rPr/>
      </w:pPr>
      <w:r>
        <w:rPr/>
        <w:t xml:space="preserve"> </w:t>
      </w:r>
    </w:p>
    <w:p>
      <w:pPr>
        <w:pStyle w:val="Normal"/>
        <w:rPr/>
      </w:pPr>
      <w:r>
        <w:rPr/>
        <w:t xml:space="preserve">Deze voorstellen zouden niet alleen jongeren bereiken, maar ook de belangstelling en participatie van de Europese burgers vergroten door middel van een aantrekkelijker en doeltreffender communicatiemiddel. De organisatie van evenementen, zoals de conferentie over de toekomst van Europa, moet de burgers in staat stellen meer bij het besluitvormingsproces te worden betrokken en ervoor te zorgen dat hun stem wordt gehoord. </w:t>
      </w:r>
    </w:p>
    <w:p>
      <w:pPr>
        <w:pStyle w:val="Normal"/>
        <w:rPr/>
      </w:pPr>
      <w:r>
        <w:rPr/>
        <w:t xml:space="preserve"> </w:t>
      </w:r>
    </w:p>
    <w:p>
      <w:pPr>
        <w:pStyle w:val="P68B1DB1Normal15"/>
        <w:rPr>
          <w:b/>
          <w:b/>
        </w:rPr>
      </w:pPr>
      <w:r>
        <w:rPr/>
        <w:t xml:space="preserve">26. Wij bevelen de lidstaten aan een sterke visie en een gemeenschappelijke strategie vast te stellen om de Europese identiteit en eenheid te harmoniseren en te consolideren alvorens de Unie verder uit te breiden. </w:t>
      </w:r>
    </w:p>
    <w:p>
      <w:pPr>
        <w:pStyle w:val="Normal"/>
        <w:rPr/>
      </w:pPr>
      <w:r>
        <w:rPr/>
        <w:t xml:space="preserve"> </w:t>
      </w:r>
    </w:p>
    <w:p>
      <w:pPr>
        <w:pStyle w:val="Normal"/>
        <w:rPr/>
      </w:pPr>
      <w:r>
        <w:rPr/>
        <w:t xml:space="preserve">Wij zijn van mening dat het van essentieel belang is de EU te versterken en de betrekkingen tussen de lidstaten te versterken alvorens rekening te houden met de integratie van andere landen. Hoe meer lidstaten in de EU, hoe ingewikkelder het besluitvormingsproces; vandaar het belang van een herziening van eenparigheid van stemmen in de besluitvormingsprocessen. </w:t>
      </w:r>
    </w:p>
    <w:p>
      <w:pPr>
        <w:pStyle w:val="Normal"/>
        <w:rPr/>
      </w:pPr>
      <w:r>
        <w:rPr/>
        <w:t xml:space="preserve"> </w:t>
      </w:r>
    </w:p>
    <w:p>
      <w:pPr>
        <w:pStyle w:val="Titre3"/>
        <w:numPr>
          <w:ilvl w:val="2"/>
          <w:numId w:val="2"/>
        </w:numPr>
        <w:rPr/>
      </w:pPr>
      <w:bookmarkStart w:id="193" w:name="__RefHeading___Toc297321_1346298689"/>
      <w:bookmarkEnd w:id="193"/>
      <w:r>
        <w:rPr/>
        <w:t xml:space="preserve">As 4: Migratie vanuit menselijk oogpunt </w:t>
      </w:r>
    </w:p>
    <w:p>
      <w:pPr>
        <w:pStyle w:val="Titre4"/>
        <w:numPr>
          <w:ilvl w:val="3"/>
          <w:numId w:val="2"/>
        </w:numPr>
        <w:rPr/>
      </w:pPr>
      <w:bookmarkStart w:id="194" w:name="__RefHeading___Toc297323_1346298689"/>
      <w:bookmarkEnd w:id="194"/>
      <w:r>
        <w:rPr/>
        <w:t xml:space="preserve">Subas 4.1 — De oorzaken van emigratie aanpakken </w:t>
      </w:r>
    </w:p>
    <w:p>
      <w:pPr>
        <w:pStyle w:val="P68B1DB1Normal15"/>
        <w:rPr>
          <w:b/>
          <w:b/>
        </w:rPr>
      </w:pPr>
      <w:r>
        <w:rPr/>
        <w:t xml:space="preserve">27. Wij raden de Europese Unie aan actief deel te nemen aan de economische ontwikkeling van derde landen en landen waaruit de grootste migrantenstromen afkomstig zijn. Met de hulp van relevante instanties (lokale ngo’s en lokale politici, deskundige veldwerkers, enz.) moet de EU zoeken naar manieren om vreedzaam en doeltreffend in te grijpen in landen waar de grootste migrantenstromen afkomstig zijn en die hebben ingestemd met de modaliteiten van samenwerking. Deze interventies moeten tastbare en meetbare effecten hebben, die duidelijk moeten worden benadrukt, zodat de Europese burgers het ontwikkelingshulpbeleid van de Unie kunnen begrijpen. Daarom moeten de acties van de EU op het gebied van ontwikkelingshulp zichtbaarder worden. </w:t>
      </w:r>
    </w:p>
    <w:p>
      <w:pPr>
        <w:pStyle w:val="Normal"/>
        <w:rPr/>
      </w:pPr>
      <w:r>
        <w:rPr/>
        <w:t xml:space="preserve"> </w:t>
      </w:r>
    </w:p>
    <w:p>
      <w:pPr>
        <w:pStyle w:val="Normal"/>
        <w:rPr/>
      </w:pPr>
      <w:r>
        <w:rPr/>
        <w:t xml:space="preserve">Zelfs als de EU werkt aan internationale ontwikkeling, moet zij haar optreden voortzetten en investeren in de transparantie en zichtbaarheid van haar beleid op dit gebied. </w:t>
      </w:r>
    </w:p>
    <w:p>
      <w:pPr>
        <w:pStyle w:val="Normal"/>
        <w:rPr/>
      </w:pPr>
      <w:r>
        <w:rPr/>
        <w:t xml:space="preserve"> </w:t>
      </w:r>
    </w:p>
    <w:p>
      <w:pPr>
        <w:pStyle w:val="P68B1DB1Normal15"/>
        <w:rPr>
          <w:b/>
          <w:b/>
        </w:rPr>
      </w:pPr>
      <w:r>
        <w:rPr/>
        <w:t xml:space="preserve">28. Wij pleiten voor de totstandbrenging van een gemeenschappelijk Europees kader voor de harmonisatie van de arbeidsvoorwaarden in de hele Unie (minimumloon, arbeidstijd, enz.). De EU moet ernaar streven gemeenschappelijke basisarbeidsnormen te creëren om te voorkomen dat burgers hun land verlaten om elders betere arbeidsomstandigheden te zoeken. In het kader van deze normen moet de EU de rol van vakbonden op transnationaal niveau versterken. De EU zou daarmee erkennen dat interne economische migratie (migratie van EU-burgers) een ernstig probleem is. </w:t>
      </w:r>
    </w:p>
    <w:p>
      <w:pPr>
        <w:pStyle w:val="Normal"/>
        <w:rPr/>
      </w:pPr>
      <w:r>
        <w:rPr/>
        <w:t xml:space="preserve"> </w:t>
      </w:r>
    </w:p>
    <w:p>
      <w:pPr>
        <w:pStyle w:val="Normal"/>
        <w:rPr/>
      </w:pPr>
      <w:r>
        <w:rPr/>
        <w:t xml:space="preserve">Deze aanbeveling vloeit voort uit de bevinding dat een groot aantal mensen in de EU om economische redenen migreren vanwege de verschillen in arbeidsomstandigheden tussen de lidstaten. Het is noodzakelijk om deze braindrain te voorkomen, zodat de lidstaten hun talenten en hun personeel behouden. Daarom is het belangrijk om een gemeenschappelijk kader voor werk tot stand te brengen. </w:t>
      </w:r>
    </w:p>
    <w:p>
      <w:pPr>
        <w:pStyle w:val="Normal"/>
        <w:rPr/>
      </w:pPr>
      <w:r>
        <w:rPr/>
        <w:t xml:space="preserve"> </w:t>
      </w:r>
    </w:p>
    <w:p>
      <w:pPr>
        <w:pStyle w:val="Titre4"/>
        <w:numPr>
          <w:ilvl w:val="3"/>
          <w:numId w:val="2"/>
        </w:numPr>
        <w:rPr/>
      </w:pPr>
      <w:bookmarkStart w:id="195" w:name="__RefHeading___Toc297325_1346298689"/>
      <w:bookmarkEnd w:id="195"/>
      <w:r>
        <w:rPr/>
        <w:t xml:space="preserve">Subas 4.2 — Menselijke overwegingen </w:t>
      </w:r>
    </w:p>
    <w:p>
      <w:pPr>
        <w:pStyle w:val="P68B1DB1Normal15"/>
        <w:rPr>
          <w:b/>
          <w:b/>
        </w:rPr>
      </w:pPr>
      <w:r>
        <w:rPr/>
        <w:t xml:space="preserve">29. Wij bevelen de tenuitvoerlegging aan van een gemeenschappelijk migratiebeleid dat gebaseerd is op het solidariteitsbeginsel. We willen de focus op het vluchtelingenprobleem. Een gemeenschappelijke procedure voor alle EU-lidstaten moet gebaseerd zijn op de meest doeltreffende praktijken in alle EU-landen. Deze procedure moet proactief worden uitgevoerd door de nationale autoriteiten en de EU-administratie. </w:t>
      </w:r>
    </w:p>
    <w:p>
      <w:pPr>
        <w:pStyle w:val="Normal"/>
        <w:rPr/>
      </w:pPr>
      <w:r>
        <w:rPr/>
        <w:t xml:space="preserve"> </w:t>
      </w:r>
    </w:p>
    <w:p>
      <w:pPr>
        <w:pStyle w:val="Normal"/>
        <w:rPr/>
      </w:pPr>
      <w:r>
        <w:rPr/>
        <w:t xml:space="preserve">Het vluchtelingenprobleem treft alle lidstaten. Op dit moment hebben deze landen te verschillende praktijken, met negatieve gevolgen voor vluchtelingen en EU-burgers. Daarom moet een coherente en consistente aanpak worden gevolgd. </w:t>
      </w:r>
    </w:p>
    <w:p>
      <w:pPr>
        <w:pStyle w:val="Normal"/>
        <w:rPr/>
      </w:pPr>
      <w:r>
        <w:rPr/>
        <w:t xml:space="preserve"> </w:t>
      </w:r>
    </w:p>
    <w:p>
      <w:pPr>
        <w:pStyle w:val="P68B1DB1Normal15"/>
        <w:rPr>
          <w:b/>
          <w:b/>
        </w:rPr>
      </w:pPr>
      <w:r>
        <w:rPr/>
        <w:t xml:space="preserve">30. Wij bevelen de EU aan haar inspanningen op te voeren om de burgers van de lidstaten te informeren en voor te lichten over migratiegerelateerde kwesties. Dit moet worden bereikt door kinderen vanaf het begin van de basisschool zo vroeg mogelijk op te leiden over onderwerpen als migratie en integratie. Als we dit vroege onderwijs combineren met de activiteiten van NGO’s en jongerenorganisaties, maar ook met grootschalige mediacampagnes, kunnen we ons doel volledig bereiken. Daarnaast kunnen veel communicatiemedia worden gebruikt: folders, televisie en sociale netwerken onder andere. </w:t>
      </w:r>
    </w:p>
    <w:p>
      <w:pPr>
        <w:pStyle w:val="Normal"/>
        <w:rPr/>
      </w:pPr>
      <w:r>
        <w:rPr/>
        <w:t xml:space="preserve"> </w:t>
      </w:r>
    </w:p>
    <w:p>
      <w:pPr>
        <w:pStyle w:val="Normal"/>
        <w:rPr/>
      </w:pPr>
      <w:r>
        <w:rPr/>
        <w:t xml:space="preserve">Het is belangrijk om aan te tonen dat migratie ook veel positieve aspecten heeft, zoals de extra beroepsbevolking. We willen benadrukken hoe belangrijk het is om het bewustzijn van beide processen te vergroten, zodat burgers de redenen en gevolgen van migratie begrijpen om het stigma dat ontstaat door als migrant te worden gezien, weg te nemen. </w:t>
      </w:r>
    </w:p>
    <w:p>
      <w:pPr>
        <w:pStyle w:val="Normal"/>
        <w:rPr/>
      </w:pPr>
      <w:r>
        <w:rPr/>
        <w:t xml:space="preserve"> </w:t>
      </w:r>
    </w:p>
    <w:p>
      <w:pPr>
        <w:pStyle w:val="Titre4"/>
        <w:numPr>
          <w:ilvl w:val="3"/>
          <w:numId w:val="2"/>
        </w:numPr>
        <w:rPr/>
      </w:pPr>
      <w:bookmarkStart w:id="196" w:name="__RefHeading___Toc297327_1346298689"/>
      <w:bookmarkEnd w:id="196"/>
      <w:r>
        <w:rPr/>
        <w:t xml:space="preserve">Subas 4.3 — Grenzen </w:t>
      </w:r>
    </w:p>
    <w:p>
      <w:pPr>
        <w:pStyle w:val="P68B1DB1Normal15"/>
        <w:rPr>
          <w:b/>
          <w:b/>
        </w:rPr>
      </w:pPr>
      <w:r>
        <w:rPr/>
        <w:t xml:space="preserve">31. Wij bevelen aan Richtlijn 2013/33/EU betreffende minimumnormen voor de opvang van asielzoekers in de lidstaten te vervangen door een verplichte EU-verordening, die in alle lidstaten uniform van toepassing zal zijn. Er moet prioriteit worden gegeven aan de verbetering van de opvang- en huisvestingsvoorzieningen. Wij raden aan een specifiek EU-toezichtorgaan op te richten voor de tenuitvoerlegging van de verordening. </w:t>
      </w:r>
    </w:p>
    <w:p>
      <w:pPr>
        <w:pStyle w:val="Normal"/>
        <w:rPr/>
      </w:pPr>
      <w:r>
        <w:rPr/>
        <w:t xml:space="preserve"> </w:t>
      </w:r>
    </w:p>
    <w:p>
      <w:pPr>
        <w:pStyle w:val="Normal"/>
        <w:rPr/>
      </w:pPr>
      <w:r>
        <w:rPr/>
        <w:t xml:space="preserve">De richtlijn wordt immers niet in alle lidstaten op uniforme wijze ten uitvoer gelegd. We moeten voorkomen dat we de omstandigheden in het vluchtelingenkamp Moria herhalen. De aanbevolen verordening moet daarom ten uitvoer worden gelegd en verplichte sancties omvatten. Het controleorgaan moet robuust en betrouwbaar zijn. </w:t>
      </w:r>
    </w:p>
    <w:p>
      <w:pPr>
        <w:pStyle w:val="Normal"/>
        <w:rPr/>
      </w:pPr>
      <w:r>
        <w:rPr/>
        <w:t xml:space="preserve"> </w:t>
      </w:r>
    </w:p>
    <w:p>
      <w:pPr>
        <w:pStyle w:val="P68B1DB1Normal15"/>
        <w:rPr>
          <w:b/>
          <w:b/>
        </w:rPr>
      </w:pPr>
      <w:r>
        <w:rPr/>
        <w:t xml:space="preserve">32. Wij raden de EU aan ervoor te zorgen dat alle asielzoekers en vluchtelingen taal- en integratiecursussen volgen terwijl hun verblijfsaanvraag wordt onderzocht. Cursussen moeten verplicht zijn, gratis en persoonlijke assistentie bij de initiële integratie omvatten. Ze moeten beginnen binnen twee weken na de aanvraag voor verblijf. Er moeten ook stimulerings- en sanctiemechanismen worden ingevoerd. </w:t>
      </w:r>
    </w:p>
    <w:p>
      <w:pPr>
        <w:pStyle w:val="Normal"/>
        <w:rPr/>
      </w:pPr>
      <w:r>
        <w:rPr/>
        <w:t xml:space="preserve"> </w:t>
      </w:r>
    </w:p>
    <w:p>
      <w:pPr>
        <w:pStyle w:val="Normal"/>
        <w:rPr/>
      </w:pPr>
      <w:r>
        <w:rPr/>
        <w:t xml:space="preserve">Het leren van de taal en het begrijpen van de cultuur, geschiedenis en ethiek van het land van aankomst is een essentiële stap in integratie. De duur van de vertraging vóór de start van het eerste integratieproces heeft negatieve gevolgen voor de sociale assimilatie van migranten. Sanctiemechanismen kunnen helpen bij het identificeren van de bereidheid van migranten om te integreren. </w:t>
      </w:r>
    </w:p>
    <w:p>
      <w:pPr>
        <w:pStyle w:val="Normal"/>
        <w:rPr/>
      </w:pPr>
      <w:r>
        <w:rPr/>
        <w:t xml:space="preserve"> </w:t>
      </w:r>
    </w:p>
    <w:p>
      <w:pPr>
        <w:pStyle w:val="Titre3"/>
        <w:numPr>
          <w:ilvl w:val="2"/>
          <w:numId w:val="2"/>
        </w:numPr>
        <w:rPr/>
      </w:pPr>
      <w:bookmarkStart w:id="197" w:name="__RefHeading___Toc297329_1346298689"/>
      <w:bookmarkEnd w:id="197"/>
      <w:r>
        <w:rPr/>
        <w:t xml:space="preserve">As 5: Verantwoordelijkheid en solidariteit in de EU </w:t>
      </w:r>
    </w:p>
    <w:p>
      <w:pPr>
        <w:pStyle w:val="Titre4"/>
        <w:numPr>
          <w:ilvl w:val="3"/>
          <w:numId w:val="2"/>
        </w:numPr>
        <w:rPr/>
      </w:pPr>
      <w:bookmarkStart w:id="198" w:name="__RefHeading___Toc297331_1346298689"/>
      <w:bookmarkEnd w:id="198"/>
      <w:r>
        <w:rPr/>
        <w:t xml:space="preserve">Subas 5.1 — Distributie van migranten </w:t>
      </w:r>
    </w:p>
    <w:p>
      <w:pPr>
        <w:pStyle w:val="P68B1DB1Normal15"/>
        <w:rPr>
          <w:b/>
          <w:b/>
        </w:rPr>
      </w:pPr>
      <w:r>
        <w:rPr/>
        <w:t xml:space="preserve">33. Wij raden aan het Dublinsysteem te vervangen door een juridisch bindend verdrag om te zorgen voor een eerlijke, evenwichtige en evenredige verdeling van asielzoekers in de EU op basis van solidariteit en rechtvaardigheid. Momenteel moeten vluchtelingen asiel aanvragen in de eerste lidstaat van aankomst. Deze systeemverandering moet zo snel mogelijk verlopen. Het voorstel van de Europese Commissie voor een nieuw EU-migratie- en asielpact van 2020 is een goed begin en moet een rechtsvorm aannemen, aangezien het voorziet in quota voor de verdeling van vluchtelingen over de EU-lidstaten. </w:t>
      </w:r>
    </w:p>
    <w:p>
      <w:pPr>
        <w:pStyle w:val="Normal"/>
        <w:rPr/>
      </w:pPr>
      <w:r>
        <w:rPr/>
        <w:t xml:space="preserve"> </w:t>
      </w:r>
    </w:p>
    <w:p>
      <w:pPr>
        <w:pStyle w:val="Normal"/>
        <w:rPr/>
      </w:pPr>
      <w:r>
        <w:rPr/>
        <w:t xml:space="preserve">Wij bevelen dit aan omdat het huidige Dublinsysteem de beginselen van solidariteit en rechtvaardigheid niet eerbiedigt. Het legt een zware last op de lidstaten dicht bij de buitengrenzen van de EU die asielzoekers oversteken om hun grondgebied binnen te komen. Alle lidstaten moeten de verantwoordelijkheid nemen voor het beheer van de vluchtelingenstromen naar de EU. De EU is een gemeenschap van gedeelde waarden en moet dienovereenkomstig handelen. </w:t>
      </w:r>
    </w:p>
    <w:p>
      <w:pPr>
        <w:pStyle w:val="Normal"/>
        <w:rPr/>
      </w:pPr>
      <w:r>
        <w:rPr/>
        <w:t xml:space="preserve"> </w:t>
      </w:r>
    </w:p>
    <w:p>
      <w:pPr>
        <w:pStyle w:val="P68B1DB1Normal15"/>
        <w:rPr>
          <w:b/>
          <w:b/>
        </w:rPr>
      </w:pPr>
      <w:r>
        <w:rPr/>
        <w:t xml:space="preserve">34. Wij raden de EU aan haar lidstaten bij te staan bij de behandeling van asielaanvragen in een sneller tempo en volgens gemeenschappelijke normen. Daarnaast moet er humanitaire huisvesting worden verstrekt aan vluchtelingen. Om de landen van aankomst te lossen en hun asielverzoeken elders te kunnen verwerken, raden wij aan vluchtelingen snel en efficiënt naar de verschillende lidstaten te herplaatsen na hun eerste aankomst in de EU. Daartoe zijn financiële steun en organisatorische steun van de EU van het Asielagentschap van de EU nodig. Personen van wie het asielverzoek is afgewezen, moeten daadwerkelijk naar hun land van herkomst worden teruggestuurd, mits hun land van herkomst als veilig wordt beschouwd. </w:t>
      </w:r>
    </w:p>
    <w:p>
      <w:pPr>
        <w:pStyle w:val="Normal"/>
        <w:rPr/>
      </w:pPr>
      <w:r>
        <w:rPr/>
        <w:t xml:space="preserve"> </w:t>
      </w:r>
    </w:p>
    <w:p>
      <w:pPr>
        <w:pStyle w:val="Normal"/>
        <w:rPr/>
      </w:pPr>
      <w:r>
        <w:rPr/>
        <w:t xml:space="preserve">We raden dit aan omdat de asielprocedures momenteel te lang duren en van lidstaat tot lidstaat kunnen verschillen. Door de asielprocedures te versnellen, besteden vluchtelingen minder tijd aan het wachten op een definitieve beslissing in tijdelijke huisvestingsfaciliteiten. Asielzoekers kunnen sneller worden geïntegreerd. </w:t>
      </w:r>
    </w:p>
    <w:p>
      <w:pPr>
        <w:pStyle w:val="Normal"/>
        <w:rPr/>
      </w:pPr>
      <w:r>
        <w:rPr/>
        <w:t xml:space="preserve"> </w:t>
      </w:r>
    </w:p>
    <w:p>
      <w:pPr>
        <w:pStyle w:val="P68B1DB1Normal15"/>
        <w:rPr>
          <w:b/>
          <w:b/>
        </w:rPr>
      </w:pPr>
      <w:r>
        <w:rPr/>
        <w:t xml:space="preserve">35. Wij bevelen krachtige financiële, logistieke en operationele steun van de EU aan voor het beheer van de eerste opvang, wat mogelijk leidt tot de integratie of repatriëring van irreguliere migranten. De begunstigden van deze steun zijn de EU-grensstaten die de last van de migratieinstroom dragen. </w:t>
      </w:r>
    </w:p>
    <w:p>
      <w:pPr>
        <w:pStyle w:val="Normal"/>
        <w:rPr/>
      </w:pPr>
      <w:r>
        <w:rPr/>
        <w:t xml:space="preserve"> </w:t>
      </w:r>
    </w:p>
    <w:p>
      <w:pPr>
        <w:pStyle w:val="Normal"/>
        <w:rPr/>
      </w:pPr>
      <w:r>
        <w:rPr/>
        <w:t xml:space="preserve">Vanwege hun geografische ligging worden sommige </w:t>
      </w:r>
      <w:r>
        <w:rPr/>
        <w:commentReference w:id="8"/>
      </w:r>
      <w:r>
        <w:rPr/>
        <w:t xml:space="preserve"> lidstaten het meest getroffen door de toestroom van migranten. </w:t>
      </w:r>
    </w:p>
    <w:p>
      <w:pPr>
        <w:pStyle w:val="Normal"/>
        <w:rPr/>
      </w:pPr>
      <w:r>
        <w:rPr/>
        <w:t xml:space="preserve"> </w:t>
      </w:r>
    </w:p>
    <w:p>
      <w:pPr>
        <w:pStyle w:val="P68B1DB1Normal15"/>
        <w:rPr>
          <w:b/>
          <w:b/>
        </w:rPr>
      </w:pPr>
      <w:r>
        <w:rPr/>
        <w:t xml:space="preserve">36. Wij raden aan het mandaat van het Asielagentschap van de EU te versterken om te komen tot een eerlijke verdeling van asielzoekers over de lidstaten. Om dit te bereiken, moet rekening worden gehouden met de behoeften van dergelijke asielzoekers en met de logistieke en economische capaciteiten van de lidstaten en hun behoeften op de arbeidsmarkt. </w:t>
      </w:r>
    </w:p>
    <w:p>
      <w:pPr>
        <w:pStyle w:val="Normal"/>
        <w:rPr/>
      </w:pPr>
      <w:r>
        <w:rPr/>
        <w:t xml:space="preserve"> </w:t>
      </w:r>
    </w:p>
    <w:p>
      <w:pPr>
        <w:pStyle w:val="Normal"/>
        <w:rPr/>
      </w:pPr>
      <w:r>
        <w:rPr/>
        <w:t xml:space="preserve">Een gecoördineerde en gecentraliseerde verdeling van asielzoekers, die door de lidstaten en hun burgers eerlijk wordt geacht, voorkomt chaotische situaties en sociale spanningen en versterkt de solidariteit tussen de lidstaten. </w:t>
      </w:r>
    </w:p>
    <w:p>
      <w:pPr>
        <w:pStyle w:val="Normal"/>
        <w:rPr/>
      </w:pPr>
      <w:r>
        <w:rPr/>
        <w:t xml:space="preserve"> </w:t>
      </w:r>
    </w:p>
    <w:p>
      <w:pPr>
        <w:pStyle w:val="Titre4"/>
        <w:numPr>
          <w:ilvl w:val="3"/>
          <w:numId w:val="2"/>
        </w:numPr>
        <w:rPr/>
      </w:pPr>
      <w:bookmarkStart w:id="199" w:name="__RefHeading___Toc297333_1346298689"/>
      <w:bookmarkEnd w:id="199"/>
      <w:r>
        <w:rPr/>
        <w:t xml:space="preserve">Subas 5.2 — Gemeenschappelijke aanpak van asiel </w:t>
      </w:r>
    </w:p>
    <w:p>
      <w:pPr>
        <w:pStyle w:val="P68B1DB1Normal15"/>
        <w:rPr>
          <w:b/>
          <w:b/>
        </w:rPr>
      </w:pPr>
      <w:r>
        <w:rPr/>
        <w:t xml:space="preserve">37. Wij raden aan een alomvattende Europese instelling op te richten of het Asielagentschap van de EU te versterken, zodat het asielverzoeken voor de hele Europese Unie kan behandelen en kan handelen op basis van uniforme normen. Het agentschap moet ook verantwoordelijk zijn voor de verdeling van vluchtelingen op een billijke manier. Het moet ook veilige en onveilige landen van herkomst definiëren en verantwoordelijk zijn voor de terugkeer van asielzoekers wier verzoeken zijn afgewezen. </w:t>
      </w:r>
    </w:p>
    <w:p>
      <w:pPr>
        <w:pStyle w:val="Normal"/>
        <w:rPr/>
      </w:pPr>
      <w:r>
        <w:rPr/>
        <w:t xml:space="preserve"> </w:t>
      </w:r>
    </w:p>
    <w:p>
      <w:pPr>
        <w:pStyle w:val="Normal"/>
        <w:rPr/>
      </w:pPr>
      <w:r>
        <w:rPr/>
        <w:t xml:space="preserve">Het huidige asielbeleid wordt gekenmerkt door onduidelijke verantwoordelijkheden en verschillende normen tussen de EU-lidstaten. De behandeling van asielprocedures is dus niet dezelfde in de verschillende lidstaten. Bovendien heeft het Asielagentschap van de Europese Unie momenteel slechts een invloedsmacht. Zij kan de lidstaten alleen adviseren over asielkwesties. </w:t>
      </w:r>
    </w:p>
    <w:p>
      <w:pPr>
        <w:pStyle w:val="Normal"/>
        <w:rPr/>
      </w:pPr>
      <w:r>
        <w:rPr/>
        <w:t xml:space="preserve"> </w:t>
      </w:r>
    </w:p>
    <w:p>
      <w:pPr>
        <w:pStyle w:val="P68B1DB1Normal15"/>
        <w:rPr>
          <w:b/>
          <w:b/>
        </w:rPr>
      </w:pPr>
      <w:r>
        <w:rPr/>
        <w:t xml:space="preserve">38. Wij raden aan om in alle EU-lidstaten onverwijld gespecialiseerde asielcentra voor niet-begeleide minderjarigen op te richten. Het doel is om minderjarigen te verwelkomen en te verzorgen op basis van hun speciale behoeften en zo snel mogelijk. </w:t>
      </w:r>
    </w:p>
    <w:p>
      <w:pPr>
        <w:pStyle w:val="Normal"/>
        <w:rPr/>
      </w:pPr>
      <w:r>
        <w:rPr/>
        <w:t xml:space="preserve"> </w:t>
      </w:r>
    </w:p>
    <w:p>
      <w:pPr>
        <w:pStyle w:val="Normal"/>
        <w:rPr/>
      </w:pPr>
      <w:r>
        <w:rPr/>
        <w:t xml:space="preserve">We doen deze aanbeveling omdat: </w:t>
      </w:r>
    </w:p>
    <w:p>
      <w:pPr>
        <w:pStyle w:val="Normal"/>
        <w:rPr/>
      </w:pPr>
      <w:r>
        <w:rPr/>
        <w:t xml:space="preserve">1) Veel minderjarigen zijn waarschijnlijk getraumatiseerd (omdat ze uit conflictgebieden komen); </w:t>
      </w:r>
    </w:p>
    <w:p>
      <w:pPr>
        <w:pStyle w:val="Normal"/>
        <w:rPr/>
      </w:pPr>
      <w:r>
        <w:rPr/>
        <w:t xml:space="preserve">2) Verschillende kinderen hebben verschillende behoeften (afhankelijk van leeftijd, gezondheid, enz.); </w:t>
      </w:r>
    </w:p>
    <w:p>
      <w:pPr>
        <w:pStyle w:val="Normal"/>
        <w:rPr/>
      </w:pPr>
      <w:r>
        <w:rPr/>
        <w:t xml:space="preserve">(3) indien het wordt toegepast, zou het ervoor zorgen dat kwetsbare en getraumatiseerde minderjarigen zo spoedig mogelijk alle nodige zorg krijgen; </w:t>
      </w:r>
    </w:p>
    <w:p>
      <w:pPr>
        <w:pStyle w:val="Normal"/>
        <w:rPr/>
      </w:pPr>
      <w:r>
        <w:rPr/>
        <w:t xml:space="preserve">4) deze minderjarigen zijn toekomstige Europese burgers en moeten derhalve, indien zij naar behoren worden behandeld, een positieve bijdrage leveren aan de toekomst van Europa. </w:t>
      </w:r>
    </w:p>
    <w:p>
      <w:pPr>
        <w:pStyle w:val="Normal"/>
        <w:rPr/>
      </w:pPr>
      <w:r>
        <w:rPr/>
        <w:t xml:space="preserve"> </w:t>
      </w:r>
    </w:p>
    <w:p>
      <w:pPr>
        <w:pStyle w:val="P68B1DB1Normal15"/>
        <w:rPr>
          <w:b/>
          <w:b/>
        </w:rPr>
      </w:pPr>
      <w:r>
        <w:rPr/>
        <w:t xml:space="preserve">39. Wij raden de instelling aan van een gemeenschappelijk, snel en transparant systeem voor de behandeling van asielaanvragen. Dit proces moet minimumnormen bevatten en in alle lidstaten op dezelfde wijze worden toegepast. </w:t>
      </w:r>
    </w:p>
    <w:p>
      <w:pPr>
        <w:pStyle w:val="Normal"/>
        <w:rPr/>
      </w:pPr>
      <w:r>
        <w:rPr/>
        <w:t xml:space="preserve"> </w:t>
      </w:r>
    </w:p>
    <w:p>
      <w:pPr>
        <w:pStyle w:val="Normal"/>
        <w:rPr/>
      </w:pPr>
      <w:r>
        <w:rPr/>
        <w:t xml:space="preserve">We doen deze aanbeveling omdat: </w:t>
      </w:r>
    </w:p>
    <w:p>
      <w:pPr>
        <w:pStyle w:val="Normal"/>
        <w:rPr/>
      </w:pPr>
      <w:r>
        <w:rPr/>
        <w:t xml:space="preserve">(1) indien deze aanbeveling ten uitvoer zou worden gelegd, zou de behandeling van asielverzoeken sneller en transparanter verlopen; </w:t>
      </w:r>
    </w:p>
    <w:p>
      <w:pPr>
        <w:pStyle w:val="Normal"/>
        <w:rPr/>
      </w:pPr>
      <w:r>
        <w:rPr/>
        <w:t xml:space="preserve">2) de traagheid van de huidige procedures leidt tot illegaliteit en criminaliteit; </w:t>
      </w:r>
    </w:p>
    <w:p>
      <w:pPr>
        <w:pStyle w:val="Normal"/>
        <w:rPr/>
      </w:pPr>
      <w:r>
        <w:rPr/>
        <w:t xml:space="preserve">3) De minimumnormen in onze aanbeveling moeten de eerbiediging van de mensenrechten, de gezondheid en de onderwijsbehoeften van asielzoekers omvatten; </w:t>
      </w:r>
    </w:p>
    <w:p>
      <w:pPr>
        <w:pStyle w:val="Normal"/>
        <w:rPr/>
      </w:pPr>
      <w:r>
        <w:rPr/>
        <w:t xml:space="preserve">4) de tenuitvoerlegging van deze aanbeveling zou leiden tot een betere toegang tot werkgelegenheid en zelfvoorziening, wat een positieve bijdrage aan de Europese samenleving mogelijk zou maken; asielzoekers van wie de beroepsstatus wordt geregulariseerd, worden minder vaak misbruikt in hun werkomgeving; dit kan alleen de integratie van alle betrokkenen bevorderen; </w:t>
      </w:r>
    </w:p>
    <w:p>
      <w:pPr>
        <w:pStyle w:val="Normal"/>
        <w:rPr/>
      </w:pPr>
      <w:r>
        <w:rPr/>
        <w:t xml:space="preserve">5) verlengde verblijven in asielcentra hebben een negatieve invloed op de geestelijke gezondheid en het welzijn van de inzittenden. </w:t>
      </w:r>
    </w:p>
    <w:p>
      <w:pPr>
        <w:pStyle w:val="Normal"/>
        <w:rPr/>
      </w:pPr>
      <w:r>
        <w:rPr/>
        <w:t xml:space="preserve"> </w:t>
      </w:r>
    </w:p>
    <w:p>
      <w:pPr>
        <w:pStyle w:val="P68B1DB1Normal15"/>
        <w:rPr>
          <w:b/>
          <w:b/>
        </w:rPr>
      </w:pPr>
      <w:r>
        <w:rPr/>
        <w:t xml:space="preserve">40. Wij raden ten zeerste aan alle overeenkomsten en wetgeving inzake asiel en immigratie in Europa volledig te herzien. Wij raden aan een aanpak voor heel Europa te kiezen. </w:t>
      </w:r>
    </w:p>
    <w:p>
      <w:pPr>
        <w:pStyle w:val="Normal"/>
        <w:rPr/>
      </w:pPr>
      <w:r>
        <w:rPr/>
        <w:t xml:space="preserve"> </w:t>
      </w:r>
    </w:p>
    <w:p>
      <w:pPr>
        <w:pStyle w:val="Normal"/>
        <w:rPr/>
      </w:pPr>
      <w:r>
        <w:rPr/>
        <w:t xml:space="preserve">We doen deze aanbeveling omdat: </w:t>
      </w:r>
    </w:p>
    <w:p>
      <w:pPr>
        <w:pStyle w:val="Normal"/>
        <w:rPr/>
      </w:pPr>
      <w:r>
        <w:rPr/>
        <w:t xml:space="preserve">1) Sinds 2015 zijn alle huidige overeenkomsten niet van toepassing, onpraktisch en ongeschikt; </w:t>
      </w:r>
    </w:p>
    <w:p>
      <w:pPr>
        <w:pStyle w:val="Normal"/>
        <w:rPr/>
      </w:pPr>
      <w:r>
        <w:rPr/>
        <w:t xml:space="preserve">2) de EU moet worden beschouwd als het belangrijkste „agentschap”, dat toezicht houdt op alle andere agentschappen en ngo’s die tot taak hebben asielkwesties rechtstreeks aan te pakken; </w:t>
      </w:r>
    </w:p>
    <w:p>
      <w:pPr>
        <w:pStyle w:val="Normal"/>
        <w:rPr/>
      </w:pPr>
      <w:r>
        <w:rPr/>
        <w:t xml:space="preserve">(3) De lidstaten die het meest te lijden hebben onder de situatie, zijn die welke grotendeels alleen met het probleem worden geconfronteerd; de „à la carte”-keuzes van sommige lidstaten geven geen beeld van eenheid; </w:t>
      </w:r>
    </w:p>
    <w:p>
      <w:pPr>
        <w:pStyle w:val="Normal"/>
        <w:rPr/>
      </w:pPr>
      <w:r>
        <w:rPr/>
        <w:t xml:space="preserve">4) nieuwe gerichte wetgeving zou de toekomst van alle asielzoekers verbeteren en de eenheid van Europa versterken; </w:t>
      </w:r>
    </w:p>
    <w:p>
      <w:pPr>
        <w:pStyle w:val="Normal"/>
        <w:rPr/>
      </w:pPr>
      <w:r>
        <w:rPr/>
        <w:t xml:space="preserve">5) de tekortkomingen van de huidige wetgeving leiden tot conflicten en een gebrek aan harmonisatie in heel Europa en leiden tot meer onverdraagzaamheid onder de Europese burgers ten opzichte van migranten. </w:t>
      </w:r>
    </w:p>
    <w:p>
      <w:pPr>
        <w:pStyle w:val="Normal"/>
        <w:rPr/>
      </w:pPr>
      <w:r>
        <w:rPr/>
        <w:t>Strengere en relevante wetgeving zou criminaliteit en misbruik van het huidige asielstelsel verminderen.</w:t>
      </w:r>
    </w:p>
    <w:p>
      <w:pPr>
        <w:pStyle w:val="Normal"/>
        <w:rPr/>
      </w:pPr>
      <w:r>
        <w:rPr/>
        <w:t xml:space="preserve"> </w:t>
      </w:r>
    </w:p>
    <w:p>
      <w:pPr>
        <w:pStyle w:val="Titre3"/>
        <w:numPr>
          <w:ilvl w:val="2"/>
          <w:numId w:val="2"/>
        </w:numPr>
        <w:rPr/>
      </w:pPr>
      <w:bookmarkStart w:id="200" w:name="__RefHeading___Toc297335_1346298689"/>
      <w:bookmarkEnd w:id="200"/>
      <w:r>
        <w:rPr/>
        <w:t xml:space="preserve">Bijlage: ANDERE AANBEVELINGEN DIE HET PANEL IN OVERWEGING HEEFT GENOMEN, MAAR NIET ZIJN AANGENOMEN </w:t>
      </w:r>
    </w:p>
    <w:p>
      <w:pPr>
        <w:pStyle w:val="Titre4"/>
        <w:numPr>
          <w:ilvl w:val="3"/>
          <w:numId w:val="2"/>
        </w:numPr>
        <w:rPr/>
      </w:pPr>
      <w:bookmarkStart w:id="201" w:name="__RefHeading___Toc297337_1346298689"/>
      <w:bookmarkEnd w:id="201"/>
      <w:r>
        <w:rPr/>
        <w:t xml:space="preserve">As 1: Zelfvoorziening en stabiliteit </w:t>
      </w:r>
    </w:p>
    <w:p>
      <w:pPr>
        <w:pStyle w:val="Normal"/>
        <w:rPr/>
      </w:pPr>
      <w:r>
        <w:rPr/>
        <w:t xml:space="preserve">Subas 1.1 — Autonomie van de EU </w:t>
      </w:r>
    </w:p>
    <w:p>
      <w:pPr>
        <w:pStyle w:val="P68B1DB1Normal15"/>
        <w:rPr>
          <w:b/>
          <w:b/>
        </w:rPr>
      </w:pPr>
      <w:r>
        <w:rPr/>
        <w:t xml:space="preserve">Op verzoek van de ontwikkelingslanden bevelen wij aan interventieprogramma’s voor economische ontwikkeling te ontwikkelen op basis van partnerschappen die zijn afgestemd op de behoeften van elk land en/of op basis van handelsovereenkomsten. Dit vereist eerst een beoordeling van het economische potentieel van de betrokken landen en vervolgens de nodige economische steun en beroepsopleiding. </w:t>
      </w:r>
    </w:p>
    <w:p>
      <w:pPr>
        <w:pStyle w:val="Normal"/>
        <w:rPr/>
      </w:pPr>
      <w:r>
        <w:rPr/>
        <w:t xml:space="preserve">Dit zou leiden tot een grotere industriële onafhankelijkheid en een verbetering van de algemene migratiesituatie door het scheppen van banen; het zou ook leiden tot betere handelsovereenkomsten in ontwikkelingslanden. </w:t>
      </w:r>
    </w:p>
    <w:p>
      <w:pPr>
        <w:pStyle w:val="Normal"/>
        <w:rPr/>
      </w:pPr>
      <w:r>
        <w:rPr/>
        <w:t xml:space="preserve"> </w:t>
      </w:r>
    </w:p>
    <w:p>
      <w:pPr>
        <w:pStyle w:val="Titre4"/>
        <w:numPr>
          <w:ilvl w:val="3"/>
          <w:numId w:val="2"/>
        </w:numPr>
        <w:rPr/>
      </w:pPr>
      <w:bookmarkStart w:id="202" w:name="__RefHeading___Toc297339_1346298689"/>
      <w:bookmarkEnd w:id="202"/>
      <w:r>
        <w:rPr/>
        <w:t xml:space="preserve">As 2: De EU als internationale partner </w:t>
      </w:r>
    </w:p>
    <w:p>
      <w:pPr>
        <w:pStyle w:val="Normal"/>
        <w:rPr/>
      </w:pPr>
      <w:r>
        <w:rPr/>
        <w:t xml:space="preserve">Subas 2.1 — Ethisch perspectief op handelsbetrekkingen </w:t>
      </w:r>
    </w:p>
    <w:p>
      <w:pPr>
        <w:pStyle w:val="P68B1DB1Normal15"/>
        <w:rPr>
          <w:b/>
          <w:b/>
        </w:rPr>
      </w:pPr>
      <w:r>
        <w:rPr/>
        <w:t xml:space="preserve">Wij raden de EU aan regels in te voeren die bedrijven verplichten hun toeleveringsketen te controleren en regelmatig een uitgebreid auditverslag in te dienen, alsook bepalingen om invoer op basis van ethische criteria te belonen of te beperken. Bedrijven moeten een intern en/of extern auditverslag indienen op basis van hun omvang. </w:t>
      </w:r>
    </w:p>
    <w:p>
      <w:pPr>
        <w:pStyle w:val="Normal"/>
        <w:rPr/>
      </w:pPr>
      <w:r>
        <w:rPr/>
        <w:t xml:space="preserve"> </w:t>
      </w:r>
    </w:p>
    <w:p>
      <w:pPr>
        <w:pStyle w:val="Normal"/>
        <w:rPr/>
      </w:pPr>
      <w:r>
        <w:rPr/>
        <w:t xml:space="preserve">Het ethische aspect van de handel met de EU moet worden ontwikkeld. Dit kan worden gedaan door bedrijfsactiviteiten in internationale toeleveringsketens te monitoren en bedrijven aan te moedigen zich te gedragen volgens ethische criteria, zoals gevaarlijke producten, arbeidsrechten en arbeidsomstandigheden, kinderarbeid en milieubescherming. Deze aanbeveling is niet van toepassing op online producten die rechtstreeks door de consument worden gekocht. </w:t>
      </w:r>
    </w:p>
    <w:p>
      <w:pPr>
        <w:pStyle w:val="Normal"/>
        <w:rPr/>
      </w:pPr>
      <w:r>
        <w:rPr/>
        <w:t xml:space="preserve"> </w:t>
      </w:r>
    </w:p>
    <w:p>
      <w:pPr>
        <w:pStyle w:val="Titre4"/>
        <w:numPr>
          <w:ilvl w:val="3"/>
          <w:numId w:val="2"/>
        </w:numPr>
        <w:rPr/>
      </w:pPr>
      <w:bookmarkStart w:id="203" w:name="__RefHeading___Toc297341_1346298689"/>
      <w:bookmarkEnd w:id="203"/>
      <w:r>
        <w:rPr/>
        <w:t xml:space="preserve">As 3: Een sterke EU in een vreedzame wereld </w:t>
      </w:r>
    </w:p>
    <w:p>
      <w:pPr>
        <w:pStyle w:val="Normal"/>
        <w:rPr/>
      </w:pPr>
      <w:r>
        <w:rPr/>
        <w:t xml:space="preserve">Subas 3.1 — Veiligheid en defensie </w:t>
      </w:r>
    </w:p>
    <w:p>
      <w:pPr>
        <w:pStyle w:val="P68B1DB1Normal15"/>
        <w:rPr>
          <w:b/>
          <w:b/>
        </w:rPr>
      </w:pPr>
      <w:r>
        <w:rPr/>
        <w:t xml:space="preserve">We raden aan de huidige Europese veiligheidsarchitectuur te heroverwegen om er een efficiëntere en efficiëntere supranationale structuur van te maken, met meer capaciteiten, met het oog op de oprichting van een gemeenschappelijk leger van de Europese Unie. Daartoe moeten de nationale strijdkrachten geleidelijk worden samengevoegd en getransformeerd. Het doel is dat deze fusie van militaire vermogens in de hele Europese Unie ook de Europese integratie op de lange termijn zal bevorderen. De oprichting van een gemeenschappelijk EU-leger zou ook een nieuwe samenwerkingsovereenkomst met EU-lidstaten en niet-Europese NAVO-leden vereisen. </w:t>
      </w:r>
    </w:p>
    <w:p>
      <w:pPr>
        <w:pStyle w:val="Normal"/>
        <w:rPr/>
      </w:pPr>
      <w:r>
        <w:rPr/>
        <w:t xml:space="preserve"> </w:t>
      </w:r>
    </w:p>
    <w:p>
      <w:pPr>
        <w:pStyle w:val="Normal"/>
        <w:rPr/>
      </w:pPr>
      <w:r>
        <w:rPr/>
        <w:t xml:space="preserve">Als deze aanbeveling ten uitvoer wordt gelegd, zijn wij van mening dat militaire structuren binnen de Europese Unie kostenefficiënter zullen worden en beter in staat zullen zijn om te reageren en op te treden wanneer dat nodig is. Deze geïntegreerde aanpak zou het vermogen van de EU versterken om in kritieke situaties daadkrachtig en gecoördineerd op te treden. </w:t>
      </w:r>
    </w:p>
    <w:p>
      <w:pPr>
        <w:pStyle w:val="Normal"/>
        <w:rPr/>
      </w:pPr>
      <w:r>
        <w:rPr/>
        <w:t xml:space="preserve"> </w:t>
      </w:r>
    </w:p>
    <w:p>
      <w:pPr>
        <w:pStyle w:val="Titre4"/>
        <w:numPr>
          <w:ilvl w:val="3"/>
          <w:numId w:val="2"/>
        </w:numPr>
        <w:rPr/>
      </w:pPr>
      <w:bookmarkStart w:id="204" w:name="__RefHeading___Toc297343_1346298689"/>
      <w:bookmarkEnd w:id="204"/>
      <w:r>
        <w:rPr/>
        <w:t xml:space="preserve">As 4: Emigratie vanuit menselijk oogpunt </w:t>
      </w:r>
    </w:p>
    <w:p>
      <w:pPr>
        <w:pStyle w:val="Normal"/>
        <w:rPr/>
      </w:pPr>
      <w:r>
        <w:rPr/>
        <w:t xml:space="preserve">Subas 4.1 — De oorzaken van emigratie aanpakken </w:t>
      </w:r>
    </w:p>
    <w:p>
      <w:pPr>
        <w:pStyle w:val="P68B1DB1Normal15"/>
        <w:rPr>
          <w:b/>
          <w:b/>
        </w:rPr>
      </w:pPr>
      <w:r>
        <w:rPr/>
        <w:t xml:space="preserve">Wij bevelen de EU aan een actieprotocol op te zetten ter voorbereiding van de volgende migratiecrisis, dat van klimaatvluchtelingen. In het kader van dit protocol moet de EU de definitie van vluchtelingen en asielzoekers uitbreiden tot degenen die getroffen zijn door de klimaatverandering. Aangezien het land van herkomst van veel migranten onbewoonbaar zal zijn geworden, moet het protocol er ook voor zorgen dat nieuwe toepassingen worden gevonden voor gebieden die door de klimaatverandering worden getroffen, met als doel degenen die deze gebieden hebben verlaten te ondersteunen. Overstroomde gebieden kunnen bijvoorbeeld worden gebruikt om windparken te creëren. </w:t>
      </w:r>
    </w:p>
    <w:p>
      <w:pPr>
        <w:pStyle w:val="Normal"/>
        <w:rPr/>
      </w:pPr>
      <w:r>
        <w:rPr/>
        <w:t xml:space="preserve"> </w:t>
      </w:r>
    </w:p>
    <w:p>
      <w:pPr>
        <w:pStyle w:val="Normal"/>
        <w:rPr/>
      </w:pPr>
      <w:r>
        <w:rPr/>
        <w:t xml:space="preserve">We doen dit omdat we allemaal verantwoordelijk zijn voor de klimaatcrisis. We hebben dus een verantwoordelijkheid voor degenen die het meest getroffen zijn. Zelfs als we geen voorspellingen of concrete gegevens over toekomstige vluchtelingen hebben, zal klimaatverandering ongetwijfeld miljoenen mensen treffen. </w:t>
      </w:r>
    </w:p>
    <w:p>
      <w:pPr>
        <w:pStyle w:val="Normal"/>
        <w:rPr/>
      </w:pPr>
      <w:r>
        <w:rPr/>
        <w:t xml:space="preserve"> </w:t>
      </w:r>
    </w:p>
    <w:p>
      <w:pPr>
        <w:pStyle w:val="Normal"/>
        <w:rPr/>
      </w:pPr>
      <w:r>
        <w:rPr/>
        <w:t xml:space="preserve">Subas 4.2 — Menselijke overwegingen </w:t>
      </w:r>
    </w:p>
    <w:p>
      <w:pPr>
        <w:pStyle w:val="P68B1DB1Normal15"/>
        <w:rPr>
          <w:b/>
          <w:b/>
        </w:rPr>
      </w:pPr>
      <w:r>
        <w:rPr/>
        <w:t xml:space="preserve">Wij raden aan om de legale en humanitaire wegen en vervoermiddelen onverwijld te versterken en te financieren, zodat vluchtelingen zich op een georganiseerde manier kunnen verplaatsen uit crisisgebieden. Het speciaal daartoe opgerichte orgaan moet een speciaal veiligheidssysteem voor Europese rijstroken opzetten en reguleren. Dit agentschap moet worden opgericht volgens de wetgevingsprocedure en over bijzondere bevoegdheden beschikken die in zijn reglement van orde zijn vastgelegd. </w:t>
      </w:r>
    </w:p>
    <w:p>
      <w:pPr>
        <w:pStyle w:val="Normal"/>
        <w:rPr/>
      </w:pPr>
      <w:r>
        <w:rPr/>
        <w:t xml:space="preserve"> </w:t>
      </w:r>
    </w:p>
    <w:p>
      <w:pPr>
        <w:pStyle w:val="Normal"/>
        <w:rPr/>
      </w:pPr>
      <w:r>
        <w:rPr/>
        <w:t xml:space="preserve">Mensenhandel en migrantensmokkel zijn ernstige problemen die moeten worden aangepakt. Onze aanbeveling zou deze zorgen zeker verminderen. </w:t>
      </w:r>
    </w:p>
    <w:p>
      <w:pPr>
        <w:pStyle w:val="Normal"/>
        <w:rPr/>
      </w:pPr>
      <w:r>
        <w:rPr/>
        <w:t xml:space="preserve"> </w:t>
      </w:r>
    </w:p>
    <w:p>
      <w:pPr>
        <w:pStyle w:val="Normal"/>
        <w:rPr/>
      </w:pPr>
      <w:r>
        <w:rPr/>
        <w:t xml:space="preserve">Subas 4.3 — Grenzen </w:t>
      </w:r>
    </w:p>
    <w:p>
      <w:pPr>
        <w:pStyle w:val="P68B1DB1Normal15"/>
        <w:rPr>
          <w:b/>
          <w:b/>
        </w:rPr>
      </w:pPr>
      <w:r>
        <w:rPr/>
        <w:t xml:space="preserve">Wij raden aan dat een Europese richtlijn ervoor zorgt dat elke leefruimte in elke lidstaat niet meer dan 30 % inwoners van derde landen heeft. Deze doelstelling zal naar verwachting tegen 2030 worden bereikt en de EU-lidstaten moeten steun krijgen voor de uitvoering van dit streefcijfer. </w:t>
      </w:r>
    </w:p>
    <w:p>
      <w:pPr>
        <w:pStyle w:val="Normal"/>
        <w:rPr/>
      </w:pPr>
      <w:r>
        <w:rPr/>
        <w:t xml:space="preserve"> </w:t>
      </w:r>
    </w:p>
    <w:p>
      <w:pPr>
        <w:pStyle w:val="Normal"/>
        <w:rPr/>
      </w:pPr>
      <w:r>
        <w:rPr/>
        <w:t xml:space="preserve">We doen deze aanbeveling omdat een billijkere geografische spreiding zal leiden tot een betere acceptatie van migranten door de lokale bevolking en hen in staat zal stellen beter te integreren. Dit percentage is gebaseerd op een recent politiek akkoord in Denemarken. </w:t>
      </w:r>
      <w:r>
        <w:br w:type="page"/>
      </w:r>
    </w:p>
    <w:p>
      <w:pPr>
        <w:pStyle w:val="Titre1"/>
        <w:numPr>
          <w:ilvl w:val="0"/>
          <w:numId w:val="2"/>
        </w:numPr>
        <w:rPr/>
      </w:pPr>
      <w:bookmarkStart w:id="205" w:name="__RefHeading___Toc297345_1346298689"/>
      <w:bookmarkEnd w:id="205"/>
      <w:r>
        <w:rPr/>
        <w:t xml:space="preserve">II A — Nationale panels: België </w:t>
      </w:r>
    </w:p>
    <w:p>
      <w:pPr>
        <w:pStyle w:val="Normal"/>
        <w:spacing w:before="1285" w:after="57"/>
        <w:rPr/>
      </w:pPr>
      <w:r>
        <w:rPr/>
        <w:drawing>
          <wp:anchor behindDoc="0" distT="0" distB="0" distL="0" distR="0" simplePos="0" locked="0" layoutInCell="1" allowOverlap="1" relativeHeight="33">
            <wp:simplePos x="0" y="0"/>
            <wp:positionH relativeFrom="column">
              <wp:align>center</wp:align>
            </wp:positionH>
            <wp:positionV relativeFrom="paragraph">
              <wp:posOffset>635</wp:posOffset>
            </wp:positionV>
            <wp:extent cx="6120130" cy="815975"/>
            <wp:effectExtent l="0" t="0" r="0" b="0"/>
            <wp:wrapSquare wrapText="largest"/>
            <wp:docPr id="74" name="Afbeelding3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Afbeelding32" descr=""/>
                    <pic:cNvPicPr>
                      <a:picLocks noChangeAspect="1" noChangeArrowheads="1"/>
                    </pic:cNvPicPr>
                  </pic:nvPicPr>
                  <pic:blipFill>
                    <a:blip r:embed="rId84"/>
                    <a:stretch>
                      <a:fillRect/>
                    </a:stretch>
                  </pic:blipFill>
                  <pic:spPr bwMode="auto">
                    <a:xfrm>
                      <a:off x="0" y="0"/>
                      <a:ext cx="6120130" cy="815975"/>
                    </a:xfrm>
                    <a:prstGeom prst="rect">
                      <a:avLst/>
                    </a:prstGeom>
                  </pic:spPr>
                </pic:pic>
              </a:graphicData>
            </a:graphic>
          </wp:anchor>
        </w:drawing>
      </w:r>
    </w:p>
    <w:p>
      <w:pPr>
        <w:pStyle w:val="P68B1DB1Normal20"/>
        <w:widowControl w:val="false"/>
        <w:spacing w:lineRule="exact" w:line="316"/>
        <w:ind w:left="0" w:right="152" w:hanging="0"/>
        <w:jc w:val="both"/>
        <w:rPr/>
      </w:pPr>
      <w:r>
        <w:rPr/>
        <w:t xml:space="preserve">Hier vindt u alle aanbevelingen van de 50 burgers van het burgerpanel, georganiseerd onder auspiciën van vicepremier en minister van Buitenlandse en Europese Zaken Sophie Wilmès als bijdrage van de Belgische federale regering aan de Conferentie over de toekomst van Europa. Het thema van dit panel was „Hoe burgers meer te betrekken bij de Europese democratie”. Hoewel het zich er terdege van bewust is dat de conferentie een breder toepassingsgebied heeft dan alleen EU-aangelegenheden, verduidelijkt het onderwerp van dit panel waarom zoveel expliciete verwijzingen naar de EU en haar instellingen worden gedaan. In voorkomend geval wordt verwezen naar Europa in het algemeen. </w:t>
      </w:r>
    </w:p>
    <w:p>
      <w:pPr>
        <w:pStyle w:val="P68B1DB1Normal19"/>
        <w:widowControl w:val="false"/>
        <w:spacing w:lineRule="exact" w:line="388" w:before="146" w:after="0"/>
        <w:ind w:left="0" w:right="0" w:hanging="0"/>
        <w:jc w:val="left"/>
        <w:rPr>
          <w:rFonts w:ascii="Times New Roman" w:hAnsi="Times New Roman"/>
          <w:color w:val="000000"/>
          <w:sz w:val="24"/>
        </w:rPr>
      </w:pPr>
      <w:r>
        <w:rPr/>
        <w:t xml:space="preserve"> </w:t>
      </w:r>
    </w:p>
    <w:p>
      <w:pPr>
        <w:pStyle w:val="P68B1DB1Normal21"/>
        <w:widowControl w:val="false"/>
        <w:spacing w:lineRule="exact" w:line="316" w:before="102" w:after="0"/>
        <w:ind w:left="0" w:right="176" w:hanging="0"/>
        <w:jc w:val="left"/>
        <w:rPr/>
      </w:pPr>
      <w:r>
        <w:rPr>
          <w:color w:val="000000"/>
        </w:rPr>
        <w:t xml:space="preserve">Om de bijdragen van alle burgers weer te geven, worden in dit verslag alle aanbevelingen gedaan, met inbegrip van aanbevelingen die tijdens de eindstemming over alle aanbevelingen geen gewone meerderheid hebben verkregen. Ze zijn duidelijk herkenbaar vanwege het percentage </w:t>
      </w:r>
      <w:r>
        <w:rPr>
          <w:b/>
          <w:color w:val="FF0000"/>
        </w:rPr>
        <w:t>in rood en vet.</w:t>
      </w:r>
      <w:r>
        <w:rPr>
          <w:color w:val="000000"/>
        </w:rPr>
        <w:t xml:space="preserve"> Bovendien zijn sommige aanbevelingen tegen elkaar in tegenspraak en zelfs in de laatste discussies zijn de burgers niet overtuigend over hen gebleven. Deze aanbevelingen zijn herkenbaar omdat ze </w:t>
      </w:r>
      <w:r>
        <w:rPr>
          <w:i/>
          <w:color w:val="000000"/>
        </w:rPr>
        <w:t>cursief zijn.</w:t>
      </w:r>
      <w:r>
        <w:rPr>
          <w:color w:val="000000"/>
        </w:rPr>
        <w:t xml:space="preserve"> Voor één enkele aanbeveling was de verdeling zo duidelijk dat de stemming eindigde met een </w:t>
      </w:r>
      <w:r>
        <w:rPr>
          <w:i/>
          <w:color w:val="000000"/>
        </w:rPr>
        <w:t xml:space="preserve">ex-aequo, </w:t>
      </w:r>
      <w:r>
        <w:rPr>
          <w:color w:val="000000"/>
        </w:rPr>
        <w:t xml:space="preserve">dit is aangegeven </w:t>
      </w:r>
      <w:r>
        <w:rPr>
          <w:b/>
          <w:color w:val="FF9900"/>
        </w:rPr>
        <w:t>in oranje en vetgedrukt</w:t>
      </w:r>
      <w:r>
        <w:rPr>
          <w:color w:val="000000"/>
        </w:rPr>
        <w:t xml:space="preserve">. De burgers delen het feit dat de meningen over deze aanbevelingen uiteenliepen. Zij stellen daarom voor dat de CoFE-organen en de EU-instellingen waakzaam zijn bij de uitvoering van deze aanbevelingen, aangezien er een vorm van verdeeldheid bestaat op basis van stemming. </w:t>
      </w:r>
    </w:p>
    <w:p>
      <w:pPr>
        <w:pStyle w:val="Normal"/>
        <w:rPr/>
      </w:pPr>
      <w:r>
        <w:rPr/>
      </w:r>
      <w:r>
        <w:br w:type="page"/>
      </w:r>
    </w:p>
    <w:p>
      <w:pPr>
        <w:pStyle w:val="Normal"/>
        <w:rPr/>
      </w:pPr>
      <w:r>
        <w:rPr/>
        <w:t>1. Communicatie</w:t>
      </w:r>
    </w:p>
    <w:p>
      <w:pPr>
        <w:pStyle w:val="Normal"/>
        <w:rPr/>
      </w:pPr>
      <w:r>
        <w:rPr/>
      </w:r>
    </w:p>
    <w:tbl>
      <w:tblPr>
        <w:tblW w:w="9638" w:type="dxa"/>
        <w:jc w:val="center"/>
        <w:tblInd w:w="0" w:type="dxa"/>
        <w:tblBorders>
          <w:top w:val="single" w:sz="2" w:space="0" w:color="000001"/>
          <w:left w:val="single" w:sz="2" w:space="0" w:color="000001"/>
          <w:bottom w:val="single" w:sz="2" w:space="0" w:color="000001"/>
          <w:insideH w:val="single" w:sz="2" w:space="0" w:color="000001"/>
        </w:tblBorders>
        <w:tblCellMar>
          <w:top w:w="28" w:type="dxa"/>
          <w:left w:w="25" w:type="dxa"/>
          <w:bottom w:w="28" w:type="dxa"/>
          <w:right w:w="28" w:type="dxa"/>
        </w:tblCellMar>
      </w:tblPr>
      <w:tblGrid>
        <w:gridCol w:w="2004"/>
        <w:gridCol w:w="6469"/>
        <w:gridCol w:w="1165"/>
      </w:tblGrid>
      <w:tr>
        <w:trPr/>
        <w:tc>
          <w:tcPr>
            <w:tcW w:w="2004" w:type="dxa"/>
            <w:tcBorders>
              <w:top w:val="single" w:sz="2" w:space="0" w:color="000001"/>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Style w:val="Accentuationforte"/>
              </w:rPr>
              <w:t xml:space="preserve">Problemen </w:t>
            </w:r>
          </w:p>
        </w:tc>
        <w:tc>
          <w:tcPr>
            <w:tcW w:w="6469" w:type="dxa"/>
            <w:tcBorders>
              <w:top w:val="single" w:sz="2" w:space="0" w:color="000001"/>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Style w:val="Accentuationforte"/>
              </w:rPr>
              <w:t xml:space="preserve">Aanbevelingen </w:t>
            </w:r>
          </w:p>
        </w:tc>
        <w:tc>
          <w:tcPr>
            <w:tcW w:w="116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rStyle w:val="Accentuationforte"/>
              </w:rPr>
              <w:t xml:space="preserve">Ondersteund door (%) </w:t>
            </w:r>
          </w:p>
        </w:tc>
      </w:tr>
      <w:tr>
        <w:trPr/>
        <w:tc>
          <w:tcPr>
            <w:tcW w:w="2004" w:type="dxa"/>
            <w:vMerge w:val="restart"/>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 xml:space="preserve">1. Mededeling over de EU is onbevredigend </w:t>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 xml:space="preserve">1.1 Wij stellen voor cursussen over de Europese Unie op te nemen vanaf het derde niveau van de basisschool. Het doel is om alle burgers te bereiken en de kennis van de Europese Unie te verbeteren. </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 xml:space="preserve">88,4 %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 xml:space="preserve">1.2 De Europese Unie, en met name de Commissie, moet een educatief materiaal over de werking van Europa beschikbaar stellen aan de ministeries van Onderwijs van de verschillende lidstaten. Naast een toelichting op de werking, de samenstelling en de bevoegdheden van de instellingen, moeten deze formaties ook een beknopt overzicht geven van de geschiedenis van de Europese integratie. Bijzondere aandacht moet worden besteed aan het gebruik van duidelijke en begrijpelijke, toegankelijke taal, evenals educatieve instrumenten zoals documentaires, clips of schooltelevisieprogramma’s, in alle 24 talen. </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 xml:space="preserve">95,0 % </w:t>
            </w:r>
          </w:p>
        </w:tc>
      </w:tr>
      <w:tr>
        <w:trPr/>
        <w:tc>
          <w:tcPr>
            <w:tcW w:w="2004" w:type="dxa"/>
            <w:vMerge w:val="restart"/>
            <w:tcBorders>
              <w:left w:val="single" w:sz="2" w:space="0" w:color="000001"/>
              <w:bottom w:val="single" w:sz="2" w:space="0" w:color="000001"/>
              <w:insideH w:val="single" w:sz="2" w:space="0" w:color="000001"/>
            </w:tcBorders>
            <w:shd w:fill="auto" w:val="clear"/>
            <w:vAlign w:val="center"/>
          </w:tcPr>
          <w:p>
            <w:pPr>
              <w:pStyle w:val="Normal"/>
              <w:spacing w:before="57" w:after="57"/>
              <w:jc w:val="left"/>
              <w:rPr/>
            </w:pPr>
            <w:r>
              <w:rPr/>
              <w:t xml:space="preserve">2. Het Europese project blijft buitenlands voor burgers </w:t>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 xml:space="preserve">2.1 Wij stellen voor dat de Europese instellingen er in hun mededeling voor zorgen dat zij beter uitleggen wat onder de bevoegdheid van de EU valt, maar ook wat niet onder haar bevoegdheid valt. </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 xml:space="preserve">97,6 %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 xml:space="preserve">2.2 De Europese Unie moet in haar mededeling bekende voorbeelden uit het dagelijks leven van de Europeanen opnemen. Deze verklaringen moeten binnen de lidstaten worden doorgegeven door middel van overeenkomsten tussen de Europese instellingen en de nationale publieke televisiezenders om een breed publiek te bereiken. </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 xml:space="preserve">80,5 %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 xml:space="preserve">2.3 Bovendien moeten onderdanen van de lidstaten regelmatig — bijvoorbeeld via videoclips — worden geïnformeerd over de rol van de Europese Unie in andere lidstaten. De voor- en nadelen van Europa zouden dus beter in perspectief worden gebracht in de debatten over de toekomst van Europa. </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 xml:space="preserve">85,7 %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2.4 Om de Europese identiteit te versterken, stellen we voor om regelmatig informatie terug te roepen en toegankelijk te maken over hoe het leven van Europeanen eruit zou zien zonder de EU en haar concrete resultaten.</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92,7 %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2.5 We stellen ook voor om van Europadag (9 mei) een Europese feestdag voor alle EU-burgers te maken.</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81,4 %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2.6 Wij raden de Europese instellingen aan om nog meer aandacht te besteden aan de vereenvoudiging, het begrip en de toegankelijkheid van informatie over prioritaire onderwerpen die op Europees niveau worden behandeld</w:t>
            </w:r>
            <w:r>
              <w:rPr/>
              <w:commentReference w:id="9"/>
            </w:r>
            <w:r>
              <w:rPr/>
              <w:t>.</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97,6 %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2.7 Wij raden de Europese Unie aan om voor elk land</w:t>
            </w:r>
            <w:r>
              <w:rPr/>
              <w:commentReference w:id="10"/>
            </w:r>
            <w:r>
              <w:rPr/>
              <w:t xml:space="preserve"> een scorebord op te stellen van de middelen die de EU aan elk prioritair thema toekent. Al deze informatie moet toegankelijk zijn via de website van de Europese Unie.</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93,0 %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2.8 Wij raden de Europese Unie aan om een duidelijke presentatie te geven van de lopende wetgevingswerkzaamheden. Al deze informatie moet toegankelijk zijn via de website van de Europese Unie.</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90,7 %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 xml:space="preserve">2.9 Wij willen dat de Europese instellingen beter toegankelijk zijn voor </w:t>
            </w:r>
            <w:commentRangeStart w:id="11"/>
            <w:r>
              <w:rPr/>
              <w:t>Europeanen</w:t>
            </w:r>
            <w:r>
              <w:rPr/>
            </w:r>
            <w:commentRangeEnd w:id="11"/>
            <w:r>
              <w:commentReference w:id="11"/>
            </w:r>
            <w:r>
              <w:rPr/>
              <w:t>. Hun deelname aan debatten aan de vergaderingen van het Europees Parlement moet worden vergemakkelijkt.</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79,0 %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2.10 Wij raden aan de deelname aan het Erasmus-programma uit te breiden tot alle studenten, ongeacht hun onderwijstraject (beroepstechnologie, afwisseling). Iedereen moet kunnen deelnemen aan Europese uitwisselingen.</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79,5 %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2.11 Wij raden aan de beroepsbevolking te laten profiteren van Europese uitwisselingsprogramma’s, ongeacht de activiteitssector, ook voor lokale bedrijven. Iedereen moet kunnen deelnemen aan Europese uitwisselingen.</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83,7 %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2.12 Wij raden aan om cursussen voor Europees burgerschap te creëren voor alle Europese burgers.</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83,7 %</w:t>
            </w:r>
          </w:p>
        </w:tc>
      </w:tr>
      <w:tr>
        <w:trPr/>
        <w:tc>
          <w:tcPr>
            <w:tcW w:w="2004"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3. De EU-wetgeving wordt niet op dezelfde manier toegepast in de lidstaten.</w:t>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3.1 Wij raden de Europese Unie aan om meer gebruik te maken van rechtstreeks toepasselijke wetgeving in de lidstaten. Dit zou nationale verschillen in de tenuitvoerlegging van de EU-wetgeving verminderen, wat het Europese project verzwakt. Dit zou ook de belangrijkste Europese verwezenlijkingen, zoals de interne markt, de euro en het Schengengebied, versterken.</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81,4 %</w:t>
            </w:r>
          </w:p>
        </w:tc>
      </w:tr>
      <w:tr>
        <w:trPr/>
        <w:tc>
          <w:tcPr>
            <w:tcW w:w="2004" w:type="dxa"/>
            <w:vMerge w:val="restart"/>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4. De Europese democratie wordt bedreigd.</w:t>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4.1 Wij bevelen aan dat in de EU-mededeling over de Europese democratie onophoudelijk en ondubbelzinnig in herinnering wordt gebracht wat zij in Europa voor de Europeanen betekent.</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78,0 %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4.2 De waarden en beginselen van de Verdragen van de Europese Unie waarop de lidstaten zich bij de toetreding hebben aangesloten, zijn onomkeerbaar. Hun bescherming moet worden gewaarborgd.</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81,0 %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4.3 De bescherming van de waarden en beginselen van de Verdragen wordt gewaarborgd</w:t>
            </w:r>
            <w:r>
              <w:rPr/>
              <w:commentReference w:id="12"/>
            </w:r>
            <w:r>
              <w:rPr/>
              <w:t xml:space="preserve"> door het Europees Hof en kan door de lidstaten niet ter discussie worden gesteld.</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81,0 %</w:t>
            </w:r>
          </w:p>
        </w:tc>
      </w:tr>
      <w:tr>
        <w:trPr/>
        <w:tc>
          <w:tcPr>
            <w:tcW w:w="2004"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5. Informatie over de EU is niet gemakkelijk toegankelijk en moeilijk te begrijpen</w:t>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5.1 Wij raden aan de verificatie van informatie over Europese kwesties te versterken. Deze informatie die door de instellingen wordt verspreid en geverifieerd, moet gemakkelijk toegankelijk zijn voor het Europese publiek en voor de nationale media van elke lidstaat.</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83,3 %</w:t>
            </w:r>
          </w:p>
        </w:tc>
      </w:tr>
      <w:tr>
        <w:trPr/>
        <w:tc>
          <w:tcPr>
            <w:tcW w:w="2004"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6. Nationale media geven vaak een negatief beeld van de EU</w:t>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6.1 De EU moet ook meer aanwezig zijn in het dagelijks leven van de Europeanen door proactiever te communiceren. (Bv. door bijvoorbeeld culturele evenementen te sponsoren die burgers samenbrengen en hen trots maken een EU-burger te zijn. Rapportages en teasers zouden Europeanen ook toegang geven tot</w:t>
            </w:r>
            <w:r>
              <w:rPr/>
              <w:commentReference w:id="13"/>
            </w:r>
            <w:r>
              <w:rPr/>
              <w:t xml:space="preserve"> gecontextualiseerde informatie over de EU).</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85,7 %</w:t>
            </w:r>
          </w:p>
        </w:tc>
      </w:tr>
      <w:tr>
        <w:trPr/>
        <w:tc>
          <w:tcPr>
            <w:tcW w:w="2004" w:type="dxa"/>
            <w:vMerge w:val="restart"/>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7. De burgers kennen niet degenen die hen vertegenwoordigen in het Europees Parlement.</w:t>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7.1 Wij raden parlementsleden aan om beter bekend te zijn in hun thuisland, vooral buiten verkiezingsperiodes. Ze moeten toegankelijker zijn. De redenen voor hun stem in het Europees Parlement moeten gemakkelijker toegankelijk worden gemaakt voor de Europese burgers via de website van de Europese Unie.</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92,7 %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7.2 Wij raden de nationale politieke partijen aan ervoor te zorgen dat kandidaten worden verjongd op de lijsten die bij de verkiezingen voor het Europees Parlement worden gepresenteerd. Een dergelijk mandaat mag niet worden beschouwd als een beloning voor goede en loyale diensten die in het kader van nationaal beleid worden verleend.</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74,4 %</w:t>
            </w:r>
          </w:p>
        </w:tc>
      </w:tr>
      <w:tr>
        <w:trPr/>
        <w:tc>
          <w:tcPr>
            <w:tcW w:w="2004" w:type="dxa"/>
            <w:vMerge w:val="restart"/>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8. De EU-mededeling is te uniform; er wordt geen rekening gehouden met de diversiteit van de bevolking</w:t>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8.1 Om een voldoende breed en divers publiek te bereiken, raden wij aan dat de EU, door middel van inclusieve communicatie vanaf de conceptiefase, rekening houdt met het onderwijsniveau van de betrokkenen, hun mogelijke handicaps. Daarnaast raden we ook aan individuen en organisaties (straatopvoeders, buurtagenten, CPAS, maatschappelijke organisaties) te betrekken bij de overdracht van deze communicatie.</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73,2 %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8.2 Om de beroepsbevolking te bereiken, raden wij aan om meer te investeren in het gebruik van bestaande communicatiekanalen om periodiek passende informatie over de EU te verstrekken, bijvoorbeeld via toelichtende programma’s. Daarnaast raden we aan om te vertrouwen op ambassadeurs (zowel individuen als organisaties) die het EU-project promoten.</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83,7 %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8.3 Om jongeren en studenten te bereiken, raden wij aan om naast bestaande kanalen zoals onderwijs en relevante jeugdbewegingen een beroep te doen op ambassadeurs, vooral voor influencers die jongeren via sociale media kunnen bereiken. Een andere aanbeveling zou zijn om een pan-Europese wedstrijd te organiseren om een cartoonkarakter te creëren dat jongeren aanspreekt en hen Europese boodschappen stuurt.</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69,8 %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8.4 Voor senioren raden wij aan om dezelfde kanalen te gebruiken als die welke voor de beroepsbevolking worden aangeboden. Daarnaast raden we aan op zoek te gaan naar de juiste balans tussen digitale en niet-digitale communicatie (geschreven pers, radio, face-to-face evenementen) om tegemoet te komen aan ieders behoeften, ook degenen die minder comfortabel zijn in een digitale omgeving en degenen die minder mobiel zijn in de samenleving.</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85,7 %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8.5 Wij raden aan dat de EU via de integratiecursussen die in veel lidstaten al bestaan, zich ertoe verbindt „nieuwe Europeanen” (mensen die via een of andere legale immigratieprocedure in de EU verblijven) op te nemen en hen bewust te maken van de andere traditionele kanalen waarmee de EU communiceert. Tot slot raden we ook aan om een plaats te geven aan de lokale associatieve wereld.</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76,7 %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8.6 We raden ook aan de EU met inclusieve communicatie de straat op te nemen. Zo kunnen bijvoorbeeld (digitale) billboards worden gebruikt, net als nieuwe communicatiemiddelen zoals QR-codes en traditionele middelen.</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62,8 %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8.7 Andere aanbevelingen zouden zijn om de EU visueeler te maken (via kleine films of infographics), een Europese sportbeweging tot stand te brengen om een verbinding tot stand te brengen/een gevoel van verbondenheid te creëren en het Europese volkslied beter bekend te maken.</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68,2 %</w:t>
            </w:r>
          </w:p>
        </w:tc>
      </w:tr>
    </w:tbl>
    <w:p>
      <w:pPr>
        <w:pStyle w:val="Normal"/>
        <w:rPr/>
      </w:pPr>
      <w:r>
        <w:rPr/>
      </w:r>
    </w:p>
    <w:p>
      <w:pPr>
        <w:pStyle w:val="Normal"/>
        <w:rPr/>
      </w:pPr>
      <w:r>
        <w:rPr/>
        <w:t>2. Desinformatie</w:t>
      </w:r>
    </w:p>
    <w:tbl>
      <w:tblPr>
        <w:tblW w:w="9645" w:type="dxa"/>
        <w:jc w:val="left"/>
        <w:tblInd w:w="-5" w:type="dxa"/>
        <w:tblBorders>
          <w:top w:val="single" w:sz="4" w:space="0" w:color="000001"/>
          <w:left w:val="single" w:sz="4" w:space="0" w:color="000001"/>
          <w:bottom w:val="single" w:sz="4" w:space="0" w:color="000001"/>
          <w:insideH w:val="single" w:sz="4" w:space="0" w:color="000001"/>
        </w:tblBorders>
        <w:tblCellMar>
          <w:top w:w="55" w:type="dxa"/>
          <w:left w:w="50" w:type="dxa"/>
          <w:bottom w:w="55" w:type="dxa"/>
          <w:right w:w="55" w:type="dxa"/>
        </w:tblCellMar>
      </w:tblPr>
      <w:tblGrid>
        <w:gridCol w:w="2204"/>
        <w:gridCol w:w="5625"/>
        <w:gridCol w:w="1816"/>
      </w:tblGrid>
      <w:tr>
        <w:trPr/>
        <w:tc>
          <w:tcPr>
            <w:tcW w:w="2204"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Problemen</w:t>
            </w:r>
          </w:p>
        </w:tc>
        <w:tc>
          <w:tcPr>
            <w:tcW w:w="5625"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Aanbevelingen</w:t>
            </w:r>
          </w:p>
        </w:tc>
        <w:tc>
          <w:tcPr>
            <w:tcW w:w="1816"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Ondersteund door (%)</w:t>
            </w:r>
          </w:p>
        </w:tc>
      </w:tr>
      <w:tr>
        <w:trPr/>
        <w:tc>
          <w:tcPr>
            <w:tcW w:w="2204" w:type="dxa"/>
            <w:vMerge w:val="restart"/>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1. Het risico op verkeerde informatie komt steeds vaker voor in de media</w:t>
            </w:r>
          </w:p>
        </w:tc>
        <w:tc>
          <w:tcPr>
            <w:tcW w:w="562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1.1 Wij raden aan om het mediafinancieringsmodel en de verplichte publicatie van inkomstenbronnen op een duidelijke en toegankelijke manier te herzien. Het mediafinancieringsmodel drijft hen tot sensationaliteit, en dus om informatie uit de context te publiceren, waardoor ze worden omgezet in desinformatie.</w:t>
            </w:r>
          </w:p>
        </w:tc>
        <w:tc>
          <w:tcPr>
            <w:tcW w:w="181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73,8 %</w:t>
            </w:r>
          </w:p>
        </w:tc>
      </w:tr>
      <w:tr>
        <w:trPr/>
        <w:tc>
          <w:tcPr>
            <w:tcW w:w="2204"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62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1.2 Wij raden een verplichte vermelding van bronnen door de media aan door het verstrekken van links om ze te verifiëren. Anders moet informatie worden geëtiketteerd als niet-geverifieerd.</w:t>
            </w:r>
          </w:p>
        </w:tc>
        <w:tc>
          <w:tcPr>
            <w:tcW w:w="181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90,2 %</w:t>
            </w:r>
          </w:p>
        </w:tc>
      </w:tr>
      <w:tr>
        <w:trPr/>
        <w:tc>
          <w:tcPr>
            <w:tcW w:w="2204"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62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1.3 Wij adviseren de Europese regelgevende instantie voor de bestrijding van desinformatie (zie punt 2) ook verantwoordelijk te zijn voor de accreditatie van organisaties voor informatieverificatie („feitcheckers”)</w:t>
            </w:r>
          </w:p>
        </w:tc>
        <w:tc>
          <w:tcPr>
            <w:tcW w:w="181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85,4 %</w:t>
            </w:r>
          </w:p>
        </w:tc>
      </w:tr>
      <w:tr>
        <w:trPr/>
        <w:tc>
          <w:tcPr>
            <w:tcW w:w="2204"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62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1.4 Wij raden aan om in elke lidstaat een onafhankelijke autoriteit op te richten die verantwoordelijk is voor het verifiëren van medianeutraliteit. Deze autoriteit moet worden gefinancierd en gecontroleerd door de Europese Unie.</w:t>
            </w:r>
          </w:p>
        </w:tc>
        <w:tc>
          <w:tcPr>
            <w:tcW w:w="181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75,6 %</w:t>
            </w:r>
          </w:p>
        </w:tc>
      </w:tr>
      <w:tr>
        <w:trPr/>
        <w:tc>
          <w:tcPr>
            <w:tcW w:w="2204"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62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1.5 Wij raden aan om informatie over de URL’s van officiële EU-websites te verspreiden om burgers gerust te stellen over de herkomst van de informatie.</w:t>
            </w:r>
          </w:p>
        </w:tc>
        <w:tc>
          <w:tcPr>
            <w:tcW w:w="181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90,2 %</w:t>
            </w:r>
          </w:p>
        </w:tc>
      </w:tr>
      <w:tr>
        <w:trPr/>
        <w:tc>
          <w:tcPr>
            <w:tcW w:w="2204" w:type="dxa"/>
            <w:vMerge w:val="restart"/>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2. Veel burgers twijfelen aan medianeutraliteit</w:t>
            </w:r>
          </w:p>
        </w:tc>
        <w:tc>
          <w:tcPr>
            <w:tcW w:w="562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2.1 Wij raden de oprichting aan van een Europese regelgever ter bestrijding van desinformatie. Deze regelgever heeft met name tot taak de criteria voor een neutraliteitskeur vast te stellen en, in voorkomend geval, een systeem van sancties of stimulansen vast te stellen in verband met de naleving van neutraliteitsnormen. Als alternatief kan de naleving van een handvest van ethiek worden overwogen. Het label zou worden toegekend door de onafhankelijke nationale autoriteit en zou rekening houden met de maatregelen die de media hebben genomen om desinformatie te bestrijden.</w:t>
            </w:r>
          </w:p>
        </w:tc>
        <w:tc>
          <w:tcPr>
            <w:tcW w:w="181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87,5 %</w:t>
            </w:r>
          </w:p>
        </w:tc>
      </w:tr>
      <w:tr>
        <w:trPr/>
        <w:tc>
          <w:tcPr>
            <w:tcW w:w="2204"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62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2.2 Wij raden aan een Europese hotline op te zetten, zodat burgers desinformatie over Europese (politieke en economische) competenties kunnen aanklagen.</w:t>
            </w:r>
          </w:p>
        </w:tc>
        <w:tc>
          <w:tcPr>
            <w:tcW w:w="181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82,1 %</w:t>
            </w:r>
          </w:p>
        </w:tc>
      </w:tr>
      <w:tr>
        <w:trPr/>
        <w:tc>
          <w:tcPr>
            <w:tcW w:w="2204" w:type="dxa"/>
            <w:vMerge w:val="restart"/>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3. Burgers zijn zich niet bewust van de risico’s van desinformatie waaraan zij worden blootgesteld.</w:t>
            </w:r>
          </w:p>
        </w:tc>
        <w:tc>
          <w:tcPr>
            <w:tcW w:w="562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3.1 Wij raden platforms aan om duidelijke en begrijpelijke informatie te publiceren over de risico’s van desinformatie waaraan hun gebruikers worden blootgesteld. Deze informatie moet automatisch worden meegedeeld zodra een account is geopend.</w:t>
            </w:r>
          </w:p>
        </w:tc>
        <w:tc>
          <w:tcPr>
            <w:tcW w:w="181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85,7 %</w:t>
            </w:r>
          </w:p>
        </w:tc>
      </w:tr>
      <w:tr>
        <w:trPr/>
        <w:tc>
          <w:tcPr>
            <w:tcW w:w="2204"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62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3.2 Wij raden een verplichte opleiding in het gebruik van de media aan, vanaf jonge leeftijd en aangepast aan de verschillende niveaus van het onderwijssysteem.</w:t>
            </w:r>
          </w:p>
        </w:tc>
        <w:tc>
          <w:tcPr>
            <w:tcW w:w="181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74,4 %</w:t>
            </w:r>
          </w:p>
        </w:tc>
      </w:tr>
      <w:tr>
        <w:trPr/>
        <w:tc>
          <w:tcPr>
            <w:tcW w:w="2204"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62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3.3 Wij raden de Europese Unie aan om herhaalde campagnes over desinformatie te lanceren. Deze campagnes kunnen worden geïdentificeerd door een logo of mascotte. De Europese Unie zou sociale netwerken kunnen dwingen om ze door te geven door middel van de verspreiding van spots.</w:t>
            </w:r>
          </w:p>
        </w:tc>
        <w:tc>
          <w:tcPr>
            <w:tcW w:w="181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87,5 %</w:t>
            </w:r>
          </w:p>
        </w:tc>
      </w:tr>
      <w:tr>
        <w:trPr/>
        <w:tc>
          <w:tcPr>
            <w:tcW w:w="2204" w:type="dxa"/>
            <w:vMerge w:val="restart"/>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4. De middelen om desinformatie te bestrijden zijn ontoereikend.</w:t>
            </w:r>
          </w:p>
        </w:tc>
        <w:tc>
          <w:tcPr>
            <w:tcW w:w="562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4.1 Wij raden aan om in duidelijke en begrijpelijke taalinformatie te publiceren over algoritmen die berichten organiseren die door platformgebruikers worden ontvangen.</w:t>
            </w:r>
          </w:p>
        </w:tc>
        <w:tc>
          <w:tcPr>
            <w:tcW w:w="181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83,3 %</w:t>
            </w:r>
          </w:p>
        </w:tc>
      </w:tr>
      <w:tr>
        <w:trPr/>
        <w:tc>
          <w:tcPr>
            <w:tcW w:w="2204"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62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4.2 Wij raden gebruikers aan op een eenvoudige manier gedragsverbeterende algoritmen uit te schakelen. Ook de verplichting om gebruikers toegang te geven tot andere bronnen die verschillende standpunten over hetzelfde onderwerp verdedigen, kan worden onderzocht.</w:t>
            </w:r>
          </w:p>
        </w:tc>
        <w:tc>
          <w:tcPr>
            <w:tcW w:w="181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80,0 %</w:t>
            </w:r>
          </w:p>
        </w:tc>
      </w:tr>
      <w:tr>
        <w:trPr/>
        <w:tc>
          <w:tcPr>
            <w:tcW w:w="2204"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62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4.3 Wij raden de Europese Unie aan om een platform voor sociale media op te zetten dat voldoet aan haar eigen normen op het gebied van neutraliteit en desinformatiebestrijding. Als alternatief zou het meertalige platform ter ondersteuning van de conferentie over de toekomst van Europa met nieuwe functies kunnen worden toegevoegd.</w:t>
            </w:r>
          </w:p>
        </w:tc>
        <w:tc>
          <w:tcPr>
            <w:tcW w:w="181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56,4 %</w:t>
            </w:r>
          </w:p>
        </w:tc>
      </w:tr>
    </w:tbl>
    <w:p>
      <w:pPr>
        <w:pStyle w:val="Normal"/>
        <w:rPr/>
      </w:pPr>
      <w:r>
        <w:rPr/>
      </w:r>
    </w:p>
    <w:p>
      <w:pPr>
        <w:pStyle w:val="Normal"/>
        <w:rPr/>
      </w:pPr>
      <w:r>
        <w:rPr/>
        <w:t>3. Burgerpanelen</w:t>
      </w:r>
    </w:p>
    <w:tbl>
      <w:tblPr>
        <w:tblW w:w="9645" w:type="dxa"/>
        <w:jc w:val="left"/>
        <w:tblInd w:w="0" w:type="dxa"/>
        <w:tblBorders>
          <w:top w:val="single" w:sz="2" w:space="0" w:color="000001"/>
          <w:left w:val="single" w:sz="2" w:space="0" w:color="000001"/>
          <w:right w:val="single" w:sz="2" w:space="0" w:color="000001"/>
          <w:insideV w:val="single" w:sz="2" w:space="0" w:color="000001"/>
        </w:tblBorders>
        <w:tblCellMar>
          <w:top w:w="28" w:type="dxa"/>
          <w:left w:w="25" w:type="dxa"/>
          <w:bottom w:w="28" w:type="dxa"/>
          <w:right w:w="28" w:type="dxa"/>
        </w:tblCellMar>
      </w:tblPr>
      <w:tblGrid>
        <w:gridCol w:w="2204"/>
        <w:gridCol w:w="5790"/>
        <w:gridCol w:w="1651"/>
      </w:tblGrid>
      <w:tr>
        <w:trPr/>
        <w:tc>
          <w:tcPr>
            <w:tcW w:w="2204" w:type="dxa"/>
            <w:tcBorders>
              <w:top w:val="single" w:sz="2" w:space="0" w:color="000001"/>
              <w:left w:val="single" w:sz="2" w:space="0" w:color="000001"/>
              <w:right w:val="single" w:sz="2" w:space="0" w:color="000001"/>
              <w:insideV w:val="single" w:sz="2" w:space="0" w:color="000001"/>
            </w:tcBorders>
            <w:shd w:fill="auto" w:val="clear"/>
            <w:vAlign w:val="center"/>
          </w:tcPr>
          <w:p>
            <w:pPr>
              <w:pStyle w:val="Normal"/>
              <w:spacing w:before="57" w:after="57"/>
              <w:ind w:left="0" w:right="0" w:hanging="0"/>
              <w:rPr/>
            </w:pPr>
            <w:r>
              <w:rPr/>
              <w:t>Problemen</w:t>
            </w:r>
          </w:p>
        </w:tc>
        <w:tc>
          <w:tcPr>
            <w:tcW w:w="5790" w:type="dxa"/>
            <w:tcBorders>
              <w:top w:val="single" w:sz="2" w:space="0" w:color="000001"/>
              <w:left w:val="single" w:sz="2" w:space="0" w:color="000001"/>
              <w:right w:val="single" w:sz="2" w:space="0" w:color="000001"/>
              <w:insideV w:val="single" w:sz="2" w:space="0" w:color="000001"/>
            </w:tcBorders>
            <w:shd w:fill="auto" w:val="clear"/>
            <w:vAlign w:val="center"/>
          </w:tcPr>
          <w:p>
            <w:pPr>
              <w:pStyle w:val="Normal"/>
              <w:spacing w:before="57" w:after="57"/>
              <w:ind w:left="0" w:right="0" w:hanging="0"/>
              <w:rPr/>
            </w:pPr>
            <w:r>
              <w:rPr/>
              <w:t>Aanbevelingen</w:t>
            </w:r>
          </w:p>
        </w:tc>
        <w:tc>
          <w:tcPr>
            <w:tcW w:w="1651" w:type="dxa"/>
            <w:tcBorders>
              <w:top w:val="single" w:sz="2" w:space="0" w:color="000001"/>
              <w:left w:val="single" w:sz="2" w:space="0" w:color="000001"/>
              <w:right w:val="single" w:sz="2" w:space="0" w:color="000001"/>
              <w:insideV w:val="single" w:sz="2" w:space="0" w:color="000001"/>
            </w:tcBorders>
            <w:shd w:fill="auto" w:val="clear"/>
            <w:vAlign w:val="center"/>
          </w:tcPr>
          <w:p>
            <w:pPr>
              <w:pStyle w:val="Normal"/>
              <w:spacing w:before="57" w:after="57"/>
              <w:ind w:left="0" w:right="0" w:hanging="0"/>
              <w:rPr/>
            </w:pPr>
            <w:r>
              <w:rPr/>
              <w:t>Ondersteund door (%)</w:t>
            </w:r>
          </w:p>
        </w:tc>
      </w:tr>
      <w:tr>
        <w:trPr/>
        <w:tc>
          <w:tcPr>
            <w:tcW w:w="2204" w:type="dxa"/>
            <w:vMerge w:val="restart"/>
            <w:tcBorders>
              <w:left w:val="single" w:sz="2" w:space="0" w:color="000001"/>
              <w:right w:val="single" w:sz="2" w:space="0" w:color="000001"/>
              <w:insideV w:val="single" w:sz="2" w:space="0" w:color="000001"/>
            </w:tcBorders>
            <w:shd w:fill="auto" w:val="clear"/>
            <w:vAlign w:val="center"/>
          </w:tcPr>
          <w:p>
            <w:pPr>
              <w:pStyle w:val="Normal"/>
              <w:spacing w:before="57" w:after="57"/>
              <w:ind w:left="0" w:right="0" w:hanging="0"/>
              <w:rPr/>
            </w:pPr>
            <w:r>
              <w:rPr/>
              <w:t>1. Moeilijkheden bij het waarborgen van de representativiteit van een burgerpanel. Uiteindelijk is er slechts een klein deel van de bevolking bij betrokken.</w:t>
            </w:r>
          </w:p>
        </w:tc>
        <w:tc>
          <w:tcPr>
            <w:tcW w:w="5790" w:type="dxa"/>
            <w:tcBorders>
              <w:left w:val="single" w:sz="2" w:space="0" w:color="000001"/>
              <w:right w:val="single" w:sz="2" w:space="0" w:color="000001"/>
              <w:insideV w:val="single" w:sz="2" w:space="0" w:color="000001"/>
            </w:tcBorders>
            <w:shd w:fill="auto" w:val="clear"/>
            <w:vAlign w:val="center"/>
          </w:tcPr>
          <w:p>
            <w:pPr>
              <w:pStyle w:val="Normal"/>
              <w:spacing w:before="57" w:after="57"/>
              <w:ind w:left="0" w:right="0" w:hanging="0"/>
              <w:rPr/>
            </w:pPr>
            <w:r>
              <w:rPr/>
              <w:t>1.1 Wij raden aan te monitoren wat het meest recente wetenschappelijke werk op het gebied van deliberatieve democratie suggereert op het gebied van bemonstering, ontwikkeling en wetenschappelijke validatie van de selectiemethode om een zo goed mogelijke representativiteit te waarborgen.</w:t>
            </w:r>
          </w:p>
        </w:tc>
        <w:tc>
          <w:tcPr>
            <w:tcW w:w="1651" w:type="dxa"/>
            <w:tcBorders>
              <w:left w:val="single" w:sz="2" w:space="0" w:color="000001"/>
              <w:right w:val="single" w:sz="2" w:space="0" w:color="000001"/>
              <w:insideV w:val="single" w:sz="2" w:space="0" w:color="000001"/>
            </w:tcBorders>
            <w:shd w:fill="auto" w:val="clear"/>
            <w:vAlign w:val="center"/>
          </w:tcPr>
          <w:p>
            <w:pPr>
              <w:pStyle w:val="Normal"/>
              <w:spacing w:before="57" w:after="57"/>
              <w:ind w:left="0" w:right="0" w:hanging="0"/>
              <w:rPr/>
            </w:pPr>
            <w:r>
              <w:rPr/>
              <w:t>89,7 %</w:t>
            </w:r>
          </w:p>
        </w:tc>
      </w:tr>
      <w:tr>
        <w:trPr/>
        <w:tc>
          <w:tcPr>
            <w:tcW w:w="2204" w:type="dxa"/>
            <w:vMerge w:val="continue"/>
            <w:tcBorders>
              <w:left w:val="single" w:sz="2" w:space="0" w:color="000001"/>
              <w:right w:val="single" w:sz="2" w:space="0" w:color="000001"/>
              <w:insideV w:val="single" w:sz="2" w:space="0" w:color="000001"/>
            </w:tcBorders>
            <w:shd w:fill="auto" w:val="clear"/>
            <w:vAlign w:val="center"/>
          </w:tcPr>
          <w:p>
            <w:pPr>
              <w:pStyle w:val="Normal"/>
              <w:spacing w:before="57" w:after="57"/>
              <w:ind w:left="0" w:right="0" w:hanging="0"/>
              <w:rPr/>
            </w:pPr>
            <w:r>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1.2 Wij raden aan dat er voldoende mensen rond de tafel zitten om de diversiteit van meningen en profielen te waarborgen, waaronder — maar niet alleen — mensen die rechtstreeks met het onderwerp bezig zijn.</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90,2 %</w:t>
            </w:r>
          </w:p>
        </w:tc>
      </w:tr>
      <w:tr>
        <w:trPr/>
        <w:tc>
          <w:tcPr>
            <w:tcW w:w="2204" w:type="dxa"/>
            <w:vMerge w:val="continue"/>
            <w:tcBorders>
              <w:left w:val="single" w:sz="2" w:space="0" w:color="000001"/>
              <w:right w:val="single" w:sz="2" w:space="0" w:color="000001"/>
              <w:insideV w:val="single" w:sz="2" w:space="0" w:color="000001"/>
            </w:tcBorders>
            <w:shd w:fill="auto" w:val="clear"/>
            <w:vAlign w:val="center"/>
          </w:tcPr>
          <w:p>
            <w:pPr>
              <w:pStyle w:val="Normal"/>
              <w:spacing w:before="57" w:after="57"/>
              <w:ind w:left="0" w:right="0" w:hanging="0"/>
              <w:rPr/>
            </w:pPr>
            <w:r>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1.3 Wij raden aan om in de steekproefcriteria het criterium van het ouderschap (d.w.z. de vraag of de persoon al dan niet kinderen heeft) toe te voegen, naast meer traditionele criteria zoals geslacht, leeftijd, woonplaats of opleidingsniveau.</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33,3 %</w:t>
            </w:r>
          </w:p>
        </w:tc>
      </w:tr>
      <w:tr>
        <w:trPr/>
        <w:tc>
          <w:tcPr>
            <w:tcW w:w="2204" w:type="dxa"/>
            <w:vMerge w:val="continue"/>
            <w:tcBorders>
              <w:left w:val="single" w:sz="2" w:space="0" w:color="000001"/>
              <w:right w:val="single" w:sz="2" w:space="0" w:color="000001"/>
              <w:insideV w:val="single" w:sz="2" w:space="0" w:color="000001"/>
            </w:tcBorders>
            <w:shd w:fill="auto" w:val="clear"/>
            <w:vAlign w:val="center"/>
          </w:tcPr>
          <w:p>
            <w:pPr>
              <w:pStyle w:val="Normal"/>
              <w:spacing w:before="57" w:after="57"/>
              <w:ind w:left="0" w:right="0" w:hanging="0"/>
              <w:rPr/>
            </w:pPr>
            <w:r>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1.4 Wij raden aan quota per geografisch gebied vast te stellen, d.w.z. te bepalen dat een Europees burgerpanel moet bestaan uit X-mensen per Europees geografisch gebied (te bepalen), zodat dit panel echt als Europees en zinvol doelbewust kan worden gekwalificeerd.</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73,2 %</w:t>
            </w:r>
          </w:p>
        </w:tc>
      </w:tr>
      <w:tr>
        <w:trPr/>
        <w:tc>
          <w:tcPr>
            <w:tcW w:w="2204" w:type="dxa"/>
            <w:vMerge w:val="continue"/>
            <w:tcBorders>
              <w:left w:val="single" w:sz="2" w:space="0" w:color="000001"/>
              <w:right w:val="single" w:sz="2" w:space="0" w:color="000001"/>
              <w:insideV w:val="single" w:sz="2" w:space="0" w:color="000001"/>
            </w:tcBorders>
            <w:shd w:fill="auto" w:val="clear"/>
            <w:vAlign w:val="center"/>
          </w:tcPr>
          <w:p>
            <w:pPr>
              <w:pStyle w:val="Normal"/>
              <w:spacing w:before="57" w:after="57"/>
              <w:ind w:left="0" w:right="0" w:hanging="0"/>
              <w:rPr/>
            </w:pPr>
            <w:r>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1.5 Wij raden aan dat de bevolkingsregisters (of hun equivalent, afhankelijk van het land) worden gebruikt als primaire databanken voor de trekking om iedereen dezelfde kans te geven om te kunnen worden gekozen en om interesse te genereren in een onderwerp binnen de bevolking.</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70,0 %</w:t>
            </w:r>
          </w:p>
        </w:tc>
      </w:tr>
      <w:tr>
        <w:trPr/>
        <w:tc>
          <w:tcPr>
            <w:tcW w:w="2204" w:type="dxa"/>
            <w:vMerge w:val="continue"/>
            <w:tcBorders>
              <w:left w:val="single" w:sz="2" w:space="0" w:color="000001"/>
              <w:right w:val="single" w:sz="2" w:space="0" w:color="000001"/>
              <w:insideV w:val="single" w:sz="2" w:space="0" w:color="000001"/>
            </w:tcBorders>
            <w:shd w:fill="auto" w:val="clear"/>
            <w:vAlign w:val="center"/>
          </w:tcPr>
          <w:p>
            <w:pPr>
              <w:pStyle w:val="Normal"/>
              <w:spacing w:before="57" w:after="57"/>
              <w:ind w:left="0" w:right="0" w:hanging="0"/>
              <w:rPr/>
            </w:pPr>
            <w:r>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1.6 Wij raden deelnemers aan om hun investering te waarderen en mensen aan te trekken die niet zouden deelnemen als ze niet zouden worden gecompenseerd.</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87,5 %</w:t>
            </w:r>
          </w:p>
        </w:tc>
      </w:tr>
      <w:tr>
        <w:trPr/>
        <w:tc>
          <w:tcPr>
            <w:tcW w:w="2204" w:type="dxa"/>
            <w:vMerge w:val="continue"/>
            <w:tcBorders>
              <w:left w:val="single" w:sz="2" w:space="0" w:color="000001"/>
              <w:right w:val="single" w:sz="2" w:space="0" w:color="000001"/>
              <w:insideV w:val="single" w:sz="2" w:space="0" w:color="000001"/>
            </w:tcBorders>
            <w:shd w:fill="auto" w:val="clear"/>
            <w:vAlign w:val="center"/>
          </w:tcPr>
          <w:p>
            <w:pPr>
              <w:pStyle w:val="Normal"/>
              <w:spacing w:before="57" w:after="57"/>
              <w:ind w:left="0" w:right="0" w:hanging="0"/>
              <w:rPr/>
            </w:pPr>
            <w:r>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1.7 Wij raden u aan om — vrij minimaal: noch te veel informatie noch te ingewikkelde informatie — eerste deelnemers door middel van presentaties door deskundigen om ervoor te zorgen dat zelfs mensen zonder voorkennis zich op hun gemak voelen om deel te nemen aan de discussies.</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82,9 %</w:t>
            </w:r>
          </w:p>
        </w:tc>
      </w:tr>
      <w:tr>
        <w:trPr/>
        <w:tc>
          <w:tcPr>
            <w:tcW w:w="2204" w:type="dxa"/>
            <w:vMerge w:val="continue"/>
            <w:tcBorders>
              <w:left w:val="single" w:sz="2" w:space="0" w:color="000001"/>
              <w:right w:val="single" w:sz="2" w:space="0" w:color="000001"/>
              <w:insideV w:val="single" w:sz="2" w:space="0" w:color="000001"/>
            </w:tcBorders>
            <w:shd w:fill="auto" w:val="clear"/>
            <w:vAlign w:val="center"/>
          </w:tcPr>
          <w:p>
            <w:pPr>
              <w:pStyle w:val="Normal"/>
              <w:spacing w:before="57" w:after="57"/>
              <w:ind w:left="0" w:right="0" w:hanging="0"/>
              <w:rPr/>
            </w:pPr>
            <w:r>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1.7.2 Wij raden aan dat het onderwerp van het Burgerpanel vooraf wordt gecommuniceerd, zodat mensen kunnen weten over welk onderwerp ze zich inzetten om te debatteren.</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 xml:space="preserve">78,6 % </w:t>
            </w:r>
          </w:p>
        </w:tc>
      </w:tr>
      <w:tr>
        <w:trPr/>
        <w:tc>
          <w:tcPr>
            <w:tcW w:w="2204" w:type="dxa"/>
            <w:vMerge w:val="continue"/>
            <w:tcBorders>
              <w:left w:val="single" w:sz="2" w:space="0" w:color="000001"/>
              <w:right w:val="single" w:sz="2" w:space="0" w:color="000001"/>
              <w:insideV w:val="single" w:sz="2" w:space="0" w:color="000001"/>
            </w:tcBorders>
            <w:shd w:fill="auto" w:val="clear"/>
            <w:vAlign w:val="center"/>
          </w:tcPr>
          <w:p>
            <w:pPr>
              <w:pStyle w:val="Normal"/>
              <w:spacing w:before="57" w:after="57"/>
              <w:ind w:left="0" w:right="0" w:hanging="0"/>
              <w:rPr/>
            </w:pPr>
            <w:r>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1.8 Wij raden aan burgers niet te verplichten deel te nemen.</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97,6 %</w:t>
            </w:r>
          </w:p>
        </w:tc>
      </w:tr>
      <w:tr>
        <w:trPr/>
        <w:tc>
          <w:tcPr>
            <w:tcW w:w="2204" w:type="dxa"/>
            <w:vMerge w:val="restart"/>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2. Moeite met het organiseren van een panel op Europees niveau.</w:t>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2.1 Wij raden aan om de vergaderingen van het Europees burgerpanel in hybride vorm (presential/distancial) te laten plaatsvinden. Mensen die fysiek niet kunnen bewegen, kunnen ook meedoen.</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70,0 %</w:t>
            </w:r>
          </w:p>
        </w:tc>
      </w:tr>
      <w:tr>
        <w:trPr/>
        <w:tc>
          <w:tcPr>
            <w:tcW w:w="2204" w:type="dxa"/>
            <w:vMerge w:val="continue"/>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2.2 Wij raden de Europese Unie aan om de organisatie van burgerpanels (over Europese thema’s) te delegeren aan verschillende bestuursniveaus, op nationaal niveau.</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69,0 %</w:t>
            </w:r>
          </w:p>
        </w:tc>
      </w:tr>
      <w:tr>
        <w:trPr/>
        <w:tc>
          <w:tcPr>
            <w:tcW w:w="2204" w:type="dxa"/>
            <w:vMerge w:val="continue"/>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2.3 Wij raden aan om per panel op Europees niveau één thema te kiezen. Dit zal alle deelnemers in staat stellen om hetzelfde onderwerp te bespreken, ongeacht waar ze vandaan komen in Europa.</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80,5 %</w:t>
            </w:r>
          </w:p>
        </w:tc>
      </w:tr>
      <w:tr>
        <w:trPr/>
        <w:tc>
          <w:tcPr>
            <w:tcW w:w="2204" w:type="dxa"/>
            <w:vMerge w:val="restart"/>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 xml:space="preserve">3. Vermijd het paneel </w:t>
              <w:br/>
              <w:t>burgers worden niet omgeleid voor andere doeleinden dan de aangegeven doeleinden.</w:t>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3.1 Wij raden iedere burger aan om een onderwerp ter discussie voor te leggen, zodat dit recht niet voorbehouden is aan de politieke wereld of aan de wereld van lobbyisten.</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82,1 %</w:t>
            </w:r>
          </w:p>
        </w:tc>
      </w:tr>
      <w:tr>
        <w:trPr/>
        <w:tc>
          <w:tcPr>
            <w:tcW w:w="2204" w:type="dxa"/>
            <w:vMerge w:val="continue"/>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3.2 Wij raden aan het Europees Parlement het initiatiefrecht toe te kennen, zodat het Europees Parlement het te bespreken onderwerp definieert en vervolgens de teksten aanneemt die nodig zijn om gevolg te geven aan de aanbevelingen die uit de beraadslagingen voortvloeien.</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63,4 %</w:t>
            </w:r>
          </w:p>
        </w:tc>
      </w:tr>
      <w:tr>
        <w:trPr/>
        <w:tc>
          <w:tcPr>
            <w:tcW w:w="2204" w:type="dxa"/>
            <w:vMerge w:val="restart"/>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4. Het is moeilijk te bepalen hoe het proces voor de beste vertegenwoordiging van de burgers het best kan worden georganiseerd.</w:t>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4.1.1 Wij raden aan om naast het parlement een permanent burgerpanel op te richten dat specifieke taken op zich neemt. Het zou regelmatig worden vernieuwd. Dit zou het mogelijk maken burgers op de lange termijn bij elkaar te brengen en de nodige tijd te nemen voor debatten. Tijd zorgt voor nuance van debatten en consensus. Naast dit permanente panel bespreken ad hoc burgerpanels onderwerpen die door het permanente panel zijn gekozen. Wij stellen voor het model van de Duitstalige Gemeenschap te volgen.</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54,8 %</w:t>
            </w:r>
          </w:p>
        </w:tc>
      </w:tr>
      <w:tr>
        <w:trPr/>
        <w:tc>
          <w:tcPr>
            <w:tcW w:w="2204" w:type="dxa"/>
            <w:vMerge w:val="continue"/>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4.1.2 Wij raden aan om slechts één of meer niet-permanente Europese burgerpanels op te richten, die slechts voor een bepaalde periode een specifiek onderwerp zouden ontmoeten en bespreken.</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58,5 %</w:t>
            </w:r>
          </w:p>
        </w:tc>
      </w:tr>
      <w:tr>
        <w:trPr/>
        <w:tc>
          <w:tcPr>
            <w:tcW w:w="2204" w:type="dxa"/>
            <w:vMerge w:val="continue"/>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4.2 Wij raden aan Europese burgerpanels over dringende kwesties niet te organiseren, aangezien er voldoende tijd nodig is om de kwaliteit van de debatten te waarborgen.</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63,4 %</w:t>
            </w:r>
          </w:p>
        </w:tc>
      </w:tr>
      <w:tr>
        <w:trPr/>
        <w:tc>
          <w:tcPr>
            <w:tcW w:w="2204"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5. Al te vaak ontvangen burgers die deelnemen aan initiatieven voor participatieve democratie, zoals burgerpanels, geen feedback over de follow-up die aan hun werk wordt gegeven, zowel op korte als op lange termijn.</w:t>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5.1 Wij raden de burgers aan feedback te geven over de follow-up die al dan niet is gegeven aan aanbevelingen die zijn gedaan na Europese burgerpanels. Als de aanbevelingen niet worden opgevolgd, moeten de betrokken Europese instellingen hun besluit motiveren (bv. onbevoegdheid). Daartoe adviseren wij het schrijven van regelmatige samenvattingen gedurende het gehele proces na een panel.</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97,5 %</w:t>
            </w:r>
          </w:p>
        </w:tc>
      </w:tr>
      <w:tr>
        <w:trPr/>
        <w:tc>
          <w:tcPr>
            <w:tcW w:w="2204"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6.1 Wij raden aan burgerpanels te organiseren, ook met kinderen van jongs af aan (bijvoorbeeld 10-16 jaar) om het bewustzijn van participatie en debat te vergroten. Dit kan op scholen worden georganiseerd.</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59,5 %</w:t>
            </w:r>
          </w:p>
        </w:tc>
      </w:tr>
    </w:tbl>
    <w:p>
      <w:pPr>
        <w:pStyle w:val="Normal"/>
        <w:rPr/>
      </w:pPr>
      <w:r>
        <w:rPr/>
      </w:r>
    </w:p>
    <w:p>
      <w:pPr>
        <w:pStyle w:val="Normal"/>
        <w:rPr/>
      </w:pPr>
      <w:r>
        <w:rPr/>
        <w:t>4. Referenda</w:t>
      </w:r>
    </w:p>
    <w:tbl>
      <w:tblPr>
        <w:tblW w:w="9645" w:type="dxa"/>
        <w:jc w:val="left"/>
        <w:tblInd w:w="-5" w:type="dxa"/>
        <w:tblBorders>
          <w:top w:val="single" w:sz="4" w:space="0" w:color="000001"/>
          <w:left w:val="single" w:sz="4" w:space="0" w:color="000001"/>
          <w:bottom w:val="single" w:sz="4" w:space="0" w:color="000001"/>
          <w:insideH w:val="single" w:sz="4" w:space="0" w:color="000001"/>
        </w:tblBorders>
        <w:tblCellMar>
          <w:top w:w="55" w:type="dxa"/>
          <w:left w:w="50" w:type="dxa"/>
          <w:bottom w:w="55" w:type="dxa"/>
          <w:right w:w="55" w:type="dxa"/>
        </w:tblCellMar>
      </w:tblPr>
      <w:tblGrid>
        <w:gridCol w:w="2160"/>
        <w:gridCol w:w="5835"/>
        <w:gridCol w:w="1650"/>
      </w:tblGrid>
      <w:tr>
        <w:trPr/>
        <w:tc>
          <w:tcPr>
            <w:tcW w:w="2160"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Problemen</w:t>
            </w:r>
          </w:p>
        </w:tc>
        <w:tc>
          <w:tcPr>
            <w:tcW w:w="5835"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Aanbevelingen</w:t>
            </w:r>
          </w:p>
        </w:tc>
        <w:tc>
          <w:tcPr>
            <w:tcW w:w="1650"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Ondersteund door (%)</w:t>
            </w:r>
          </w:p>
        </w:tc>
      </w:tr>
      <w:tr>
        <w:trPr/>
        <w:tc>
          <w:tcPr>
            <w:tcW w:w="2160"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0.1 Wij raden aan om op Europees niveau referenda te houden over Europese aangelegenheden.</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73,3 %</w:t>
            </w:r>
          </w:p>
        </w:tc>
      </w:tr>
      <w:tr>
        <w:trPr/>
        <w:tc>
          <w:tcPr>
            <w:tcW w:w="2160" w:type="dxa"/>
            <w:vMerge w:val="restart"/>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1. De cultuur van het referendum verschilt sterk van lidstaat tot lidstaat</w:t>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1.1 Wij raden aan onderzoek te doen naar de manier waarop een gemeenschappelijke referendumcultuur in Europa tot stand kan worden gebracht.</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70,7 %</w:t>
            </w:r>
          </w:p>
        </w:tc>
      </w:tr>
      <w:tr>
        <w:trPr/>
        <w:tc>
          <w:tcPr>
            <w:tcW w:w="2160"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1.2 Wij raden aan (door onafhankelijke deskundigen) onderzoek te doen naar de noodzaak en de mogelijkheid om een referendum te houden over een bepaald onderwerp op Europees niveau.</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77,5 %</w:t>
            </w:r>
          </w:p>
        </w:tc>
      </w:tr>
      <w:tr>
        <w:trPr/>
        <w:tc>
          <w:tcPr>
            <w:tcW w:w="2160" w:type="dxa"/>
            <w:vMerge w:val="restart"/>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2. De formulering van de vraag die in een referendum wordt gesteld, kan negatieve gevolgen hebben, evenals het vermogen om alleen te antwoorden met „ja” of „nee”, wat vaak debatten en samenlevingen polariseert.</w:t>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2.1 Wij raden aan een wetenschappelijk comité op te richten om na te denken over de vraag hoe u vragen kunt stellen die het onderwerp zouden zijn van een Europees referendum op een zo objectief mogelijke manier.</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87,2 %</w:t>
            </w:r>
          </w:p>
        </w:tc>
      </w:tr>
      <w:tr>
        <w:trPr/>
        <w:tc>
          <w:tcPr>
            <w:tcW w:w="2160"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2.2 Wij raden aan om meerkeuzevragen te stellen, die verder gaan dan het eenvoudige alternatief tussen „ja” en „nee” om nuance te brengen of zelfs voorwaarden te verbinden aan „ja” en „nee” (d.w.z. „ja als”, „nee of”).</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65,0 %</w:t>
            </w:r>
          </w:p>
        </w:tc>
      </w:tr>
      <w:tr>
        <w:trPr/>
        <w:tc>
          <w:tcPr>
            <w:tcW w:w="2160"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2.3 Wij raden aan om bij de berekening van een meerderheid (eenvoudige meerderheid of absolute meerderheid) geen rekening te houden met witte stemmen. Er moeten nog genoeg stemmen zijn (het quorum moet worden gerespecteerd).</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75,0 %</w:t>
            </w:r>
          </w:p>
        </w:tc>
      </w:tr>
      <w:tr>
        <w:trPr/>
        <w:tc>
          <w:tcPr>
            <w:tcW w:w="2160" w:type="dxa"/>
            <w:vMerge w:val="restart"/>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De keuze van het onderwerp is ook delicaat.</w:t>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2.4.1 Wij raden aan dat een vraag die in een Europees referendum aan de orde komt, binnen het toepassingsgebied van elk Europees onderwerp valt dat onder de bevoegdheden van de Europese Unie valt.</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87,5 %</w:t>
            </w:r>
          </w:p>
        </w:tc>
      </w:tr>
      <w:tr>
        <w:trPr/>
        <w:tc>
          <w:tcPr>
            <w:tcW w:w="2160"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2.4.2 Wij raden aan onderwerpen uit te sluiten die een bron van conflict tussen de lidstaten kunnen zijn.</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39,0 %</w:t>
            </w:r>
          </w:p>
        </w:tc>
      </w:tr>
      <w:tr>
        <w:trPr/>
        <w:tc>
          <w:tcPr>
            <w:tcW w:w="2160"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2.5 Wij raden aan om ook technische en moeilijke vragen te stellen, met duidelijke bewoordingen, omdat mensen de mogelijkheid hebben om voldoende geïnformeerd te worden.</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77,5 %</w:t>
            </w:r>
          </w:p>
        </w:tc>
      </w:tr>
      <w:tr>
        <w:trPr/>
        <w:tc>
          <w:tcPr>
            <w:tcW w:w="2160" w:type="dxa"/>
            <w:vMerge w:val="restart"/>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3. Het referendum is geen democratisch instrument als alleen de politieke wereld kan besluiten om er een te organiseren.</w:t>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3.1 Wij raden het Europees Parlement aan om een initiatiefrecht te hebben om</w:t>
            </w:r>
            <w:r>
              <w:rPr/>
              <w:commentReference w:id="14"/>
            </w:r>
            <w:r>
              <w:rPr/>
              <w:t xml:space="preserve"> Europese referenda te houden en vervolgens in staat te zijn de resultaten ervan ten uitvoer te leggen (de Europese Commissie en de Raad moeten volgen zonder de mogelijkheid om te blokkeren).</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67,5 %</w:t>
            </w:r>
          </w:p>
        </w:tc>
      </w:tr>
      <w:tr>
        <w:trPr/>
        <w:tc>
          <w:tcPr>
            <w:tcW w:w="2160"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3.2 Wij raden aan dat het initiatief ook van de burgers zelf kan komen (bijvoorbeeld door regels te volgen die vergelijkbaar zijn met die welke gelden voor het Europees burgerinitiatief).</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77,5 %</w:t>
            </w:r>
          </w:p>
        </w:tc>
      </w:tr>
      <w:tr>
        <w:trPr/>
        <w:tc>
          <w:tcPr>
            <w:tcW w:w="2160"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3.3 Wij raden aan dat de praktische organisatie van een Europees referendum een neutraal orgaan is.</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75,0 %</w:t>
            </w:r>
          </w:p>
        </w:tc>
      </w:tr>
      <w:tr>
        <w:trPr/>
        <w:tc>
          <w:tcPr>
            <w:tcW w:w="2160" w:type="dxa"/>
            <w:vMerge w:val="restart"/>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 xml:space="preserve">4. Het raadgevend of bindend aspect van het referendum moet </w:t>
              <w:br/>
              <w:t>duidelijk gedefinieerd.</w:t>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4.1.1 Wij raden aan dat de uitslag van een Europees referendum alleen bindend is als aan bepaalde voorwaarden inzake opkomst is voldaan.</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92,7 %</w:t>
            </w:r>
          </w:p>
        </w:tc>
      </w:tr>
      <w:tr>
        <w:trPr/>
        <w:tc>
          <w:tcPr>
            <w:tcW w:w="2160"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4.1.2 Wij raden aan dat de uitslag van een referendum alleen bindend is als bepaalde meerderheden worden bereikt (51/49, 70/30). Deze voorwaarden worden voor elk referendum vastgelegd.</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72,5 %</w:t>
            </w:r>
          </w:p>
        </w:tc>
      </w:tr>
      <w:tr>
        <w:trPr/>
        <w:tc>
          <w:tcPr>
            <w:tcW w:w="2160"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4.2 Wij raden aan dat de uitkomst van een Europees referendum bindend is als het initiatief van de organisatie wordt genomen door burgers (die hiervoor een aantal handtekeningen hadden kunnen verzamelen), maar als het initiatief door een politieke instelling werd genomen.</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47,5 %</w:t>
            </w:r>
          </w:p>
        </w:tc>
      </w:tr>
      <w:tr>
        <w:trPr/>
        <w:tc>
          <w:tcPr>
            <w:tcW w:w="2160"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4.3 Wij raden aan om de uitslag van een Europees referendum alleen bindend te maken voor bepaalde onderwerpen, maar niet voor die waarvoor de gevolgen van de stemming zeer ernstig zouden kunnen zijn.</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40,0 %</w:t>
            </w:r>
          </w:p>
        </w:tc>
      </w:tr>
      <w:tr>
        <w:trPr/>
        <w:tc>
          <w:tcPr>
            <w:tcW w:w="2160" w:type="dxa"/>
            <w:vMerge w:val="restart"/>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5. De bevolking is vaak slecht geïnformeerd voordat ze worden opgeroepen om te stemmen in een referendum. Tegelijkertijd is het van cruciaal belang om de meegedeelde informatie te controleren om schadelijke (interne of buitenlandse) invloeden op het stemmen te voorkomen.</w:t>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5.1 Wij raden het publiek aan om vóór een Europees referendum duidelijk te worden geïnformeerd over de impact van de stemming op hun dagelijks leven, via brochures, zoals in Zwitserland, en/of informatiesessies.</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97,5 %</w:t>
            </w:r>
          </w:p>
        </w:tc>
      </w:tr>
      <w:tr>
        <w:trPr/>
        <w:tc>
          <w:tcPr>
            <w:tcW w:w="2160"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5.2 Wij raden aan voor elk Europees referendum een wetenschappelijk comité op te richten dat de neutraliteit van de meegedeelde informatie waarborgt.</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87,2 %</w:t>
            </w:r>
          </w:p>
        </w:tc>
      </w:tr>
      <w:tr>
        <w:trPr/>
        <w:tc>
          <w:tcPr>
            <w:tcW w:w="2160" w:type="dxa"/>
            <w:vMerge w:val="restart"/>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6. Hoewel een referendum de hele bevolking uitnodigt om rechtstreeks te stemmen (in tegenstelling tot het burgerpanel), is er altijd een bepaald verzuim, min of meer belangrijk.</w:t>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6.1.1 Wij raden aan om deelname aan de stemming aan een Europees referendum verplicht te stellen.</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43,6 %</w:t>
            </w:r>
          </w:p>
        </w:tc>
      </w:tr>
      <w:tr>
        <w:trPr/>
        <w:tc>
          <w:tcPr>
            <w:tcW w:w="2160"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6.1.2 Wij raden aan om in een Europees referendum op vrijwillige basis te stemmen.</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52,5 %</w:t>
            </w:r>
          </w:p>
        </w:tc>
      </w:tr>
      <w:tr>
        <w:trPr/>
        <w:tc>
          <w:tcPr>
            <w:tcW w:w="2160"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6.2 Wij raden aan om, om ziekteverzuim te verminderen, elektronische stemming toe te staan naast het stemmen op papier (of in aanvulling op andere stemmiddelen, zoals stemmen per post). Elektronisch stemmen is vooral interessant voor mensen die op vakantie gaan, en het moedigt ook mensen aan die minder geïnteresseerd zijn in stemmen omdat de dwang om te reizen er niet meer is.</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90,0 %</w:t>
            </w:r>
          </w:p>
        </w:tc>
      </w:tr>
      <w:tr>
        <w:trPr/>
        <w:tc>
          <w:tcPr>
            <w:tcW w:w="2160"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7. Te vaak krijgen burgers die deelnemen aan initiatieven voor participatieve democratie, zoals referenda,</w:t>
            </w:r>
            <w:r>
              <w:rPr/>
              <w:commentReference w:id="15"/>
            </w:r>
            <w:r>
              <w:rPr/>
              <w:t xml:space="preserve"> geen terugkeer van de follow-up die aan hun stem is gegeven, zowel op korte als op lange termijn.</w:t>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7.1 Wij raden aan om de burgers feedback te geven over de follow-up die al dan niet is gegeven aan het besluit van burgers via een Europees referendum.</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92,5 %</w:t>
            </w:r>
          </w:p>
        </w:tc>
      </w:tr>
    </w:tbl>
    <w:p>
      <w:pPr>
        <w:pStyle w:val="Normal"/>
        <w:rPr/>
      </w:pPr>
      <w:r>
        <w:rPr/>
      </w:r>
    </w:p>
    <w:p>
      <w:pPr>
        <w:pStyle w:val="Normal"/>
        <w:rPr/>
      </w:pPr>
      <w:r>
        <w:rPr/>
        <w:t>5. Bestaande tools</w:t>
      </w:r>
    </w:p>
    <w:p>
      <w:pPr>
        <w:pStyle w:val="Normal"/>
        <w:rPr/>
      </w:pPr>
      <w:r>
        <w:rPr/>
        <w:t>5.1. Europese verkiezingen.</w:t>
      </w:r>
    </w:p>
    <w:tbl>
      <w:tblPr>
        <w:tblW w:w="9638"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1867"/>
        <w:gridCol w:w="6749"/>
        <w:gridCol w:w="1022"/>
      </w:tblGrid>
      <w:tr>
        <w:trPr>
          <w:trHeight w:val="596" w:hRule="atLeast"/>
        </w:trPr>
        <w:tc>
          <w:tcPr>
            <w:tcW w:w="186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Problemen</w:t>
            </w:r>
          </w:p>
        </w:tc>
        <w:tc>
          <w:tcPr>
            <w:tcW w:w="67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Aanbevelingen</w:t>
            </w:r>
          </w:p>
        </w:tc>
        <w:tc>
          <w:tcPr>
            <w:tcW w:w="102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Ondersteund door (%)</w:t>
            </w:r>
          </w:p>
        </w:tc>
      </w:tr>
      <w:tr>
        <w:trPr/>
        <w:tc>
          <w:tcPr>
            <w:tcW w:w="1867" w:type="dxa"/>
            <w:vMerge w:val="restart"/>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 Er is een verschil in regelgeving in de verschillende lidstaten</w:t>
            </w:r>
          </w:p>
        </w:tc>
        <w:tc>
          <w:tcPr>
            <w:tcW w:w="67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1.1 Wij stellen voor dat het Europees Parlement verplicht moet stemmen, maar dat de burgers voldoende informatie krijgen om de redenen hiervoor te begrijpen.</w:t>
            </w:r>
          </w:p>
        </w:tc>
        <w:tc>
          <w:tcPr>
            <w:tcW w:w="102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50,0 %</w:t>
            </w:r>
          </w:p>
        </w:tc>
      </w:tr>
      <w:tr>
        <w:trPr/>
        <w:tc>
          <w:tcPr>
            <w:tcW w:w="1867" w:type="dxa"/>
            <w:vMerge w:val="continue"/>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r>
          </w:p>
        </w:tc>
        <w:tc>
          <w:tcPr>
            <w:tcW w:w="67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1.2 Onze aanbeveling is om de verkiezingsregels voor het Europees Parlement zoveel mogelijk in alle landen, met inbegrip van de minimumleeftijd, te maken.</w:t>
            </w:r>
          </w:p>
        </w:tc>
        <w:tc>
          <w:tcPr>
            <w:tcW w:w="102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87,2 %</w:t>
            </w:r>
          </w:p>
        </w:tc>
      </w:tr>
      <w:tr>
        <w:trPr/>
        <w:tc>
          <w:tcPr>
            <w:tcW w:w="1867" w:type="dxa"/>
            <w:vMerge w:val="restart"/>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2. Er is onvoldoende diversiteit in leeftijd, herkomst en gendercriteria van de leden van het Europees Parlement.</w:t>
            </w:r>
          </w:p>
        </w:tc>
        <w:tc>
          <w:tcPr>
            <w:tcW w:w="67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2.1.1 Wij stellen voor dat Europarlementariërs van alle leeftijden en achtergronden zijn.</w:t>
            </w:r>
          </w:p>
        </w:tc>
        <w:tc>
          <w:tcPr>
            <w:tcW w:w="102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82,1 %</w:t>
            </w:r>
          </w:p>
        </w:tc>
      </w:tr>
      <w:tr>
        <w:trPr/>
        <w:tc>
          <w:tcPr>
            <w:tcW w:w="1867" w:type="dxa"/>
            <w:vMerge w:val="continue"/>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r>
          </w:p>
        </w:tc>
        <w:tc>
          <w:tcPr>
            <w:tcW w:w="67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2.1.2 Wij stellen voor dat Europarlementariërs bewust kiezen voor een Europese carrière en niet alleen omdat ze aan het eind van hun loopbaan zitten.</w:t>
            </w:r>
          </w:p>
        </w:tc>
        <w:tc>
          <w:tcPr>
            <w:tcW w:w="102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82,5 %</w:t>
            </w:r>
          </w:p>
        </w:tc>
      </w:tr>
      <w:tr>
        <w:trPr/>
        <w:tc>
          <w:tcPr>
            <w:tcW w:w="1867" w:type="dxa"/>
            <w:vMerge w:val="continue"/>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r>
          </w:p>
        </w:tc>
        <w:tc>
          <w:tcPr>
            <w:tcW w:w="674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2.1.3 Wij stellen voor te kiezen voor een evenwichtige verdeling van de geslachten, bijvoorbeeld door het wisselen van geslachten op de kiezerslijsten</w:t>
            </w:r>
            <w:r>
              <w:rPr/>
              <w:commentReference w:id="16"/>
            </w:r>
            <w:r>
              <w:rPr/>
              <w:t>. De EU moet deze criteria vaststellen en nagaan of aan deze criteria is voldaan in de samenstelling van het contingent. Als een kandidaat zijn ambtstermijn weigert, neemt de volgende kandidaat in volgorde van voorkeur en het hebben van hetzelfde geslacht zijn plaats in.</w:t>
            </w:r>
          </w:p>
        </w:tc>
        <w:tc>
          <w:tcPr>
            <w:tcW w:w="1022"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82,5 %</w:t>
            </w:r>
          </w:p>
        </w:tc>
      </w:tr>
      <w:tr>
        <w:trPr/>
        <w:tc>
          <w:tcPr>
            <w:tcW w:w="1867" w:type="dxa"/>
            <w:vMerge w:val="continue"/>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r>
          </w:p>
        </w:tc>
        <w:tc>
          <w:tcPr>
            <w:tcW w:w="674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2.1.4 Wij raden kandidaten op de Europese lijsten aan hun mandaat uit te oefenen indien zij worden gekozen.</w:t>
            </w:r>
          </w:p>
        </w:tc>
        <w:tc>
          <w:tcPr>
            <w:tcW w:w="1022"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89,2 %</w:t>
            </w:r>
          </w:p>
        </w:tc>
      </w:tr>
      <w:tr>
        <w:trPr/>
        <w:tc>
          <w:tcPr>
            <w:tcW w:w="1867" w:type="dxa"/>
            <w:vMerge w:val="restart"/>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3. Wij stemmen voor het Europees Parlement en hebben geen zeggenschap over de samenstelling van de commissie.</w:t>
            </w:r>
          </w:p>
        </w:tc>
        <w:tc>
          <w:tcPr>
            <w:tcW w:w="674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3.1 Wij stellen voor dat er een verdragswijziging komt waarbij de grootste partij in het Europees Parlement de voorzitter van de Europese Commissie kan benoemen.</w:t>
            </w:r>
          </w:p>
        </w:tc>
        <w:tc>
          <w:tcPr>
            <w:tcW w:w="1022"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48,6 %</w:t>
            </w:r>
          </w:p>
        </w:tc>
      </w:tr>
      <w:tr>
        <w:trPr/>
        <w:tc>
          <w:tcPr>
            <w:tcW w:w="1867" w:type="dxa"/>
            <w:vMerge w:val="continue"/>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r>
          </w:p>
        </w:tc>
        <w:tc>
          <w:tcPr>
            <w:tcW w:w="674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3.2 Wij raden aan om de samenstelling van de Europese Commissie transparanter te maken, volgens een aantal basisregels, zodat de samenstelling de stem van de burger weerspiegelt en de burger weet hoe de selectie heeft plaatsgevonden.</w:t>
            </w:r>
          </w:p>
        </w:tc>
        <w:tc>
          <w:tcPr>
            <w:tcW w:w="1022"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88,9 %</w:t>
            </w:r>
          </w:p>
        </w:tc>
      </w:tr>
      <w:tr>
        <w:trPr/>
        <w:tc>
          <w:tcPr>
            <w:tcW w:w="1867"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4. Er is niet veel informatie over de kandidaten, we weten niet veel over hen en hun programma, evenals de politieke fractie die ze in het Europees Parlement zullen vertegenwoordigen.</w:t>
            </w:r>
          </w:p>
        </w:tc>
        <w:tc>
          <w:tcPr>
            <w:tcW w:w="674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4.1 Wij stellen voor dat Europese kandidaten zich lokaal op een meer concrete manier presenteren met hun doelstellingen en programma’s via verschillende kanalen (communicatie).</w:t>
            </w:r>
          </w:p>
        </w:tc>
        <w:tc>
          <w:tcPr>
            <w:tcW w:w="1022"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84,2 %</w:t>
            </w:r>
          </w:p>
        </w:tc>
      </w:tr>
    </w:tbl>
    <w:p>
      <w:pPr>
        <w:pStyle w:val="Normal"/>
        <w:rPr/>
      </w:pPr>
      <w:r>
        <w:rPr/>
      </w:r>
    </w:p>
    <w:p>
      <w:pPr>
        <w:pStyle w:val="Normal"/>
        <w:rPr/>
      </w:pPr>
      <w:r>
        <w:rPr/>
        <w:t>5.1.2 Europese Ombudsman</w:t>
      </w:r>
    </w:p>
    <w:tbl>
      <w:tblPr>
        <w:tblW w:w="9645" w:type="dxa"/>
        <w:jc w:val="left"/>
        <w:tblInd w:w="-5" w:type="dxa"/>
        <w:tblBorders>
          <w:top w:val="single" w:sz="4" w:space="0" w:color="000001"/>
          <w:left w:val="single" w:sz="4" w:space="0" w:color="000001"/>
          <w:bottom w:val="single" w:sz="4" w:space="0" w:color="000001"/>
          <w:insideH w:val="single" w:sz="4" w:space="0" w:color="000001"/>
        </w:tblBorders>
        <w:tblCellMar>
          <w:top w:w="55" w:type="dxa"/>
          <w:left w:w="50" w:type="dxa"/>
          <w:bottom w:w="55" w:type="dxa"/>
          <w:right w:w="55" w:type="dxa"/>
        </w:tblCellMar>
      </w:tblPr>
      <w:tblGrid>
        <w:gridCol w:w="3179"/>
        <w:gridCol w:w="5431"/>
        <w:gridCol w:w="1035"/>
      </w:tblGrid>
      <w:tr>
        <w:trPr/>
        <w:tc>
          <w:tcPr>
            <w:tcW w:w="3179"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Problemen</w:t>
            </w:r>
          </w:p>
        </w:tc>
        <w:tc>
          <w:tcPr>
            <w:tcW w:w="5431"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Aanbevelingen</w:t>
            </w:r>
          </w:p>
        </w:tc>
        <w:tc>
          <w:tcPr>
            <w:tcW w:w="1035"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Ondersteund door (%)</w:t>
            </w:r>
          </w:p>
        </w:tc>
      </w:tr>
      <w:tr>
        <w:trPr/>
        <w:tc>
          <w:tcPr>
            <w:tcW w:w="3179"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1. De site in andere talen dan het Engels bevat alleen informatie in het Engels op de eerste twee pagina’s. Dit creëert een barrière voor burgers die Engels niet beheersen</w:t>
            </w:r>
          </w:p>
        </w:tc>
        <w:tc>
          <w:tcPr>
            <w:tcW w:w="5431"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1.1 Wij stellen voor om de informatie op de homepage in de taal van elke burger te plaatsen en, als het niet mogelijk is om het te vertalen, het nieuws elders op de site in het Engels te plaatsen.</w:t>
            </w:r>
          </w:p>
        </w:tc>
        <w:tc>
          <w:tcPr>
            <w:tcW w:w="1035"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89,2 %</w:t>
            </w:r>
          </w:p>
        </w:tc>
      </w:tr>
      <w:tr>
        <w:trPr/>
        <w:tc>
          <w:tcPr>
            <w:tcW w:w="3179"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2. De Ombudsman is geen partij bij de sanctie en enige schadevergoeding voor de klager</w:t>
            </w:r>
          </w:p>
        </w:tc>
        <w:tc>
          <w:tcPr>
            <w:tcW w:w="5431"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2.1 Wij stellen voor dat de Ombudsman deel uitmaakt van het proces van het vinden en uitvoeren van de oplossing/sanctie/compensatie en een stem in de zaak heeft.</w:t>
            </w:r>
          </w:p>
        </w:tc>
        <w:tc>
          <w:tcPr>
            <w:tcW w:w="1035"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71,1 %</w:t>
            </w:r>
          </w:p>
        </w:tc>
      </w:tr>
      <w:tr>
        <w:trPr/>
        <w:tc>
          <w:tcPr>
            <w:tcW w:w="3179"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3. De deadline is soms erg lang voor de validatie van registratie op de site (validatie e-mail) Het duurt soms 24 uur en demotiveert de burger die verder gaat naar iets anders.</w:t>
            </w:r>
          </w:p>
        </w:tc>
        <w:tc>
          <w:tcPr>
            <w:tcW w:w="5431"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3.1 Wij stellen voor om een onmiddellijk validatiesysteem in te voeren.</w:t>
            </w:r>
          </w:p>
        </w:tc>
        <w:tc>
          <w:tcPr>
            <w:tcW w:w="1035"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47,4 %</w:t>
            </w:r>
          </w:p>
        </w:tc>
      </w:tr>
      <w:tr>
        <w:trPr/>
        <w:tc>
          <w:tcPr>
            <w:tcW w:w="3179"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4. Wanneer we een klacht indienen, wordt de vraag gesteld: heeft u gebruik gemaakt van alle mogelijke procedures? De burger kent niet altijd alle procedures en kan de vraag niet beantwoorden.</w:t>
            </w:r>
          </w:p>
        </w:tc>
        <w:tc>
          <w:tcPr>
            <w:tcW w:w="5431"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4.1 Wij stellen voor een link op te nemen naar een eenvoudige presentatie/uitleg van andere procedures</w:t>
            </w:r>
          </w:p>
        </w:tc>
        <w:tc>
          <w:tcPr>
            <w:tcW w:w="1035"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89,5 %</w:t>
            </w:r>
          </w:p>
        </w:tc>
      </w:tr>
      <w:tr>
        <w:trPr/>
        <w:tc>
          <w:tcPr>
            <w:tcW w:w="3179"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5</w:t>
            </w:r>
            <w:r>
              <w:rPr/>
              <w:commentReference w:id="17"/>
            </w:r>
            <w:r>
              <w:rPr/>
              <w:t>. De website van de Ombudsman is goed gedaan, maar heeft geen duidelijk Europees imago, dus dit leidt tot vragen voor de burger (ben ik op de juiste site, is het geloofwaardig? ...).</w:t>
            </w:r>
          </w:p>
        </w:tc>
        <w:tc>
          <w:tcPr>
            <w:tcW w:w="5431"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5.1 Wij stellen voor om het grafische handvest van de site te herzien en beter af te stemmen op dat van de EU (eerste advies: hef de Europese vlag naar de bovenkant van de pagina). Bij de eerste „klik” moet duidelijk zijn dat de burger op de website van de Ombudsman van de instellingen staat.</w:t>
            </w:r>
          </w:p>
        </w:tc>
        <w:tc>
          <w:tcPr>
            <w:tcW w:w="1035"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78,4 %</w:t>
            </w:r>
          </w:p>
        </w:tc>
      </w:tr>
    </w:tbl>
    <w:p>
      <w:pPr>
        <w:pStyle w:val="Normal"/>
        <w:rPr/>
      </w:pPr>
      <w:r>
        <w:rPr/>
      </w:r>
    </w:p>
    <w:p>
      <w:pPr>
        <w:pStyle w:val="Normal"/>
        <w:rPr/>
      </w:pPr>
      <w:r>
        <w:rPr/>
        <w:t>5.1.3 Publieke raadpleging</w:t>
      </w:r>
      <w:r>
        <w:rPr/>
        <w:commentReference w:id="18"/>
      </w:r>
    </w:p>
    <w:tbl>
      <w:tblPr>
        <w:tblW w:w="9645" w:type="dxa"/>
        <w:jc w:val="left"/>
        <w:tblInd w:w="-5" w:type="dxa"/>
        <w:tblBorders>
          <w:top w:val="single" w:sz="4" w:space="0" w:color="000001"/>
          <w:left w:val="single" w:sz="4" w:space="0" w:color="000001"/>
          <w:bottom w:val="single" w:sz="4" w:space="0" w:color="000001"/>
          <w:insideH w:val="single" w:sz="4" w:space="0" w:color="000001"/>
        </w:tblBorders>
        <w:tblCellMar>
          <w:top w:w="55" w:type="dxa"/>
          <w:left w:w="50" w:type="dxa"/>
          <w:bottom w:w="55" w:type="dxa"/>
          <w:right w:w="55" w:type="dxa"/>
        </w:tblCellMar>
      </w:tblPr>
      <w:tblGrid>
        <w:gridCol w:w="3211"/>
        <w:gridCol w:w="5398"/>
        <w:gridCol w:w="1036"/>
      </w:tblGrid>
      <w:tr>
        <w:trPr/>
        <w:tc>
          <w:tcPr>
            <w:tcW w:w="3211"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Problemen</w:t>
            </w:r>
          </w:p>
        </w:tc>
        <w:tc>
          <w:tcPr>
            <w:tcW w:w="5398"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Aanbevelingen</w:t>
            </w:r>
          </w:p>
        </w:tc>
        <w:tc>
          <w:tcPr>
            <w:tcW w:w="1036"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Ondersteund door (%)</w:t>
            </w:r>
          </w:p>
        </w:tc>
      </w:tr>
      <w:tr>
        <w:trPr/>
        <w:tc>
          <w:tcPr>
            <w:tcW w:w="3211"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1. De website van de raadplegingen is gewijzigd en de burger wordt in eerste instantie naar een verouderde site gestuurd. Je moet zoeken om het adres van de nieuwe site te vinden.</w:t>
            </w:r>
          </w:p>
        </w:tc>
        <w:tc>
          <w:tcPr>
            <w:tcW w:w="5398"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1.1. We stellen voor om de oude site te verwijderen en eerst naar de nieuwe site te verwijzen.</w:t>
            </w:r>
          </w:p>
        </w:tc>
        <w:tc>
          <w:tcPr>
            <w:tcW w:w="103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81,6 %</w:t>
            </w:r>
          </w:p>
        </w:tc>
      </w:tr>
      <w:tr>
        <w:trPr/>
        <w:tc>
          <w:tcPr>
            <w:tcW w:w="3211" w:type="dxa"/>
            <w:vMerge w:val="restart"/>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2. De routekaart (Engels) en de meningen (taal van de burgerredacteur) van een raadpleging worden niet vertaald in de taal van de burgerlezer</w:t>
            </w:r>
          </w:p>
        </w:tc>
        <w:tc>
          <w:tcPr>
            <w:tcW w:w="5398"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2.1. Wij raden ten zeerste aan de routekaart om te zetten in de taal van de burger. De routekaart in het Engels blokkeert elke burger die het</w:t>
            </w:r>
            <w:commentRangeStart w:id="19"/>
            <w:r>
              <w:rPr/>
              <w:t>Engels niet beheerst</w:t>
            </w:r>
            <w:r>
              <w:rPr/>
            </w:r>
            <w:commentRangeEnd w:id="19"/>
            <w:r>
              <w:commentReference w:id="19"/>
            </w:r>
            <w:r>
              <w:rPr/>
              <w:t xml:space="preserve"> in zijn deelname.</w:t>
            </w:r>
          </w:p>
        </w:tc>
        <w:tc>
          <w:tcPr>
            <w:tcW w:w="103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81,6 %</w:t>
            </w:r>
          </w:p>
        </w:tc>
      </w:tr>
      <w:tr>
        <w:trPr/>
        <w:tc>
          <w:tcPr>
            <w:tcW w:w="3211"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398"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 xml:space="preserve">2.2. We stellen voor om bij elke beoordeling een tab/icon „geautomatiseerde vertaling” te plaatsen, die verbinding maakt met een open source vertaalengine zoals </w:t>
            </w:r>
            <w:commentRangeStart w:id="20"/>
            <w:r>
              <w:rPr/>
              <w:t>Google Translate of DeepL.</w:t>
            </w:r>
            <w:commentRangeEnd w:id="20"/>
            <w:r>
              <w:commentReference w:id="20"/>
            </w:r>
            <w:r>
              <w:rPr/>
            </w:r>
          </w:p>
        </w:tc>
        <w:tc>
          <w:tcPr>
            <w:tcW w:w="103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65,8 %</w:t>
            </w:r>
          </w:p>
        </w:tc>
      </w:tr>
      <w:tr>
        <w:trPr/>
        <w:tc>
          <w:tcPr>
            <w:tcW w:w="3211"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3. U moet zich inschrijven voor follow-up van de raadpleging</w:t>
            </w:r>
          </w:p>
        </w:tc>
        <w:tc>
          <w:tcPr>
            <w:tcW w:w="5398"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3.1. Wij stellen voor om het proces tracking automatisch te sturen naar iedereen die heeft gereageerd, met de mogelijkheid om zich af te melden.</w:t>
            </w:r>
          </w:p>
        </w:tc>
        <w:tc>
          <w:tcPr>
            <w:tcW w:w="103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89,5 %</w:t>
            </w:r>
          </w:p>
        </w:tc>
      </w:tr>
      <w:tr>
        <w:trPr/>
        <w:tc>
          <w:tcPr>
            <w:tcW w:w="3211" w:type="dxa"/>
            <w:vMerge w:val="restart"/>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4. We weten niet of het aantal meningen in zekere zin invloed heeft op de commissie of dat soortgelijke meningen als een enkele mening worden beschouwd (weging of niet). Als het aantal meningen in zekere zin telt, zijn we bezorgd over het gewicht van lobbyisten/activisten/grote bedrijven in de raadplegingen en de feitelijke acties van de EU ten aanzien van burgers en de associatieve wereld.</w:t>
            </w:r>
          </w:p>
        </w:tc>
        <w:tc>
          <w:tcPr>
            <w:tcW w:w="5398"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4.1. Wij raden u aan om hierover duidelijke informatie op de site te plaatsen.</w:t>
            </w:r>
          </w:p>
        </w:tc>
        <w:tc>
          <w:tcPr>
            <w:tcW w:w="103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81,6 %</w:t>
            </w:r>
          </w:p>
        </w:tc>
      </w:tr>
      <w:tr>
        <w:trPr/>
        <w:tc>
          <w:tcPr>
            <w:tcW w:w="3211"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398"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4.2. Als het aantal meningen in één richting een impact heeft, raden we aan een systeem op te zetten dat lobbyisten/activisten/grote bedrijven enz. kan filteren om hen geen onevenredig gewicht te geven.</w:t>
            </w:r>
          </w:p>
        </w:tc>
        <w:tc>
          <w:tcPr>
            <w:tcW w:w="103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60,5 %</w:t>
            </w:r>
          </w:p>
        </w:tc>
      </w:tr>
      <w:tr>
        <w:trPr/>
        <w:tc>
          <w:tcPr>
            <w:tcW w:w="3211"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398"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4.3. We raden aan om kunstmatige intelligentie software te maken die verschillende beoordelingen rangschikt en tegengestelde of gunstige beoordelingen telt.</w:t>
            </w:r>
          </w:p>
        </w:tc>
        <w:tc>
          <w:tcPr>
            <w:tcW w:w="103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47,4 %</w:t>
            </w:r>
          </w:p>
        </w:tc>
      </w:tr>
      <w:tr>
        <w:trPr/>
        <w:tc>
          <w:tcPr>
            <w:tcW w:w="3211"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398"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4.4. Wij stellen voor om contacten tussen burgers en verenigingen (militanten) te organiseren: beschikken over plaatsen waar burgers kunnen komen en hun mening kunnen geven, in de vorm van „Europese huizen” die de meningen van de burgers op Europees niveau kunnen helpen verspreiden. Deze plaatsen moeten worden opgezet op verschillende locaties, op lokaal niveau, en worden verplaatst.</w:t>
            </w:r>
          </w:p>
        </w:tc>
        <w:tc>
          <w:tcPr>
            <w:tcW w:w="103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62,2 %</w:t>
            </w:r>
          </w:p>
        </w:tc>
      </w:tr>
      <w:tr>
        <w:trPr/>
        <w:tc>
          <w:tcPr>
            <w:tcW w:w="3211"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5.Het kennisgevingsformulier is niet duidelijk: er is een open vraag en een vragenlijst. Wat is de rol van elk document, wat moet worden ingevuld?</w:t>
            </w:r>
          </w:p>
        </w:tc>
        <w:tc>
          <w:tcPr>
            <w:tcW w:w="5398"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5.1 Deze informatie op de site verduidelijken.</w:t>
            </w:r>
          </w:p>
        </w:tc>
        <w:tc>
          <w:tcPr>
            <w:tcW w:w="103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81,6 %</w:t>
            </w:r>
          </w:p>
        </w:tc>
      </w:tr>
      <w:tr>
        <w:trPr/>
        <w:tc>
          <w:tcPr>
            <w:tcW w:w="3211"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6. Er zijn te veel vaardigheidsniveaus als het gaat om tools</w:t>
            </w:r>
          </w:p>
        </w:tc>
        <w:tc>
          <w:tcPr>
            <w:tcW w:w="5398"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6.1 Wij stellen voor om een verzendcentrum op te richten waarmee verzoeken kunnen worden gericht aan de bevoegde autoriteit.</w:t>
            </w:r>
          </w:p>
        </w:tc>
        <w:tc>
          <w:tcPr>
            <w:tcW w:w="103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78,9 %</w:t>
            </w:r>
          </w:p>
        </w:tc>
      </w:tr>
    </w:tbl>
    <w:p>
      <w:pPr>
        <w:pStyle w:val="Normal"/>
        <w:rPr/>
      </w:pPr>
      <w:r>
        <w:rPr/>
      </w:r>
    </w:p>
    <w:p>
      <w:pPr>
        <w:pStyle w:val="Normal"/>
        <w:rPr/>
      </w:pPr>
      <w:r>
        <w:rPr/>
        <w:t>5.1.4 Europees burgerinitiatief</w:t>
      </w:r>
    </w:p>
    <w:tbl>
      <w:tblPr>
        <w:tblW w:w="9645"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2190"/>
        <w:gridCol w:w="6375"/>
        <w:gridCol w:w="1080"/>
      </w:tblGrid>
      <w:tr>
        <w:trPr>
          <w:trHeight w:val="596" w:hRule="atLeast"/>
        </w:trPr>
        <w:tc>
          <w:tcPr>
            <w:tcW w:w="219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Problemen</w:t>
            </w:r>
          </w:p>
        </w:tc>
        <w:tc>
          <w:tcPr>
            <w:tcW w:w="637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Aanbevelingen</w:t>
            </w:r>
          </w:p>
        </w:tc>
        <w:tc>
          <w:tcPr>
            <w:tcW w:w="10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Ondersteund door (%)</w:t>
            </w:r>
          </w:p>
        </w:tc>
      </w:tr>
      <w:tr>
        <w:trPr>
          <w:trHeight w:val="1481" w:hRule="atLeast"/>
        </w:trPr>
        <w:tc>
          <w:tcPr>
            <w:tcW w:w="219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 Burgers die geen internet hebben, zijn moeilijker te bereiken.</w:t>
            </w:r>
          </w:p>
        </w:tc>
        <w:tc>
          <w:tcPr>
            <w:tcW w:w="637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1.1 Wij stellen voor dat lokale overheden of bibliotheken, die onafhankelijk zijn van de overheid, betrokken kunnen worden bij de verspreiding van dit initiatief en het verzamelen van handtekeningen. Zowel elektronisch als op papier. De EU moet per land de balans opmaken van dit netwerk en het ter beschikking stellen van initiatiefnemers.</w:t>
            </w:r>
          </w:p>
        </w:tc>
        <w:tc>
          <w:tcPr>
            <w:tcW w:w="10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71,1 %</w:t>
            </w:r>
          </w:p>
        </w:tc>
      </w:tr>
      <w:tr>
        <w:trPr>
          <w:trHeight w:val="1481" w:hRule="atLeast"/>
        </w:trPr>
        <w:tc>
          <w:tcPr>
            <w:tcW w:w="219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2. Het aantal landen dat moet deelnemen is te klein om voldoende steun te krijgen.</w:t>
            </w:r>
          </w:p>
        </w:tc>
        <w:tc>
          <w:tcPr>
            <w:tcW w:w="637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2.1 Wij stellen voor het aantal landen waar handtekeningen worden verzameld te verhogen tot 13 landen om meer steun te krijgen voor het voorstel. Het aantal handtekeningen moet worden gerespecteerd in verhouding tot het aantal inwoners.</w:t>
            </w:r>
          </w:p>
        </w:tc>
        <w:tc>
          <w:tcPr>
            <w:tcW w:w="10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64,9 %</w:t>
            </w:r>
          </w:p>
        </w:tc>
      </w:tr>
      <w:tr>
        <w:trPr>
          <w:trHeight w:val="596" w:hRule="atLeast"/>
        </w:trPr>
        <w:tc>
          <w:tcPr>
            <w:tcW w:w="2190" w:type="dxa"/>
            <w:vMerge w:val="restart"/>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3. De kosten en inspanningen om handtekeningen te verzamelen zijn hoog</w:t>
            </w:r>
          </w:p>
        </w:tc>
        <w:tc>
          <w:tcPr>
            <w:tcW w:w="637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3.1 Wij stellen voor dat er EU-financiering komt om deze initiatieven te ondersteunen.</w:t>
            </w:r>
          </w:p>
        </w:tc>
        <w:tc>
          <w:tcPr>
            <w:tcW w:w="10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71,1 %</w:t>
            </w:r>
          </w:p>
        </w:tc>
      </w:tr>
      <w:tr>
        <w:trPr>
          <w:trHeight w:val="596" w:hRule="atLeast"/>
        </w:trPr>
        <w:tc>
          <w:tcPr>
            <w:tcW w:w="2190" w:type="dxa"/>
            <w:vMerge w:val="continue"/>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r>
          </w:p>
        </w:tc>
        <w:tc>
          <w:tcPr>
            <w:tcW w:w="637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3.2 Wij stellen voor een orgaan op te richten om de coördinatie tussen de verschillende landen te vergemakkelijken.</w:t>
            </w:r>
          </w:p>
        </w:tc>
        <w:tc>
          <w:tcPr>
            <w:tcW w:w="108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75,7 %</w:t>
            </w:r>
          </w:p>
        </w:tc>
      </w:tr>
      <w:tr>
        <w:trPr>
          <w:trHeight w:val="596" w:hRule="atLeast"/>
        </w:trPr>
        <w:tc>
          <w:tcPr>
            <w:tcW w:w="21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4. De procedure is complex voor de burgers.</w:t>
            </w:r>
          </w:p>
        </w:tc>
        <w:tc>
          <w:tcPr>
            <w:tcW w:w="637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4.1 Wij stellen voor een helpdesk op te zetten om burgers te helpen het proces te voltooien.</w:t>
            </w:r>
          </w:p>
        </w:tc>
        <w:tc>
          <w:tcPr>
            <w:tcW w:w="108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83,8 %</w:t>
            </w:r>
          </w:p>
        </w:tc>
      </w:tr>
      <w:tr>
        <w:trPr>
          <w:trHeight w:val="596" w:hRule="atLeast"/>
        </w:trPr>
        <w:tc>
          <w:tcPr>
            <w:tcW w:w="2190" w:type="dxa"/>
            <w:vMerge w:val="restart"/>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5. De uitkomst van het burgerinitiatief is onduidelijk.</w:t>
            </w:r>
          </w:p>
        </w:tc>
        <w:tc>
          <w:tcPr>
            <w:tcW w:w="637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5.1 Wij stellen voor de Europese Commissie te verplichten de follow-up van het voorstel te bespreken en uit te werken, en niet alleen om te antwoorden en ontvangst te bevestigen. Indien de Commissie besluit geen gevolg te geven aan het voorstel, moet zij dit rechtvaardigen.</w:t>
            </w:r>
          </w:p>
        </w:tc>
        <w:tc>
          <w:tcPr>
            <w:tcW w:w="108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100,0 %</w:t>
            </w:r>
          </w:p>
        </w:tc>
      </w:tr>
      <w:tr>
        <w:trPr>
          <w:trHeight w:val="596" w:hRule="atLeast"/>
        </w:trPr>
        <w:tc>
          <w:tcPr>
            <w:tcW w:w="2190" w:type="dxa"/>
            <w:vMerge w:val="continue"/>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r>
          </w:p>
        </w:tc>
        <w:tc>
          <w:tcPr>
            <w:tcW w:w="637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5.2 Wij stellen voor om bij ontvangst van een Europees burgerinitiatief een raadpleging van de burgers te organiseren om hen om advies te vragen voordat het comité het Comité controleert. Dit zou voorkomen dat alleen extreme meningen/stemmen voor het initiatief en het hebben van de mening van mensen die niet hebben ondertekend. Bovendien zal de suggestie, als alle burgers hun mening geven, meer gewicht op EU-niveau en de follow-up ervan hebben.</w:t>
            </w:r>
          </w:p>
        </w:tc>
        <w:tc>
          <w:tcPr>
            <w:tcW w:w="108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55,3 %</w:t>
            </w:r>
          </w:p>
        </w:tc>
      </w:tr>
    </w:tbl>
    <w:p>
      <w:pPr>
        <w:pStyle w:val="Normal"/>
        <w:rPr/>
      </w:pPr>
      <w:r>
        <w:rPr/>
      </w:r>
    </w:p>
    <w:p>
      <w:pPr>
        <w:pStyle w:val="Normal"/>
        <w:rPr/>
      </w:pPr>
      <w:r>
        <w:rPr/>
        <w:t>5.1.5 Recht op petitie</w:t>
      </w:r>
    </w:p>
    <w:tbl>
      <w:tblPr>
        <w:tblW w:w="9645"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3276"/>
        <w:gridCol w:w="5168"/>
        <w:gridCol w:w="1201"/>
      </w:tblGrid>
      <w:tr>
        <w:trPr>
          <w:trHeight w:val="356" w:hRule="atLeast"/>
        </w:trPr>
        <w:tc>
          <w:tcPr>
            <w:tcW w:w="32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Problemen</w:t>
            </w:r>
          </w:p>
        </w:tc>
        <w:tc>
          <w:tcPr>
            <w:tcW w:w="516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Aanbevelingen</w:t>
            </w:r>
          </w:p>
        </w:tc>
        <w:tc>
          <w:tcPr>
            <w:tcW w:w="120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Ondersteund door (%)</w:t>
            </w:r>
          </w:p>
        </w:tc>
      </w:tr>
      <w:tr>
        <w:trPr>
          <w:trHeight w:val="656" w:hRule="atLeast"/>
        </w:trPr>
        <w:tc>
          <w:tcPr>
            <w:tcW w:w="32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 De Europese Commissie heeft de definitieve beslissing, er is geen zekerheid over de uitkomst</w:t>
            </w:r>
          </w:p>
        </w:tc>
        <w:tc>
          <w:tcPr>
            <w:tcW w:w="516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1.1 Wij stellen voor dat de aanbeveling van het Europees Parlement door de commissie wordt opgevolgd.</w:t>
            </w:r>
          </w:p>
        </w:tc>
        <w:tc>
          <w:tcPr>
            <w:tcW w:w="120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81,1 %</w:t>
            </w:r>
          </w:p>
        </w:tc>
      </w:tr>
      <w:tr>
        <w:trPr>
          <w:trHeight w:val="941" w:hRule="atLeast"/>
        </w:trPr>
        <w:tc>
          <w:tcPr>
            <w:tcW w:w="32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2. Er is weinig transparantie over het proces en de motivatie van de beslissing.</w:t>
            </w:r>
          </w:p>
        </w:tc>
        <w:tc>
          <w:tcPr>
            <w:tcW w:w="516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2.1 Wij stellen voor om de indiener van het verzoekschrift regelmatig op de hoogte te houden van de vorderingen en beslissingen. De uiteindelijke conclusie moet ook met redenen worden omkleed.</w:t>
            </w:r>
          </w:p>
        </w:tc>
        <w:tc>
          <w:tcPr>
            <w:tcW w:w="120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94,4 %</w:t>
            </w:r>
          </w:p>
        </w:tc>
      </w:tr>
      <w:tr>
        <w:trPr>
          <w:trHeight w:val="656" w:hRule="atLeast"/>
        </w:trPr>
        <w:tc>
          <w:tcPr>
            <w:tcW w:w="32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3. Het is moeilijk voor burgers om aan te tonen dat er behoefte is aan nieuwe wetgeving.</w:t>
            </w:r>
          </w:p>
        </w:tc>
        <w:tc>
          <w:tcPr>
            <w:tcW w:w="516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3.1 Onze aanbeveling is dat een verzoekschrift ook moet worden gebruikt als instrument om de noodzaak van nieuwe wetgeving aan te tonen.</w:t>
            </w:r>
          </w:p>
        </w:tc>
        <w:tc>
          <w:tcPr>
            <w:tcW w:w="120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78,4 %</w:t>
            </w:r>
          </w:p>
        </w:tc>
      </w:tr>
    </w:tbl>
    <w:p>
      <w:pPr>
        <w:pStyle w:val="Normal"/>
        <w:rPr/>
      </w:pPr>
      <w:r>
        <w:rPr/>
      </w:r>
    </w:p>
    <w:p>
      <w:pPr>
        <w:pStyle w:val="Normal"/>
        <w:rPr/>
      </w:pPr>
      <w:r>
        <w:rPr/>
      </w:r>
    </w:p>
    <w:p>
      <w:pPr>
        <w:pStyle w:val="Normal"/>
        <w:rPr/>
      </w:pPr>
      <w:r>
        <w:rPr/>
      </w:r>
      <w:r>
        <w:br w:type="page"/>
      </w:r>
    </w:p>
    <w:p>
      <w:pPr>
        <w:pStyle w:val="Titre1"/>
        <w:numPr>
          <w:ilvl w:val="0"/>
          <w:numId w:val="2"/>
        </w:numPr>
        <w:rPr/>
      </w:pPr>
      <w:bookmarkStart w:id="206" w:name="__RefHeading___Toc297349_1346298689"/>
      <w:bookmarkEnd w:id="206"/>
      <w:r>
        <w:rPr/>
        <w:t>II B Nationale Panelen: Frankrijk</w:t>
      </w:r>
    </w:p>
    <w:p>
      <w:pPr>
        <w:pStyle w:val="Normal"/>
        <w:spacing w:before="15880" w:after="57"/>
        <w:rPr/>
      </w:pPr>
      <w:r>
        <w:rPr/>
        <mc:AlternateContent>
          <mc:Choice Requires="wps">
            <w:drawing>
              <wp:anchor behindDoc="0" distT="72390" distB="72390" distL="72390" distR="72390" simplePos="0" locked="0" layoutInCell="1" allowOverlap="1" relativeHeight="39">
                <wp:simplePos x="0" y="0"/>
                <wp:positionH relativeFrom="column">
                  <wp:posOffset>914400</wp:posOffset>
                </wp:positionH>
                <wp:positionV relativeFrom="paragraph">
                  <wp:posOffset>5288280</wp:posOffset>
                </wp:positionV>
                <wp:extent cx="4782820" cy="1020445"/>
                <wp:effectExtent l="0" t="0" r="0" b="0"/>
                <wp:wrapTopAndBottom/>
                <wp:docPr id="75" name="Kader14"/>
                <a:graphic xmlns:a="http://schemas.openxmlformats.org/drawingml/2006/main">
                  <a:graphicData uri="http://schemas.microsoft.com/office/word/2010/wordprocessingShape">
                    <wps:wsp>
                      <wps:cNvSpPr/>
                      <wps:spPr>
                        <a:xfrm>
                          <a:off x="0" y="0"/>
                          <a:ext cx="4782240" cy="1019880"/>
                        </a:xfrm>
                        <a:prstGeom prst="rect">
                          <a:avLst/>
                        </a:prstGeom>
                        <a:solidFill>
                          <a:srgbClr val="eeeeee">
                            <a:alpha val="50000"/>
                          </a:srgbClr>
                        </a:solidFill>
                        <a:ln>
                          <a:noFill/>
                        </a:ln>
                      </wps:spPr>
                      <wps:style>
                        <a:lnRef idx="0"/>
                        <a:fillRef idx="0"/>
                        <a:effectRef idx="0"/>
                        <a:fontRef idx="minor"/>
                      </wps:style>
                      <wps:txbx>
                        <w:txbxContent>
                          <w:p>
                            <w:pPr>
                              <w:pStyle w:val="P68B1DB1Contenudecadre22"/>
                              <w:spacing w:before="57" w:after="57"/>
                              <w:rPr>
                                <w:color w:val="FFFFFF"/>
                              </w:rPr>
                            </w:pPr>
                            <w:r>
                              <w:rPr/>
                              <w:t xml:space="preserve">Dit document is een samenvatting van het verslag over de bijdrage van de burgers aan de conferentie over de toekomst van Europa, georganiseerd door Frankrijk. De volledige versie van het verslag in het Frans is te vinden op de volgende link: </w:t>
                            </w:r>
                          </w:p>
                          <w:p>
                            <w:pPr>
                              <w:pStyle w:val="Contenudecadre"/>
                              <w:spacing w:before="57" w:after="57"/>
                              <w:rPr/>
                            </w:pPr>
                            <w:hyperlink r:id="rId85">
                              <w:r>
                                <w:rPr>
                                  <w:rStyle w:val="LienInternet"/>
                                </w:rPr>
                                <w:t>https://participation-citoyenne.gouv.fr/sites/default/files/2021-11/20211126%20-%20COFE%20-%20Rapport%20final.pdf</w:t>
                              </w:r>
                            </w:hyperlink>
                            <w:r>
                              <w:rPr>
                                <w:color w:val="FFFFFF"/>
                              </w:rPr>
                              <w:t xml:space="preserve"> </w:t>
                            </w:r>
                          </w:p>
                        </w:txbxContent>
                      </wps:txbx>
                      <wps:bodyPr lIns="54000" rIns="54000" tIns="54000" bIns="54000">
                        <a:noAutofit/>
                      </wps:bodyPr>
                    </wps:wsp>
                  </a:graphicData>
                </a:graphic>
              </wp:anchor>
            </w:drawing>
          </mc:Choice>
          <mc:Fallback>
            <w:pict>
              <v:rect id="shape_0" ID="Kader14" fillcolor="#eeeeee" stroked="f" style="position:absolute;margin-left:72pt;margin-top:416.4pt;width:376.5pt;height:80.25pt">
                <w10:wrap type="square"/>
                <v:fill o:detectmouseclick="t" type="solid" color2="#111111" opacity="0.5"/>
                <v:stroke color="#3465a4" joinstyle="round" endcap="flat"/>
                <v:textbox>
                  <w:txbxContent>
                    <w:p>
                      <w:pPr>
                        <w:pStyle w:val="P68B1DB1Contenudecadre22"/>
                        <w:spacing w:before="57" w:after="57"/>
                        <w:rPr>
                          <w:color w:val="FFFFFF"/>
                        </w:rPr>
                      </w:pPr>
                      <w:r>
                        <w:rPr/>
                        <w:t xml:space="preserve">Dit document is een samenvatting van het verslag over de bijdrage van de burgers aan de conferentie over de toekomst van Europa, georganiseerd door Frankrijk. De volledige versie van het verslag in het Frans is te vinden op de volgende link: </w:t>
                      </w:r>
                    </w:p>
                    <w:p>
                      <w:pPr>
                        <w:pStyle w:val="Contenudecadre"/>
                        <w:spacing w:before="57" w:after="57"/>
                        <w:rPr/>
                      </w:pPr>
                      <w:hyperlink r:id="rId86">
                        <w:r>
                          <w:rPr>
                            <w:rStyle w:val="LienInternet"/>
                          </w:rPr>
                          <w:t>https://participation-citoyenne.gouv.fr/sites/default/files/2021-11/20211126%20-%20COFE%20-%20Rapport%20final.pdf</w:t>
                        </w:r>
                      </w:hyperlink>
                      <w:r>
                        <w:rPr>
                          <w:color w:val="FFFFFF"/>
                        </w:rPr>
                        <w:t xml:space="preserve"> </w:t>
                      </w:r>
                    </w:p>
                  </w:txbxContent>
                </v:textbox>
              </v:rect>
            </w:pict>
          </mc:Fallback>
        </mc:AlternateContent>
        <w:drawing>
          <wp:anchor behindDoc="0" distT="0" distB="0" distL="0" distR="0" simplePos="0" locked="0" layoutInCell="1" allowOverlap="1" relativeHeight="34">
            <wp:simplePos x="0" y="0"/>
            <wp:positionH relativeFrom="column">
              <wp:align>center</wp:align>
            </wp:positionH>
            <wp:positionV relativeFrom="paragraph">
              <wp:posOffset>635</wp:posOffset>
            </wp:positionV>
            <wp:extent cx="5443855" cy="6813550"/>
            <wp:effectExtent l="0" t="0" r="0" b="0"/>
            <wp:wrapTopAndBottom/>
            <wp:docPr id="77" name="Afbeelding3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Afbeelding33" descr=""/>
                    <pic:cNvPicPr>
                      <a:picLocks noChangeAspect="1" noChangeArrowheads="1"/>
                    </pic:cNvPicPr>
                  </pic:nvPicPr>
                  <pic:blipFill>
                    <a:blip r:embed="rId87"/>
                    <a:stretch>
                      <a:fillRect/>
                    </a:stretch>
                  </pic:blipFill>
                  <pic:spPr bwMode="auto">
                    <a:xfrm>
                      <a:off x="0" y="0"/>
                      <a:ext cx="5443855" cy="6813550"/>
                    </a:xfrm>
                    <a:prstGeom prst="rect">
                      <a:avLst/>
                    </a:prstGeom>
                  </pic:spPr>
                </pic:pic>
              </a:graphicData>
            </a:graphic>
          </wp:anchor>
        </w:drawing>
        <w:drawing>
          <wp:anchor behindDoc="0" distT="0" distB="0" distL="0" distR="0" simplePos="0" locked="0" layoutInCell="1" allowOverlap="1" relativeHeight="35">
            <wp:simplePos x="0" y="0"/>
            <wp:positionH relativeFrom="column">
              <wp:posOffset>5186680</wp:posOffset>
            </wp:positionH>
            <wp:positionV relativeFrom="paragraph">
              <wp:posOffset>6484620</wp:posOffset>
            </wp:positionV>
            <wp:extent cx="838200" cy="485775"/>
            <wp:effectExtent l="0" t="0" r="0" b="0"/>
            <wp:wrapSquare wrapText="largest"/>
            <wp:docPr id="78" name="Afbeelding3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Afbeelding38" descr=""/>
                    <pic:cNvPicPr>
                      <a:picLocks noChangeAspect="1" noChangeArrowheads="1"/>
                    </pic:cNvPicPr>
                  </pic:nvPicPr>
                  <pic:blipFill>
                    <a:blip r:embed="rId88"/>
                    <a:stretch>
                      <a:fillRect/>
                    </a:stretch>
                  </pic:blipFill>
                  <pic:spPr bwMode="auto">
                    <a:xfrm>
                      <a:off x="0" y="0"/>
                      <a:ext cx="838200" cy="485775"/>
                    </a:xfrm>
                    <a:prstGeom prst="rect">
                      <a:avLst/>
                    </a:prstGeom>
                  </pic:spPr>
                </pic:pic>
              </a:graphicData>
            </a:graphic>
          </wp:anchor>
        </w:drawing>
        <w:drawing>
          <wp:anchor behindDoc="0" distT="0" distB="0" distL="0" distR="0" simplePos="0" locked="0" layoutInCell="1" allowOverlap="1" relativeHeight="36">
            <wp:simplePos x="0" y="0"/>
            <wp:positionH relativeFrom="column">
              <wp:posOffset>3897630</wp:posOffset>
            </wp:positionH>
            <wp:positionV relativeFrom="paragraph">
              <wp:posOffset>6478270</wp:posOffset>
            </wp:positionV>
            <wp:extent cx="1212850" cy="419100"/>
            <wp:effectExtent l="0" t="0" r="0" b="0"/>
            <wp:wrapSquare wrapText="largest"/>
            <wp:docPr id="79" name="Afbeelding3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Afbeelding37" descr=""/>
                    <pic:cNvPicPr>
                      <a:picLocks noChangeAspect="1" noChangeArrowheads="1"/>
                    </pic:cNvPicPr>
                  </pic:nvPicPr>
                  <pic:blipFill>
                    <a:blip r:embed="rId89"/>
                    <a:stretch>
                      <a:fillRect/>
                    </a:stretch>
                  </pic:blipFill>
                  <pic:spPr bwMode="auto">
                    <a:xfrm>
                      <a:off x="0" y="0"/>
                      <a:ext cx="1212850" cy="419100"/>
                    </a:xfrm>
                    <a:prstGeom prst="rect">
                      <a:avLst/>
                    </a:prstGeom>
                  </pic:spPr>
                </pic:pic>
              </a:graphicData>
            </a:graphic>
          </wp:anchor>
        </w:drawing>
        <w:drawing>
          <wp:anchor behindDoc="0" distT="0" distB="0" distL="0" distR="0" simplePos="0" locked="0" layoutInCell="1" allowOverlap="1" relativeHeight="37">
            <wp:simplePos x="0" y="0"/>
            <wp:positionH relativeFrom="column">
              <wp:posOffset>2844800</wp:posOffset>
            </wp:positionH>
            <wp:positionV relativeFrom="paragraph">
              <wp:posOffset>6459220</wp:posOffset>
            </wp:positionV>
            <wp:extent cx="1007745" cy="490855"/>
            <wp:effectExtent l="0" t="0" r="0" b="0"/>
            <wp:wrapSquare wrapText="largest"/>
            <wp:docPr id="80" name="Afbeelding 3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Afbeelding 36" descr=""/>
                    <pic:cNvPicPr>
                      <a:picLocks noChangeAspect="1" noChangeArrowheads="1"/>
                    </pic:cNvPicPr>
                  </pic:nvPicPr>
                  <pic:blipFill>
                    <a:blip r:embed="rId90"/>
                    <a:stretch>
                      <a:fillRect/>
                    </a:stretch>
                  </pic:blipFill>
                  <pic:spPr bwMode="auto">
                    <a:xfrm>
                      <a:off x="0" y="0"/>
                      <a:ext cx="1007745" cy="490855"/>
                    </a:xfrm>
                    <a:prstGeom prst="rect">
                      <a:avLst/>
                    </a:prstGeom>
                  </pic:spPr>
                </pic:pic>
              </a:graphicData>
            </a:graphic>
          </wp:anchor>
        </w:drawing>
        <w:drawing>
          <wp:anchor behindDoc="0" distT="0" distB="0" distL="0" distR="0" simplePos="0" locked="0" layoutInCell="1" allowOverlap="1" relativeHeight="38">
            <wp:simplePos x="0" y="0"/>
            <wp:positionH relativeFrom="column">
              <wp:posOffset>1290955</wp:posOffset>
            </wp:positionH>
            <wp:positionV relativeFrom="paragraph">
              <wp:posOffset>6459220</wp:posOffset>
            </wp:positionV>
            <wp:extent cx="1554480" cy="240030"/>
            <wp:effectExtent l="0" t="0" r="0" b="0"/>
            <wp:wrapSquare wrapText="largest"/>
            <wp:docPr id="81" name="Afbeelding3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Afbeelding34" descr=""/>
                    <pic:cNvPicPr>
                      <a:picLocks noChangeAspect="1" noChangeArrowheads="1"/>
                    </pic:cNvPicPr>
                  </pic:nvPicPr>
                  <pic:blipFill>
                    <a:blip r:embed="rId91"/>
                    <a:stretch>
                      <a:fillRect/>
                    </a:stretch>
                  </pic:blipFill>
                  <pic:spPr bwMode="auto">
                    <a:xfrm>
                      <a:off x="0" y="0"/>
                      <a:ext cx="1554480" cy="240030"/>
                    </a:xfrm>
                    <a:prstGeom prst="rect">
                      <a:avLst/>
                    </a:prstGeom>
                  </pic:spPr>
                </pic:pic>
              </a:graphicData>
            </a:graphic>
          </wp:anchor>
        </w:drawing>
        <w:drawing>
          <wp:anchor behindDoc="0" distT="0" distB="0" distL="0" distR="0" simplePos="0" locked="0" layoutInCell="1" allowOverlap="1" relativeHeight="56">
            <wp:simplePos x="0" y="0"/>
            <wp:positionH relativeFrom="column">
              <wp:posOffset>-47625</wp:posOffset>
            </wp:positionH>
            <wp:positionV relativeFrom="paragraph">
              <wp:posOffset>6496050</wp:posOffset>
            </wp:positionV>
            <wp:extent cx="1281430" cy="614680"/>
            <wp:effectExtent l="0" t="0" r="0" b="0"/>
            <wp:wrapSquare wrapText="largest"/>
            <wp:docPr id="82" name="Afbeelding3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Afbeelding35" descr=""/>
                    <pic:cNvPicPr>
                      <a:picLocks noChangeAspect="1" noChangeArrowheads="1"/>
                    </pic:cNvPicPr>
                  </pic:nvPicPr>
                  <pic:blipFill>
                    <a:blip r:embed="rId92"/>
                    <a:stretch>
                      <a:fillRect/>
                    </a:stretch>
                  </pic:blipFill>
                  <pic:spPr bwMode="auto">
                    <a:xfrm>
                      <a:off x="0" y="0"/>
                      <a:ext cx="1281430" cy="614680"/>
                    </a:xfrm>
                    <a:prstGeom prst="rect">
                      <a:avLst/>
                    </a:prstGeom>
                  </pic:spPr>
                </pic:pic>
              </a:graphicData>
            </a:graphic>
          </wp:anchor>
        </w:drawing>
      </w:r>
    </w:p>
    <w:p>
      <w:pPr>
        <w:pStyle w:val="Normal"/>
        <w:widowControl w:val="false"/>
        <w:spacing w:lineRule="exact" w:line="388" w:before="80" w:after="0"/>
        <w:ind w:left="0" w:right="0" w:hanging="0"/>
        <w:jc w:val="left"/>
        <w:rPr>
          <w:rFonts w:ascii="Times New Roman" w:hAnsi="Times New Roman"/>
          <w:color w:val="000000"/>
          <w:sz w:val="24"/>
        </w:rPr>
      </w:pPr>
      <w:r>
        <w:rPr>
          <w:rFonts w:ascii="Times New Roman" w:hAnsi="Times New Roman"/>
          <w:color w:val="000000"/>
          <w:sz w:val="24"/>
        </w:rPr>
      </w:r>
      <w:r>
        <w:br w:type="page"/>
      </w:r>
    </w:p>
    <w:sdt>
      <w:sdtPr>
        <w:docPartObj>
          <w:docPartGallery w:val="Table of Contents"/>
          <w:docPartUnique w:val="true"/>
        </w:docPartObj>
      </w:sdtPr>
      <w:sdtContent>
        <w:p>
          <w:pPr>
            <w:pStyle w:val="TOAHeading"/>
            <w:suppressLineNumbers/>
            <w:ind w:left="0" w:right="0" w:hanging="0"/>
            <w:rPr/>
          </w:pPr>
          <w:r>
            <w:rPr/>
            <w:t>Overzicht</w:t>
          </w:r>
        </w:p>
        <w:p>
          <w:pPr>
            <w:pStyle w:val="Tabledesmatiresniveau1"/>
            <w:rPr/>
          </w:pPr>
          <w:r>
            <w:fldChar w:fldCharType="begin"/>
          </w:r>
          <w:r>
            <w:rPr>
              <w:rStyle w:val="Sautdindex"/>
            </w:rPr>
            <w:instrText> TOC \f \o "1-3" \h</w:instrText>
          </w:r>
          <w:r>
            <w:rPr>
              <w:rStyle w:val="Sautdindex"/>
            </w:rPr>
            <w:fldChar w:fldCharType="separate"/>
          </w:r>
          <w:hyperlink w:anchor="__RefHeading___Toc297349_1346298689">
            <w:r>
              <w:rPr>
                <w:rStyle w:val="Sautdindex"/>
              </w:rPr>
              <w:t>II B Panels nationaux : France</w:t>
              <w:tab/>
              <w:t>192</w:t>
            </w:r>
          </w:hyperlink>
        </w:p>
        <w:p>
          <w:pPr>
            <w:pStyle w:val="Tabledesmatiresniveau2"/>
            <w:tabs>
              <w:tab w:val="right" w:pos="9638" w:leader="dot"/>
            </w:tabs>
            <w:rPr/>
          </w:pPr>
          <w:hyperlink w:anchor="__RefHeading___Toc300448_1346298689">
            <w:r>
              <w:rPr>
                <w:rStyle w:val="Sautdindex"/>
              </w:rPr>
              <w:t>Introduction</w:t>
              <w:tab/>
              <w:t>194</w:t>
            </w:r>
          </w:hyperlink>
        </w:p>
        <w:p>
          <w:pPr>
            <w:pStyle w:val="Tabledesmatiresniveau2"/>
            <w:tabs>
              <w:tab w:val="right" w:pos="9638" w:leader="dot"/>
            </w:tabs>
            <w:rPr/>
          </w:pPr>
          <w:hyperlink w:anchor="__RefHeading___Toc300450_1346298689">
            <w:r>
              <w:rPr>
                <w:rStyle w:val="Sautdindex"/>
              </w:rPr>
              <w:t>Présentation des principaux résultats</w:t>
              <w:tab/>
              <w:t>197</w:t>
            </w:r>
          </w:hyperlink>
        </w:p>
        <w:p>
          <w:pPr>
            <w:pStyle w:val="Tabledesmatiresniveau2"/>
            <w:tabs>
              <w:tab w:val="right" w:pos="9638" w:leader="dot"/>
            </w:tabs>
            <w:rPr/>
          </w:pPr>
          <w:hyperlink w:anchor="__RefHeading___Toc300452_1346298689">
            <w:r>
              <w:rPr>
                <w:rStyle w:val="Sautdindex"/>
              </w:rPr>
              <w:t>Présentation des panels des conférences régionales</w:t>
              <w:tab/>
              <w:t>199</w:t>
            </w:r>
          </w:hyperlink>
        </w:p>
        <w:p>
          <w:pPr>
            <w:pStyle w:val="Tabledesmatiresniveau2"/>
            <w:tabs>
              <w:tab w:val="right" w:pos="9638" w:leader="dot"/>
            </w:tabs>
            <w:rPr/>
          </w:pPr>
          <w:hyperlink w:anchor="__RefHeading___Toc300454_1346298689">
            <w:r>
              <w:rPr>
                <w:rStyle w:val="Sautdindex"/>
              </w:rPr>
              <w:t>Engagements et partis pris méthodologiques</w:t>
              <w:tab/>
              <w:t>201</w:t>
            </w:r>
          </w:hyperlink>
        </w:p>
        <w:p>
          <w:pPr>
            <w:pStyle w:val="Tabledesmatiresniveau2"/>
            <w:tabs>
              <w:tab w:val="right" w:pos="9638" w:leader="dot"/>
            </w:tabs>
            <w:rPr/>
          </w:pPr>
          <w:hyperlink w:anchor="__RefHeading___Toc300456_1346298689">
            <w:r>
              <w:rPr>
                <w:rStyle w:val="Sautdindex"/>
              </w:rPr>
              <w:t>Première partie: présentation des résultats des conférences régionales sur l’avenir de l’Europe</w:t>
              <w:tab/>
              <w:t>207</w:t>
            </w:r>
          </w:hyperlink>
        </w:p>
        <w:p>
          <w:pPr>
            <w:pStyle w:val="Tabledesmatiresniveau2"/>
            <w:tabs>
              <w:tab w:val="right" w:pos="9638" w:leader="dot"/>
            </w:tabs>
            <w:rPr/>
          </w:pPr>
          <w:hyperlink w:anchor="__RefHeading___Toc297351_1346298689">
            <w:r>
              <w:rPr>
                <w:rStyle w:val="Sautdindex"/>
              </w:rPr>
              <w:t>Seconde partie: présentation des résultats de la consultation « Parole aux Jeunes »</w:t>
              <w:tab/>
              <w:t>218</w:t>
            </w:r>
          </w:hyperlink>
        </w:p>
        <w:p>
          <w:pPr>
            <w:pStyle w:val="Tabledesmatiresniveau2"/>
            <w:tabs>
              <w:tab w:val="right" w:pos="9638" w:leader="dot"/>
            </w:tabs>
            <w:rPr/>
          </w:pPr>
          <w:hyperlink w:anchor="__RefHeading___Toc300458_1346298689">
            <w:r>
              <w:rPr>
                <w:rStyle w:val="Sautdindex"/>
              </w:rPr>
              <w:t>Conclusion</w:t>
              <w:tab/>
              <w:t>221</w:t>
            </w:r>
          </w:hyperlink>
        </w:p>
      </w:sdtContent>
    </w:sdt>
    <w:p>
      <w:pPr>
        <w:pStyle w:val="Normal"/>
        <w:spacing w:before="57" w:after="57"/>
        <w:ind w:left="0" w:right="0" w:hanging="0"/>
        <w:rPr>
          <w:rFonts w:ascii="Arial" w:hAnsi="Arial"/>
          <w:sz w:val="22"/>
        </w:rPr>
      </w:pPr>
      <w:r>
        <w:rPr>
          <w:sz w:val="22"/>
        </w:rPr>
      </w:r>
      <w:r>
        <w:rPr>
          <w:sz w:val="22"/>
        </w:rPr>
        <w:fldChar w:fldCharType="end"/>
      </w:r>
    </w:p>
    <w:p>
      <w:pPr>
        <w:pStyle w:val="Normal"/>
        <w:rPr/>
      </w:pPr>
      <w:r>
        <w:rPr/>
      </w:r>
      <w:r>
        <w:br w:type="page"/>
      </w:r>
    </w:p>
    <w:p>
      <w:pPr>
        <w:pStyle w:val="Titre2"/>
        <w:numPr>
          <w:ilvl w:val="1"/>
          <w:numId w:val="2"/>
        </w:numPr>
        <w:rPr/>
      </w:pPr>
      <w:bookmarkStart w:id="207" w:name="__RefHeading___Toc300448_1346298689"/>
      <w:bookmarkEnd w:id="207"/>
      <w:r>
        <w:rPr/>
        <w:t xml:space="preserve">Introductie </w:t>
      </w:r>
    </w:p>
    <w:p>
      <w:pPr>
        <w:pStyle w:val="P68B1DB1Normal19"/>
        <w:widowControl w:val="false"/>
        <w:spacing w:lineRule="auto" w:line="240" w:before="156" w:after="0"/>
        <w:ind w:left="0" w:right="0" w:hanging="0"/>
        <w:jc w:val="both"/>
        <w:rPr/>
      </w:pPr>
      <w:r>
        <w:rPr/>
        <w:t xml:space="preserve">De Conferentie over de toekomst van Europa is een ongekende burgerparticipatie om de burgers van de 27 lidstaten van de Europese Unie te raadplegen om hen centraal te stellen in de besluiten die de komende jaren en decennia zullen worden genomen. De EU-burgers worden daarom uitgenodigd om hun stem te laten horen en voorstellen te doen voor veranderingen en concrete manieren van actie die Europa in staat zullen stellen een nieuwe ambitie vast te stellen en de mondiale uitdagingen waarmee het vandaag wordt geconfronteerd, aan te pakken. </w:t>
      </w:r>
    </w:p>
    <w:p>
      <w:pPr>
        <w:pStyle w:val="P68B1DB1Normal19"/>
        <w:widowControl w:val="false"/>
        <w:spacing w:lineRule="auto" w:line="240" w:before="156" w:after="0"/>
        <w:ind w:left="0" w:right="0" w:hanging="0"/>
        <w:jc w:val="both"/>
        <w:rPr/>
      </w:pPr>
      <w:r>
        <w:rPr/>
        <w:t xml:space="preserve">De Franse regering steunt de initiatieven van het Trio-voorzitterschap van de Conferentie over de toekomst van Europa, met name door haar burgers aan te moedigen een belangrijke bijdrage te leveren aan het onlineplatform en evenementen in het hele land te organiseren. </w:t>
      </w:r>
    </w:p>
    <w:p>
      <w:pPr>
        <w:pStyle w:val="P68B1DB1Normal19"/>
        <w:widowControl w:val="false"/>
        <w:spacing w:lineRule="auto" w:line="240" w:before="156" w:after="0"/>
        <w:ind w:left="0" w:right="0" w:hanging="0"/>
        <w:jc w:val="left"/>
        <w:rPr/>
      </w:pPr>
      <w:r>
        <w:rPr/>
        <w:t xml:space="preserve">Parallel met deze Europese initiatieven wenste de regering een participatieve oefening op nationaal niveau uit te voeren. </w:t>
      </w:r>
    </w:p>
    <w:p>
      <w:pPr>
        <w:pStyle w:val="P68B1DB1Normal19"/>
        <w:widowControl w:val="false"/>
        <w:spacing w:lineRule="auto" w:line="240" w:before="156" w:after="0"/>
        <w:ind w:left="0" w:right="0" w:hanging="0"/>
        <w:jc w:val="both"/>
        <w:rPr/>
      </w:pPr>
      <w:r>
        <w:rPr/>
        <w:t xml:space="preserve">Met de steun van het ministerie van Betrekkingen met Parlement en Burgerparticipatie (MRPCC) en de expertise van het Interministerieel Centrum voor Burgerparticipatie (ICPC), organiseerde het ministerie van Europa en Buitenlandse Zaken (MEAE) een burgeroefening op basis van sterke methodologische vooroordelen (zie hieronder „Methodologische verbintenissen en vooroordelen”). MEAE baseerde zich op een leveranciersconsortium bestaande uit Roland Berger, Wavestone, Missions Publiques en Harris Interactive. Regionale prefecturen hebben eindelijk een belangrijke rol gespeeld bij het organiseren van de 18 conferenties in het hele land. </w:t>
      </w:r>
    </w:p>
    <w:p>
      <w:pPr>
        <w:pStyle w:val="P68B1DB1Normal19"/>
        <w:widowControl w:val="false"/>
        <w:spacing w:lineRule="auto" w:line="240" w:before="156" w:after="0"/>
        <w:ind w:left="0" w:right="0" w:hanging="0"/>
        <w:jc w:val="both"/>
        <w:rPr/>
      </w:pPr>
      <w:r>
        <w:rPr/>
        <w:t xml:space="preserve">In het kader van deze raadpleging werd een enkele vraag gesteld aan de deelnemers: </w:t>
      </w:r>
      <w:r>
        <w:rPr>
          <w:b/>
          <w:i/>
        </w:rPr>
        <w:t>Welke veranderingen wil je als Franse burger voor Europa?</w:t>
      </w:r>
      <w:r>
        <w:rPr/>
        <w:t xml:space="preserve"> (Zie bijlage IV „Mandaat van deelname”). </w:t>
      </w:r>
    </w:p>
    <w:p>
      <w:pPr>
        <w:pStyle w:val="P68B1DB1Normal19"/>
        <w:widowControl w:val="false"/>
        <w:spacing w:lineRule="auto" w:line="240" w:before="156" w:after="0"/>
        <w:ind w:left="0" w:right="0" w:hanging="0"/>
        <w:jc w:val="both"/>
        <w:rPr/>
      </w:pPr>
      <w:r>
        <w:rPr/>
        <w:t xml:space="preserve">Deze nationale oefening vond plaats in de vorm van 18 regionale conferenties, in de 13 grootstedelijke regio’s en de 5 Franse ultramarijnse regio’s, die in drie weekenden in september en oktober 2021 plaatsvonden en elk tussen 30 en 50 burgers bijeenbrachten per perceel (746 in totaal). De synthese van deze 18 regionale panels werd vervolgens uitgevoerd tijdens een nationale conferentie van 15 tot 17 oktober 2021 in de Economische, Sociale en Milieuraad (EESC in Parijs) en waaraan 98 vrijwillige burgers onder de deelnemers aan de regionale conferenties waren samengebracht. </w:t>
      </w:r>
    </w:p>
    <w:p>
      <w:pPr>
        <w:pStyle w:val="P68B1DB1Normal19"/>
        <w:widowControl w:val="false"/>
        <w:spacing w:lineRule="auto" w:line="240" w:before="156" w:after="0"/>
        <w:ind w:left="0" w:right="0" w:hanging="0"/>
        <w:jc w:val="both"/>
        <w:rPr/>
      </w:pPr>
      <w:r>
        <w:rPr/>
        <w:t xml:space="preserve">Bovendien, en om de woorden van jonge Fransen in de aanloop naar het Europees Jaar van de jeugd in 2022 onder de aandacht </w:t>
      </w:r>
      <w:r>
        <w:rPr>
          <w:i/>
        </w:rPr>
        <w:t>te brengen, heeft het ministerie van Europa en Buitenlandse Zaken in samenwerking met Make.org een online raadpleging georganiseerd met de titel „Speak to Youth</w:t>
      </w:r>
      <w:r>
        <w:rPr/>
        <w:t xml:space="preserve">”. Meer dan 50.000 jongeren van 15 tot 35 jaar spraken hun ideeën en prioriteiten voor het Europa van 2035 uit. </w:t>
      </w:r>
    </w:p>
    <w:p>
      <w:pPr>
        <w:pStyle w:val="P68B1DB1Normal19"/>
        <w:widowControl w:val="false"/>
        <w:spacing w:lineRule="auto" w:line="240" w:before="156" w:after="0"/>
        <w:ind w:left="0" w:right="0" w:hanging="0"/>
        <w:jc w:val="left"/>
        <w:rPr>
          <w:rFonts w:ascii="Times New Roman" w:hAnsi="Times New Roman"/>
          <w:color w:val="000000"/>
          <w:sz w:val="24"/>
        </w:rPr>
      </w:pPr>
      <w:r>
        <w:rPr/>
        <w:t xml:space="preserve">Dit verslag bevat de belangrijkste resultaten van de twee door de regering gevoerde raadplegingen. </w:t>
      </w:r>
    </w:p>
    <w:p>
      <w:pPr>
        <w:pStyle w:val="Normal"/>
        <w:widowControl w:val="false"/>
        <w:spacing w:lineRule="auto" w:line="240" w:before="156" w:after="0"/>
        <w:ind w:left="0" w:right="0" w:hanging="0"/>
        <w:jc w:val="left"/>
        <w:rPr>
          <w:rFonts w:ascii="Times New Roman" w:hAnsi="Times New Roman"/>
          <w:color w:val="000000"/>
          <w:sz w:val="24"/>
        </w:rPr>
      </w:pPr>
      <w:r>
        <w:rPr>
          <w:rFonts w:ascii="Times New Roman" w:hAnsi="Times New Roman"/>
          <w:color w:val="000000"/>
          <w:sz w:val="24"/>
        </w:rPr>
      </w:r>
    </w:p>
    <w:p>
      <w:pPr>
        <w:pStyle w:val="P68B1DB1Normal23"/>
        <w:widowControl w:val="false"/>
        <w:spacing w:lineRule="auto" w:line="240" w:before="156" w:after="0"/>
        <w:ind w:left="0" w:right="0" w:hanging="0"/>
        <w:jc w:val="left"/>
        <w:rPr>
          <w:rFonts w:ascii="Times New Roman" w:hAnsi="Times New Roman"/>
          <w:color w:val="000000"/>
          <w:sz w:val="24"/>
          <w:u w:val="single"/>
        </w:rPr>
      </w:pPr>
      <w:r>
        <w:rPr/>
        <w:t xml:space="preserve">Raadplegingsmethodologie </w:t>
      </w:r>
    </w:p>
    <w:p>
      <w:pPr>
        <w:pStyle w:val="P68B1DB1Normal19"/>
        <w:widowControl w:val="false"/>
        <w:spacing w:lineRule="auto" w:line="240" w:before="156" w:after="0"/>
        <w:ind w:left="0" w:right="0" w:hanging="0"/>
        <w:jc w:val="both"/>
        <w:rPr/>
      </w:pPr>
      <w:r>
        <w:rPr/>
        <w:t xml:space="preserve">De aanwerving van burgers die deelnemen aan regionale conferenties combineerde een willekeurige selectie van deelnemers door middel van een willekeurige trekking van hun telefoonnummers, en een gerichte selectie van profielen om een panel te bereiken dat zo representatief is voor de diversiteit van elk gebied als mogelijk. </w:t>
      </w:r>
    </w:p>
    <w:p>
      <w:pPr>
        <w:pStyle w:val="P68B1DB1Normal19"/>
        <w:widowControl w:val="false"/>
        <w:spacing w:lineRule="auto" w:line="240" w:before="156" w:after="0"/>
        <w:ind w:left="0" w:right="0" w:hanging="0"/>
        <w:jc w:val="both"/>
        <w:rPr/>
      </w:pPr>
      <w:r>
        <w:rPr/>
        <w:t xml:space="preserve">Tijdens de regionale panels spraken de deelnemers afwisselende werktijd in groepen, per tabel van 6 tot 8 burgers, vergezeld van een facilitator en presentatietijden in de plenaire vergadering. Deskundigen waren aanwezig tijdens de reflectietijd om de vragen van burgers te beantwoorden en licht te werpen, terwijl ze een positie van neutraliteit behouden. </w:t>
      </w:r>
    </w:p>
    <w:p>
      <w:pPr>
        <w:pStyle w:val="P68B1DB1Normal19"/>
        <w:widowControl w:val="false"/>
        <w:spacing w:lineRule="auto" w:line="240" w:before="156" w:after="0"/>
        <w:ind w:left="0" w:right="0" w:hanging="0"/>
        <w:jc w:val="both"/>
        <w:rPr/>
      </w:pPr>
      <w:r>
        <w:rPr/>
        <w:t xml:space="preserve">De burgers werden eerst uitgenodigd om hun huidige perceptie van Europa te bespreken. Vervolgens spraken zij hun </w:t>
      </w:r>
      <w:r>
        <w:rPr>
          <w:b/>
        </w:rPr>
        <w:t>wens uit voor het Europa van 2035</w:t>
      </w:r>
      <w:r>
        <w:rPr/>
        <w:t xml:space="preserve">, als fractie en vervolgens in plenaire vergadering. Deze discussies maakten het mogelijk om tussen de 3 en 8 wensen per regio te identificeren. Voor elk van deze wensen formuleerden de burgers vervolgens de </w:t>
      </w:r>
      <w:r>
        <w:rPr>
          <w:b/>
        </w:rPr>
        <w:t>veranderingen</w:t>
      </w:r>
      <w:r>
        <w:rPr/>
        <w:t xml:space="preserve"> die zij nodig achten om het gewenste Europa te bereiken en vervolgens te illustreren met concrete voorstellen die ten uitvoer moesten worden gelegd. Dit proces resulteerde in een totaal van 515 veranderingen en 1.301 concrete voorstellen op nationaal niveau. </w:t>
      </w:r>
    </w:p>
    <w:p>
      <w:pPr>
        <w:pStyle w:val="P68B1DB1Normal19"/>
        <w:widowControl w:val="false"/>
        <w:spacing w:lineRule="auto" w:line="240" w:before="156" w:after="0"/>
        <w:ind w:left="0" w:right="0" w:hanging="0"/>
        <w:jc w:val="left"/>
        <w:rPr/>
      </w:pPr>
      <w:r>
        <w:rPr/>
        <w:t xml:space="preserve">Elke regionale conferentie resulteerde in het schrijven van een regionaal syntheseverslag aan alle deelnemers voorafgaand aan de nationale conferentie. </w:t>
      </w:r>
    </w:p>
    <w:p>
      <w:pPr>
        <w:pStyle w:val="P68B1DB1Normal19"/>
        <w:widowControl w:val="false"/>
        <w:spacing w:lineRule="auto" w:line="240" w:before="156" w:after="0"/>
        <w:ind w:left="0" w:right="0" w:hanging="0"/>
        <w:jc w:val="both"/>
        <w:rPr/>
      </w:pPr>
      <w:r>
        <w:rPr/>
        <w:t xml:space="preserve">De Nationale Synthese Conferentie bracht 98 willekeurig getrokken burgers onder de deelnemers aan de 18 regionale conferenties samen. Om de diversiteit van het nationale panel te waarborgen, werden 6 burgers door loting getrokken onder de vrijwilligers van de regionale conferenties in het grootstedelijk Frankrijk en de Réunion en 4 burgers voor ultramarijne conferenties, met inachtneming van pariteit en een diversiteit van leeftijd in elke regionale trekking (zie bijlage II). </w:t>
      </w:r>
    </w:p>
    <w:p>
      <w:pPr>
        <w:pStyle w:val="Normal"/>
        <w:widowControl w:val="false"/>
        <w:spacing w:lineRule="auto" w:line="240" w:before="156" w:after="0"/>
        <w:ind w:left="0" w:right="0" w:hanging="0"/>
        <w:jc w:val="both"/>
        <w:rPr/>
      </w:pPr>
      <w:r>
        <w:rPr>
          <w:rFonts w:ascii="Times New Roman" w:hAnsi="Times New Roman"/>
          <w:color w:val="000000"/>
          <w:sz w:val="24"/>
        </w:rPr>
        <w:t>Ter voorbereiding van de nationale conferentie werden de 515 tijdens de regionale conferenties vastgestelde veranderingen geanalyseerd en met elkaar in overeenstemming gebracht wanneer hun onderliggende voornemen vergelijkbaar of dichtbij leek, om 14 groepen</w:t>
      </w:r>
      <w:r>
        <w:rPr>
          <w:rFonts w:ascii="Times New Roman" w:hAnsi="Times New Roman"/>
          <w:b/>
          <w:color w:val="000000"/>
          <w:sz w:val="24"/>
        </w:rPr>
        <w:t xml:space="preserve"> </w:t>
      </w:r>
      <w:r>
        <w:rPr>
          <w:rFonts w:ascii="Times New Roman" w:hAnsi="Times New Roman"/>
          <w:color w:val="000000"/>
          <w:sz w:val="24"/>
        </w:rPr>
        <w:t>van veranderingen te vormen die een gemeenschappelijke wens voor Europa weerspiegelen (zie deel 6). Deze 14 Europese wensen dienden als basis voor de werkzaamheden van de 98 deelnemers aan de nationale conferentie, die tot taak hadden het werk in de regio’s te verrijken en tegemoet te komen aan de wensen van Europa, de veranderingen en de voorstellen met behulp van twintig deskundigen om tot een lijst van prioritaire veranderingen te komen. Uiteindelijk selecteerde elke groep drie belangrijke wijzigingen,</w:t>
      </w:r>
      <w:r>
        <w:rPr>
          <w:rFonts w:ascii="Times New Roman" w:hAnsi="Times New Roman"/>
          <w:b/>
          <w:color w:val="000000"/>
          <w:sz w:val="24"/>
        </w:rPr>
        <w:t xml:space="preserve"> </w:t>
      </w:r>
      <w:r>
        <w:rPr>
          <w:rFonts w:ascii="Times New Roman" w:hAnsi="Times New Roman"/>
          <w:color w:val="000000"/>
          <w:sz w:val="24"/>
        </w:rPr>
        <w:t xml:space="preserve">waarvan de eerste door alle 98 burgers werd goedgekeurd, waarbij een definitieve rangschikking van de 14 prioritaire wijzigingen werd vastgesteld. Een syntheseverslag consolideert al het werk van deze conferentie. </w:t>
      </w:r>
      <w:r>
        <w:br w:type="page"/>
      </w:r>
    </w:p>
    <w:p>
      <w:pPr>
        <w:pStyle w:val="P68B1DB1Normal19"/>
        <w:spacing w:lineRule="auto" w:line="240" w:before="156" w:after="0"/>
        <w:ind w:left="0" w:right="0" w:hanging="0"/>
        <w:rPr/>
      </w:pPr>
      <w:r>
        <w:rPr/>
        <w:t xml:space="preserve">De online consultatie „Parole aux Jeunes” in samenwerking met Make.org vond plaats van mei tot juli 2021. Meer dan 50.000 deelnemers namen deel en dienden bijna 3.000 voorstellen voor Europa in. Op basis van alle reacties van jonge burgers werden 35 belangrijke ideeën geïdentificeerd, waarvan er 22 alom geprezen werden en 13 het onderwerp van controverse onder de deelnemers waren (zie deel 11). </w:t>
      </w:r>
    </w:p>
    <w:p>
      <w:pPr>
        <w:pStyle w:val="P68B1DB1Normal19"/>
        <w:widowControl w:val="false"/>
        <w:spacing w:lineRule="auto" w:line="240" w:before="156" w:after="0"/>
        <w:ind w:left="0" w:right="0" w:hanging="0"/>
        <w:jc w:val="left"/>
        <w:rPr/>
      </w:pPr>
      <w:r>
        <w:rPr>
          <w:u w:val="single"/>
        </w:rPr>
        <w:t>Punt van uitgang en recht onmiddellijk</w:t>
      </w:r>
      <w:r>
        <w:rPr/>
        <w:t xml:space="preserve"> </w:t>
      </w:r>
    </w:p>
    <w:p>
      <w:pPr>
        <w:pStyle w:val="P68B1DB1Normal19"/>
        <w:widowControl w:val="false"/>
        <w:spacing w:lineRule="auto" w:line="240" w:before="156" w:after="0"/>
        <w:ind w:left="0" w:right="0" w:hanging="0"/>
        <w:jc w:val="both"/>
        <w:rPr/>
      </w:pPr>
      <w:r>
        <w:rPr/>
        <w:t xml:space="preserve">Dit verslag zal door de burgers op 29 november 2021 aan de regering worden voorgelegd, in aanwezigheid van Frans verkozen leden van de voltallige vergadering van de Conferentie over de toekomst van Europa. Het zal worden voorgelegd aan het trio van voorzitterschappen van de Conferentie tijdens het Franse voorzitterschap van de Raad van de Europese Unie (PFUE). </w:t>
      </w:r>
    </w:p>
    <w:p>
      <w:pPr>
        <w:pStyle w:val="P68B1DB1Normal19"/>
        <w:widowControl w:val="false"/>
        <w:spacing w:lineRule="auto" w:line="240" w:before="156" w:after="0"/>
        <w:ind w:left="0" w:right="0" w:hanging="0"/>
        <w:jc w:val="both"/>
        <w:rPr/>
      </w:pPr>
      <w:r>
        <w:rPr/>
        <w:t xml:space="preserve">Aan het einde van de nationale syntheseconferentie in het EESC en om tegemoet te komen aan de hoge verwachtingen van de burgers die door veel burgers zijn opgesteld, werd een follow-upcomité voor de burger opgericht dat het follow-uprecht van de deelnemers belichaamt. Dit comité, bestaande uit 15 leden — 14 vertegenwoordigers van regionale conferenties en een vertegenwoordiger van de „Parole aux Jeunes”-raadpleging — zal tot taak hebben de burgers te informeren over de toekomst van hun voorstellen. Aan elke vergadering van de voltallige vergadering van de Conferentie zal een of een van de leden van het toezichtcomité deelnemen als vertegenwoordiger van de Franse exercitie om de in dit verslag geformuleerde voorstellen onder de aandacht te brengen en tegelijkertijd een gemeenschappelijk standpunt uit te werken met alle vertegenwoordigde Europese burgers. </w:t>
      </w:r>
    </w:p>
    <w:p>
      <w:pPr>
        <w:pStyle w:val="P68B1DB1Normal19"/>
        <w:widowControl w:val="false"/>
        <w:spacing w:lineRule="auto" w:line="240" w:before="156" w:after="0"/>
        <w:ind w:left="0" w:right="0" w:hanging="0"/>
        <w:jc w:val="both"/>
        <w:rPr/>
      </w:pPr>
      <w:r>
        <w:rPr/>
        <w:t xml:space="preserve">Alle documenten van de Franse raadpleging zijn openbaar en toegankelijk voor iedereen op het platform voor burgerparticipatie van de Franse staat: deelnamemandaat, regionale samenvattingen, nationale synthese, borgverslag en eindverslag. </w:t>
      </w:r>
    </w:p>
    <w:p>
      <w:pPr>
        <w:pStyle w:val="Normal"/>
        <w:spacing w:lineRule="auto" w:line="240" w:before="156" w:after="0"/>
        <w:ind w:left="0" w:right="0" w:hanging="0"/>
        <w:rPr/>
      </w:pPr>
      <w:r>
        <w:rPr/>
      </w:r>
    </w:p>
    <w:p>
      <w:pPr>
        <w:pStyle w:val="Normal"/>
        <w:rPr/>
      </w:pPr>
      <w:r>
        <w:rPr/>
      </w:r>
      <w:r>
        <w:br w:type="page"/>
      </w:r>
    </w:p>
    <w:p>
      <w:pPr>
        <w:pStyle w:val="Titre2"/>
        <w:numPr>
          <w:ilvl w:val="1"/>
          <w:numId w:val="2"/>
        </w:numPr>
        <w:rPr/>
      </w:pPr>
      <w:bookmarkStart w:id="208" w:name="__RefHeading___Toc300450_1346298689"/>
      <w:bookmarkEnd w:id="208"/>
      <w:r>
        <mc:AlternateContent>
          <mc:Choice Requires="wps">
            <w:drawing>
              <wp:anchor behindDoc="0" distT="72390" distB="72390" distL="72390" distR="72390" simplePos="0" locked="0" layoutInCell="1" allowOverlap="1" relativeHeight="46">
                <wp:simplePos x="0" y="0"/>
                <wp:positionH relativeFrom="column">
                  <wp:posOffset>3595370</wp:posOffset>
                </wp:positionH>
                <wp:positionV relativeFrom="paragraph">
                  <wp:posOffset>108585</wp:posOffset>
                </wp:positionV>
                <wp:extent cx="2486660" cy="6927215"/>
                <wp:effectExtent l="0" t="0" r="0" b="0"/>
                <wp:wrapSquare wrapText="bothSides"/>
                <wp:docPr id="83" name="Kader21"/>
                <a:graphic xmlns:a="http://schemas.openxmlformats.org/drawingml/2006/main">
                  <a:graphicData uri="http://schemas.microsoft.com/office/word/2010/wordprocessingShape">
                    <wps:wsp>
                      <wps:cNvSpPr/>
                      <wps:spPr>
                        <a:xfrm>
                          <a:off x="0" y="0"/>
                          <a:ext cx="2486160" cy="6926760"/>
                        </a:xfrm>
                        <a:prstGeom prst="rect">
                          <a:avLst/>
                        </a:prstGeom>
                        <a:solidFill>
                          <a:srgbClr val="ffffff"/>
                        </a:solidFill>
                        <a:ln w="720">
                          <a:solidFill>
                            <a:srgbClr val="000000"/>
                          </a:solidFill>
                          <a:round/>
                        </a:ln>
                      </wps:spPr>
                      <wps:style>
                        <a:lnRef idx="0"/>
                        <a:fillRef idx="0"/>
                        <a:effectRef idx="0"/>
                        <a:fontRef idx="minor"/>
                      </wps:style>
                      <wps:txbx>
                        <w:txbxContent>
                          <w:p>
                            <w:pPr>
                              <w:pStyle w:val="Contenudecadre"/>
                              <w:spacing w:before="57" w:after="57"/>
                              <w:rPr>
                                <w:color w:val="auto"/>
                              </w:rPr>
                            </w:pPr>
                            <w:r>
                              <w:rPr>
                                <w:color w:val="auto"/>
                              </w:rPr>
                              <w:t>Overzicht van de Franse bijdrage aan de conferentie over de toekomst van Europa</w:t>
                            </w:r>
                          </w:p>
                          <w:p>
                            <w:pPr>
                              <w:pStyle w:val="Contenudecadre"/>
                              <w:rPr>
                                <w:color w:val="auto"/>
                              </w:rPr>
                            </w:pPr>
                            <w:r>
                              <w:rPr>
                                <w:color w:val="auto"/>
                              </w:rPr>
                            </w:r>
                          </w:p>
                          <w:p>
                            <w:pPr>
                              <w:pStyle w:val="Contenudecadre"/>
                              <w:rPr>
                                <w:color w:val="auto"/>
                              </w:rPr>
                            </w:pPr>
                            <w:r>
                              <w:rPr>
                                <w:color w:val="auto"/>
                              </w:rPr>
                              <w:t>De door loting getrokken burgers moesten de vraag beantwoorden: „Welke verandering wil je als Franse burger voor Europa?”</w:t>
                            </w:r>
                          </w:p>
                          <w:p>
                            <w:pPr>
                              <w:pStyle w:val="Contenudecadre"/>
                              <w:rPr>
                                <w:color w:val="auto"/>
                              </w:rPr>
                            </w:pPr>
                            <w:r>
                              <w:rPr>
                                <w:color w:val="auto"/>
                              </w:rPr>
                            </w:r>
                          </w:p>
                          <w:p>
                            <w:pPr>
                              <w:pStyle w:val="Contenudecadre"/>
                              <w:rPr>
                                <w:color w:val="auto"/>
                              </w:rPr>
                            </w:pPr>
                            <w:r>
                              <w:rPr>
                                <w:color w:val="auto"/>
                              </w:rPr>
                              <w:t xml:space="preserve">Top 10 prioriteitswijzigingen voor Europa van 2035 </w:t>
                            </w:r>
                          </w:p>
                          <w:p>
                            <w:pPr>
                              <w:pStyle w:val="Contenudecadre"/>
                              <w:rPr>
                                <w:color w:val="auto"/>
                              </w:rPr>
                            </w:pPr>
                            <w:r>
                              <w:rPr>
                                <w:color w:val="auto"/>
                              </w:rPr>
                            </w:r>
                          </w:p>
                          <w:p>
                            <w:pPr>
                              <w:pStyle w:val="Contenudecadre"/>
                              <w:rPr>
                                <w:color w:val="auto"/>
                              </w:rPr>
                            </w:pPr>
                            <w:r>
                              <w:rPr>
                                <w:color w:val="auto"/>
                              </w:rPr>
                              <w:t xml:space="preserve">1. Ontwikkelen van </w:t>
                            </w:r>
                            <w:r>
                              <w:rPr>
                                <w:b/>
                                <w:color w:val="auto"/>
                              </w:rPr>
                              <w:t>energie soberheid</w:t>
                            </w:r>
                            <w:r>
                              <w:rPr>
                                <w:color w:val="auto"/>
                              </w:rPr>
                              <w:t xml:space="preserve"> om minder te consumeren door het stoppen van de overbodige</w:t>
                            </w:r>
                          </w:p>
                          <w:p>
                            <w:pPr>
                              <w:pStyle w:val="Contenudecadre"/>
                              <w:rPr>
                                <w:b w:val="false"/>
                                <w:b w:val="false"/>
                                <w:color w:val="auto"/>
                              </w:rPr>
                            </w:pPr>
                            <w:r>
                              <w:rPr>
                                <w:b w:val="false"/>
                                <w:color w:val="auto"/>
                              </w:rPr>
                            </w:r>
                          </w:p>
                          <w:p>
                            <w:pPr>
                              <w:pStyle w:val="Contenudecadre"/>
                              <w:rPr>
                                <w:color w:val="auto"/>
                              </w:rPr>
                            </w:pPr>
                            <w:r>
                              <w:rPr>
                                <w:color w:val="auto"/>
                              </w:rPr>
                              <w:t>2. Versterking van de</w:t>
                            </w:r>
                            <w:r>
                              <w:rPr>
                                <w:b/>
                                <w:color w:val="auto"/>
                              </w:rPr>
                              <w:t>gemeenschappelijke defensie en veiligheid van</w:t>
                            </w:r>
                            <w:r>
                              <w:rPr>
                                <w:color w:val="auto"/>
                              </w:rPr>
                              <w:t>de Europese Unie</w:t>
                            </w:r>
                          </w:p>
                          <w:p>
                            <w:pPr>
                              <w:pStyle w:val="Contenudecadre"/>
                              <w:rPr>
                                <w:b w:val="false"/>
                                <w:b w:val="false"/>
                                <w:color w:val="auto"/>
                              </w:rPr>
                            </w:pPr>
                            <w:r>
                              <w:rPr>
                                <w:b w:val="false"/>
                                <w:color w:val="auto"/>
                              </w:rPr>
                            </w:r>
                          </w:p>
                          <w:p>
                            <w:pPr>
                              <w:pStyle w:val="Contenudecadre"/>
                              <w:rPr>
                                <w:color w:val="auto"/>
                              </w:rPr>
                            </w:pPr>
                            <w:r>
                              <w:rPr>
                                <w:color w:val="auto"/>
                              </w:rPr>
                              <w:t xml:space="preserve">3. Collectieve </w:t>
                            </w:r>
                            <w:r>
                              <w:rPr>
                                <w:b/>
                                <w:color w:val="auto"/>
                              </w:rPr>
                              <w:t>economische prestaties</w:t>
                            </w:r>
                            <w:r>
                              <w:rPr>
                                <w:color w:val="auto"/>
                              </w:rPr>
                              <w:t xml:space="preserve"> bevorderen door middel van een autonome, concurrerende en gewaardeerde industrie door de EU</w:t>
                            </w:r>
                          </w:p>
                          <w:p>
                            <w:pPr>
                              <w:pStyle w:val="Contenudecadre"/>
                              <w:rPr>
                                <w:b w:val="false"/>
                                <w:b w:val="false"/>
                                <w:color w:val="auto"/>
                              </w:rPr>
                            </w:pPr>
                            <w:r>
                              <w:rPr>
                                <w:b w:val="false"/>
                                <w:color w:val="auto"/>
                              </w:rPr>
                            </w:r>
                          </w:p>
                          <w:p>
                            <w:pPr>
                              <w:pStyle w:val="Contenudecadre"/>
                              <w:rPr>
                                <w:color w:val="auto"/>
                              </w:rPr>
                            </w:pPr>
                            <w:r>
                              <w:rPr>
                                <w:color w:val="auto"/>
                              </w:rPr>
                              <w:t xml:space="preserve">4. </w:t>
                            </w:r>
                            <w:r>
                              <w:rPr>
                                <w:b/>
                                <w:color w:val="auto"/>
                              </w:rPr>
                              <w:t>Empowerment van burgers</w:t>
                            </w:r>
                            <w:r>
                              <w:rPr>
                                <w:color w:val="auto"/>
                              </w:rPr>
                              <w:t xml:space="preserve"> op verschillende niveaus: participatie, beslissing, controle</w:t>
                            </w:r>
                          </w:p>
                          <w:p>
                            <w:pPr>
                              <w:pStyle w:val="Contenudecadre"/>
                              <w:rPr>
                                <w:b w:val="false"/>
                                <w:b w:val="false"/>
                                <w:color w:val="auto"/>
                              </w:rPr>
                            </w:pPr>
                            <w:r>
                              <w:rPr>
                                <w:b w:val="false"/>
                                <w:color w:val="auto"/>
                              </w:rPr>
                            </w:r>
                          </w:p>
                          <w:p>
                            <w:pPr>
                              <w:pStyle w:val="Contenudecadre"/>
                              <w:rPr>
                                <w:color w:val="auto"/>
                              </w:rPr>
                            </w:pPr>
                            <w:r>
                              <w:rPr>
                                <w:color w:val="auto"/>
                              </w:rPr>
                              <w:t xml:space="preserve">5. Op weg naar een </w:t>
                            </w:r>
                            <w:r>
                              <w:rPr>
                                <w:b/>
                                <w:color w:val="auto"/>
                              </w:rPr>
                              <w:t>federatie van Europese staten</w:t>
                            </w:r>
                            <w:r>
                              <w:rPr>
                                <w:color w:val="auto"/>
                              </w:rPr>
                              <w:t xml:space="preserve"> met sterke bevoegdheden op gebieden van gemeenschappelijk belang</w:t>
                            </w:r>
                          </w:p>
                          <w:p>
                            <w:pPr>
                              <w:pStyle w:val="Contenudecadre"/>
                              <w:rPr>
                                <w:b w:val="false"/>
                                <w:b w:val="false"/>
                                <w:color w:val="auto"/>
                              </w:rPr>
                            </w:pPr>
                            <w:r>
                              <w:rPr>
                                <w:b w:val="false"/>
                                <w:color w:val="auto"/>
                              </w:rPr>
                            </w:r>
                          </w:p>
                          <w:p>
                            <w:pPr>
                              <w:pStyle w:val="Contenudecadre"/>
                              <w:spacing w:before="57" w:after="57"/>
                              <w:rPr>
                                <w:color w:val="auto"/>
                              </w:rPr>
                            </w:pPr>
                            <w:r>
                              <w:rPr>
                                <w:color w:val="auto"/>
                              </w:rPr>
                              <w:t xml:space="preserve">6. Bieden levenslange </w:t>
                            </w:r>
                            <w:r>
                              <w:rPr>
                                <w:b/>
                                <w:color w:val="auto"/>
                              </w:rPr>
                              <w:t>uitwisselingsprogramma’s aan</w:t>
                            </w:r>
                          </w:p>
                        </w:txbxContent>
                      </wps:txbx>
                      <wps:bodyPr lIns="54000" rIns="54000" tIns="54000" bIns="54000">
                        <a:noAutofit/>
                      </wps:bodyPr>
                    </wps:wsp>
                  </a:graphicData>
                </a:graphic>
              </wp:anchor>
            </w:drawing>
          </mc:Choice>
          <mc:Fallback>
            <w:pict>
              <v:rect id="shape_0" ID="Kader21" fillcolor="white" stroked="t" style="position:absolute;margin-left:283.1pt;margin-top:8.55pt;width:195.7pt;height:545.35pt">
                <w10:wrap type="square"/>
                <v:fill o:detectmouseclick="t" type="solid" color2="black"/>
                <v:stroke color="black" weight="720" joinstyle="round" endcap="flat"/>
                <v:textbox>
                  <w:txbxContent>
                    <w:p>
                      <w:pPr>
                        <w:pStyle w:val="Contenudecadre"/>
                        <w:spacing w:before="57" w:after="57"/>
                        <w:rPr>
                          <w:color w:val="auto"/>
                        </w:rPr>
                      </w:pPr>
                      <w:r>
                        <w:rPr>
                          <w:color w:val="auto"/>
                        </w:rPr>
                        <w:t>Overzicht van de Franse bijdrage aan de conferentie over de toekomst van Europa</w:t>
                      </w:r>
                    </w:p>
                    <w:p>
                      <w:pPr>
                        <w:pStyle w:val="Contenudecadre"/>
                        <w:rPr>
                          <w:color w:val="auto"/>
                        </w:rPr>
                      </w:pPr>
                      <w:r>
                        <w:rPr>
                          <w:color w:val="auto"/>
                        </w:rPr>
                      </w:r>
                    </w:p>
                    <w:p>
                      <w:pPr>
                        <w:pStyle w:val="Contenudecadre"/>
                        <w:rPr>
                          <w:color w:val="auto"/>
                        </w:rPr>
                      </w:pPr>
                      <w:r>
                        <w:rPr>
                          <w:color w:val="auto"/>
                        </w:rPr>
                        <w:t>De door loting getrokken burgers moesten de vraag beantwoorden: „Welke verandering wil je als Franse burger voor Europa?”</w:t>
                      </w:r>
                    </w:p>
                    <w:p>
                      <w:pPr>
                        <w:pStyle w:val="Contenudecadre"/>
                        <w:rPr>
                          <w:color w:val="auto"/>
                        </w:rPr>
                      </w:pPr>
                      <w:r>
                        <w:rPr>
                          <w:color w:val="auto"/>
                        </w:rPr>
                      </w:r>
                    </w:p>
                    <w:p>
                      <w:pPr>
                        <w:pStyle w:val="Contenudecadre"/>
                        <w:rPr>
                          <w:color w:val="auto"/>
                        </w:rPr>
                      </w:pPr>
                      <w:r>
                        <w:rPr>
                          <w:color w:val="auto"/>
                        </w:rPr>
                        <w:t xml:space="preserve">Top 10 prioriteitswijzigingen voor Europa van 2035 </w:t>
                      </w:r>
                    </w:p>
                    <w:p>
                      <w:pPr>
                        <w:pStyle w:val="Contenudecadre"/>
                        <w:rPr>
                          <w:color w:val="auto"/>
                        </w:rPr>
                      </w:pPr>
                      <w:r>
                        <w:rPr>
                          <w:color w:val="auto"/>
                        </w:rPr>
                      </w:r>
                    </w:p>
                    <w:p>
                      <w:pPr>
                        <w:pStyle w:val="Contenudecadre"/>
                        <w:rPr>
                          <w:color w:val="auto"/>
                        </w:rPr>
                      </w:pPr>
                      <w:r>
                        <w:rPr>
                          <w:color w:val="auto"/>
                        </w:rPr>
                        <w:t xml:space="preserve">1. Ontwikkelen van </w:t>
                      </w:r>
                      <w:r>
                        <w:rPr>
                          <w:b/>
                          <w:color w:val="auto"/>
                        </w:rPr>
                        <w:t>energie soberheid</w:t>
                      </w:r>
                      <w:r>
                        <w:rPr>
                          <w:color w:val="auto"/>
                        </w:rPr>
                        <w:t xml:space="preserve"> om minder te consumeren door het stoppen van de overbodige</w:t>
                      </w:r>
                    </w:p>
                    <w:p>
                      <w:pPr>
                        <w:pStyle w:val="Contenudecadre"/>
                        <w:rPr>
                          <w:b w:val="false"/>
                          <w:b w:val="false"/>
                          <w:color w:val="auto"/>
                        </w:rPr>
                      </w:pPr>
                      <w:r>
                        <w:rPr>
                          <w:b w:val="false"/>
                          <w:color w:val="auto"/>
                        </w:rPr>
                      </w:r>
                    </w:p>
                    <w:p>
                      <w:pPr>
                        <w:pStyle w:val="Contenudecadre"/>
                        <w:rPr>
                          <w:color w:val="auto"/>
                        </w:rPr>
                      </w:pPr>
                      <w:r>
                        <w:rPr>
                          <w:color w:val="auto"/>
                        </w:rPr>
                        <w:t>2. Versterking van de</w:t>
                      </w:r>
                      <w:r>
                        <w:rPr>
                          <w:b/>
                          <w:color w:val="auto"/>
                        </w:rPr>
                        <w:t>gemeenschappelijke defensie en veiligheid van</w:t>
                      </w:r>
                      <w:r>
                        <w:rPr>
                          <w:color w:val="auto"/>
                        </w:rPr>
                        <w:t>de Europese Unie</w:t>
                      </w:r>
                    </w:p>
                    <w:p>
                      <w:pPr>
                        <w:pStyle w:val="Contenudecadre"/>
                        <w:rPr>
                          <w:b w:val="false"/>
                          <w:b w:val="false"/>
                          <w:color w:val="auto"/>
                        </w:rPr>
                      </w:pPr>
                      <w:r>
                        <w:rPr>
                          <w:b w:val="false"/>
                          <w:color w:val="auto"/>
                        </w:rPr>
                      </w:r>
                    </w:p>
                    <w:p>
                      <w:pPr>
                        <w:pStyle w:val="Contenudecadre"/>
                        <w:rPr>
                          <w:color w:val="auto"/>
                        </w:rPr>
                      </w:pPr>
                      <w:r>
                        <w:rPr>
                          <w:color w:val="auto"/>
                        </w:rPr>
                        <w:t xml:space="preserve">3. Collectieve </w:t>
                      </w:r>
                      <w:r>
                        <w:rPr>
                          <w:b/>
                          <w:color w:val="auto"/>
                        </w:rPr>
                        <w:t>economische prestaties</w:t>
                      </w:r>
                      <w:r>
                        <w:rPr>
                          <w:color w:val="auto"/>
                        </w:rPr>
                        <w:t xml:space="preserve"> bevorderen door middel van een autonome, concurrerende en gewaardeerde industrie door de EU</w:t>
                      </w:r>
                    </w:p>
                    <w:p>
                      <w:pPr>
                        <w:pStyle w:val="Contenudecadre"/>
                        <w:rPr>
                          <w:b w:val="false"/>
                          <w:b w:val="false"/>
                          <w:color w:val="auto"/>
                        </w:rPr>
                      </w:pPr>
                      <w:r>
                        <w:rPr>
                          <w:b w:val="false"/>
                          <w:color w:val="auto"/>
                        </w:rPr>
                      </w:r>
                    </w:p>
                    <w:p>
                      <w:pPr>
                        <w:pStyle w:val="Contenudecadre"/>
                        <w:rPr>
                          <w:color w:val="auto"/>
                        </w:rPr>
                      </w:pPr>
                      <w:r>
                        <w:rPr>
                          <w:color w:val="auto"/>
                        </w:rPr>
                        <w:t xml:space="preserve">4. </w:t>
                      </w:r>
                      <w:r>
                        <w:rPr>
                          <w:b/>
                          <w:color w:val="auto"/>
                        </w:rPr>
                        <w:t>Empowerment van burgers</w:t>
                      </w:r>
                      <w:r>
                        <w:rPr>
                          <w:color w:val="auto"/>
                        </w:rPr>
                        <w:t xml:space="preserve"> op verschillende niveaus: participatie, beslissing, controle</w:t>
                      </w:r>
                    </w:p>
                    <w:p>
                      <w:pPr>
                        <w:pStyle w:val="Contenudecadre"/>
                        <w:rPr>
                          <w:b w:val="false"/>
                          <w:b w:val="false"/>
                          <w:color w:val="auto"/>
                        </w:rPr>
                      </w:pPr>
                      <w:r>
                        <w:rPr>
                          <w:b w:val="false"/>
                          <w:color w:val="auto"/>
                        </w:rPr>
                      </w:r>
                    </w:p>
                    <w:p>
                      <w:pPr>
                        <w:pStyle w:val="Contenudecadre"/>
                        <w:rPr>
                          <w:color w:val="auto"/>
                        </w:rPr>
                      </w:pPr>
                      <w:r>
                        <w:rPr>
                          <w:color w:val="auto"/>
                        </w:rPr>
                        <w:t xml:space="preserve">5. Op weg naar een </w:t>
                      </w:r>
                      <w:r>
                        <w:rPr>
                          <w:b/>
                          <w:color w:val="auto"/>
                        </w:rPr>
                        <w:t>federatie van Europese staten</w:t>
                      </w:r>
                      <w:r>
                        <w:rPr>
                          <w:color w:val="auto"/>
                        </w:rPr>
                        <w:t xml:space="preserve"> met sterke bevoegdheden op gebieden van gemeenschappelijk belang</w:t>
                      </w:r>
                    </w:p>
                    <w:p>
                      <w:pPr>
                        <w:pStyle w:val="Contenudecadre"/>
                        <w:rPr>
                          <w:b w:val="false"/>
                          <w:b w:val="false"/>
                          <w:color w:val="auto"/>
                        </w:rPr>
                      </w:pPr>
                      <w:r>
                        <w:rPr>
                          <w:b w:val="false"/>
                          <w:color w:val="auto"/>
                        </w:rPr>
                      </w:r>
                    </w:p>
                    <w:p>
                      <w:pPr>
                        <w:pStyle w:val="Contenudecadre"/>
                        <w:spacing w:before="57" w:after="57"/>
                        <w:rPr>
                          <w:color w:val="auto"/>
                        </w:rPr>
                      </w:pPr>
                      <w:r>
                        <w:rPr>
                          <w:color w:val="auto"/>
                        </w:rPr>
                        <w:t xml:space="preserve">6. Bieden levenslange </w:t>
                      </w:r>
                      <w:r>
                        <w:rPr>
                          <w:b/>
                          <w:color w:val="auto"/>
                        </w:rPr>
                        <w:t>uitwisselingsprogramma’s aan</w:t>
                      </w:r>
                    </w:p>
                  </w:txbxContent>
                </v:textbox>
              </v:rect>
            </w:pict>
          </mc:Fallback>
        </mc:AlternateContent>
      </w:r>
      <w:r>
        <w:rPr/>
        <w:t>Presentatie van de belangrijkste resultaten</w:t>
      </w:r>
    </w:p>
    <w:p>
      <w:pPr>
        <w:pStyle w:val="P68B1DB1Normal24"/>
        <w:rPr>
          <w:b w:val="false"/>
          <w:b w:val="false"/>
          <w:sz w:val="22"/>
        </w:rPr>
      </w:pPr>
      <w:r>
        <w:rPr/>
        <w:t xml:space="preserve"> </w:t>
      </w:r>
      <w:r>
        <w:rPr/>
        <w:t>(het origineel was in de vorm van een illustratie)</w:t>
      </w:r>
    </w:p>
    <w:p>
      <w:pPr>
        <w:pStyle w:val="Normal"/>
        <w:rPr/>
      </w:pPr>
      <w:r>
        <w:rPr/>
        <w:drawing>
          <wp:anchor behindDoc="0" distT="0" distB="0" distL="0" distR="0" simplePos="0" locked="0" layoutInCell="1" allowOverlap="1" relativeHeight="44">
            <wp:simplePos x="0" y="0"/>
            <wp:positionH relativeFrom="column">
              <wp:posOffset>39370</wp:posOffset>
            </wp:positionH>
            <wp:positionV relativeFrom="paragraph">
              <wp:posOffset>95250</wp:posOffset>
            </wp:positionV>
            <wp:extent cx="3488690" cy="5027930"/>
            <wp:effectExtent l="0" t="0" r="0" b="0"/>
            <wp:wrapSquare wrapText="largest"/>
            <wp:docPr id="85" name="Afbeelding 3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Afbeelding 39" descr=""/>
                    <pic:cNvPicPr>
                      <a:picLocks noChangeAspect="1" noChangeArrowheads="1"/>
                    </pic:cNvPicPr>
                  </pic:nvPicPr>
                  <pic:blipFill>
                    <a:blip r:embed="rId93"/>
                    <a:stretch>
                      <a:fillRect/>
                    </a:stretch>
                  </pic:blipFill>
                  <pic:spPr bwMode="auto">
                    <a:xfrm>
                      <a:off x="0" y="0"/>
                      <a:ext cx="3488690" cy="5027930"/>
                    </a:xfrm>
                    <a:prstGeom prst="rect">
                      <a:avLst/>
                    </a:prstGeom>
                  </pic:spPr>
                </pic:pic>
              </a:graphicData>
            </a:graphic>
          </wp:anchor>
        </w:drawing>
      </w:r>
    </w:p>
    <w:p>
      <w:pPr>
        <w:pStyle w:val="Normal"/>
        <w:rPr/>
      </w:pPr>
      <w:r>
        <w:rPr/>
      </w:r>
    </w:p>
    <w:p>
      <w:pPr>
        <w:pStyle w:val="Normal"/>
        <w:rPr/>
      </w:pPr>
      <w:r>
        <w:rPr/>
      </w:r>
    </w:p>
    <w:p>
      <w:pPr>
        <w:pStyle w:val="Normal"/>
        <w:rPr/>
      </w:pPr>
      <w:r>
        <w:rPr/>
      </w:r>
    </w:p>
    <w:p>
      <w:pPr>
        <w:pStyle w:val="Normal"/>
        <w:rPr/>
      </w:pPr>
      <w:r>
        <w:rPr/>
        <w:t>Bron: Wijzigingen die de meeste stemmen hebben gewonnen op de Nationale Conferentie over de toekomst van Europa (15-17 oktober 2021)</w:t>
      </w:r>
      <w:r>
        <w:br w:type="page"/>
      </w:r>
    </w:p>
    <w:p>
      <w:pPr>
        <w:pStyle w:val="Normal"/>
        <w:rPr/>
      </w:pPr>
      <w:r>
        <w:rPr/>
        <w:drawing>
          <wp:anchor behindDoc="0" distT="0" distB="0" distL="0" distR="0" simplePos="0" locked="0" layoutInCell="1" allowOverlap="1" relativeHeight="47">
            <wp:simplePos x="0" y="0"/>
            <wp:positionH relativeFrom="column">
              <wp:posOffset>-7620</wp:posOffset>
            </wp:positionH>
            <wp:positionV relativeFrom="paragraph">
              <wp:posOffset>635</wp:posOffset>
            </wp:positionV>
            <wp:extent cx="3395345" cy="4848225"/>
            <wp:effectExtent l="0" t="0" r="0" b="0"/>
            <wp:wrapSquare wrapText="largest"/>
            <wp:docPr id="86" name="Afbeelding4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Afbeelding40" descr=""/>
                    <pic:cNvPicPr>
                      <a:picLocks noChangeAspect="1" noChangeArrowheads="1"/>
                    </pic:cNvPicPr>
                  </pic:nvPicPr>
                  <pic:blipFill>
                    <a:blip r:embed="rId94"/>
                    <a:stretch>
                      <a:fillRect/>
                    </a:stretch>
                  </pic:blipFill>
                  <pic:spPr bwMode="auto">
                    <a:xfrm>
                      <a:off x="0" y="0"/>
                      <a:ext cx="3395345" cy="4848225"/>
                    </a:xfrm>
                    <a:prstGeom prst="rect">
                      <a:avLst/>
                    </a:prstGeom>
                  </pic:spPr>
                </pic:pic>
              </a:graphicData>
            </a:graphic>
          </wp:anchor>
        </w:drawing>
      </w:r>
      <w:r>
        <w:br w:type="page"/>
      </w:r>
    </w:p>
    <w:p>
      <w:pPr>
        <w:pStyle w:val="Normal"/>
        <w:spacing w:before="7556" w:after="57"/>
        <w:rPr/>
      </w:pPr>
      <w:r>
        <w:rPr/>
        <mc:AlternateContent>
          <mc:Choice Requires="wps">
            <w:drawing>
              <wp:anchor behindDoc="0" distT="72390" distB="72390" distL="72390" distR="72390" simplePos="0" locked="0" layoutInCell="1" allowOverlap="1" relativeHeight="42">
                <wp:simplePos x="0" y="0"/>
                <wp:positionH relativeFrom="column">
                  <wp:posOffset>118745</wp:posOffset>
                </wp:positionH>
                <wp:positionV relativeFrom="paragraph">
                  <wp:posOffset>5038090</wp:posOffset>
                </wp:positionV>
                <wp:extent cx="5934710" cy="1648460"/>
                <wp:effectExtent l="0" t="0" r="0" b="0"/>
                <wp:wrapSquare wrapText="bothSides"/>
                <wp:docPr id="87" name="Kader41"/>
                <a:graphic xmlns:a="http://schemas.openxmlformats.org/drawingml/2006/main">
                  <a:graphicData uri="http://schemas.microsoft.com/office/word/2010/wordprocessingShape">
                    <wps:wsp>
                      <wps:cNvSpPr/>
                      <wps:spPr>
                        <a:xfrm>
                          <a:off x="0" y="0"/>
                          <a:ext cx="5934240" cy="1647720"/>
                        </a:xfrm>
                        <a:prstGeom prst="rect">
                          <a:avLst/>
                        </a:prstGeom>
                        <a:solidFill>
                          <a:srgbClr val="ffffff"/>
                        </a:solidFill>
                        <a:ln w="720">
                          <a:solidFill>
                            <a:srgbClr val="000000"/>
                          </a:solidFill>
                          <a:round/>
                        </a:ln>
                      </wps:spPr>
                      <wps:style>
                        <a:lnRef idx="0"/>
                        <a:fillRef idx="0"/>
                        <a:effectRef idx="0"/>
                        <a:fontRef idx="minor"/>
                      </wps:style>
                      <wps:txbx>
                        <w:txbxContent>
                          <w:p>
                            <w:pPr>
                              <w:pStyle w:val="Contenudecadre"/>
                              <w:spacing w:before="57" w:after="57"/>
                              <w:rPr>
                                <w:color w:val="auto"/>
                              </w:rPr>
                            </w:pPr>
                            <w:r>
                              <w:rPr>
                                <w:color w:val="auto"/>
                              </w:rPr>
                              <w:t>Online consult „Woorden aan jongeren”</w:t>
                            </w:r>
                          </w:p>
                          <w:p>
                            <w:pPr>
                              <w:pStyle w:val="Contenudecadre"/>
                              <w:rPr>
                                <w:color w:val="auto"/>
                              </w:rPr>
                            </w:pPr>
                            <w:r>
                              <w:rPr>
                                <w:color w:val="auto"/>
                              </w:rPr>
                              <w:t>Op 9 mei 2021 heeft de staatssecretaris van Europese Zaken een „woord tegen jongeren”-raadpleging georganiseerd door Make.org tussen mei en juli 2021.</w:t>
                            </w:r>
                          </w:p>
                          <w:p>
                            <w:pPr>
                              <w:pStyle w:val="Contenudecadre"/>
                              <w:rPr>
                                <w:color w:val="auto"/>
                              </w:rPr>
                            </w:pPr>
                            <w:r>
                              <w:rPr>
                                <w:color w:val="auto"/>
                              </w:rPr>
                              <w:t>50 000 jongeren tussen 15 en 30 jaar beantwoordden de vraag: „Wat zijn uw prioriteiten voor het Europa van morgen?”, met 2918 ingediende voorstellen.</w:t>
                            </w:r>
                          </w:p>
                          <w:p>
                            <w:pPr>
                              <w:pStyle w:val="Contenudecadre"/>
                              <w:spacing w:before="57" w:after="57"/>
                              <w:rPr>
                                <w:color w:val="auto"/>
                              </w:rPr>
                            </w:pPr>
                            <w:r>
                              <w:rPr>
                                <w:color w:val="auto"/>
                              </w:rPr>
                              <w:t>De ideeën die Franse jongeren in het kader van deze onlineraadpleging bepleiten, maken deel uit van de bijdrage van de burgers aan de conferentie over de toekomst van Europa (zie details in deel 2 van dit verslag).</w:t>
                            </w:r>
                          </w:p>
                        </w:txbxContent>
                      </wps:txbx>
                      <wps:bodyPr lIns="54000" rIns="54000" tIns="54000" bIns="54000">
                        <a:noAutofit/>
                      </wps:bodyPr>
                    </wps:wsp>
                  </a:graphicData>
                </a:graphic>
              </wp:anchor>
            </w:drawing>
          </mc:Choice>
          <mc:Fallback>
            <w:pict>
              <v:rect id="shape_0" ID="Kader41" fillcolor="white" stroked="t" style="position:absolute;margin-left:9.35pt;margin-top:396.7pt;width:467.2pt;height:129.7pt">
                <w10:wrap type="square"/>
                <v:fill o:detectmouseclick="t" type="solid" color2="black"/>
                <v:stroke color="black" weight="720" joinstyle="round" endcap="flat"/>
                <v:textbox>
                  <w:txbxContent>
                    <w:p>
                      <w:pPr>
                        <w:pStyle w:val="Contenudecadre"/>
                        <w:spacing w:before="57" w:after="57"/>
                        <w:rPr>
                          <w:color w:val="auto"/>
                        </w:rPr>
                      </w:pPr>
                      <w:r>
                        <w:rPr>
                          <w:color w:val="auto"/>
                        </w:rPr>
                        <w:t>Online consult „Woorden aan jongeren”</w:t>
                      </w:r>
                    </w:p>
                    <w:p>
                      <w:pPr>
                        <w:pStyle w:val="Contenudecadre"/>
                        <w:rPr>
                          <w:color w:val="auto"/>
                        </w:rPr>
                      </w:pPr>
                      <w:r>
                        <w:rPr>
                          <w:color w:val="auto"/>
                        </w:rPr>
                        <w:t>Op 9 mei 2021 heeft de staatssecretaris van Europese Zaken een „woord tegen jongeren”-raadpleging georganiseerd door Make.org tussen mei en juli 2021.</w:t>
                      </w:r>
                    </w:p>
                    <w:p>
                      <w:pPr>
                        <w:pStyle w:val="Contenudecadre"/>
                        <w:rPr>
                          <w:color w:val="auto"/>
                        </w:rPr>
                      </w:pPr>
                      <w:r>
                        <w:rPr>
                          <w:color w:val="auto"/>
                        </w:rPr>
                        <w:t>50 000 jongeren tussen 15 en 30 jaar beantwoordden de vraag: „Wat zijn uw prioriteiten voor het Europa van morgen?”, met 2918 ingediende voorstellen.</w:t>
                      </w:r>
                    </w:p>
                    <w:p>
                      <w:pPr>
                        <w:pStyle w:val="Contenudecadre"/>
                        <w:spacing w:before="57" w:after="57"/>
                        <w:rPr>
                          <w:color w:val="auto"/>
                        </w:rPr>
                      </w:pPr>
                      <w:r>
                        <w:rPr>
                          <w:color w:val="auto"/>
                        </w:rPr>
                        <w:t>De ideeën die Franse jongeren in het kader van deze onlineraadpleging bepleiten, maken deel uit van de bijdrage van de burgers aan de conferentie over de toekomst van Europa (zie details in deel 2 van dit verslag).</w:t>
                      </w:r>
                    </w:p>
                  </w:txbxContent>
                </v:textbox>
              </v:rect>
            </w:pict>
          </mc:Fallback>
        </mc:AlternateContent>
        <mc:AlternateContent>
          <mc:Choice Requires="wps">
            <w:drawing>
              <wp:anchor behindDoc="0" distT="72390" distB="72390" distL="72390" distR="72390" simplePos="0" locked="0" layoutInCell="1" allowOverlap="1" relativeHeight="45">
                <wp:simplePos x="0" y="0"/>
                <wp:positionH relativeFrom="column">
                  <wp:posOffset>3481070</wp:posOffset>
                </wp:positionH>
                <wp:positionV relativeFrom="paragraph">
                  <wp:posOffset>94615</wp:posOffset>
                </wp:positionV>
                <wp:extent cx="2610485" cy="3150870"/>
                <wp:effectExtent l="0" t="0" r="0" b="0"/>
                <wp:wrapSquare wrapText="bothSides"/>
                <wp:docPr id="89" name="Kader31"/>
                <a:graphic xmlns:a="http://schemas.openxmlformats.org/drawingml/2006/main">
                  <a:graphicData uri="http://schemas.microsoft.com/office/word/2010/wordprocessingShape">
                    <wps:wsp>
                      <wps:cNvSpPr/>
                      <wps:spPr>
                        <a:xfrm>
                          <a:off x="0" y="0"/>
                          <a:ext cx="2610000" cy="3150360"/>
                        </a:xfrm>
                        <a:prstGeom prst="rect">
                          <a:avLst/>
                        </a:prstGeom>
                        <a:solidFill>
                          <a:srgbClr val="ffffff"/>
                        </a:solidFill>
                        <a:ln w="720">
                          <a:solidFill>
                            <a:srgbClr val="000000"/>
                          </a:solidFill>
                          <a:round/>
                        </a:ln>
                      </wps:spPr>
                      <wps:style>
                        <a:lnRef idx="0"/>
                        <a:fillRef idx="0"/>
                        <a:effectRef idx="0"/>
                        <a:fontRef idx="minor"/>
                      </wps:style>
                      <wps:txbx>
                        <w:txbxContent>
                          <w:p>
                            <w:pPr>
                              <w:pStyle w:val="Contenudecadre"/>
                              <w:spacing w:before="57" w:after="57"/>
                              <w:rPr>
                                <w:color w:val="auto"/>
                              </w:rPr>
                            </w:pPr>
                            <w:r>
                              <w:rPr>
                                <w:color w:val="auto"/>
                              </w:rPr>
                              <w:t xml:space="preserve">7. Delen van Europese culturen door het </w:t>
                            </w:r>
                            <w:r>
                              <w:rPr>
                                <w:b/>
                                <w:color w:val="auto"/>
                              </w:rPr>
                              <w:t>verenigen van evenementen en evenementen</w:t>
                            </w:r>
                          </w:p>
                          <w:p>
                            <w:pPr>
                              <w:pStyle w:val="Contenudecadre"/>
                              <w:rPr>
                                <w:b w:val="false"/>
                                <w:b w:val="false"/>
                                <w:color w:val="auto"/>
                              </w:rPr>
                            </w:pPr>
                            <w:r>
                              <w:rPr>
                                <w:b w:val="false"/>
                                <w:color w:val="auto"/>
                              </w:rPr>
                            </w:r>
                          </w:p>
                          <w:p>
                            <w:pPr>
                              <w:pStyle w:val="Contenudecadre"/>
                              <w:rPr>
                                <w:color w:val="auto"/>
                              </w:rPr>
                            </w:pPr>
                            <w:r>
                              <w:rPr>
                                <w:color w:val="auto"/>
                              </w:rPr>
                              <w:t xml:space="preserve">8.Harmoniseren van </w:t>
                            </w:r>
                            <w:r>
                              <w:rPr>
                                <w:b/>
                                <w:color w:val="auto"/>
                              </w:rPr>
                              <w:t>de gezondheid</w:t>
                            </w:r>
                            <w:r>
                              <w:rPr>
                                <w:color w:val="auto"/>
                              </w:rPr>
                              <w:t xml:space="preserve"> en het toegankelijk maken ervan voor alle Europeanen door middel van een gemeenschappelijk gezondheidsbeleid</w:t>
                            </w:r>
                          </w:p>
                          <w:p>
                            <w:pPr>
                              <w:pStyle w:val="Contenudecadre"/>
                              <w:rPr>
                                <w:b w:val="false"/>
                                <w:b w:val="false"/>
                                <w:color w:val="auto"/>
                              </w:rPr>
                            </w:pPr>
                            <w:r>
                              <w:rPr>
                                <w:b w:val="false"/>
                                <w:color w:val="auto"/>
                              </w:rPr>
                            </w:r>
                          </w:p>
                          <w:p>
                            <w:pPr>
                              <w:pStyle w:val="Contenudecadre"/>
                              <w:rPr>
                                <w:color w:val="auto"/>
                              </w:rPr>
                            </w:pPr>
                            <w:r>
                              <w:rPr>
                                <w:color w:val="auto"/>
                              </w:rPr>
                              <w:t xml:space="preserve">9. Strategische </w:t>
                            </w:r>
                            <w:r>
                              <w:rPr>
                                <w:b/>
                                <w:color w:val="auto"/>
                              </w:rPr>
                              <w:t>kanalen</w:t>
                            </w:r>
                            <w:r>
                              <w:rPr>
                                <w:color w:val="auto"/>
                              </w:rPr>
                              <w:t xml:space="preserve"> op Europees niveau ontwikkelen en sturen om onze soevereiniteit te waarborgen</w:t>
                            </w:r>
                          </w:p>
                          <w:p>
                            <w:pPr>
                              <w:pStyle w:val="Contenudecadre"/>
                              <w:rPr>
                                <w:b w:val="false"/>
                                <w:b w:val="false"/>
                                <w:color w:val="auto"/>
                              </w:rPr>
                            </w:pPr>
                            <w:r>
                              <w:rPr>
                                <w:b w:val="false"/>
                                <w:color w:val="auto"/>
                              </w:rPr>
                            </w:r>
                          </w:p>
                          <w:p>
                            <w:pPr>
                              <w:pStyle w:val="Contenudecadre"/>
                              <w:spacing w:before="57" w:after="57"/>
                              <w:rPr>
                                <w:color w:val="auto"/>
                              </w:rPr>
                            </w:pPr>
                            <w:r>
                              <w:rPr>
                                <w:color w:val="auto"/>
                              </w:rPr>
                              <w:t xml:space="preserve">10. Verbetering van de </w:t>
                            </w:r>
                            <w:r>
                              <w:rPr>
                                <w:b/>
                                <w:color w:val="auto"/>
                              </w:rPr>
                              <w:t>bescherming van milieu’s en ecosystemen</w:t>
                            </w:r>
                            <w:r>
                              <w:rPr>
                                <w:color w:val="auto"/>
                              </w:rPr>
                              <w:t xml:space="preserve"> en het creëren van </w:t>
                            </w:r>
                            <w:r>
                              <w:rPr>
                                <w:b/>
                                <w:color w:val="auto"/>
                              </w:rPr>
                              <w:t>beschermde gebieden</w:t>
                            </w:r>
                            <w:r>
                              <w:rPr>
                                <w:color w:val="auto"/>
                              </w:rPr>
                              <w:t xml:space="preserve"> in het hart van stedelijke, peri-urbane en plattelandsgebieden</w:t>
                            </w:r>
                          </w:p>
                        </w:txbxContent>
                      </wps:txbx>
                      <wps:bodyPr lIns="54000" rIns="54000" tIns="54000" bIns="54000">
                        <a:noAutofit/>
                      </wps:bodyPr>
                    </wps:wsp>
                  </a:graphicData>
                </a:graphic>
              </wp:anchor>
            </w:drawing>
          </mc:Choice>
          <mc:Fallback>
            <w:pict>
              <v:rect id="shape_0" ID="Kader31" fillcolor="white" stroked="t" style="position:absolute;margin-left:274.1pt;margin-top:7.45pt;width:205.45pt;height:248pt">
                <w10:wrap type="square"/>
                <v:fill o:detectmouseclick="t" type="solid" color2="black"/>
                <v:stroke color="black" weight="720" joinstyle="round" endcap="flat"/>
                <v:textbox>
                  <w:txbxContent>
                    <w:p>
                      <w:pPr>
                        <w:pStyle w:val="Contenudecadre"/>
                        <w:spacing w:before="57" w:after="57"/>
                        <w:rPr>
                          <w:color w:val="auto"/>
                        </w:rPr>
                      </w:pPr>
                      <w:r>
                        <w:rPr>
                          <w:color w:val="auto"/>
                        </w:rPr>
                        <w:t xml:space="preserve">7. Delen van Europese culturen door het </w:t>
                      </w:r>
                      <w:r>
                        <w:rPr>
                          <w:b/>
                          <w:color w:val="auto"/>
                        </w:rPr>
                        <w:t>verenigen van evenementen en evenementen</w:t>
                      </w:r>
                    </w:p>
                    <w:p>
                      <w:pPr>
                        <w:pStyle w:val="Contenudecadre"/>
                        <w:rPr>
                          <w:b w:val="false"/>
                          <w:b w:val="false"/>
                          <w:color w:val="auto"/>
                        </w:rPr>
                      </w:pPr>
                      <w:r>
                        <w:rPr>
                          <w:b w:val="false"/>
                          <w:color w:val="auto"/>
                        </w:rPr>
                      </w:r>
                    </w:p>
                    <w:p>
                      <w:pPr>
                        <w:pStyle w:val="Contenudecadre"/>
                        <w:rPr>
                          <w:color w:val="auto"/>
                        </w:rPr>
                      </w:pPr>
                      <w:r>
                        <w:rPr>
                          <w:color w:val="auto"/>
                        </w:rPr>
                        <w:t xml:space="preserve">8.Harmoniseren van </w:t>
                      </w:r>
                      <w:r>
                        <w:rPr>
                          <w:b/>
                          <w:color w:val="auto"/>
                        </w:rPr>
                        <w:t>de gezondheid</w:t>
                      </w:r>
                      <w:r>
                        <w:rPr>
                          <w:color w:val="auto"/>
                        </w:rPr>
                        <w:t xml:space="preserve"> en het toegankelijk maken ervan voor alle Europeanen door middel van een gemeenschappelijk gezondheidsbeleid</w:t>
                      </w:r>
                    </w:p>
                    <w:p>
                      <w:pPr>
                        <w:pStyle w:val="Contenudecadre"/>
                        <w:rPr>
                          <w:b w:val="false"/>
                          <w:b w:val="false"/>
                          <w:color w:val="auto"/>
                        </w:rPr>
                      </w:pPr>
                      <w:r>
                        <w:rPr>
                          <w:b w:val="false"/>
                          <w:color w:val="auto"/>
                        </w:rPr>
                      </w:r>
                    </w:p>
                    <w:p>
                      <w:pPr>
                        <w:pStyle w:val="Contenudecadre"/>
                        <w:rPr>
                          <w:color w:val="auto"/>
                        </w:rPr>
                      </w:pPr>
                      <w:r>
                        <w:rPr>
                          <w:color w:val="auto"/>
                        </w:rPr>
                        <w:t xml:space="preserve">9. Strategische </w:t>
                      </w:r>
                      <w:r>
                        <w:rPr>
                          <w:b/>
                          <w:color w:val="auto"/>
                        </w:rPr>
                        <w:t>kanalen</w:t>
                      </w:r>
                      <w:r>
                        <w:rPr>
                          <w:color w:val="auto"/>
                        </w:rPr>
                        <w:t xml:space="preserve"> op Europees niveau ontwikkelen en sturen om onze soevereiniteit te waarborgen</w:t>
                      </w:r>
                    </w:p>
                    <w:p>
                      <w:pPr>
                        <w:pStyle w:val="Contenudecadre"/>
                        <w:rPr>
                          <w:b w:val="false"/>
                          <w:b w:val="false"/>
                          <w:color w:val="auto"/>
                        </w:rPr>
                      </w:pPr>
                      <w:r>
                        <w:rPr>
                          <w:b w:val="false"/>
                          <w:color w:val="auto"/>
                        </w:rPr>
                      </w:r>
                    </w:p>
                    <w:p>
                      <w:pPr>
                        <w:pStyle w:val="Contenudecadre"/>
                        <w:spacing w:before="57" w:after="57"/>
                        <w:rPr>
                          <w:color w:val="auto"/>
                        </w:rPr>
                      </w:pPr>
                      <w:r>
                        <w:rPr>
                          <w:color w:val="auto"/>
                        </w:rPr>
                        <w:t xml:space="preserve">10. Verbetering van de </w:t>
                      </w:r>
                      <w:r>
                        <w:rPr>
                          <w:b/>
                          <w:color w:val="auto"/>
                        </w:rPr>
                        <w:t>bescherming van milieu’s en ecosystemen</w:t>
                      </w:r>
                      <w:r>
                        <w:rPr>
                          <w:color w:val="auto"/>
                        </w:rPr>
                        <w:t xml:space="preserve"> en het creëren van </w:t>
                      </w:r>
                      <w:r>
                        <w:rPr>
                          <w:b/>
                          <w:color w:val="auto"/>
                        </w:rPr>
                        <w:t>beschermde gebieden</w:t>
                      </w:r>
                      <w:r>
                        <w:rPr>
                          <w:color w:val="auto"/>
                        </w:rPr>
                        <w:t xml:space="preserve"> in het hart van stedelijke, peri-urbane en plattelandsgebieden</w:t>
                      </w:r>
                    </w:p>
                  </w:txbxContent>
                </v:textbox>
              </v:rect>
            </w:pict>
          </mc:Fallback>
        </mc:AlternateContent>
      </w:r>
    </w:p>
    <w:p>
      <w:pPr>
        <w:pStyle w:val="Titre2"/>
        <w:numPr>
          <w:ilvl w:val="1"/>
          <w:numId w:val="2"/>
        </w:numPr>
        <w:rPr/>
      </w:pPr>
      <w:bookmarkStart w:id="209" w:name="__RefHeading___Toc300452_1346298689"/>
      <w:bookmarkEnd w:id="209"/>
      <w:r>
        <w:rPr/>
        <w:t>Presentatie van de panels van regionale conferenties</w:t>
      </w:r>
    </w:p>
    <w:p>
      <w:pPr>
        <w:pStyle w:val="Normal"/>
        <w:rPr/>
      </w:pPr>
      <w:r>
        <w:rPr/>
        <mc:AlternateContent>
          <mc:Choice Requires="wpg">
            <w:drawing>
              <wp:anchor behindDoc="0" distT="0" distB="0" distL="0" distR="0" simplePos="0" locked="0" layoutInCell="1" allowOverlap="1" relativeHeight="50">
                <wp:simplePos x="0" y="0"/>
                <wp:positionH relativeFrom="column">
                  <wp:posOffset>635</wp:posOffset>
                </wp:positionH>
                <wp:positionV relativeFrom="paragraph">
                  <wp:posOffset>25400</wp:posOffset>
                </wp:positionV>
                <wp:extent cx="5971540" cy="8288020"/>
                <wp:effectExtent l="0" t="0" r="0" b="0"/>
                <wp:wrapNone/>
                <wp:docPr id="91" name="Formulier1"/>
                <a:graphic xmlns:a="http://schemas.openxmlformats.org/drawingml/2006/main">
                  <a:graphicData uri="http://schemas.microsoft.com/office/word/2010/wordprocessingGroup">
                    <wpg:wgp>
                      <wpg:cNvGrpSpPr/>
                      <wpg:grpSpPr>
                        <a:xfrm>
                          <a:off x="0" y="0"/>
                          <a:ext cx="5970960" cy="8287560"/>
                        </a:xfrm>
                      </wpg:grpSpPr>
                      <pic:pic xmlns:pic="http://schemas.openxmlformats.org/drawingml/2006/picture">
                        <pic:nvPicPr>
                          <pic:cNvPr id="0" name="" descr=""/>
                          <pic:cNvPicPr/>
                        </pic:nvPicPr>
                        <pic:blipFill>
                          <a:blip r:embed="rId95"/>
                          <a:stretch/>
                        </pic:blipFill>
                        <pic:spPr>
                          <a:xfrm>
                            <a:off x="93960" y="771480"/>
                            <a:ext cx="5877000" cy="7515720"/>
                          </a:xfrm>
                          <a:prstGeom prst="rect">
                            <a:avLst/>
                          </a:prstGeom>
                          <a:ln>
                            <a:noFill/>
                          </a:ln>
                        </pic:spPr>
                      </pic:pic>
                      <wps:wsp>
                        <wps:cNvSpPr/>
                        <wps:spPr>
                          <a:xfrm>
                            <a:off x="144720" y="0"/>
                            <a:ext cx="5650200" cy="12585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Een gevarieerd panel van 746 burgers</w:t>
                              </w:r>
                            </w:p>
                            <w:p>
                              <w:pPr>
                                <w:spacing w:before="0" w:after="0" w:lineRule="auto" w:line="240"/>
                                <w:ind w:hanging="0"/>
                                <w:jc w:val="left"/>
                                <w:rPr/>
                              </w:pPr>
                              <w:r>
                                <w:rPr>
                                  <w:sz w:val="24"/>
                                  <w:rFonts w:ascii="Times New Roman" w:hAnsi="Times New Roman"/>
                                  <w:color w:val="auto"/>
                                </w:rPr>
                              </w:r>
                            </w:p>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Overzicht van de deelnemers aan de 18 regionale conferenties</w:t>
                              </w:r>
                            </w:p>
                          </w:txbxContent>
                        </wps:txbx>
                        <wps:bodyPr lIns="90000" rIns="90000" tIns="45000" bIns="45000">
                          <a:noAutofit/>
                        </wps:bodyPr>
                      </wps:wsp>
                      <wps:wsp>
                        <wps:cNvSpPr/>
                        <wps:spPr>
                          <a:xfrm>
                            <a:off x="0" y="6246360"/>
                            <a:ext cx="2611800" cy="2040840"/>
                          </a:xfrm>
                          <a:prstGeom prst="rect">
                            <a:avLst/>
                          </a:prstGeom>
                          <a:noFill/>
                          <a:ln>
                            <a:noFill/>
                          </a:ln>
                        </wps:spPr>
                        <wps:style>
                          <a:lnRef idx="0"/>
                          <a:fillRef idx="0"/>
                          <a:effectRef idx="0"/>
                          <a:fontRef idx="minor"/>
                        </wps:style>
                        <wps:txbx>
                          <w:txbxContent>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Boeren boeren</w:t>
                              </w:r>
                            </w:p>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Ambachtslieden — Handelaren — Bedrijfsleiders</w:t>
                              </w:r>
                            </w:p>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Senior Executives — Liberale Beroepen</w:t>
                              </w:r>
                            </w:p>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Intermediaire beroepen</w:t>
                              </w:r>
                            </w:p>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Medewerkers</w:t>
                              </w:r>
                            </w:p>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Werknemers</w:t>
                              </w:r>
                            </w:p>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Gepensioneerden</w:t>
                              </w:r>
                            </w:p>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Andere inactieven</w:t>
                              </w:r>
                            </w:p>
                          </w:txbxContent>
                        </wps:txbx>
                        <wps:bodyPr lIns="90000" rIns="90000" tIns="45000" bIns="45000">
                          <a:noAutofit/>
                        </wps:bodyPr>
                      </wps:wsp>
                    </wpg:wgp>
                  </a:graphicData>
                </a:graphic>
              </wp:anchor>
            </w:drawing>
          </mc:Choice>
          <mc:Fallback>
            <w:pict>
              <v:group id="shape_0" alt="Formulier1" style="position:absolute;margin-left:0.05pt;margin-top:2pt;width:470.15pt;height:652.55pt" coordorigin="1,40" coordsize="9403,13051">
                <v:shapetype id="shapetype_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_0" stroked="f" style="position:absolute;left:149;top:1255;width:9254;height:11835" type="shapetype_75">
                  <v:imagedata r:id="rId95" o:detectmouseclick="t"/>
                  <w10:wrap type="none"/>
                  <v:stroke color="#3465a4" joinstyle="round" endcap="flat"/>
                </v:shape>
                <v:rect id="shape_0" stroked="f" style="position:absolute;left:229;top:40;width:8897;height:1981">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Een gevarieerd panel van 746 burgers</w:t>
                        </w:r>
                      </w:p>
                      <w:p>
                        <w:pPr>
                          <w:spacing w:before="0" w:after="0" w:lineRule="auto" w:line="240"/>
                          <w:ind w:hanging="0"/>
                          <w:jc w:val="left"/>
                          <w:rPr/>
                        </w:pPr>
                        <w:r>
                          <w:rPr>
                            <w:sz w:val="24"/>
                            <w:rFonts w:ascii="Times New Roman" w:hAnsi="Times New Roman"/>
                            <w:color w:val="auto"/>
                          </w:rPr>
                        </w:r>
                      </w:p>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Overzicht van de deelnemers aan de 18 regionale conferenties</w:t>
                        </w:r>
                      </w:p>
                    </w:txbxContent>
                  </v:textbox>
                  <w10:wrap type="square"/>
                  <v:fill o:detectmouseclick="t" on="false"/>
                  <v:stroke color="#3465a4" joinstyle="round" endcap="flat"/>
                </v:rect>
                <v:rect id="shape_0" stroked="f" style="position:absolute;left:1;top:9877;width:4112;height:3213">
                  <v:textbox>
                    <w:txbxContent>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Boeren boeren</w:t>
                        </w:r>
                      </w:p>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Ambachtslieden — Handelaren — Bedrijfsleiders</w:t>
                        </w:r>
                      </w:p>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Senior Executives — Liberale Beroepen</w:t>
                        </w:r>
                      </w:p>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Intermediaire beroepen</w:t>
                        </w:r>
                      </w:p>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Medewerkers</w:t>
                        </w:r>
                      </w:p>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Werknemers</w:t>
                        </w:r>
                      </w:p>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Gepensioneerden</w:t>
                        </w:r>
                      </w:p>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Andere inactieven</w:t>
                        </w:r>
                      </w:p>
                    </w:txbxContent>
                  </v:textbox>
                  <w10:wrap type="square"/>
                  <v:fill o:detectmouseclick="t" on="false"/>
                  <v:stroke color="#3465a4" joinstyle="round" endcap="flat"/>
                </v:rect>
              </v:group>
            </w:pict>
          </mc:Fallback>
        </mc:AlternateContent>
      </w:r>
    </w:p>
    <w:p>
      <w:pPr>
        <w:pStyle w:val="Normal"/>
        <w:rPr/>
      </w:pPr>
      <w:r>
        <w:rPr/>
      </w:r>
    </w:p>
    <w:p>
      <w:pPr>
        <w:pStyle w:val="Normal"/>
        <w:rPr/>
      </w:pPr>
      <w:r>
        <w:rPr/>
      </w:r>
      <w:r>
        <w:br w:type="page"/>
      </w:r>
    </w:p>
    <w:p>
      <w:pPr>
        <w:pStyle w:val="Normal"/>
        <w:rPr/>
      </w:pPr>
      <w:r>
        <w:rPr/>
        <mc:AlternateContent>
          <mc:Choice Requires="wpg">
            <w:drawing>
              <wp:anchor behindDoc="0" distT="0" distB="0" distL="0" distR="0" simplePos="0" locked="0" layoutInCell="1" allowOverlap="1" relativeHeight="51">
                <wp:simplePos x="0" y="0"/>
                <wp:positionH relativeFrom="column">
                  <wp:posOffset>0</wp:posOffset>
                </wp:positionH>
                <wp:positionV relativeFrom="paragraph">
                  <wp:posOffset>36195</wp:posOffset>
                </wp:positionV>
                <wp:extent cx="5873750" cy="8265160"/>
                <wp:effectExtent l="0" t="0" r="0" b="0"/>
                <wp:wrapNone/>
                <wp:docPr id="92" name="Formulier2"/>
                <a:graphic xmlns:a="http://schemas.openxmlformats.org/drawingml/2006/main">
                  <a:graphicData uri="http://schemas.microsoft.com/office/word/2010/wordprocessingGroup">
                    <wpg:wgp>
                      <wpg:cNvGrpSpPr/>
                      <wpg:grpSpPr>
                        <a:xfrm>
                          <a:off x="0" y="0"/>
                          <a:ext cx="5873040" cy="8264520"/>
                        </a:xfrm>
                      </wpg:grpSpPr>
                      <pic:pic xmlns:pic="http://schemas.openxmlformats.org/drawingml/2006/picture">
                        <pic:nvPicPr>
                          <pic:cNvPr id="1" name="" descr=""/>
                          <pic:cNvPicPr/>
                        </pic:nvPicPr>
                        <pic:blipFill>
                          <a:blip r:embed="rId96"/>
                          <a:stretch/>
                        </pic:blipFill>
                        <pic:spPr>
                          <a:xfrm>
                            <a:off x="720" y="1012680"/>
                            <a:ext cx="5872320" cy="7251840"/>
                          </a:xfrm>
                          <a:prstGeom prst="rect">
                            <a:avLst/>
                          </a:prstGeom>
                          <a:ln>
                            <a:noFill/>
                          </a:ln>
                        </pic:spPr>
                      </pic:pic>
                      <wps:wsp>
                        <wps:cNvSpPr/>
                        <wps:spPr>
                          <a:xfrm>
                            <a:off x="0" y="0"/>
                            <a:ext cx="5873040" cy="15811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Conferenties over de toekomst van Europa in heel Frankrijk</w:t>
                              </w:r>
                            </w:p>
                            <w:p>
                              <w:pPr>
                                <w:spacing w:before="0" w:after="0" w:lineRule="auto" w:line="240"/>
                                <w:ind w:hanging="0"/>
                                <w:jc w:val="left"/>
                                <w:rPr/>
                              </w:pPr>
                              <w:r>
                                <w:rPr>
                                  <w:sz w:val="24"/>
                                  <w:rFonts w:ascii="Times New Roman" w:hAnsi="Times New Roman"/>
                                  <w:color w:val="auto"/>
                                </w:rPr>
                              </w:r>
                            </w:p>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18 regionale conferenties, 13 in metropool en 5 overzees</w:t>
                              </w:r>
                            </w:p>
                          </w:txbxContent>
                        </wps:txbx>
                        <wps:bodyPr lIns="90000" rIns="90000" tIns="45000" bIns="45000">
                          <a:noAutofit/>
                        </wps:bodyPr>
                      </wps:wsp>
                    </wpg:wgp>
                  </a:graphicData>
                </a:graphic>
              </wp:anchor>
            </w:drawing>
          </mc:Choice>
          <mc:Fallback>
            <w:pict>
              <v:group id="shape_0" alt="Formulier2" style="position:absolute;margin-left:0pt;margin-top:2.85pt;width:462.45pt;height:650.75pt" coordorigin="0,57" coordsize="9249,13015">
                <v:shape id="shape_0" stroked="f" style="position:absolute;left:1;top:1652;width:9247;height:11419" type="shapetype_75">
                  <v:imagedata r:id="rId96" o:detectmouseclick="t"/>
                  <w10:wrap type="none"/>
                  <v:stroke color="#3465a4" joinstyle="round" endcap="flat"/>
                </v:shape>
                <v:rect id="shape_0" stroked="f" style="position:absolute;left:0;top:57;width:9248;height:2489">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Conferenties over de toekomst van Europa in heel Frankrijk</w:t>
                        </w:r>
                      </w:p>
                      <w:p>
                        <w:pPr>
                          <w:spacing w:before="0" w:after="0" w:lineRule="auto" w:line="240"/>
                          <w:ind w:hanging="0"/>
                          <w:jc w:val="left"/>
                          <w:rPr/>
                        </w:pPr>
                        <w:r>
                          <w:rPr>
                            <w:sz w:val="24"/>
                            <w:rFonts w:ascii="Times New Roman" w:hAnsi="Times New Roman"/>
                            <w:color w:val="auto"/>
                          </w:rPr>
                        </w:r>
                      </w:p>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18 regionale conferenties, 13 in metropool en 5 overzees</w:t>
                        </w:r>
                      </w:p>
                    </w:txbxContent>
                  </v:textbox>
                  <w10:wrap type="square"/>
                  <v:fill o:detectmouseclick="t" on="false"/>
                  <v:stroke color="#3465a4" joinstyle="round" endcap="flat"/>
                </v:rect>
              </v:group>
            </w:pict>
          </mc:Fallback>
        </mc:AlternateContent>
      </w:r>
    </w:p>
    <w:p>
      <w:pPr>
        <w:pStyle w:val="Normal"/>
        <w:rPr/>
      </w:pPr>
      <w:r>
        <w:rPr/>
      </w:r>
      <w:r>
        <w:br w:type="page"/>
      </w:r>
    </w:p>
    <w:p>
      <w:pPr>
        <w:pStyle w:val="Titre2"/>
        <w:numPr>
          <w:ilvl w:val="1"/>
          <w:numId w:val="2"/>
        </w:numPr>
        <w:spacing w:before="13366" w:after="120"/>
        <w:rPr/>
      </w:pPr>
      <w:bookmarkStart w:id="210" w:name="__RefHeading___Toc300454_1346298689"/>
      <w:bookmarkEnd w:id="210"/>
      <w:r>
        <mc:AlternateContent>
          <mc:Choice Requires="wpg">
            <w:drawing>
              <wp:anchor behindDoc="0" distT="0" distB="0" distL="0" distR="0" simplePos="0" locked="0" layoutInCell="1" allowOverlap="1" relativeHeight="69">
                <wp:simplePos x="0" y="0"/>
                <wp:positionH relativeFrom="column">
                  <wp:posOffset>175895</wp:posOffset>
                </wp:positionH>
                <wp:positionV relativeFrom="paragraph">
                  <wp:posOffset>450215</wp:posOffset>
                </wp:positionV>
                <wp:extent cx="5782945" cy="8488045"/>
                <wp:effectExtent l="0" t="0" r="0" b="0"/>
                <wp:wrapTopAndBottom/>
                <wp:docPr id="93" name="Formulier3"/>
                <a:graphic xmlns:a="http://schemas.openxmlformats.org/drawingml/2006/main">
                  <a:graphicData uri="http://schemas.microsoft.com/office/word/2010/wordprocessingGroup">
                    <wpg:wgp>
                      <wpg:cNvGrpSpPr/>
                      <wpg:grpSpPr>
                        <a:xfrm>
                          <a:off x="0" y="0"/>
                          <a:ext cx="5782320" cy="8487360"/>
                        </a:xfrm>
                      </wpg:grpSpPr>
                      <pic:pic xmlns:pic="http://schemas.openxmlformats.org/drawingml/2006/picture">
                        <pic:nvPicPr>
                          <pic:cNvPr id="2" name="" descr=""/>
                          <pic:cNvPicPr/>
                        </pic:nvPicPr>
                        <pic:blipFill>
                          <a:blip r:embed="rId97"/>
                          <a:stretch/>
                        </pic:blipFill>
                        <pic:spPr>
                          <a:xfrm>
                            <a:off x="0" y="0"/>
                            <a:ext cx="5782320" cy="8487360"/>
                          </a:xfrm>
                          <a:prstGeom prst="rect">
                            <a:avLst/>
                          </a:prstGeom>
                          <a:ln>
                            <a:noFill/>
                          </a:ln>
                        </pic:spPr>
                      </pic:pic>
                      <wps:wsp>
                        <wps:cNvSpPr/>
                        <wps:spPr>
                          <a:xfrm>
                            <a:off x="1104840" y="337320"/>
                            <a:ext cx="3712680" cy="410760"/>
                          </a:xfrm>
                          <a:prstGeom prst="rect">
                            <a:avLst/>
                          </a:prstGeom>
                          <a:noFill/>
                          <a:ln>
                            <a:noFill/>
                          </a:ln>
                        </wps:spPr>
                        <wps:style>
                          <a:lnRef idx="0"/>
                          <a:fillRef idx="0"/>
                          <a:effectRef idx="0"/>
                          <a:fontRef idx="minor"/>
                        </wps:style>
                        <wps:txb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Verplichtingen van de staat</w:t>
                              </w:r>
                            </w:p>
                          </w:txbxContent>
                        </wps:txbx>
                        <wps:bodyPr lIns="90000" rIns="90000" tIns="45000" bIns="45000">
                          <a:noAutofit/>
                        </wps:bodyPr>
                      </wps:wsp>
                      <wps:wsp>
                        <wps:cNvSpPr/>
                        <wps:spPr>
                          <a:xfrm>
                            <a:off x="768960" y="1240920"/>
                            <a:ext cx="1095480" cy="4989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Transparantie</w:t>
                              </w:r>
                            </w:p>
                          </w:txbxContent>
                        </wps:txbx>
                        <wps:bodyPr lIns="90000" rIns="90000" tIns="45000" bIns="45000">
                          <a:noAutofit/>
                        </wps:bodyPr>
                      </wps:wsp>
                      <wps:wsp>
                        <wps:cNvSpPr/>
                        <wps:spPr>
                          <a:xfrm>
                            <a:off x="3957480" y="1253520"/>
                            <a:ext cx="1095480" cy="498960"/>
                          </a:xfrm>
                          <a:prstGeom prst="rect">
                            <a:avLst/>
                          </a:prstGeom>
                          <a:noFill/>
                          <a:ln>
                            <a:noFill/>
                          </a:ln>
                        </wps:spPr>
                        <wps:style>
                          <a:lnRef idx="0"/>
                          <a:fillRef idx="0"/>
                          <a:effectRef idx="0"/>
                          <a:fontRef idx="minor"/>
                        </wps:style>
                        <wps:txb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Plicht onmiddellijk</w:t>
                              </w:r>
                            </w:p>
                          </w:txbxContent>
                        </wps:txbx>
                        <wps:bodyPr lIns="90000" rIns="90000" tIns="45000" bIns="45000">
                          <a:noAutofit/>
                        </wps:bodyPr>
                      </wps:wsp>
                      <wps:wsp>
                        <wps:cNvSpPr/>
                        <wps:spPr>
                          <a:xfrm>
                            <a:off x="2369160" y="1265040"/>
                            <a:ext cx="1094760" cy="294480"/>
                          </a:xfrm>
                          <a:prstGeom prst="rect">
                            <a:avLst/>
                          </a:prstGeom>
                          <a:noFill/>
                          <a:ln>
                            <a:noFill/>
                          </a:ln>
                        </wps:spPr>
                        <wps:style>
                          <a:lnRef idx="0"/>
                          <a:fillRef idx="0"/>
                          <a:effectRef idx="0"/>
                          <a:fontRef idx="minor"/>
                        </wps:style>
                        <wps:txb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Neutraliteit</w:t>
                              </w:r>
                            </w:p>
                          </w:txbxContent>
                        </wps:txbx>
                        <wps:bodyPr lIns="90000" rIns="90000" tIns="45000" bIns="45000">
                          <a:noAutofit/>
                        </wps:bodyPr>
                      </wps:wsp>
                      <wps:wsp>
                        <wps:cNvSpPr/>
                        <wps:spPr>
                          <a:xfrm>
                            <a:off x="210240" y="2037240"/>
                            <a:ext cx="4495680" cy="3535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Methodologische vooroordelen</w:t>
                              </w:r>
                            </w:p>
                          </w:txbxContent>
                        </wps:txbx>
                        <wps:bodyPr lIns="90000" rIns="90000" tIns="45000" bIns="45000">
                          <a:noAutofit/>
                        </wps:bodyPr>
                      </wps:wsp>
                      <pic:pic xmlns:pic="http://schemas.openxmlformats.org/drawingml/2006/picture">
                        <pic:nvPicPr>
                          <pic:cNvPr id="3" name="" descr=""/>
                          <pic:cNvPicPr/>
                        </pic:nvPicPr>
                        <pic:blipFill>
                          <a:blip r:embed="rId98"/>
                          <a:stretch/>
                        </pic:blipFill>
                        <pic:spPr>
                          <a:xfrm>
                            <a:off x="1105560" y="2401560"/>
                            <a:ext cx="4354200" cy="5891040"/>
                          </a:xfrm>
                          <a:prstGeom prst="rect">
                            <a:avLst/>
                          </a:prstGeom>
                          <a:ln>
                            <a:noFill/>
                          </a:ln>
                        </pic:spPr>
                      </pic:pic>
                    </wpg:wgp>
                  </a:graphicData>
                </a:graphic>
              </wp:anchor>
            </w:drawing>
          </mc:Choice>
          <mc:Fallback>
            <w:pict>
              <v:group id="shape_0" alt="Formulier3" style="position:absolute;margin-left:13.85pt;margin-top:35.45pt;width:455.3pt;height:668.3pt" coordorigin="277,709" coordsize="9106,13366">
                <v:shape id="shape_0" stroked="f" style="position:absolute;left:277;top:709;width:9105;height:13365" type="shapetype_75">
                  <v:imagedata r:id="rId97" o:detectmouseclick="t"/>
                  <w10:wrap type="none"/>
                  <v:stroke color="#3465a4" joinstyle="round" endcap="flat"/>
                </v:shape>
                <v:rect id="shape_0" stroked="f" style="position:absolute;left:2017;top:1240;width:5846;height:646">
                  <v:textbo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Verplichtingen van de staat</w:t>
                        </w:r>
                      </w:p>
                    </w:txbxContent>
                  </v:textbox>
                  <w10:wrap type="square"/>
                  <v:fill o:detectmouseclick="t" on="false"/>
                  <v:stroke color="#3465a4" joinstyle="round" endcap="flat"/>
                </v:rect>
                <v:rect id="shape_0" stroked="f" style="position:absolute;left:1488;top:2663;width:1724;height:78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Transparantie</w:t>
                        </w:r>
                      </w:p>
                    </w:txbxContent>
                  </v:textbox>
                  <w10:wrap type="square"/>
                  <v:fill o:detectmouseclick="t" on="false"/>
                  <v:stroke color="#3465a4" joinstyle="round" endcap="flat"/>
                </v:rect>
                <v:rect id="shape_0" stroked="f" style="position:absolute;left:6509;top:2683;width:1724;height:785">
                  <v:textbo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Plicht onmiddellijk</w:t>
                        </w:r>
                      </w:p>
                    </w:txbxContent>
                  </v:textbox>
                  <w10:wrap type="square"/>
                  <v:fill o:detectmouseclick="t" on="false"/>
                  <v:stroke color="#3465a4" joinstyle="round" endcap="flat"/>
                </v:rect>
                <v:rect id="shape_0" stroked="f" style="position:absolute;left:4008;top:2701;width:1723;height:463">
                  <v:textbo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Neutraliteit</w:t>
                        </w:r>
                      </w:p>
                    </w:txbxContent>
                  </v:textbox>
                  <w10:wrap type="square"/>
                  <v:fill o:detectmouseclick="t" on="false"/>
                  <v:stroke color="#3465a4" joinstyle="round" endcap="flat"/>
                </v:rect>
                <v:rect id="shape_0" stroked="f" style="position:absolute;left:608;top:3917;width:7079;height:556">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Methodologische vooroordelen</w:t>
                        </w:r>
                      </w:p>
                    </w:txbxContent>
                  </v:textbox>
                  <w10:wrap type="square"/>
                  <v:fill o:detectmouseclick="t" on="false"/>
                  <v:stroke color="#3465a4" joinstyle="round" endcap="flat"/>
                </v:rect>
                <v:shape id="shape_0" stroked="f" style="position:absolute;left:2018;top:4491;width:6856;height:9276" type="shapetype_75">
                  <v:imagedata r:id="rId98" o:detectmouseclick="t"/>
                  <w10:wrap type="none"/>
                  <v:stroke color="#3465a4" joinstyle="round" endcap="flat"/>
                </v:shape>
              </v:group>
            </w:pict>
          </mc:Fallback>
        </mc:AlternateContent>
      </w:r>
      <w:r>
        <w:rPr/>
        <w:t xml:space="preserve">Methodologische verbintenissen en vooroordelen </w:t>
      </w:r>
    </w:p>
    <w:p>
      <w:pPr>
        <w:pStyle w:val="Normal"/>
        <w:rPr/>
      </w:pPr>
      <w:r>
        <w:rPr/>
      </w:r>
    </w:p>
    <w:p>
      <w:pPr>
        <w:pStyle w:val="Normal"/>
        <w:rPr/>
      </w:pPr>
      <w:r>
        <w:rPr/>
      </w:r>
    </w:p>
    <w:p>
      <w:pPr>
        <w:pStyle w:val="P68B1DB1Normal32"/>
        <w:spacing w:lineRule="auto" w:line="240" w:before="0" w:after="0"/>
        <w:ind w:left="0" w:right="0" w:hanging="0"/>
        <w:rPr/>
      </w:pPr>
      <w:r>
        <w:rPr>
          <w:rFonts w:ascii="Times New Roman" w:hAnsi="Times New Roman"/>
        </w:rPr>
        <w:t>A.</w:t>
      </w:r>
      <w:r>
        <w:rPr/>
        <w:t xml:space="preserve"> </w:t>
      </w:r>
      <w:r>
        <w:rPr>
          <w:rFonts w:ascii="Times New Roman" w:hAnsi="Times New Roman"/>
        </w:rPr>
        <w:t xml:space="preserve">Staatsverbintenissen inzake participatiedemocratie </w:t>
      </w:r>
    </w:p>
    <w:p>
      <w:pPr>
        <w:pStyle w:val="P68B1DB1Normal19"/>
        <w:widowControl w:val="false"/>
        <w:spacing w:lineRule="auto" w:line="240" w:before="0" w:after="0"/>
        <w:ind w:left="0" w:right="0" w:hanging="0"/>
        <w:jc w:val="left"/>
        <w:rPr/>
      </w:pPr>
      <w:r>
        <w:rPr/>
        <w:t>Het Franse deel van de conferentie over de toekomst van Europa maakt deel uit van de toezeggingen van de staat aan de participerende democratie, die gebaseerd zijn op drie beginselen:</w:t>
      </w:r>
      <w:r>
        <w:rPr>
          <w:b/>
        </w:rPr>
        <w:t xml:space="preserve"> transparantie, neutraliteit en plicht onmiddellijk</w:t>
      </w:r>
      <w:r>
        <w:rPr/>
        <w:t xml:space="preserve">. </w:t>
      </w:r>
    </w:p>
    <w:p>
      <w:pPr>
        <w:pStyle w:val="P68B1DB1Normal19"/>
        <w:widowControl w:val="false"/>
        <w:spacing w:lineRule="auto" w:line="240" w:before="0" w:after="0"/>
        <w:ind w:left="0" w:right="0" w:hanging="0"/>
        <w:jc w:val="both"/>
        <w:rPr/>
      </w:pPr>
      <w:r>
        <w:rPr/>
        <w:t xml:space="preserve">Een participatieve aanpak verplicht de organisator om een rigoureuze methodologie te respecteren. De methode van burgerparticipatie moet burgers in staat stellen in de best mogelijke omstandigheden deel te nemen en hun standpunten op een vrije en met redenen omklede wijze kenbaar te maken. </w:t>
      </w:r>
    </w:p>
    <w:p>
      <w:pPr>
        <w:pStyle w:val="P68B1DB1Normal33"/>
        <w:widowControl w:val="false"/>
        <w:spacing w:lineRule="auto" w:line="240" w:before="0" w:after="0"/>
        <w:ind w:left="0" w:right="0" w:hanging="0"/>
        <w:jc w:val="left"/>
        <w:rPr>
          <w:rFonts w:ascii="Times New Roman" w:hAnsi="Times New Roman"/>
          <w:b/>
          <w:b/>
          <w:color w:val="000000"/>
          <w:sz w:val="24"/>
        </w:rPr>
      </w:pPr>
      <w:r>
        <w:rPr/>
        <w:t xml:space="preserve">Transparantie </w:t>
      </w:r>
    </w:p>
    <w:p>
      <w:pPr>
        <w:pStyle w:val="P68B1DB1Normal19"/>
        <w:widowControl w:val="false"/>
        <w:spacing w:lineRule="auto" w:line="240" w:before="0" w:after="0"/>
        <w:ind w:left="0" w:right="0" w:hanging="0"/>
        <w:jc w:val="left"/>
        <w:rPr/>
      </w:pPr>
      <w:r>
        <w:rPr/>
        <w:t xml:space="preserve">Het organisatieteam van de Conferentie zet zich in om alle informatie over de raadpleging toegankelijk te maken voor de burgers: </w:t>
      </w:r>
    </w:p>
    <w:p>
      <w:pPr>
        <w:pStyle w:val="P68B1DB1Normal34"/>
        <w:widowControl w:val="false"/>
        <w:spacing w:lineRule="auto" w:line="240" w:before="0" w:after="0"/>
        <w:ind w:left="0" w:right="0" w:hanging="0"/>
        <w:jc w:val="left"/>
        <w:rPr/>
      </w:pPr>
      <w:r>
        <w:rPr>
          <w:rFonts w:ascii="Times New Roman" w:hAnsi="Times New Roman"/>
        </w:rPr>
        <w:t>•</w:t>
      </w:r>
      <w:r>
        <w:rPr/>
        <w:t xml:space="preserve"> </w:t>
      </w:r>
      <w:r>
        <w:rPr>
          <w:rFonts w:ascii="Times New Roman" w:hAnsi="Times New Roman"/>
        </w:rPr>
        <w:t>Het kader waarbinnen de raadpleging plaatsvindt; •</w:t>
      </w:r>
      <w:r>
        <w:rPr/>
        <w:t xml:space="preserve"> </w:t>
      </w:r>
      <w:r>
        <w:rPr>
          <w:rFonts w:ascii="Times New Roman" w:hAnsi="Times New Roman"/>
        </w:rPr>
        <w:t xml:space="preserve">Verbintenissen jegens de burgers; </w:t>
      </w:r>
    </w:p>
    <w:p>
      <w:pPr>
        <w:pStyle w:val="P68B1DB1Normal34"/>
        <w:widowControl w:val="false"/>
        <w:spacing w:lineRule="auto" w:line="240" w:before="0" w:after="0"/>
        <w:ind w:left="0" w:right="0" w:hanging="0"/>
        <w:jc w:val="left"/>
        <w:rPr/>
      </w:pPr>
      <w:r>
        <w:rPr>
          <w:rFonts w:ascii="Times New Roman" w:hAnsi="Times New Roman"/>
        </w:rPr>
        <w:t>•</w:t>
      </w:r>
      <w:r>
        <w:rPr/>
        <w:t xml:space="preserve"> </w:t>
      </w:r>
      <w:r>
        <w:rPr>
          <w:rFonts w:ascii="Times New Roman" w:hAnsi="Times New Roman"/>
        </w:rPr>
        <w:t xml:space="preserve">Het doel van de raadpleging; </w:t>
      </w:r>
    </w:p>
    <w:p>
      <w:pPr>
        <w:pStyle w:val="P68B1DB1Normal34"/>
        <w:widowControl w:val="false"/>
        <w:spacing w:lineRule="auto" w:line="240" w:before="0" w:after="0"/>
        <w:ind w:left="0" w:right="0" w:hanging="0"/>
        <w:jc w:val="left"/>
        <w:rPr/>
      </w:pPr>
      <w:r>
        <w:rPr>
          <w:rFonts w:ascii="Times New Roman" w:hAnsi="Times New Roman"/>
        </w:rPr>
        <w:t>•</w:t>
      </w:r>
      <w:r>
        <w:rPr/>
        <w:t xml:space="preserve"> </w:t>
      </w:r>
      <w:r>
        <w:rPr>
          <w:rFonts w:ascii="Times New Roman" w:hAnsi="Times New Roman"/>
        </w:rPr>
        <w:t xml:space="preserve">De resultaten van de raadpleging. </w:t>
      </w:r>
    </w:p>
    <w:p>
      <w:pPr>
        <w:pStyle w:val="Normal"/>
        <w:widowControl w:val="false"/>
        <w:spacing w:lineRule="auto" w:line="240" w:before="0" w:after="0"/>
        <w:ind w:left="0" w:right="0" w:hanging="0"/>
        <w:jc w:val="both"/>
        <w:rPr/>
      </w:pPr>
      <w:r>
        <w:rPr>
          <w:rFonts w:ascii="Times New Roman" w:hAnsi="Times New Roman"/>
          <w:color w:val="000000"/>
          <w:sz w:val="24"/>
        </w:rPr>
        <w:t>De methodologie van de conferentie over de toekomst van Europa is aldus vastgesteld met als constante doelstelling het waarborgen van transparantie voor de burgers. De methodologie voor het werven van willekeurig getrokken burgers, methodologische vooroordelen en de behandeling van de toespraak van burgers werden duidelijk uiteengezet. De deelnemers ontvingen ook een samenvatting van hun regionale conferentie per e-mail aan het einde van de conferentie. Bovendien zullen alle werk- en uitreisdocumenten openbaar worden gemaakt aan het einde van de regeling op het platform voor burgerparticipatie van de staat</w:t>
      </w:r>
      <w:r>
        <w:rPr>
          <w:rStyle w:val="Ancredenotedebasdepage"/>
          <w:rStyle w:val="Ancredenotedebasdepage"/>
          <w:rFonts w:ascii="Times New Roman" w:hAnsi="Times New Roman"/>
          <w:color w:val="000000"/>
          <w:sz w:val="16"/>
        </w:rPr>
        <w:footnoteReference w:id="14"/>
      </w:r>
      <w:r>
        <w:rPr>
          <w:rFonts w:ascii="Times New Roman" w:hAnsi="Times New Roman"/>
          <w:color w:val="000000"/>
          <w:sz w:val="24"/>
        </w:rPr>
        <w:t xml:space="preserve">. </w:t>
      </w:r>
    </w:p>
    <w:p>
      <w:pPr>
        <w:pStyle w:val="P68B1DB1Normal19"/>
        <w:widowControl w:val="false"/>
        <w:spacing w:lineRule="auto" w:line="240" w:before="0" w:after="0"/>
        <w:ind w:left="0" w:right="0" w:hanging="0"/>
        <w:jc w:val="left"/>
        <w:rPr>
          <w:rFonts w:ascii="Times New Roman" w:hAnsi="Times New Roman"/>
          <w:color w:val="000000"/>
          <w:sz w:val="24"/>
        </w:rPr>
      </w:pPr>
      <w:r>
        <w:rPr/>
        <w:t xml:space="preserve"> </w:t>
      </w:r>
    </w:p>
    <w:p>
      <w:pPr>
        <w:pStyle w:val="Normal"/>
        <w:spacing w:lineRule="auto" w:line="240" w:before="0" w:after="0"/>
        <w:ind w:left="0" w:right="0" w:hanging="0"/>
        <w:rPr/>
      </w:pPr>
      <w:r>
        <w:rPr/>
      </w:r>
      <w:r>
        <w:br w:type="page"/>
      </w:r>
    </w:p>
    <w:p>
      <w:pPr>
        <w:pStyle w:val="P68B1DB1Normal33"/>
        <w:spacing w:lineRule="auto" w:line="240" w:before="0" w:after="0"/>
        <w:ind w:left="0" w:right="0" w:hanging="0"/>
        <w:rPr>
          <w:rFonts w:ascii="Times New Roman" w:hAnsi="Times New Roman"/>
          <w:b/>
          <w:b/>
          <w:color w:val="000000"/>
          <w:sz w:val="24"/>
        </w:rPr>
      </w:pPr>
      <w:r>
        <w:rPr/>
        <w:t xml:space="preserve">Neutraliteit </w:t>
      </w:r>
    </w:p>
    <w:p>
      <w:pPr>
        <w:pStyle w:val="P68B1DB1Normal19"/>
        <w:widowControl w:val="false"/>
        <w:spacing w:lineRule="auto" w:line="240" w:before="0" w:after="0"/>
        <w:ind w:left="0" w:right="0" w:hanging="0"/>
        <w:jc w:val="both"/>
        <w:rPr/>
      </w:pPr>
      <w:r>
        <w:rPr/>
        <w:t xml:space="preserve">Tijdens een consult moet het organiserende team ervoor zorgen dat het neutraal blijft bij het faciliteren van uitwisselingen en bij het opstellen van samenvattingen met de resultaten. Belanghebbenden in de regeling — facilitators, facilitators, deskundigen — mogen niet hun eigen standpunten kenbaar maken of het debat subjectief aansturen. </w:t>
      </w:r>
    </w:p>
    <w:p>
      <w:pPr>
        <w:pStyle w:val="P68B1DB1Normal19"/>
        <w:widowControl w:val="false"/>
        <w:spacing w:lineRule="auto" w:line="240" w:before="0" w:after="0"/>
        <w:ind w:left="0" w:right="0" w:hanging="0"/>
        <w:jc w:val="both"/>
        <w:rPr/>
      </w:pPr>
      <w:r>
        <w:rPr/>
        <w:t xml:space="preserve">De doelstelling van neutraliteit werd nagestreefd in alle stadia van de raadpleging, waarbij met name werd gezorgd voor een onbevooroordeelde selectie van deelnemers, volledige vrijheid in debatten en een gebrek aan invloed van de sponsor of belanghebbenden op de toespraak van de burger. Deze noodzaak van neutraliteit is tot uiting gekomen door een objectief en transparant wervingsproces van deelnemers, coherente methodologische vooroordelen (omgekeerde expertise, gebrek aan thematische framing van debatten) en een speciale focus op de houding van de verschillende sprekers (facilitators, facilitators, deskundigen). Tot slot zorgde het organiserende team ervoor dat alle woorden werden gewaardeerd en niet om burgervoorstellen te filteren. </w:t>
      </w:r>
    </w:p>
    <w:p>
      <w:pPr>
        <w:pStyle w:val="P68B1DB1Normal19"/>
        <w:widowControl w:val="false"/>
        <w:spacing w:lineRule="auto" w:line="240" w:before="0" w:after="0"/>
        <w:ind w:left="0" w:right="0" w:hanging="0"/>
        <w:jc w:val="both"/>
        <w:rPr/>
      </w:pPr>
      <w:r>
        <w:rPr/>
        <w:t xml:space="preserve">Een </w:t>
      </w:r>
      <w:r>
        <w:rPr>
          <w:b/>
        </w:rPr>
        <w:t>college van drie borgen</w:t>
      </w:r>
      <w:r>
        <w:rPr/>
        <w:t xml:space="preserve">, benoemd door de voorzitters van de Nationale Vergadering en het Europees Parlement en door de regering, heeft er ook voor gezorgd dat alle meningen worden geuit en in aanmerking worden genomen. </w:t>
      </w:r>
    </w:p>
    <w:p>
      <w:pPr>
        <w:pStyle w:val="P68B1DB1Normal33"/>
        <w:widowControl w:val="false"/>
        <w:spacing w:lineRule="auto" w:line="240" w:before="0" w:after="0"/>
        <w:ind w:left="0" w:right="0" w:hanging="0"/>
        <w:jc w:val="left"/>
        <w:rPr>
          <w:rFonts w:ascii="Times New Roman" w:hAnsi="Times New Roman"/>
          <w:b/>
          <w:b/>
          <w:color w:val="000000"/>
          <w:sz w:val="24"/>
        </w:rPr>
      </w:pPr>
      <w:r>
        <w:rPr/>
        <w:t xml:space="preserve">Plicht onmiddellijk </w:t>
      </w:r>
    </w:p>
    <w:p>
      <w:pPr>
        <w:pStyle w:val="P68B1DB1Normal19"/>
        <w:widowControl w:val="false"/>
        <w:spacing w:lineRule="auto" w:line="240" w:before="0" w:after="0"/>
        <w:ind w:left="0" w:right="0" w:hanging="0"/>
        <w:jc w:val="both"/>
        <w:rPr/>
      </w:pPr>
      <w:r>
        <w:rPr/>
        <w:t xml:space="preserve">Burgers, ongeacht of zij aan de raadpleging hebben deelgenomen, hebben het recht te worden geïnformeerd over wat er is gekozen over hun voorstellen en de adviezen die zij van hen hebben getrokken, en om welke redenen. Dit wordt </w:t>
      </w:r>
      <w:r>
        <w:rPr>
          <w:b/>
        </w:rPr>
        <w:t>onmiddellijk plicht</w:t>
      </w:r>
      <w:r>
        <w:rPr/>
        <w:t xml:space="preserve"> genoemd. </w:t>
      </w:r>
    </w:p>
    <w:p>
      <w:pPr>
        <w:pStyle w:val="P68B1DB1Normal19"/>
        <w:widowControl w:val="false"/>
        <w:spacing w:lineRule="auto" w:line="240" w:before="0" w:after="0"/>
        <w:ind w:left="0" w:right="0" w:hanging="0"/>
        <w:jc w:val="left"/>
        <w:rPr>
          <w:rFonts w:ascii="Times New Roman" w:hAnsi="Times New Roman"/>
          <w:color w:val="000000"/>
          <w:sz w:val="24"/>
        </w:rPr>
      </w:pPr>
      <w:r>
        <w:rPr/>
        <w:t xml:space="preserve"> </w:t>
      </w:r>
    </w:p>
    <w:p>
      <w:pPr>
        <w:pStyle w:val="P68B1DB1Normal19"/>
        <w:spacing w:lineRule="auto" w:line="240" w:before="0" w:after="0"/>
        <w:ind w:left="0" w:right="0" w:hanging="0"/>
        <w:jc w:val="both"/>
        <w:rPr/>
      </w:pPr>
      <w:r>
        <w:rPr/>
        <w:t xml:space="preserve">Het wordt gedefinieerd door het Interdepartemental Centre for Citizen Participation (ICPC) en het Interdepartemental Directoraat voor Publieke Transformatie (DITP) als de toezegging van de publieke besluitvormer om burgers een duidelijk en leesbaar antwoord te geven op de resultaten van de raadpleging. Concreet is het de taak van follow-up om terug te keren naar de burgers om hen uit te leggen hoe met hun bijdragen rekening wordt gehouden en hoe zij van invloed zijn op de besluitvorming en op de praktijken van de administratie. </w:t>
      </w:r>
    </w:p>
    <w:p>
      <w:pPr>
        <w:pStyle w:val="Normal"/>
        <w:spacing w:lineRule="auto" w:line="240" w:before="0" w:after="0"/>
        <w:ind w:left="0" w:right="0" w:hanging="0"/>
        <w:jc w:val="both"/>
        <w:rPr>
          <w:rFonts w:ascii="Times New Roman" w:hAnsi="Times New Roman"/>
          <w:color w:val="000000"/>
          <w:sz w:val="24"/>
        </w:rPr>
      </w:pPr>
      <w:r>
        <w:rPr>
          <w:rFonts w:ascii="Times New Roman" w:hAnsi="Times New Roman"/>
          <w:color w:val="000000"/>
          <w:sz w:val="24"/>
        </w:rPr>
      </w:r>
    </w:p>
    <w:p>
      <w:pPr>
        <w:pStyle w:val="P68B1DB1Normal19"/>
        <w:widowControl w:val="false"/>
        <w:spacing w:lineRule="auto" w:line="240" w:before="0" w:after="0"/>
        <w:ind w:left="0" w:right="0" w:hanging="0"/>
        <w:jc w:val="both"/>
        <w:rPr/>
      </w:pPr>
      <w:r>
        <w:rPr/>
        <w:t xml:space="preserve">De regering nam deze plicht op als follow-up van de Conferentie over de toekomst van Europa en kondigde een ambitieus follow-upmechanisme aan na de in het volgende deel van dit verslag beschreven nationale conferentie (zie </w:t>
      </w:r>
      <w:r>
        <w:rPr>
          <w:i/>
        </w:rPr>
        <w:t>„methodepartijen”</w:t>
      </w:r>
      <w:r>
        <w:rPr/>
        <w:t xml:space="preserve">). </w:t>
      </w:r>
    </w:p>
    <w:p>
      <w:pPr>
        <w:pStyle w:val="P68B1DB1Normal19"/>
        <w:widowControl w:val="false"/>
        <w:spacing w:lineRule="auto" w:line="240" w:before="0" w:after="0"/>
        <w:ind w:left="0" w:right="0" w:hanging="0"/>
        <w:jc w:val="both"/>
        <w:rPr>
          <w:rFonts w:ascii="Times New Roman" w:hAnsi="Times New Roman"/>
          <w:color w:val="000000"/>
          <w:sz w:val="24"/>
        </w:rPr>
      </w:pPr>
      <w:r>
        <w:rPr/>
        <w:t xml:space="preserve"> </w:t>
      </w:r>
    </w:p>
    <w:p>
      <w:pPr>
        <w:pStyle w:val="P68B1DB1Normal33"/>
        <w:spacing w:lineRule="auto" w:line="240" w:before="0" w:after="0"/>
        <w:ind w:left="0" w:right="0" w:hanging="0"/>
        <w:jc w:val="both"/>
        <w:rPr>
          <w:rFonts w:ascii="Times New Roman" w:hAnsi="Times New Roman"/>
          <w:b/>
          <w:b/>
          <w:color w:val="000000"/>
          <w:sz w:val="24"/>
        </w:rPr>
      </w:pPr>
      <w:r>
        <w:rPr/>
        <w:t xml:space="preserve">B. Methodologische partijen </w:t>
      </w:r>
    </w:p>
    <w:p>
      <w:pPr>
        <w:pStyle w:val="P68B1DB1Normal19"/>
        <w:widowControl w:val="false"/>
        <w:spacing w:lineRule="auto" w:line="240" w:before="0" w:after="0"/>
        <w:ind w:left="0" w:right="0" w:hanging="0"/>
        <w:jc w:val="both"/>
        <w:rPr/>
      </w:pPr>
      <w:r>
        <w:rPr/>
        <w:t xml:space="preserve">Deze drie staatsverbintenissen kwamen tot uiting in de raadplegingsmethode in de vorm van </w:t>
      </w:r>
      <w:r>
        <w:rPr>
          <w:b/>
        </w:rPr>
        <w:t>zeven sterke methodologische vooroordelen</w:t>
      </w:r>
      <w:r>
        <w:rPr/>
        <w:t xml:space="preserve">. </w:t>
      </w:r>
    </w:p>
    <w:p>
      <w:pPr>
        <w:pStyle w:val="Normal"/>
        <w:widowControl w:val="false"/>
        <w:spacing w:lineRule="auto" w:line="240" w:before="0" w:after="0"/>
        <w:ind w:left="0" w:right="0" w:hanging="0"/>
        <w:jc w:val="both"/>
        <w:rPr>
          <w:rFonts w:ascii="Times New Roman" w:hAnsi="Times New Roman"/>
          <w:color w:val="000000"/>
          <w:sz w:val="24"/>
        </w:rPr>
      </w:pPr>
      <w:r>
        <w:rPr>
          <w:rFonts w:ascii="Times New Roman" w:hAnsi="Times New Roman"/>
          <w:color w:val="000000"/>
          <w:sz w:val="24"/>
        </w:rPr>
      </w:r>
    </w:p>
    <w:p>
      <w:pPr>
        <w:pStyle w:val="P68B1DB1Normal35"/>
        <w:widowControl w:val="false"/>
        <w:spacing w:lineRule="auto" w:line="240" w:before="0" w:after="0"/>
        <w:ind w:left="0" w:right="0" w:hanging="0"/>
        <w:jc w:val="both"/>
        <w:rPr/>
      </w:pPr>
      <w:r>
        <w:rPr>
          <w:rFonts w:ascii="Times New Roman" w:hAnsi="Times New Roman"/>
        </w:rPr>
        <w:t>1.</w:t>
      </w:r>
      <w:r>
        <w:rPr/>
        <w:t xml:space="preserve"> </w:t>
      </w:r>
      <w:r>
        <w:rPr>
          <w:rFonts w:ascii="Times New Roman" w:hAnsi="Times New Roman"/>
        </w:rPr>
        <w:t>Territorialisatie en nabijheid</w:t>
      </w:r>
    </w:p>
    <w:p>
      <w:pPr>
        <w:pStyle w:val="P68B1DB1Normal24"/>
        <w:widowControl w:val="false"/>
        <w:spacing w:lineRule="auto" w:line="240" w:before="0" w:after="0"/>
        <w:ind w:left="0" w:right="0" w:hanging="0"/>
        <w:jc w:val="both"/>
        <w:rPr/>
      </w:pPr>
      <w:r>
        <w:rPr/>
        <w:t xml:space="preserve">De nationale component van de conferentie over de toekomst van Europa nam de vorm aan van 18 regionale conferenties, in de 13 grootstedelijke regio’s en de 5 Franse ultramarijnse regio’s, gevolgd door een nationale conferentie in Parijs. Door deze keuze van het organiseren van panels op lokaal niveau was het de wens om </w:t>
      </w:r>
      <w:r>
        <w:rPr>
          <w:b/>
        </w:rPr>
        <w:t>zo dicht mogelijk bij de burgers een stem te vergaren</w:t>
      </w:r>
      <w:r>
        <w:rPr/>
        <w:t xml:space="preserve">. Deze vooringenomenheid verrijkte ook de raadpleging door de lijnen van consensus en dissensus tussen de gebieden over verschillende onderwerpen aan te tonen. </w:t>
      </w:r>
    </w:p>
    <w:p>
      <w:pPr>
        <w:pStyle w:val="Normal"/>
        <w:widowControl w:val="false"/>
        <w:spacing w:lineRule="auto" w:line="240" w:before="0" w:after="0"/>
        <w:ind w:left="0" w:right="0" w:hanging="0"/>
        <w:jc w:val="both"/>
        <w:rPr>
          <w:rFonts w:ascii="Times New Roman" w:hAnsi="Times New Roman"/>
          <w:color w:val="000000"/>
          <w:sz w:val="22"/>
        </w:rPr>
      </w:pPr>
      <w:r>
        <w:rPr>
          <w:rFonts w:ascii="Times New Roman" w:hAnsi="Times New Roman"/>
          <w:color w:val="000000"/>
          <w:sz w:val="22"/>
        </w:rPr>
      </w:r>
    </w:p>
    <w:p>
      <w:pPr>
        <w:pStyle w:val="P68B1DB1Normal35"/>
        <w:widowControl w:val="false"/>
        <w:spacing w:lineRule="auto" w:line="240" w:before="0" w:after="0"/>
        <w:ind w:left="0" w:right="0" w:hanging="0"/>
        <w:jc w:val="both"/>
        <w:rPr/>
      </w:pPr>
      <w:r>
        <w:rPr>
          <w:rFonts w:ascii="Times New Roman" w:hAnsi="Times New Roman"/>
        </w:rPr>
        <w:t>2.</w:t>
      </w:r>
      <w:r>
        <w:rPr/>
        <w:t xml:space="preserve"> </w:t>
      </w:r>
      <w:r>
        <w:rPr>
          <w:rFonts w:ascii="Times New Roman" w:hAnsi="Times New Roman"/>
        </w:rPr>
        <w:t>Diversiteit van burgerprofielen en gebruik van de trekking</w:t>
      </w:r>
    </w:p>
    <w:p>
      <w:pPr>
        <w:pStyle w:val="P68B1DB1Normal24"/>
        <w:widowControl w:val="false"/>
        <w:spacing w:lineRule="auto" w:line="240" w:before="0" w:after="0"/>
        <w:ind w:left="0" w:right="0" w:hanging="0"/>
        <w:jc w:val="both"/>
        <w:rPr/>
      </w:pPr>
      <w:r>
        <w:rPr/>
        <w:t xml:space="preserve">Een doelstelling voor de aanwerving van 50 burgers per regionale conferentie werd voor het proces vastgesteld, met uitzondering van de ultramarijnse conferenties van Martinique, Mayotte, Guadeloupe en Guyana, met elk 30 tot 40 burgers, en de conferentie Grand Est waarin ook 5 Duitse burgers van de drie grenslanders aanwezig waren. Een </w:t>
      </w:r>
      <w:r>
        <w:rPr>
          <w:b/>
        </w:rPr>
        <w:t>willekeurige generatie</w:t>
      </w:r>
      <w:r>
        <w:rPr/>
        <w:t xml:space="preserve"> telefoonnummers maakte het mogelijk om veel burgers te trekken die werden uitgenodigd om deel te nemen aan regionale conferenties. </w:t>
      </w:r>
    </w:p>
    <w:p>
      <w:pPr>
        <w:pStyle w:val="P68B1DB1Normal24"/>
        <w:widowControl w:val="false"/>
        <w:spacing w:lineRule="auto" w:line="240" w:before="0" w:after="0"/>
        <w:ind w:left="0" w:right="0" w:hanging="0"/>
        <w:jc w:val="both"/>
        <w:rPr/>
      </w:pPr>
      <w:r>
        <w:rPr/>
        <w:t xml:space="preserve">Om in aanmerking te komen, moesten burgers die door kavel worden getrokken, ouder zijn dan 18 jaar en Franse of permanente ingezetenen zijn in een reguliere situatie. Elk regionaal panel van burgers moest </w:t>
      </w:r>
      <w:r>
        <w:rPr>
          <w:b/>
        </w:rPr>
        <w:t>representatief zijn voor de diversiteit van de regionale bevolking</w:t>
      </w:r>
      <w:r>
        <w:rPr/>
        <w:t xml:space="preserve">en een </w:t>
      </w:r>
      <w:r>
        <w:rPr>
          <w:b/>
        </w:rPr>
        <w:t>verscheidenheid aan standpunten over Europa</w:t>
      </w:r>
      <w:r>
        <w:rPr/>
        <w:t xml:space="preserve"> samenbrengen. De precieze methode voor aanwerving door loting is opgenomen in bijlage II. </w:t>
      </w:r>
    </w:p>
    <w:p>
      <w:pPr>
        <w:pStyle w:val="Normal"/>
        <w:widowControl w:val="false"/>
        <w:spacing w:lineRule="auto" w:line="240" w:before="0" w:after="0"/>
        <w:ind w:left="0" w:right="0" w:hanging="0"/>
        <w:jc w:val="both"/>
        <w:rPr>
          <w:rFonts w:ascii="Times New Roman" w:hAnsi="Times New Roman"/>
          <w:color w:val="000000"/>
          <w:sz w:val="22"/>
        </w:rPr>
      </w:pPr>
      <w:r>
        <w:rPr>
          <w:rFonts w:ascii="Times New Roman" w:hAnsi="Times New Roman"/>
          <w:color w:val="000000"/>
          <w:sz w:val="22"/>
        </w:rPr>
      </w:r>
    </w:p>
    <w:p>
      <w:pPr>
        <w:pStyle w:val="P68B1DB1Normal35"/>
        <w:widowControl w:val="false"/>
        <w:spacing w:lineRule="auto" w:line="240" w:before="0" w:after="0"/>
        <w:ind w:left="0" w:right="0" w:hanging="0"/>
        <w:jc w:val="both"/>
        <w:rPr/>
      </w:pPr>
      <w:r>
        <w:rPr>
          <w:rFonts w:ascii="Times New Roman" w:hAnsi="Times New Roman"/>
        </w:rPr>
        <w:t>3.</w:t>
      </w:r>
      <w:r>
        <w:rPr/>
        <w:t xml:space="preserve"> </w:t>
      </w:r>
      <w:r>
        <w:rPr>
          <w:rFonts w:ascii="Times New Roman" w:hAnsi="Times New Roman"/>
        </w:rPr>
        <w:t>Transparantie van de aanpak</w:t>
      </w:r>
    </w:p>
    <w:p>
      <w:pPr>
        <w:pStyle w:val="P68B1DB1Normal24"/>
        <w:widowControl w:val="false"/>
        <w:spacing w:lineRule="auto" w:line="240" w:before="0" w:after="0"/>
        <w:ind w:left="0" w:right="0" w:hanging="0"/>
        <w:jc w:val="both"/>
        <w:rPr/>
      </w:pPr>
      <w:r>
        <w:rPr/>
        <w:t xml:space="preserve">Een </w:t>
      </w:r>
      <w:r>
        <w:rPr>
          <w:b/>
        </w:rPr>
        <w:t>college van drie borgen</w:t>
      </w:r>
      <w:r>
        <w:rPr/>
        <w:t xml:space="preserve">, benoemd door de staatssecretaris voor Europese Zaken, de voorzitter van de Nationale Vergadering en de voorzitter van het Europees Parlement, heeft het hele proces gevolgd om de neutraliteit en regelmatigheid ervan te waarborgen. De garanten beschikken met name over: hield toezicht op de oprechtheid van de werving van burgers door lot, deed aanbevelingen voor de selectie van deskundigen en zorgde ervoor dat de debatten goed waren georganiseerd. Aan het einde van de procedure zullen de borgen hun mening over de raadpleging openbaar maken. Dit document wordt gepubliceerd op het platform voor burgerparticipatie van de staat. </w:t>
      </w:r>
    </w:p>
    <w:p>
      <w:pPr>
        <w:pStyle w:val="P68B1DB1Normal24"/>
        <w:widowControl w:val="false"/>
        <w:spacing w:lineRule="auto" w:line="240" w:before="0" w:after="0"/>
        <w:ind w:left="0" w:right="0" w:hanging="0"/>
        <w:jc w:val="both"/>
        <w:rPr/>
      </w:pPr>
      <w:r>
        <w:rPr/>
        <w:t xml:space="preserve">Zal ook worden gepubliceerd op het platform voor burgerparticipatie van de staat: de samenvattingen van de achttien regionale conferenties, de samenvatting van alle op de regionale conferenties uitgedrukte veranderingen, de synthese van de nationale conferentie en tenslotte het eindverslag dat aan de regering is voorgelegd. </w:t>
      </w:r>
    </w:p>
    <w:p>
      <w:pPr>
        <w:pStyle w:val="P68B1DB1Normal19"/>
        <w:widowControl w:val="false"/>
        <w:spacing w:lineRule="auto" w:line="240" w:before="0" w:after="0"/>
        <w:ind w:left="0" w:right="0" w:hanging="0"/>
        <w:jc w:val="both"/>
        <w:rPr>
          <w:rFonts w:ascii="Times New Roman" w:hAnsi="Times New Roman"/>
          <w:color w:val="000000"/>
          <w:sz w:val="24"/>
        </w:rPr>
      </w:pPr>
      <w:r>
        <w:rPr/>
        <w:t xml:space="preserve"> </w:t>
      </w:r>
    </w:p>
    <w:p>
      <w:pPr>
        <w:pStyle w:val="P68B1DB1Normal35"/>
        <w:spacing w:lineRule="auto" w:line="240" w:before="0" w:after="0"/>
        <w:ind w:left="0" w:right="0" w:hanging="0"/>
        <w:jc w:val="both"/>
        <w:rPr/>
      </w:pPr>
      <w:r>
        <w:rPr>
          <w:rFonts w:ascii="Times New Roman" w:hAnsi="Times New Roman"/>
        </w:rPr>
        <w:t>4.</w:t>
      </w:r>
      <w:r>
        <w:rPr/>
        <w:t xml:space="preserve"> </w:t>
      </w:r>
      <w:r>
        <w:rPr>
          <w:rFonts w:ascii="Times New Roman" w:hAnsi="Times New Roman"/>
        </w:rPr>
        <w:t>Een open debat zonder opgelegd thema</w:t>
      </w:r>
    </w:p>
    <w:p>
      <w:pPr>
        <w:pStyle w:val="P68B1DB1Normal24"/>
        <w:widowControl w:val="false"/>
        <w:spacing w:lineRule="auto" w:line="240" w:before="215" w:after="0"/>
        <w:ind w:left="1" w:right="0" w:hanging="0"/>
        <w:jc w:val="left"/>
        <w:rPr/>
      </w:pPr>
      <w:r>
        <w:rPr/>
        <w:t xml:space="preserve">In het kader van deze nationale raadpleging werd één enkele vraag gesteld ter attentie van de deelnemende burgers: „ </w:t>
      </w:r>
      <w:r>
        <w:rPr>
          <w:i/>
        </w:rPr>
        <w:t>Als Franse burgers, welke veranderingen wilt u voor Europa?</w:t>
      </w:r>
      <w:r>
        <w:rPr/>
        <w:t xml:space="preserve">” </w:t>
      </w:r>
    </w:p>
    <w:p>
      <w:pPr>
        <w:pStyle w:val="P68B1DB1Normal24"/>
        <w:widowControl w:val="false"/>
        <w:spacing w:lineRule="auto" w:line="240" w:before="235" w:after="0"/>
        <w:ind w:left="1" w:right="0" w:hanging="0"/>
        <w:jc w:val="both"/>
        <w:rPr/>
      </w:pPr>
      <w:r>
        <w:rPr/>
        <w:t xml:space="preserve">Door de ontvouwing en methodologie konden burgers zelf de agenda van de gewenste veranderingen bepalen, zonder te worden beperkt door een specifiek thema of een voorafgaande normatieve framing. </w:t>
      </w:r>
    </w:p>
    <w:p>
      <w:pPr>
        <w:pStyle w:val="Normal"/>
        <w:widowControl w:val="false"/>
        <w:spacing w:lineRule="auto" w:line="240" w:before="233" w:after="0"/>
        <w:ind w:left="1" w:right="1" w:hanging="0"/>
        <w:jc w:val="both"/>
        <w:rPr/>
      </w:pPr>
      <w:r>
        <w:rPr>
          <w:rFonts w:ascii="Times New Roman" w:hAnsi="Times New Roman"/>
          <w:color w:val="000000"/>
        </w:rPr>
        <w:t>Het doel was om burgers van regionale conferenties in staat te stellen volledige vrijheid te genieten in de onderwerpen die zij wilden bespreken. Het ministerie van Europa en Buitenlandse Zaken voor het nationale deel van de conferentie over de toekomst van Europa heeft er dus voor gekozen een complementaire aanpak van de Europese oefening te ontwikkelen, die is opgebouwd rond negen thema’s: klimaatverandering en milieu; gezondheid; een sterkere economie, sociale rechtvaardigheid en werkgelegenheid; de EU in de wereld; waarden en rechten, de rechtsstaat, veiligheid; digitale transformatie; Europese democratie; migratie; onderwijs, cultuur, jeugd en sport; andere ideeën</w:t>
      </w:r>
      <w:r>
        <w:rPr>
          <w:rStyle w:val="Ancredenotedebasdepage"/>
          <w:rStyle w:val="Ancredenotedebasdepage"/>
          <w:rFonts w:ascii="Times New Roman" w:hAnsi="Times New Roman"/>
          <w:color w:val="000000"/>
          <w:sz w:val="14"/>
        </w:rPr>
        <w:footnoteReference w:id="15"/>
      </w:r>
      <w:r>
        <w:rPr>
          <w:rFonts w:ascii="Times New Roman" w:hAnsi="Times New Roman"/>
          <w:color w:val="000000"/>
        </w:rPr>
        <w:t xml:space="preserve">. </w:t>
      </w:r>
    </w:p>
    <w:p>
      <w:pPr>
        <w:pStyle w:val="P68B1DB1Normal24"/>
        <w:widowControl w:val="false"/>
        <w:spacing w:lineRule="auto" w:line="240" w:before="235" w:after="0"/>
        <w:ind w:left="0" w:right="2" w:hanging="0"/>
        <w:jc w:val="left"/>
        <w:rPr/>
      </w:pPr>
      <w:r>
        <w:rPr/>
        <w:t xml:space="preserve">De thema’s van de uitwisselingen van regionale conferenties werden aldus door de burgers zelf gedefinieerd en niet door de sponsor van de oefening. </w:t>
      </w:r>
    </w:p>
    <w:p>
      <w:pPr>
        <w:pStyle w:val="P68B1DB1Normal35"/>
        <w:widowControl w:val="false"/>
        <w:spacing w:lineRule="exact" w:line="379" w:before="352" w:after="0"/>
        <w:ind w:left="358" w:right="0" w:hanging="0"/>
        <w:jc w:val="left"/>
        <w:rPr/>
      </w:pPr>
      <w:r>
        <w:rPr>
          <w:rFonts w:ascii="Times New Roman" w:hAnsi="Times New Roman"/>
        </w:rPr>
        <w:t>5.</w:t>
      </w:r>
      <w:r>
        <w:rPr/>
        <w:t xml:space="preserve"> </w:t>
      </w:r>
      <w:r>
        <w:rPr>
          <w:rFonts w:ascii="Times New Roman" w:hAnsi="Times New Roman"/>
        </w:rPr>
        <w:t>Omgekeerde expertise</w:t>
      </w:r>
    </w:p>
    <w:p>
      <w:pPr>
        <w:pStyle w:val="P68B1DB1Normal24"/>
        <w:widowControl w:val="false"/>
        <w:spacing w:lineRule="auto" w:line="240" w:before="218" w:after="0"/>
        <w:ind w:left="1" w:right="0" w:hanging="0"/>
        <w:jc w:val="left"/>
        <w:rPr/>
      </w:pPr>
      <w:r>
        <w:rPr/>
        <w:t xml:space="preserve">Om zo min mogelijk invloed uit te oefenen op de deelnemers aan het proces om hun wensen voor Europa te bepalen, is de keuze </w:t>
      </w:r>
      <w:r>
        <w:rPr>
          <w:b/>
        </w:rPr>
        <w:t>gemaakt om geen voorafgaande informatie of expertise te verstrekken</w:t>
      </w:r>
      <w:r>
        <w:rPr/>
        <w:t xml:space="preserve"> (bijvoorbeeld over het huidige project van de Europese Unie, haar bevoegdheden of de werking van de instellingen), maar om te beginnen met de vragen van de burgers zelf. Deze methodologische vooringenomenheid is gebaseerd op het principe van „ </w:t>
      </w:r>
      <w:r>
        <w:rPr>
          <w:i/>
        </w:rPr>
        <w:t>omgekeerde expertise</w:t>
      </w:r>
      <w:r>
        <w:rPr/>
        <w:t xml:space="preserve">” volgens welke </w:t>
      </w:r>
      <w:r>
        <w:rPr>
          <w:b/>
        </w:rPr>
        <w:t>collectieve reflectie</w:t>
      </w:r>
      <w:r>
        <w:rPr/>
        <w:t xml:space="preserve"> is gebaseerd op de ervaringen en meningen van burgers, die vervolgens deskundigen vragen om hun discussies te ondersteunen en hun werkhypotheses te consolideren. </w:t>
      </w:r>
    </w:p>
    <w:p>
      <w:pPr>
        <w:pStyle w:val="P68B1DB1Normal24"/>
        <w:widowControl w:val="false"/>
        <w:spacing w:lineRule="auto" w:line="240" w:before="232" w:after="0"/>
        <w:ind w:left="0" w:right="0" w:hanging="0"/>
        <w:jc w:val="both"/>
        <w:rPr/>
      </w:pPr>
      <w:r>
        <w:rPr/>
        <w:t xml:space="preserve">Om dit doel te bereiken, werden </w:t>
      </w:r>
      <w:r>
        <w:rPr>
          <w:b/>
        </w:rPr>
        <w:t>deskundigen</w:t>
      </w:r>
      <w:r>
        <w:rPr/>
        <w:t xml:space="preserve"> ingezet in de verschillende regio’s (gemiddeld drie), met name uit de academische wereld en Europe Direct-informatiecentra in de betrokken gebieden. Ze waren zaterdag en zondag aanwezig om de vragen van burgers te beantwoorden en spraken alleen op hun verzoek. Fact </w:t>
      </w:r>
      <w:r>
        <w:rPr>
          <w:b/>
        </w:rPr>
        <w:t>checkers</w:t>
      </w:r>
      <w:r>
        <w:rPr/>
        <w:t xml:space="preserve"> waren ook bereikbaar</w:t>
      </w:r>
      <w:r>
        <w:rPr>
          <w:i/>
        </w:rPr>
        <w:t>om</w:t>
      </w:r>
      <w:r>
        <w:rPr/>
        <w:t xml:space="preserve">snel de feitelijke vragen van burgers te verifiëren. </w:t>
      </w:r>
    </w:p>
    <w:p>
      <w:pPr>
        <w:pStyle w:val="P68B1DB1Normal24"/>
        <w:widowControl w:val="false"/>
        <w:spacing w:lineRule="auto" w:line="240" w:before="235" w:after="0"/>
        <w:ind w:left="0" w:right="1" w:hanging="0"/>
        <w:jc w:val="both"/>
        <w:rPr/>
      </w:pPr>
      <w:r>
        <w:rPr/>
        <w:t xml:space="preserve">Tijdens de nationale syntheseconferentie van het EESC hebben 19 deskundigen op hoog niveau uit de academische wereld, denktanks en diplomatiek korps de werkgroepen bijgewoond. Deze deskundigen vergezelden een groep gedurende het weekend, zodat zij de in de regio’s uitgedrukte veranderingen konden verdiepen. </w:t>
      </w:r>
    </w:p>
    <w:p>
      <w:pPr>
        <w:pStyle w:val="Normal"/>
        <w:spacing w:lineRule="auto" w:line="240" w:before="0" w:after="0"/>
        <w:ind w:left="0" w:right="0" w:hanging="0"/>
        <w:jc w:val="both"/>
        <w:rPr/>
      </w:pPr>
      <w:r>
        <w:rPr/>
      </w:r>
    </w:p>
    <w:p>
      <w:pPr>
        <w:pStyle w:val="P68B1DB1Normal35"/>
        <w:spacing w:lineRule="auto" w:line="240" w:before="0" w:after="0"/>
        <w:ind w:left="0" w:right="0" w:hanging="0"/>
        <w:jc w:val="both"/>
        <w:rPr/>
      </w:pPr>
      <w:r>
        <w:rPr>
          <w:rFonts w:ascii="Times New Roman" w:hAnsi="Times New Roman"/>
        </w:rPr>
        <w:t>6.</w:t>
      </w:r>
      <w:r>
        <w:rPr/>
        <w:t xml:space="preserve"> </w:t>
      </w:r>
      <w:r>
        <w:rPr>
          <w:rFonts w:ascii="Times New Roman" w:hAnsi="Times New Roman"/>
        </w:rPr>
        <w:t>Collegialiteit en Agile Governance</w:t>
      </w:r>
    </w:p>
    <w:p>
      <w:pPr>
        <w:pStyle w:val="P68B1DB1Normal24"/>
        <w:widowControl w:val="false"/>
        <w:spacing w:lineRule="auto" w:line="240" w:before="212" w:after="0"/>
        <w:ind w:left="0" w:right="0" w:hanging="0"/>
        <w:jc w:val="left"/>
        <w:rPr/>
      </w:pPr>
      <w:r>
        <w:rPr/>
        <w:t xml:space="preserve">Het hele proces werd </w:t>
      </w:r>
      <w:r>
        <w:rPr>
          <w:b/>
        </w:rPr>
        <w:t>mede gebouwd</w:t>
      </w:r>
      <w:r>
        <w:rPr/>
        <w:t xml:space="preserve"> door het ministerie van Europa en Buitenlandse Zaken (MEAE). </w:t>
      </w:r>
    </w:p>
    <w:p>
      <w:pPr>
        <w:pStyle w:val="P68B1DB1Normal24"/>
        <w:widowControl w:val="false"/>
        <w:spacing w:lineRule="auto" w:line="240"/>
        <w:ind w:left="0" w:right="4" w:hanging="0"/>
        <w:jc w:val="both"/>
        <w:rPr/>
      </w:pPr>
      <w:r>
        <w:rPr/>
        <w:t xml:space="preserve">met steun van de participatiestrategie van het Interministerieel Centrum voor Burgerparticipatie (ICPC) van het Interministerieel Directoraat Publieke Transformatie (DITP) en het ministerie van Parlementaire Betrekkingen en Burgerparticipatie (MRPC). De regeling werd uitgevoerd door een leveranciersconsortium bestaande uit Roland Berger, Wavestone, Missions Publiques en Harris Interactive voor het sturen van het proces, het organiseren van conferenties, het opstellen van burgers en het opstellen van rapporten en samenvattingen, in samenwerking met de regionale prefecturen voor de lokale organisatie van regionale conferenties. </w:t>
      </w:r>
    </w:p>
    <w:p>
      <w:pPr>
        <w:pStyle w:val="P68B1DB1Normal24"/>
        <w:widowControl w:val="false"/>
        <w:spacing w:lineRule="auto" w:line="240" w:before="232" w:after="0"/>
        <w:ind w:left="0" w:right="4" w:hanging="0"/>
        <w:jc w:val="left"/>
        <w:rPr/>
      </w:pPr>
      <w:r>
        <w:rPr>
          <w:b/>
        </w:rPr>
        <w:t>Er is een specifiek bestuur</w:t>
      </w:r>
      <w:r>
        <w:rPr/>
        <w:t xml:space="preserve"> opgezet rond een projectteam onder leiding van MEAE, dat de CPIC, het MRPC en het leveranciersconsortium samenbrengt. </w:t>
      </w:r>
    </w:p>
    <w:p>
      <w:pPr>
        <w:pStyle w:val="P68B1DB1Normal35"/>
        <w:widowControl w:val="false"/>
        <w:spacing w:lineRule="auto" w:line="240" w:before="354" w:after="0"/>
        <w:ind w:left="358" w:right="0" w:hanging="0"/>
        <w:jc w:val="left"/>
        <w:rPr/>
      </w:pPr>
      <w:r>
        <w:rPr>
          <w:rFonts w:ascii="Times New Roman" w:hAnsi="Times New Roman"/>
        </w:rPr>
        <w:t>7.</w:t>
      </w:r>
      <w:r>
        <w:rPr/>
        <w:t xml:space="preserve"> </w:t>
      </w:r>
      <w:r>
        <w:rPr>
          <w:rFonts w:ascii="Times New Roman" w:hAnsi="Times New Roman"/>
        </w:rPr>
        <w:t>Plicht tot follow-up en articulatie met de Europese exercitie</w:t>
      </w:r>
    </w:p>
    <w:p>
      <w:pPr>
        <w:pStyle w:val="P68B1DB1Normal19"/>
        <w:widowControl w:val="false"/>
        <w:spacing w:lineRule="auto" w:line="240" w:before="211" w:after="0"/>
        <w:ind w:left="0" w:right="0" w:hanging="0"/>
        <w:jc w:val="left"/>
        <w:rPr/>
      </w:pPr>
      <w:r>
        <w:rPr/>
        <w:t xml:space="preserve">Ter gelegenheid van de nationale conferentie werden een aantal elementen van de </w:t>
      </w:r>
      <w:r>
        <w:rPr>
          <w:b/>
        </w:rPr>
        <w:t>follow-upplicht van</w:t>
      </w:r>
      <w:r>
        <w:rPr/>
        <w:t xml:space="preserve"> de Franse instellingen naar aanleiding van de exercitie voor de Conferentie over de toekomst van Europa aangekondigd: </w:t>
      </w:r>
    </w:p>
    <w:p>
      <w:pPr>
        <w:pStyle w:val="P68B1DB1Normal34"/>
        <w:widowControl w:val="false"/>
        <w:spacing w:lineRule="auto" w:line="240" w:before="333" w:after="0"/>
        <w:ind w:left="720" w:right="0" w:hanging="359"/>
        <w:jc w:val="both"/>
        <w:rPr/>
      </w:pPr>
      <w:r>
        <w:rPr>
          <w:rFonts w:ascii="Calibri" w:hAnsi="Calibri"/>
        </w:rPr>
        <w:t>Alle</w:t>
      </w:r>
      <w:r>
        <w:rPr/>
        <w:t xml:space="preserve"> </w:t>
      </w:r>
      <w:r>
        <w:rPr>
          <w:rFonts w:ascii="Times New Roman" w:hAnsi="Times New Roman"/>
          <w:b/>
        </w:rPr>
        <w:t>informatie</w:t>
      </w:r>
      <w:r>
        <w:rPr>
          <w:rFonts w:ascii="Times New Roman" w:hAnsi="Times New Roman"/>
        </w:rPr>
        <w:t xml:space="preserve"> over de aanpak, dit document en de syntheseverslagen van de regionale en nationale conferenties beschikbaar</w:t>
      </w:r>
      <w:r>
        <w:rPr>
          <w:rFonts w:ascii="Times New Roman" w:hAnsi="Times New Roman"/>
          <w:b/>
        </w:rPr>
        <w:t xml:space="preserve">te stellen op een transparante en toegankelijke manier voor iedereen op het nieuwe platform voor burgerparticipatie, dat is gelanceerd bij de terugkeer naar de regering; </w:t>
      </w:r>
    </w:p>
    <w:p>
      <w:pPr>
        <w:pStyle w:val="P68B1DB1Normal34"/>
        <w:widowControl w:val="false"/>
        <w:spacing w:lineRule="auto" w:line="240" w:before="90" w:after="0"/>
        <w:ind w:left="360" w:right="0" w:hanging="0"/>
        <w:jc w:val="left"/>
        <w:rPr/>
      </w:pPr>
      <w:r>
        <w:rPr>
          <w:rFonts w:ascii="Calibri" w:hAnsi="Calibri"/>
        </w:rPr>
        <w:t>-</w:t>
      </w:r>
      <w:r>
        <w:rPr/>
        <w:t xml:space="preserve"> </w:t>
      </w:r>
      <w:r>
        <w:rPr>
          <w:rFonts w:ascii="Times New Roman" w:hAnsi="Times New Roman"/>
        </w:rPr>
        <w:t xml:space="preserve">Organisatie van een </w:t>
      </w:r>
      <w:r>
        <w:rPr>
          <w:rFonts w:ascii="Times New Roman" w:hAnsi="Times New Roman"/>
          <w:b/>
        </w:rPr>
        <w:t>evenement om het eindverslag van de nationale component van de conferentie over de toekomst van Europa in november 2021 aan de regering terug</w:t>
      </w:r>
      <w:r>
        <w:rPr>
          <w:rFonts w:ascii="Times New Roman" w:hAnsi="Times New Roman"/>
        </w:rPr>
        <w:t xml:space="preserve"> te zenden; </w:t>
      </w:r>
    </w:p>
    <w:p>
      <w:pPr>
        <w:pStyle w:val="P68B1DB1Normal34"/>
        <w:widowControl w:val="false"/>
        <w:spacing w:lineRule="auto" w:line="240" w:before="90" w:after="0"/>
        <w:ind w:left="720" w:right="0" w:hanging="359"/>
        <w:jc w:val="both"/>
        <w:rPr/>
      </w:pPr>
      <w:r>
        <w:rPr>
          <w:rFonts w:ascii="Calibri" w:hAnsi="Calibri"/>
        </w:rPr>
        <w:t>-</w:t>
      </w:r>
      <w:r>
        <w:rPr/>
        <w:t xml:space="preserve"> </w:t>
      </w:r>
      <w:r>
        <w:rPr>
          <w:rFonts w:ascii="Times New Roman" w:hAnsi="Times New Roman"/>
        </w:rPr>
        <w:t xml:space="preserve">Instelling van een </w:t>
      </w:r>
      <w:r>
        <w:rPr>
          <w:rFonts w:ascii="Times New Roman" w:hAnsi="Times New Roman"/>
          <w:b/>
        </w:rPr>
        <w:t>comité voor toezicht op de burger om ervoor te</w:t>
      </w:r>
      <w:r>
        <w:rPr>
          <w:rFonts w:ascii="Times New Roman" w:hAnsi="Times New Roman"/>
        </w:rPr>
        <w:t xml:space="preserve"> zorgen dat het resultaat van het proces in overeenstemming is met de gedane voorstellen. Deze commissie bestaat uit 15 burgers, waaronder 14 deelnemers aan de regionale conferenties en één deelnemer aan de raadpleging „Words </w:t>
      </w:r>
      <w:r>
        <w:rPr>
          <w:rFonts w:ascii="Times New Roman" w:hAnsi="Times New Roman"/>
          <w:i/>
        </w:rPr>
        <w:t>to Youth”</w:t>
      </w:r>
      <w:r>
        <w:rPr>
          <w:rFonts w:ascii="Times New Roman" w:hAnsi="Times New Roman"/>
        </w:rPr>
        <w:t xml:space="preserve">; </w:t>
      </w:r>
    </w:p>
    <w:p>
      <w:pPr>
        <w:pStyle w:val="P68B1DB1Normal34"/>
        <w:widowControl w:val="false"/>
        <w:spacing w:lineRule="auto" w:line="240" w:before="95" w:after="0"/>
        <w:ind w:left="360" w:right="0" w:hanging="0"/>
        <w:jc w:val="left"/>
        <w:rPr/>
      </w:pPr>
      <w:r>
        <w:rPr>
          <w:rFonts w:ascii="Calibri" w:hAnsi="Calibri"/>
        </w:rPr>
        <w:t>-</w:t>
      </w:r>
      <w:r>
        <w:rPr/>
        <w:t xml:space="preserve"> </w:t>
      </w:r>
      <w:r>
        <w:rPr>
          <w:rFonts w:ascii="Times New Roman" w:hAnsi="Times New Roman"/>
          <w:b/>
        </w:rPr>
        <w:t>Uitvoering van de Franse bijdrage aan de conferentie over de toekomst van Europa aan de Europese instellingen</w:t>
      </w:r>
      <w:r>
        <w:rPr>
          <w:rFonts w:ascii="Times New Roman" w:hAnsi="Times New Roman"/>
        </w:rPr>
        <w:t xml:space="preserve"> in januari 2022; </w:t>
      </w:r>
    </w:p>
    <w:p>
      <w:pPr>
        <w:pStyle w:val="P68B1DB1Normal19"/>
        <w:widowControl w:val="false"/>
        <w:spacing w:lineRule="auto" w:line="240" w:before="87" w:after="0"/>
        <w:ind w:left="0" w:right="0" w:hanging="0"/>
        <w:jc w:val="left"/>
        <w:rPr/>
      </w:pPr>
      <w:r>
        <w:rPr/>
        <w:t xml:space="preserve">De voorstellen van de Franse burgers zullen worden voorgelegd aan de collectieve reflectie van de lidstaten en de Europese instellingen. Als land dat in de eerste helft van 2022 het voorzitterschap van de Raad van de Europese Unie bekleedt, is het aan Frankrijk om de stem van zijn burgers te spreken en tegelijkertijd te werken aan de vaststelling van een gemeenschappelijk standpunt op continentbrede basis. </w:t>
      </w:r>
    </w:p>
    <w:p>
      <w:pPr>
        <w:pStyle w:val="Normal"/>
        <w:widowControl w:val="false"/>
        <w:spacing w:lineRule="exact" w:line="498" w:before="85" w:after="0"/>
        <w:ind w:left="0" w:right="0" w:hanging="0"/>
        <w:jc w:val="left"/>
        <w:rPr>
          <w:rFonts w:ascii="Times New Roman" w:hAnsi="Times New Roman"/>
          <w:b/>
          <w:b/>
          <w:color w:val="000000"/>
          <w:sz w:val="30"/>
        </w:rPr>
      </w:pPr>
      <w:r>
        <w:rPr>
          <w:rFonts w:ascii="Times New Roman" w:hAnsi="Times New Roman"/>
          <w:b/>
          <w:color w:val="000000"/>
          <w:sz w:val="30"/>
        </w:rPr>
      </w:r>
      <w:r>
        <w:br w:type="page"/>
      </w:r>
    </w:p>
    <w:p>
      <w:pPr>
        <w:pStyle w:val="P68B1DB1Titre236"/>
        <w:numPr>
          <w:ilvl w:val="0"/>
          <w:numId w:val="2"/>
        </w:numPr>
        <w:rPr/>
      </w:pPr>
      <w:bookmarkStart w:id="211" w:name="__RefHeading___Toc300456_1346298689"/>
      <w:bookmarkEnd w:id="211"/>
      <w:r>
        <w:rPr/>
        <w:t xml:space="preserve">Eerste deel: presentatie van de resultaten van de regionale conferenties over de toekomst van Europa </w:t>
      </w:r>
    </w:p>
    <w:p>
      <w:pPr>
        <w:pStyle w:val="P68B1DB1Normal19"/>
        <w:widowControl w:val="false"/>
        <w:pBdr>
          <w:top w:val="single" w:sz="2" w:space="1" w:color="000001"/>
          <w:left w:val="single" w:sz="2" w:space="1" w:color="000001"/>
          <w:bottom w:val="single" w:sz="2" w:space="1" w:color="000001"/>
          <w:right w:val="single" w:sz="2" w:space="1" w:color="000001"/>
        </w:pBdr>
        <w:spacing w:lineRule="auto" w:line="240" w:before="153" w:after="0"/>
        <w:ind w:left="506" w:right="29" w:hanging="0"/>
        <w:jc w:val="both"/>
        <w:rPr/>
      </w:pPr>
      <w:r>
        <w:rPr/>
        <w:t xml:space="preserve">In elk van de 18 regionale conferenties spraken de burgers hun wens uit voor het Europa van 2035 afzonderlijk en vervolgens als fractie. In elke regio ontstonden tussen de 3 en 8 wensgroepen, wat leidde tot een totaal van </w:t>
      </w:r>
      <w:r>
        <w:rPr>
          <w:b/>
        </w:rPr>
        <w:t>101 Europa gewenst in heel Frankrijk</w:t>
      </w:r>
      <w:r>
        <w:rPr/>
        <w:t xml:space="preserve">. Vervolgens formuleerden de burgers veranderingen die zij nodig achten om het gewenste Europa te bereiken en vervolgens met concrete acties te illustreren. Dit proces resulteerde in totaal </w:t>
      </w:r>
      <w:r>
        <w:rPr>
          <w:b/>
        </w:rPr>
        <w:t>515 veranderingen</w:t>
      </w:r>
      <w:r>
        <w:rPr/>
        <w:t xml:space="preserve"> en 1.301 </w:t>
      </w:r>
      <w:r>
        <w:rPr>
          <w:b/>
        </w:rPr>
        <w:t xml:space="preserve">concrete acties in heel </w:t>
      </w:r>
      <w:r>
        <w:rPr/>
        <w:t xml:space="preserve">Frankrijk. </w:t>
      </w:r>
    </w:p>
    <w:p>
      <w:pPr>
        <w:pStyle w:val="P68B1DB1Normal19"/>
        <w:widowControl w:val="false"/>
        <w:pBdr>
          <w:top w:val="single" w:sz="2" w:space="1" w:color="000001"/>
          <w:left w:val="single" w:sz="2" w:space="1" w:color="000001"/>
          <w:bottom w:val="single" w:sz="2" w:space="1" w:color="000001"/>
          <w:right w:val="single" w:sz="2" w:space="1" w:color="000001"/>
        </w:pBdr>
        <w:spacing w:lineRule="auto" w:line="240" w:before="375" w:after="0"/>
        <w:ind w:left="506" w:right="29" w:hanging="0"/>
        <w:jc w:val="both"/>
        <w:rPr/>
      </w:pPr>
      <w:r>
        <w:rPr/>
        <w:t xml:space="preserve">In de weken waarin de regionale conferenties en de nationale conferentie werden gescheiden, werd een groep van 515 veranderingen in coherente groepen uitgevoerd door het projectteam. Alle in de regio’s tot uitdrukking gebrachte veranderingen werden onderworpen aan een lexicologische analyse en werden afgesloten wanneer hun onderliggende bedoelingen leken te lijken of te sluiten, zodat zij zouden worden opgericht voor de werkgroepen van de nationale conferentie met een gemeenschappelijke wens voor Europa. Ten slotte </w:t>
      </w:r>
      <w:r>
        <w:rPr>
          <w:b/>
        </w:rPr>
        <w:t>werden de in de regio’s geconstateerde veranderingen gegroepeerd in 14 verschillende Europese wensen</w:t>
      </w:r>
      <w:r>
        <w:rPr/>
        <w:t xml:space="preserve">. </w:t>
      </w:r>
    </w:p>
    <w:p>
      <w:pPr>
        <w:pStyle w:val="Normal"/>
        <w:rPr/>
      </w:pPr>
      <w:r>
        <w:rPr/>
        <mc:AlternateContent>
          <mc:Choice Requires="wpg">
            <w:drawing>
              <wp:anchor behindDoc="0" distT="0" distB="0" distL="0" distR="0" simplePos="0" locked="0" layoutInCell="1" allowOverlap="1" relativeHeight="52">
                <wp:simplePos x="0" y="0"/>
                <wp:positionH relativeFrom="column">
                  <wp:posOffset>436880</wp:posOffset>
                </wp:positionH>
                <wp:positionV relativeFrom="paragraph">
                  <wp:posOffset>92075</wp:posOffset>
                </wp:positionV>
                <wp:extent cx="5765800" cy="1319530"/>
                <wp:effectExtent l="0" t="0" r="0" b="0"/>
                <wp:wrapTopAndBottom/>
                <wp:docPr id="94" name="Formulier11"/>
                <a:graphic xmlns:a="http://schemas.openxmlformats.org/drawingml/2006/main">
                  <a:graphicData uri="http://schemas.microsoft.com/office/word/2010/wordprocessingGroup">
                    <wpg:wgp>
                      <wpg:cNvGrpSpPr/>
                      <wpg:grpSpPr>
                        <a:xfrm>
                          <a:off x="0" y="0"/>
                          <a:ext cx="5765040" cy="1319040"/>
                        </a:xfrm>
                      </wpg:grpSpPr>
                      <pic:pic xmlns:pic="http://schemas.openxmlformats.org/drawingml/2006/picture">
                        <pic:nvPicPr>
                          <pic:cNvPr id="4" name="" descr=""/>
                          <pic:cNvPicPr/>
                        </pic:nvPicPr>
                        <pic:blipFill>
                          <a:blip r:embed="rId99"/>
                          <a:stretch/>
                        </pic:blipFill>
                        <pic:spPr>
                          <a:xfrm>
                            <a:off x="0" y="0"/>
                            <a:ext cx="5765040" cy="1077480"/>
                          </a:xfrm>
                          <a:prstGeom prst="rect">
                            <a:avLst/>
                          </a:prstGeom>
                          <a:ln>
                            <a:noFill/>
                          </a:ln>
                        </pic:spPr>
                      </pic:pic>
                      <wps:wsp>
                        <wps:cNvSpPr/>
                        <wps:spPr>
                          <a:xfrm>
                            <a:off x="1058040" y="195120"/>
                            <a:ext cx="1094040" cy="875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u w:val="none"/>
                                  <w:dstrike w:val="false"/>
                                  <w:strike w:val="false"/>
                                  <w:i w:val="false"/>
                                  <w:vertAlign w:val="baseline"/>
                                  <w:position w:val="0"/>
                                  <w:spacing w:val="0"/>
                                  <w:szCs w:val="24"/>
                                  <w:bCs/>
                                  <w:iCs w:val="false"/>
                                  <w:smallCaps w:val="false"/>
                                  <w:caps w:val="false"/>
                                  <w:rFonts w:ascii="Times New Roman" w:hAnsi="Times New Roman"/>
                                  <w:color w:val="auto"/>
                                </w:rPr>
                                <w:t>Wensen</w:t>
                              </w:r>
                              <w:r>
                                <w:rPr>
                                  <w:sz w:val="24"/>
                                  <w:u w:val="none"/>
                                  <w:dstrike w:val="false"/>
                                  <w:strike w:val="false"/>
                                  <w:i w:val="false"/>
                                  <w:vertAlign w:val="baseline"/>
                                  <w:position w:val="0"/>
                                  <w:spacing w:val="0"/>
                                  <w:szCs w:val="24"/>
                                  <w:iCs w:val="false"/>
                                  <w:smallCaps w:val="false"/>
                                  <w:caps w:val="false"/>
                                  <w:b w:val="false"/>
                                  <w:bCs w:val="false"/>
                                  <w:rFonts w:ascii="Times New Roman" w:hAnsi="Times New Roman"/>
                                  <w:color w:val="auto"/>
                                </w:rPr>
                                <w:t xml:space="preserve"> voor Europa 2035</w:t>
                              </w:r>
                            </w:p>
                          </w:txbxContent>
                        </wps:txbx>
                        <wps:bodyPr lIns="90000" rIns="90000" tIns="45000" bIns="45000">
                          <a:noAutofit/>
                        </wps:bodyPr>
                      </wps:wsp>
                      <wps:wsp>
                        <wps:cNvSpPr/>
                        <wps:spPr>
                          <a:xfrm>
                            <a:off x="2309040" y="195120"/>
                            <a:ext cx="1454040" cy="11239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u w:val="none"/>
                                  <w:dstrike w:val="false"/>
                                  <w:strike w:val="false"/>
                                  <w:i w:val="false"/>
                                  <w:vertAlign w:val="baseline"/>
                                  <w:position w:val="0"/>
                                  <w:spacing w:val="0"/>
                                  <w:szCs w:val="24"/>
                                  <w:bCs/>
                                  <w:iCs w:val="false"/>
                                  <w:smallCaps w:val="false"/>
                                  <w:caps w:val="false"/>
                                  <w:rFonts w:ascii="Times New Roman" w:hAnsi="Times New Roman"/>
                                  <w:color w:val="auto"/>
                                </w:rPr>
                                <w:t xml:space="preserve">Veranderingen </w:t>
                              </w:r>
                              <w:r>
                                <w:rPr>
                                  <w:sz w:val="24"/>
                                  <w:u w:val="none"/>
                                  <w:dstrike w:val="false"/>
                                  <w:strike w:val="false"/>
                                  <w:i w:val="false"/>
                                  <w:vertAlign w:val="baseline"/>
                                  <w:position w:val="0"/>
                                  <w:spacing w:val="0"/>
                                  <w:szCs w:val="24"/>
                                  <w:iCs w:val="false"/>
                                  <w:smallCaps w:val="false"/>
                                  <w:caps w:val="false"/>
                                  <w:b w:val="false"/>
                                  <w:bCs w:val="false"/>
                                  <w:rFonts w:ascii="Times New Roman" w:hAnsi="Times New Roman"/>
                                  <w:color w:val="auto"/>
                                </w:rPr>
                                <w:t>om dit gewenste Europa te bereiken</w:t>
                              </w:r>
                            </w:p>
                          </w:txbxContent>
                        </wps:txbx>
                        <wps:bodyPr lIns="90000" rIns="90000" tIns="45000" bIns="45000">
                          <a:noAutofit/>
                        </wps:bodyPr>
                      </wps:wsp>
                      <wps:wsp>
                        <wps:cNvSpPr/>
                        <wps:spPr>
                          <a:xfrm>
                            <a:off x="3931920" y="79200"/>
                            <a:ext cx="1743120" cy="11239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u w:val="none"/>
                                  <w:dstrike w:val="false"/>
                                  <w:strike w:val="false"/>
                                  <w:i w:val="false"/>
                                  <w:vertAlign w:val="baseline"/>
                                  <w:position w:val="0"/>
                                  <w:spacing w:val="0"/>
                                  <w:szCs w:val="24"/>
                                  <w:bCs/>
                                  <w:iCs w:val="false"/>
                                  <w:smallCaps w:val="false"/>
                                  <w:caps w:val="false"/>
                                  <w:rFonts w:ascii="Times New Roman" w:hAnsi="Times New Roman"/>
                                  <w:color w:val="auto"/>
                                </w:rPr>
                                <w:t xml:space="preserve">Concrete voorstellen </w:t>
                              </w:r>
                              <w:r>
                                <w:rPr>
                                  <w:sz w:val="24"/>
                                  <w:u w:val="none"/>
                                  <w:dstrike w:val="false"/>
                                  <w:strike w:val="false"/>
                                  <w:i w:val="false"/>
                                  <w:vertAlign w:val="baseline"/>
                                  <w:position w:val="0"/>
                                  <w:spacing w:val="0"/>
                                  <w:szCs w:val="24"/>
                                  <w:iCs w:val="false"/>
                                  <w:smallCaps w:val="false"/>
                                  <w:caps w:val="false"/>
                                  <w:b w:val="false"/>
                                  <w:bCs w:val="false"/>
                                  <w:rFonts w:ascii="Times New Roman" w:hAnsi="Times New Roman"/>
                                  <w:color w:val="auto"/>
                                </w:rPr>
                                <w:t xml:space="preserve"> om deze veranderingen door te voeren</w:t>
                              </w:r>
                            </w:p>
                          </w:txbxContent>
                        </wps:txbx>
                        <wps:bodyPr lIns="90000" rIns="90000" tIns="45000" bIns="45000">
                          <a:noAutofit/>
                        </wps:bodyPr>
                      </wps:wsp>
                    </wpg:wgp>
                  </a:graphicData>
                </a:graphic>
              </wp:anchor>
            </w:drawing>
          </mc:Choice>
          <mc:Fallback>
            <w:pict>
              <v:group id="shape_0" alt="Formulier11" style="position:absolute;margin-left:34.4pt;margin-top:7.25pt;width:453.95pt;height:103.85pt" coordorigin="688,145" coordsize="9079,2077">
                <v:shape id="shape_0" stroked="f" style="position:absolute;left:688;top:145;width:9078;height:1696" type="shapetype_75">
                  <v:imagedata r:id="rId99" o:detectmouseclick="t"/>
                  <w10:wrap type="none"/>
                  <v:stroke color="#3465a4" joinstyle="round" endcap="flat"/>
                </v:shape>
                <v:rect id="shape_0" stroked="f" style="position:absolute;left:2354;top:452;width:1722;height:1377">
                  <v:textbox>
                    <w:txbxContent>
                      <w:p>
                        <w:pPr>
                          <w:spacing w:before="0" w:after="0" w:lineRule="auto" w:line="240"/>
                          <w:ind w:hanging="0"/>
                          <w:jc w:val="left"/>
                          <w:rPr/>
                        </w:pPr>
                        <w:r>
                          <w:rPr>
                            <w:sz w:val="24"/>
                            <w:b/>
                            <w:u w:val="none"/>
                            <w:dstrike w:val="false"/>
                            <w:strike w:val="false"/>
                            <w:i w:val="false"/>
                            <w:vertAlign w:val="baseline"/>
                            <w:position w:val="0"/>
                            <w:spacing w:val="0"/>
                            <w:szCs w:val="24"/>
                            <w:bCs/>
                            <w:iCs w:val="false"/>
                            <w:smallCaps w:val="false"/>
                            <w:caps w:val="false"/>
                            <w:rFonts w:ascii="Times New Roman" w:hAnsi="Times New Roman"/>
                            <w:color w:val="auto"/>
                          </w:rPr>
                          <w:t>Wensen</w:t>
                        </w:r>
                        <w:r>
                          <w:rPr>
                            <w:sz w:val="24"/>
                            <w:u w:val="none"/>
                            <w:dstrike w:val="false"/>
                            <w:strike w:val="false"/>
                            <w:i w:val="false"/>
                            <w:vertAlign w:val="baseline"/>
                            <w:position w:val="0"/>
                            <w:spacing w:val="0"/>
                            <w:szCs w:val="24"/>
                            <w:iCs w:val="false"/>
                            <w:smallCaps w:val="false"/>
                            <w:caps w:val="false"/>
                            <w:b w:val="false"/>
                            <w:bCs w:val="false"/>
                            <w:rFonts w:ascii="Times New Roman" w:hAnsi="Times New Roman"/>
                            <w:color w:val="auto"/>
                          </w:rPr>
                          <w:t xml:space="preserve"> voor Europa 2035</w:t>
                        </w:r>
                      </w:p>
                    </w:txbxContent>
                  </v:textbox>
                  <w10:wrap type="square"/>
                  <v:fill o:detectmouseclick="t" on="false"/>
                  <v:stroke color="#3465a4" joinstyle="round" endcap="flat"/>
                </v:rect>
                <v:rect id="shape_0" stroked="f" style="position:absolute;left:4325;top:452;width:2289;height:1769">
                  <v:textbox>
                    <w:txbxContent>
                      <w:p>
                        <w:pPr>
                          <w:spacing w:before="0" w:after="0" w:lineRule="auto" w:line="240"/>
                          <w:ind w:hanging="0"/>
                          <w:jc w:val="left"/>
                          <w:rPr/>
                        </w:pPr>
                        <w:r>
                          <w:rPr>
                            <w:sz w:val="24"/>
                            <w:b/>
                            <w:u w:val="none"/>
                            <w:dstrike w:val="false"/>
                            <w:strike w:val="false"/>
                            <w:i w:val="false"/>
                            <w:vertAlign w:val="baseline"/>
                            <w:position w:val="0"/>
                            <w:spacing w:val="0"/>
                            <w:szCs w:val="24"/>
                            <w:bCs/>
                            <w:iCs w:val="false"/>
                            <w:smallCaps w:val="false"/>
                            <w:caps w:val="false"/>
                            <w:rFonts w:ascii="Times New Roman" w:hAnsi="Times New Roman"/>
                            <w:color w:val="auto"/>
                          </w:rPr>
                          <w:t xml:space="preserve">Veranderingen </w:t>
                        </w:r>
                        <w:r>
                          <w:rPr>
                            <w:sz w:val="24"/>
                            <w:u w:val="none"/>
                            <w:dstrike w:val="false"/>
                            <w:strike w:val="false"/>
                            <w:i w:val="false"/>
                            <w:vertAlign w:val="baseline"/>
                            <w:position w:val="0"/>
                            <w:spacing w:val="0"/>
                            <w:szCs w:val="24"/>
                            <w:iCs w:val="false"/>
                            <w:smallCaps w:val="false"/>
                            <w:caps w:val="false"/>
                            <w:b w:val="false"/>
                            <w:bCs w:val="false"/>
                            <w:rFonts w:ascii="Times New Roman" w:hAnsi="Times New Roman"/>
                            <w:color w:val="auto"/>
                          </w:rPr>
                          <w:t>om dit gewenste Europa te bereiken</w:t>
                        </w:r>
                      </w:p>
                    </w:txbxContent>
                  </v:textbox>
                  <w10:wrap type="square"/>
                  <v:fill o:detectmouseclick="t" on="false"/>
                  <v:stroke color="#3465a4" joinstyle="round" endcap="flat"/>
                </v:rect>
                <v:rect id="shape_0" stroked="f" style="position:absolute;left:6880;top:270;width:2744;height:1769">
                  <v:textbox>
                    <w:txbxContent>
                      <w:p>
                        <w:pPr>
                          <w:spacing w:before="0" w:after="0" w:lineRule="auto" w:line="240"/>
                          <w:ind w:hanging="0"/>
                          <w:jc w:val="left"/>
                          <w:rPr/>
                        </w:pPr>
                        <w:r>
                          <w:rPr>
                            <w:sz w:val="24"/>
                            <w:b/>
                            <w:u w:val="none"/>
                            <w:dstrike w:val="false"/>
                            <w:strike w:val="false"/>
                            <w:i w:val="false"/>
                            <w:vertAlign w:val="baseline"/>
                            <w:position w:val="0"/>
                            <w:spacing w:val="0"/>
                            <w:szCs w:val="24"/>
                            <w:bCs/>
                            <w:iCs w:val="false"/>
                            <w:smallCaps w:val="false"/>
                            <w:caps w:val="false"/>
                            <w:rFonts w:ascii="Times New Roman" w:hAnsi="Times New Roman"/>
                            <w:color w:val="auto"/>
                          </w:rPr>
                          <w:t xml:space="preserve">Concrete voorstellen </w:t>
                        </w:r>
                        <w:r>
                          <w:rPr>
                            <w:sz w:val="24"/>
                            <w:u w:val="none"/>
                            <w:dstrike w:val="false"/>
                            <w:strike w:val="false"/>
                            <w:i w:val="false"/>
                            <w:vertAlign w:val="baseline"/>
                            <w:position w:val="0"/>
                            <w:spacing w:val="0"/>
                            <w:szCs w:val="24"/>
                            <w:iCs w:val="false"/>
                            <w:smallCaps w:val="false"/>
                            <w:caps w:val="false"/>
                            <w:b w:val="false"/>
                            <w:bCs w:val="false"/>
                            <w:rFonts w:ascii="Times New Roman" w:hAnsi="Times New Roman"/>
                            <w:color w:val="auto"/>
                          </w:rPr>
                          <w:t xml:space="preserve"> om deze veranderingen door te voeren</w:t>
                        </w:r>
                      </w:p>
                    </w:txbxContent>
                  </v:textbox>
                  <w10:wrap type="square"/>
                  <v:fill o:detectmouseclick="t" on="false"/>
                  <v:stroke color="#3465a4" joinstyle="round" endcap="flat"/>
                </v:rect>
              </v:group>
            </w:pict>
          </mc:Fallback>
        </mc:AlternateContent>
      </w:r>
    </w:p>
    <w:tbl>
      <w:tblPr>
        <w:tblW w:w="9638" w:type="dxa"/>
        <w:jc w:val="left"/>
        <w:tblInd w:w="-5" w:type="dxa"/>
        <w:tblBorders>
          <w:top w:val="single" w:sz="4" w:space="0" w:color="000001"/>
          <w:left w:val="single" w:sz="4" w:space="0" w:color="000001"/>
          <w:bottom w:val="single" w:sz="4" w:space="0" w:color="000001"/>
          <w:insideH w:val="single" w:sz="4" w:space="0" w:color="000001"/>
        </w:tblBorders>
        <w:tblCellMar>
          <w:top w:w="55" w:type="dxa"/>
          <w:left w:w="50" w:type="dxa"/>
          <w:bottom w:w="55" w:type="dxa"/>
          <w:right w:w="55" w:type="dxa"/>
        </w:tblCellMar>
      </w:tblPr>
      <w:tblGrid>
        <w:gridCol w:w="2409"/>
        <w:gridCol w:w="2409"/>
        <w:gridCol w:w="2410"/>
        <w:gridCol w:w="2409"/>
      </w:tblGrid>
      <w:tr>
        <w:trPr/>
        <w:tc>
          <w:tcPr>
            <w:tcW w:w="2409"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Vraag aan burgers</w:t>
            </w:r>
          </w:p>
        </w:tc>
        <w:tc>
          <w:tcPr>
            <w:tcW w:w="2409"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Wat is uw wens voor het Europa van 2035?</w:t>
            </w:r>
          </w:p>
        </w:tc>
        <w:tc>
          <w:tcPr>
            <w:tcW w:w="2410"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Welke veranderingen zijn er nodig om dit gewenste Europa te bereiken?</w:t>
            </w:r>
          </w:p>
        </w:tc>
        <w:tc>
          <w:tcPr>
            <w:tcW w:w="2409"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Welke concrete voorstellen zou u doen om deze wijzigingen door te voeren?</w:t>
            </w:r>
          </w:p>
        </w:tc>
      </w:tr>
      <w:tr>
        <w:trPr/>
        <w:tc>
          <w:tcPr>
            <w:tcW w:w="2409"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Resultaten van regionale conferenties</w:t>
            </w:r>
          </w:p>
        </w:tc>
        <w:tc>
          <w:tcPr>
            <w:tcW w:w="2409" w:type="dxa"/>
            <w:tcBorders>
              <w:left w:val="single" w:sz="4" w:space="0" w:color="000001"/>
              <w:bottom w:val="single" w:sz="4" w:space="0" w:color="000001"/>
              <w:insideH w:val="single" w:sz="4" w:space="0" w:color="000001"/>
            </w:tcBorders>
            <w:shd w:fill="auto" w:val="clear"/>
          </w:tcPr>
          <w:p>
            <w:pPr>
              <w:pStyle w:val="Normal"/>
              <w:spacing w:before="57" w:after="57"/>
              <w:jc w:val="center"/>
              <w:rPr/>
            </w:pPr>
            <w:r>
              <w:rPr/>
              <w:t>101 wensen</w:t>
            </w:r>
          </w:p>
        </w:tc>
        <w:tc>
          <w:tcPr>
            <w:tcW w:w="2410" w:type="dxa"/>
            <w:tcBorders>
              <w:left w:val="single" w:sz="4" w:space="0" w:color="000001"/>
              <w:bottom w:val="single" w:sz="4" w:space="0" w:color="000001"/>
              <w:insideH w:val="single" w:sz="4" w:space="0" w:color="000001"/>
            </w:tcBorders>
            <w:shd w:fill="auto" w:val="clear"/>
          </w:tcPr>
          <w:p>
            <w:pPr>
              <w:pStyle w:val="Normal"/>
              <w:spacing w:before="57" w:after="57"/>
              <w:jc w:val="center"/>
              <w:rPr/>
            </w:pPr>
            <w:r>
              <w:rPr/>
              <w:t>515 wijzigingen</w:t>
            </w:r>
          </w:p>
        </w:tc>
        <w:tc>
          <w:tcPr>
            <w:tcW w:w="2409"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jc w:val="center"/>
              <w:rPr/>
            </w:pPr>
            <w:r>
              <w:rPr/>
              <w:t>1301 concrete voorstellen</w:t>
            </w:r>
          </w:p>
        </w:tc>
      </w:tr>
      <w:tr>
        <w:trPr/>
        <w:tc>
          <w:tcPr>
            <w:tcW w:w="2409"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2409" w:type="dxa"/>
            <w:tcBorders>
              <w:left w:val="single" w:sz="4" w:space="0" w:color="000001"/>
              <w:bottom w:val="single" w:sz="4" w:space="0" w:color="000001"/>
              <w:insideH w:val="single" w:sz="4" w:space="0" w:color="000001"/>
            </w:tcBorders>
            <w:shd w:fill="auto" w:val="clear"/>
          </w:tcPr>
          <w:p>
            <w:pPr>
              <w:pStyle w:val="Normal"/>
              <w:spacing w:before="57" w:after="57"/>
              <w:jc w:val="center"/>
              <w:rPr/>
            </w:pPr>
            <w:r>
              <w:rPr/>
              <w:t>Bestellen van 515 regionale veranderingen in 14 consistente wensen van het organisatieteam</w:t>
            </w:r>
          </w:p>
        </w:tc>
        <w:tc>
          <w:tcPr>
            <w:tcW w:w="4819" w:type="dxa"/>
            <w:gridSpan w:val="2"/>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jc w:val="center"/>
              <w:rPr/>
            </w:pPr>
            <w:r>
              <w:rPr/>
              <w:t>Groepering, prioritering en detail van wijzigingen door deelnemers tijdens de nationale conferentie</w:t>
            </w:r>
          </w:p>
        </w:tc>
      </w:tr>
      <w:tr>
        <w:trPr/>
        <w:tc>
          <w:tcPr>
            <w:tcW w:w="2409" w:type="dxa"/>
            <w:tcBorders>
              <w:left w:val="single" w:sz="4" w:space="0" w:color="000001"/>
              <w:bottom w:val="single" w:sz="4" w:space="0" w:color="000001"/>
              <w:insideH w:val="single" w:sz="4" w:space="0" w:color="000001"/>
            </w:tcBorders>
            <w:shd w:fill="EEEEEE" w:val="clear"/>
          </w:tcPr>
          <w:p>
            <w:pPr>
              <w:pStyle w:val="Normal"/>
              <w:spacing w:before="57" w:after="57"/>
              <w:ind w:left="0" w:right="0" w:hanging="0"/>
              <w:rPr/>
            </w:pPr>
            <w:r>
              <w:rPr/>
              <w:t>Resultaat van de nationale conferentie</w:t>
            </w:r>
          </w:p>
        </w:tc>
        <w:tc>
          <w:tcPr>
            <w:tcW w:w="2409" w:type="dxa"/>
            <w:tcBorders>
              <w:left w:val="single" w:sz="4" w:space="0" w:color="000001"/>
              <w:bottom w:val="single" w:sz="4" w:space="0" w:color="000001"/>
              <w:insideH w:val="single" w:sz="4" w:space="0" w:color="000001"/>
            </w:tcBorders>
            <w:shd w:fill="EEEEEE" w:val="clear"/>
          </w:tcPr>
          <w:p>
            <w:pPr>
              <w:pStyle w:val="Normal"/>
              <w:spacing w:before="57" w:after="57"/>
              <w:ind w:left="0" w:right="0" w:hanging="0"/>
              <w:rPr/>
            </w:pPr>
            <w:r>
              <w:rPr/>
              <w:t>14 wensen</w:t>
            </w:r>
          </w:p>
        </w:tc>
        <w:tc>
          <w:tcPr>
            <w:tcW w:w="2410" w:type="dxa"/>
            <w:tcBorders>
              <w:left w:val="single" w:sz="4" w:space="0" w:color="000001"/>
              <w:bottom w:val="single" w:sz="4" w:space="0" w:color="000001"/>
              <w:insideH w:val="single" w:sz="4" w:space="0" w:color="000001"/>
            </w:tcBorders>
            <w:shd w:fill="EEEEEE" w:val="clear"/>
          </w:tcPr>
          <w:p>
            <w:pPr>
              <w:pStyle w:val="Normal"/>
              <w:spacing w:before="57" w:after="57"/>
              <w:ind w:left="0" w:right="0" w:hanging="0"/>
              <w:rPr/>
            </w:pPr>
            <w:r>
              <w:rPr/>
              <w:t>80 wijzigingen</w:t>
            </w:r>
          </w:p>
        </w:tc>
        <w:tc>
          <w:tcPr>
            <w:tcW w:w="2409" w:type="dxa"/>
            <w:tcBorders>
              <w:left w:val="single" w:sz="4" w:space="0" w:color="000001"/>
              <w:bottom w:val="single" w:sz="4" w:space="0" w:color="000001"/>
              <w:right w:val="single" w:sz="4" w:space="0" w:color="000001"/>
              <w:insideH w:val="single" w:sz="4" w:space="0" w:color="000001"/>
              <w:insideV w:val="single" w:sz="4" w:space="0" w:color="000001"/>
            </w:tcBorders>
            <w:shd w:fill="EEEEEE" w:val="clear"/>
          </w:tcPr>
          <w:p>
            <w:pPr>
              <w:pStyle w:val="Normal"/>
              <w:spacing w:before="57" w:after="57"/>
              <w:ind w:left="0" w:right="0" w:hanging="0"/>
              <w:rPr/>
            </w:pPr>
            <w:r>
              <w:rPr/>
              <w:t>Belangrijke implementatiestappen en succescriteria voor elke verandering</w:t>
            </w:r>
          </w:p>
        </w:tc>
      </w:tr>
    </w:tbl>
    <w:p>
      <w:pPr>
        <w:pStyle w:val="Normal"/>
        <w:rPr/>
      </w:pPr>
      <w:r>
        <w:rPr/>
      </w:r>
      <w:r>
        <w:br w:type="page"/>
      </w:r>
    </w:p>
    <w:p>
      <w:pPr>
        <w:pStyle w:val="P68B1DB1Normal33"/>
        <w:spacing w:lineRule="auto" w:line="240"/>
        <w:rPr>
          <w:rFonts w:ascii="Times New Roman" w:hAnsi="Times New Roman"/>
          <w:b/>
          <w:b/>
          <w:color w:val="000000"/>
          <w:sz w:val="24"/>
        </w:rPr>
      </w:pPr>
      <w:r>
        <w:rPr/>
        <w:t xml:space="preserve">A. Ranking van de 14 wensen van Europa </w:t>
      </w:r>
    </w:p>
    <w:p>
      <w:pPr>
        <w:pStyle w:val="P68B1DB1Normal19"/>
        <w:widowControl w:val="false"/>
        <w:spacing w:lineRule="auto" w:line="240" w:before="322" w:after="0"/>
        <w:ind w:left="0" w:right="0" w:hanging="0"/>
        <w:jc w:val="left"/>
        <w:rPr>
          <w:rFonts w:ascii="Times New Roman" w:hAnsi="Times New Roman"/>
          <w:color w:val="000000"/>
          <w:sz w:val="24"/>
        </w:rPr>
      </w:pPr>
      <w:r>
        <w:rPr/>
        <w:t xml:space="preserve">Aan het einde van elke regionale conferentie stemden de deelnemende burgers om hun steun te betuigen aan de door de verschillende werkgroepen vastgestelde wijzigingen. </w:t>
      </w:r>
    </w:p>
    <w:p>
      <w:pPr>
        <w:pStyle w:val="Normal"/>
        <w:widowControl w:val="false"/>
        <w:spacing w:lineRule="auto" w:line="240" w:before="332" w:after="0"/>
        <w:ind w:left="0" w:right="0" w:hanging="0"/>
        <w:jc w:val="both"/>
        <w:rPr/>
      </w:pPr>
      <w:r>
        <mc:AlternateContent>
          <mc:Choice Requires="wps">
            <w:drawing>
              <wp:anchor behindDoc="0" distT="0" distB="0" distL="0" distR="0" simplePos="0" locked="0" layoutInCell="1" allowOverlap="1" relativeHeight="8">
                <wp:simplePos x="0" y="0"/>
                <wp:positionH relativeFrom="column">
                  <wp:posOffset>635</wp:posOffset>
                </wp:positionH>
                <wp:positionV relativeFrom="paragraph">
                  <wp:posOffset>1340485</wp:posOffset>
                </wp:positionV>
                <wp:extent cx="5111750" cy="6269990"/>
                <wp:effectExtent l="0" t="0" r="0" b="0"/>
                <wp:wrapTopAndBottom/>
                <wp:docPr id="95" name="Kader51"/>
                <a:graphic xmlns:a="http://schemas.openxmlformats.org/drawingml/2006/main">
                  <a:graphicData uri="http://schemas.microsoft.com/office/word/2010/wordprocessingShape">
                    <wps:wsp>
                      <wps:cNvSpPr/>
                      <wps:spPr>
                        <a:xfrm>
                          <a:off x="0" y="0"/>
                          <a:ext cx="5111280" cy="6269400"/>
                        </a:xfrm>
                        <a:prstGeom prst="rect">
                          <a:avLst/>
                        </a:prstGeom>
                        <a:solidFill>
                          <a:srgbClr val="ffffff"/>
                        </a:solidFill>
                        <a:ln>
                          <a:noFill/>
                        </a:ln>
                      </wps:spPr>
                      <wps:style>
                        <a:lnRef idx="0"/>
                        <a:fillRef idx="0"/>
                        <a:effectRef idx="0"/>
                        <a:fontRef idx="minor"/>
                      </wps:style>
                      <wps:txbx>
                        <w:txbxContent>
                          <w:p>
                            <w:pPr>
                              <w:pStyle w:val="Lgende"/>
                              <w:suppressLineNumbers/>
                              <w:spacing w:before="120" w:after="120"/>
                              <w:rPr>
                                <w:color w:val="auto"/>
                              </w:rPr>
                            </w:pPr>
                            <w:r>
                              <w:rPr>
                                <w:color w:val="auto"/>
                              </w:rPr>
                              <w:t xml:space="preserve">Rangschikking van de wensen van Europa op basis van populariteit </w:t>
                            </w:r>
                          </w:p>
                        </w:txbxContent>
                      </wps:txbx>
                      <wps:bodyPr lIns="0" rIns="0" tIns="0" bIns="0">
                        <a:noAutofit/>
                      </wps:bodyPr>
                    </wps:wsp>
                  </a:graphicData>
                </a:graphic>
              </wp:anchor>
            </w:drawing>
          </mc:Choice>
          <mc:Fallback>
            <w:pict>
              <v:rect id="shape_0" ID="Kader51" fillcolor="white" stroked="f" style="position:absolute;margin-left:0.05pt;margin-top:105.55pt;width:402.4pt;height:493.6pt">
                <w10:wrap type="square"/>
                <v:fill o:detectmouseclick="t" type="solid" color2="black"/>
                <v:stroke color="#3465a4" joinstyle="round" endcap="flat"/>
                <v:textbox>
                  <w:txbxContent>
                    <w:p>
                      <w:pPr>
                        <w:pStyle w:val="Lgende"/>
                        <w:suppressLineNumbers/>
                        <w:spacing w:before="120" w:after="120"/>
                        <w:rPr>
                          <w:color w:val="auto"/>
                        </w:rPr>
                      </w:pPr>
                      <w:r>
                        <w:rPr>
                          <w:color w:val="auto"/>
                        </w:rPr>
                        <w:t xml:space="preserve">Rangschikking van de wensen van Europa op basis van populariteit </w:t>
                      </w:r>
                    </w:p>
                  </w:txbxContent>
                </v:textbox>
              </v:rect>
            </w:pict>
          </mc:Fallback>
        </mc:AlternateContent>
      </w:r>
      <w:r>
        <w:rPr>
          <w:rFonts w:ascii="Times New Roman" w:hAnsi="Times New Roman"/>
          <w:color w:val="000000"/>
          <w:sz w:val="24"/>
        </w:rPr>
        <w:t xml:space="preserve">Op basis van de groepen die voorafgaand aan de nationale syntheseconferentie zijn uitgevoerd, is het mogelijk om — dankzij de stemmingen over de veranderingen in elke regio — de wensen van Europa te bepalen die het meest populair waren onder de burgers. De wensen „ </w:t>
      </w:r>
      <w:r>
        <w:rPr>
          <w:rFonts w:ascii="Times New Roman" w:hAnsi="Times New Roman"/>
          <w:i/>
          <w:color w:val="000000"/>
          <w:sz w:val="24"/>
        </w:rPr>
        <w:t>een Europa dat onderwijs voorop zet”</w:t>
      </w:r>
      <w:r>
        <w:rPr>
          <w:rFonts w:ascii="Times New Roman" w:hAnsi="Times New Roman"/>
          <w:color w:val="000000"/>
          <w:sz w:val="24"/>
        </w:rPr>
        <w:t xml:space="preserve"> en „ </w:t>
      </w:r>
      <w:r>
        <w:rPr>
          <w:rFonts w:ascii="Times New Roman" w:hAnsi="Times New Roman"/>
          <w:i/>
          <w:color w:val="000000"/>
          <w:sz w:val="24"/>
        </w:rPr>
        <w:t>een dichter en toegankelijker Europa</w:t>
      </w:r>
      <w:r>
        <w:rPr>
          <w:rFonts w:ascii="Times New Roman" w:hAnsi="Times New Roman"/>
          <w:color w:val="000000"/>
          <w:sz w:val="24"/>
        </w:rPr>
        <w:t>”</w:t>
      </w:r>
      <w:r>
        <w:rPr>
          <w:rFonts w:ascii="Times New Roman" w:hAnsi="Times New Roman"/>
          <w:i/>
          <w:color w:val="000000"/>
          <w:sz w:val="24"/>
        </w:rPr>
        <w:t xml:space="preserve"> </w:t>
      </w:r>
      <w:r>
        <w:rPr>
          <w:rFonts w:ascii="Times New Roman" w:hAnsi="Times New Roman"/>
          <w:color w:val="000000"/>
          <w:sz w:val="24"/>
        </w:rPr>
        <w:t xml:space="preserve">zijn dan ook breed toegejuicht, met veranderingen die gemiddeld 56 % van de burgers op regionale conferenties ondersteunen. </w:t>
      </w:r>
    </w:p>
    <w:p>
      <w:pPr>
        <w:pStyle w:val="Normal"/>
        <w:rPr/>
      </w:pPr>
      <w:r>
        <w:rPr/>
        <mc:AlternateContent>
          <mc:Choice Requires="wpg">
            <w:drawing>
              <wp:anchor behindDoc="0" distT="0" distB="0" distL="0" distR="0" simplePos="0" locked="0" layoutInCell="1" allowOverlap="1" relativeHeight="53">
                <wp:simplePos x="0" y="0"/>
                <wp:positionH relativeFrom="column">
                  <wp:posOffset>273050</wp:posOffset>
                </wp:positionH>
                <wp:positionV relativeFrom="paragraph">
                  <wp:posOffset>506095</wp:posOffset>
                </wp:positionV>
                <wp:extent cx="4505960" cy="6283960"/>
                <wp:effectExtent l="0" t="0" r="0" b="0"/>
                <wp:wrapTopAndBottom/>
                <wp:docPr id="97" name="Formulier4"/>
                <a:graphic xmlns:a="http://schemas.openxmlformats.org/drawingml/2006/main">
                  <a:graphicData uri="http://schemas.microsoft.com/office/word/2010/wordprocessingGroup">
                    <wpg:wgp>
                      <wpg:cNvGrpSpPr/>
                      <wpg:grpSpPr>
                        <a:xfrm>
                          <a:off x="0" y="0"/>
                          <a:ext cx="4505400" cy="6283440"/>
                        </a:xfrm>
                      </wpg:grpSpPr>
                      <pic:pic xmlns:pic="http://schemas.openxmlformats.org/drawingml/2006/picture">
                        <pic:nvPicPr>
                          <pic:cNvPr id="5" name="" descr=""/>
                          <pic:cNvPicPr/>
                        </pic:nvPicPr>
                        <pic:blipFill>
                          <a:blip r:embed="rId100"/>
                          <a:stretch/>
                        </pic:blipFill>
                        <pic:spPr>
                          <a:xfrm>
                            <a:off x="2270160" y="590400"/>
                            <a:ext cx="1982520" cy="5692680"/>
                          </a:xfrm>
                          <a:prstGeom prst="rect">
                            <a:avLst/>
                          </a:prstGeom>
                          <a:ln>
                            <a:noFill/>
                          </a:ln>
                        </pic:spPr>
                      </pic:pic>
                      <wps:wsp>
                        <wps:cNvSpPr/>
                        <wps:spPr>
                          <a:xfrm>
                            <a:off x="1151280" y="0"/>
                            <a:ext cx="3354120" cy="4989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Welke veranderingen zou je graag willen doorvoeren?</w:t>
                              </w:r>
                            </w:p>
                          </w:txbxContent>
                        </wps:txbx>
                        <wps:bodyPr lIns="90000" rIns="90000" tIns="45000" bIns="45000">
                          <a:noAutofit/>
                        </wps:bodyPr>
                      </wps:wsp>
                      <wps:wsp>
                        <wps:cNvSpPr/>
                        <wps:spPr>
                          <a:xfrm>
                            <a:off x="0" y="738360"/>
                            <a:ext cx="2217600" cy="353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 Een Europa dat onderwijs voorop zet</w:t>
                              </w:r>
                            </w:p>
                          </w:txbxContent>
                        </wps:txbx>
                        <wps:bodyPr lIns="90000" rIns="90000" tIns="45000" bIns="45000">
                          <a:noAutofit/>
                        </wps:bodyPr>
                      </wps:wsp>
                      <wps:wsp>
                        <wps:cNvSpPr/>
                        <wps:spPr>
                          <a:xfrm>
                            <a:off x="0" y="1079640"/>
                            <a:ext cx="2217600" cy="353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2. Een dichter en toegankelijk Europa</w:t>
                              </w:r>
                            </w:p>
                          </w:txbxContent>
                        </wps:txbx>
                        <wps:bodyPr lIns="90000" rIns="90000" tIns="45000" bIns="45000">
                          <a:noAutofit/>
                        </wps:bodyPr>
                      </wps:wsp>
                      <wps:wsp>
                        <wps:cNvSpPr/>
                        <wps:spPr>
                          <a:xfrm>
                            <a:off x="0" y="1548000"/>
                            <a:ext cx="2217600" cy="3535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Een Europa met gedeelde culturen en identiteiten</w:t>
                              </w:r>
                            </w:p>
                          </w:txbxContent>
                        </wps:txbx>
                        <wps:bodyPr lIns="90000" rIns="90000" tIns="45000" bIns="45000">
                          <a:noAutofit/>
                        </wps:bodyPr>
                      </wps:wsp>
                      <wps:wsp>
                        <wps:cNvSpPr/>
                        <wps:spPr>
                          <a:xfrm>
                            <a:off x="0" y="1948680"/>
                            <a:ext cx="2217600" cy="353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4. Een Europa dat zich inzet voor de klimaat- en milieu-uitdaging</w:t>
                              </w:r>
                            </w:p>
                          </w:txbxContent>
                        </wps:txbx>
                        <wps:bodyPr lIns="90000" rIns="90000" tIns="45000" bIns="45000">
                          <a:noAutofit/>
                        </wps:bodyPr>
                      </wps:wsp>
                      <wps:wsp>
                        <wps:cNvSpPr/>
                        <wps:spPr>
                          <a:xfrm>
                            <a:off x="0" y="2327760"/>
                            <a:ext cx="2217600" cy="2444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5. Een meer verenigd Europa</w:t>
                              </w:r>
                            </w:p>
                          </w:txbxContent>
                        </wps:txbx>
                        <wps:bodyPr lIns="90000" rIns="90000" tIns="45000" bIns="45000">
                          <a:noAutofit/>
                        </wps:bodyPr>
                      </wps:wsp>
                      <wps:wsp>
                        <wps:cNvSpPr/>
                        <wps:spPr>
                          <a:xfrm>
                            <a:off x="0" y="2630880"/>
                            <a:ext cx="2217600" cy="2444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6. Een solidariteits Europa dat beschermt</w:t>
                              </w:r>
                            </w:p>
                          </w:txbxContent>
                        </wps:txbx>
                        <wps:bodyPr lIns="90000" rIns="90000" tIns="45000" bIns="45000">
                          <a:noAutofit/>
                        </wps:bodyPr>
                      </wps:wsp>
                      <wps:wsp>
                        <wps:cNvSpPr/>
                        <wps:spPr>
                          <a:xfrm>
                            <a:off x="0" y="3034800"/>
                            <a:ext cx="2217600" cy="353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7. Een Europa dat de eerbiediging van de grondrechten waarborgt</w:t>
                              </w:r>
                            </w:p>
                          </w:txbxContent>
                        </wps:txbx>
                        <wps:bodyPr lIns="90000" rIns="90000" tIns="45000" bIns="45000">
                          <a:noAutofit/>
                        </wps:bodyPr>
                      </wps:wsp>
                      <wps:wsp>
                        <wps:cNvSpPr/>
                        <wps:spPr>
                          <a:xfrm>
                            <a:off x="0" y="3468240"/>
                            <a:ext cx="2217600" cy="2444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8. Een concurrerend en innovatief Europa</w:t>
                              </w:r>
                            </w:p>
                          </w:txbxContent>
                        </wps:txbx>
                        <wps:bodyPr lIns="90000" rIns="90000" tIns="45000" bIns="45000">
                          <a:noAutofit/>
                        </wps:bodyPr>
                      </wps:wsp>
                      <wps:wsp>
                        <wps:cNvSpPr/>
                        <wps:spPr>
                          <a:xfrm>
                            <a:off x="0" y="3912840"/>
                            <a:ext cx="2217600" cy="353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9. Een Europa dat duurzame ontwikkeling bevordert</w:t>
                              </w:r>
                            </w:p>
                          </w:txbxContent>
                        </wps:txbx>
                        <wps:bodyPr lIns="90000" rIns="90000" tIns="45000" bIns="45000">
                          <a:noAutofit/>
                        </wps:bodyPr>
                      </wps:wsp>
                      <wps:wsp>
                        <wps:cNvSpPr/>
                        <wps:spPr>
                          <a:xfrm>
                            <a:off x="0" y="4245120"/>
                            <a:ext cx="2217600" cy="2444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10. Een democratischer Europa</w:t>
                              </w:r>
                            </w:p>
                          </w:txbxContent>
                        </wps:txbx>
                        <wps:bodyPr lIns="90000" rIns="90000" tIns="45000" bIns="45000">
                          <a:noAutofit/>
                        </wps:bodyPr>
                      </wps:wsp>
                      <wps:wsp>
                        <wps:cNvSpPr/>
                        <wps:spPr>
                          <a:xfrm>
                            <a:off x="0" y="4566960"/>
                            <a:ext cx="2217600" cy="3535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11. Een Europa met doeltreffender bestuur</w:t>
                              </w:r>
                            </w:p>
                          </w:txbxContent>
                        </wps:txbx>
                        <wps:bodyPr lIns="90000" rIns="90000" tIns="45000" bIns="45000">
                          <a:noAutofit/>
                        </wps:bodyPr>
                      </wps:wsp>
                      <wps:wsp>
                        <wps:cNvSpPr/>
                        <wps:spPr>
                          <a:xfrm>
                            <a:off x="0" y="5103360"/>
                            <a:ext cx="2217600" cy="2217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12. Een Europa dat zijn belangen verdedigt</w:t>
                              </w:r>
                            </w:p>
                          </w:txbxContent>
                        </wps:txbx>
                        <wps:bodyPr lIns="90000" rIns="90000" tIns="45000" bIns="45000">
                          <a:noAutofit/>
                        </wps:bodyPr>
                      </wps:wsp>
                      <wps:wsp>
                        <wps:cNvSpPr/>
                        <wps:spPr>
                          <a:xfrm>
                            <a:off x="0" y="5522760"/>
                            <a:ext cx="2217600" cy="353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13. Een machtig Europa in de wereld</w:t>
                              </w:r>
                            </w:p>
                          </w:txbxContent>
                        </wps:txbx>
                        <wps:bodyPr lIns="90000" rIns="90000" tIns="45000" bIns="45000">
                          <a:noAutofit/>
                        </wps:bodyPr>
                      </wps:wsp>
                      <wps:wsp>
                        <wps:cNvSpPr/>
                        <wps:spPr>
                          <a:xfrm>
                            <a:off x="0" y="5877000"/>
                            <a:ext cx="2217600" cy="353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14. Een Europa waarin de belangen van elke staat prevaleren</w:t>
                              </w:r>
                            </w:p>
                          </w:txbxContent>
                        </wps:txbx>
                        <wps:bodyPr lIns="90000" rIns="90000" tIns="45000" bIns="45000">
                          <a:noAutofit/>
                        </wps:bodyPr>
                      </wps:wsp>
                    </wpg:wgp>
                  </a:graphicData>
                </a:graphic>
              </wp:anchor>
            </w:drawing>
          </mc:Choice>
          <mc:Fallback>
            <w:pict>
              <v:group id="shape_0" alt="Formulier4" style="position:absolute;margin-left:21.5pt;margin-top:39.85pt;width:354.75pt;height:494.75pt" coordorigin="430,797" coordsize="7095,9895">
                <v:shape id="shape_0" stroked="f" style="position:absolute;left:4005;top:1727;width:3121;height:8964" type="shapetype_75">
                  <v:imagedata r:id="rId100" o:detectmouseclick="t"/>
                  <w10:wrap type="none"/>
                  <v:stroke color="#3465a4" joinstyle="round" endcap="flat"/>
                </v:shape>
                <v:rect id="shape_0" stroked="f" style="position:absolute;left:2243;top:797;width:5281;height:78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Welke veranderingen zou je graag willen doorvoeren?</w:t>
                        </w:r>
                      </w:p>
                    </w:txbxContent>
                  </v:textbox>
                  <w10:wrap type="square"/>
                  <v:fill o:detectmouseclick="t" on="false"/>
                  <v:stroke color="#3465a4" joinstyle="round" endcap="flat"/>
                </v:rect>
                <v:rect id="shape_0" stroked="f" style="position:absolute;left:430;top:1960;width:3491;height:55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 Een Europa dat onderwijs voorop zet</w:t>
                        </w:r>
                      </w:p>
                    </w:txbxContent>
                  </v:textbox>
                  <w10:wrap type="square"/>
                  <v:fill o:detectmouseclick="t" on="false"/>
                  <v:stroke color="#3465a4" joinstyle="round" endcap="flat"/>
                </v:rect>
                <v:rect id="shape_0" stroked="f" style="position:absolute;left:430;top:2497;width:3491;height:55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2. Een dichter en toegankelijk Europa</w:t>
                        </w:r>
                      </w:p>
                    </w:txbxContent>
                  </v:textbox>
                  <w10:wrap type="square"/>
                  <v:fill o:detectmouseclick="t" on="false"/>
                  <v:stroke color="#3465a4" joinstyle="round" endcap="flat"/>
                </v:rect>
                <v:rect id="shape_0" stroked="f" style="position:absolute;left:430;top:3235;width:3491;height:556">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Een Europa met gedeelde culturen en identiteiten</w:t>
                        </w:r>
                      </w:p>
                    </w:txbxContent>
                  </v:textbox>
                  <w10:wrap type="square"/>
                  <v:fill o:detectmouseclick="t" on="false"/>
                  <v:stroke color="#3465a4" joinstyle="round" endcap="flat"/>
                </v:rect>
                <v:rect id="shape_0" stroked="f" style="position:absolute;left:430;top:3866;width:3491;height:55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4. Een Europa dat zich inzet voor de klimaat- en milieu-uitdaging</w:t>
                        </w:r>
                      </w:p>
                    </w:txbxContent>
                  </v:textbox>
                  <w10:wrap type="square"/>
                  <v:fill o:detectmouseclick="t" on="false"/>
                  <v:stroke color="#3465a4" joinstyle="round" endcap="flat"/>
                </v:rect>
                <v:rect id="shape_0" stroked="f" style="position:absolute;left:430;top:4463;width:3491;height:384">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5. Een meer verenigd Europa</w:t>
                        </w:r>
                      </w:p>
                    </w:txbxContent>
                  </v:textbox>
                  <w10:wrap type="square"/>
                  <v:fill o:detectmouseclick="t" on="false"/>
                  <v:stroke color="#3465a4" joinstyle="round" endcap="flat"/>
                </v:rect>
                <v:rect id="shape_0" stroked="f" style="position:absolute;left:430;top:4940;width:3491;height:384">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6. Een solidariteits Europa dat beschermt</w:t>
                        </w:r>
                      </w:p>
                    </w:txbxContent>
                  </v:textbox>
                  <w10:wrap type="square"/>
                  <v:fill o:detectmouseclick="t" on="false"/>
                  <v:stroke color="#3465a4" joinstyle="round" endcap="flat"/>
                </v:rect>
                <v:rect id="shape_0" stroked="f" style="position:absolute;left:430;top:5576;width:3491;height:55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7. Een Europa dat de eerbiediging van de grondrechten waarborgt</w:t>
                        </w:r>
                      </w:p>
                    </w:txbxContent>
                  </v:textbox>
                  <w10:wrap type="square"/>
                  <v:fill o:detectmouseclick="t" on="false"/>
                  <v:stroke color="#3465a4" joinstyle="round" endcap="flat"/>
                </v:rect>
                <v:rect id="shape_0" stroked="f" style="position:absolute;left:430;top:6259;width:3491;height:384">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8. Een concurrerend en innovatief Europa</w:t>
                        </w:r>
                      </w:p>
                    </w:txbxContent>
                  </v:textbox>
                  <w10:wrap type="square"/>
                  <v:fill o:detectmouseclick="t" on="false"/>
                  <v:stroke color="#3465a4" joinstyle="round" endcap="flat"/>
                </v:rect>
                <v:rect id="shape_0" stroked="f" style="position:absolute;left:430;top:6959;width:3491;height:55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9. Een Europa dat duurzame ontwikkeling bevordert</w:t>
                        </w:r>
                      </w:p>
                    </w:txbxContent>
                  </v:textbox>
                  <w10:wrap type="square"/>
                  <v:fill o:detectmouseclick="t" on="false"/>
                  <v:stroke color="#3465a4" joinstyle="round" endcap="flat"/>
                </v:rect>
                <v:rect id="shape_0" stroked="f" style="position:absolute;left:430;top:7482;width:3491;height:384">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10. Een democratischer Europa</w:t>
                        </w:r>
                      </w:p>
                    </w:txbxContent>
                  </v:textbox>
                  <w10:wrap type="square"/>
                  <v:fill o:detectmouseclick="t" on="false"/>
                  <v:stroke color="#3465a4" joinstyle="round" endcap="flat"/>
                </v:rect>
                <v:rect id="shape_0" stroked="f" style="position:absolute;left:430;top:7989;width:3491;height:556">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11. Een Europa met doeltreffender bestuur</w:t>
                        </w:r>
                      </w:p>
                    </w:txbxContent>
                  </v:textbox>
                  <w10:wrap type="square"/>
                  <v:fill o:detectmouseclick="t" on="false"/>
                  <v:stroke color="#3465a4" joinstyle="round" endcap="flat"/>
                </v:rect>
                <v:rect id="shape_0" stroked="f" style="position:absolute;left:430;top:8834;width:3491;height:348">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12. Een Europa dat zijn belangen verdedigt</w:t>
                        </w:r>
                      </w:p>
                    </w:txbxContent>
                  </v:textbox>
                  <w10:wrap type="square"/>
                  <v:fill o:detectmouseclick="t" on="false"/>
                  <v:stroke color="#3465a4" joinstyle="round" endcap="flat"/>
                </v:rect>
                <v:rect id="shape_0" stroked="f" style="position:absolute;left:430;top:9494;width:3491;height:55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13. Een machtig Europa in de wereld</w:t>
                        </w:r>
                      </w:p>
                    </w:txbxContent>
                  </v:textbox>
                  <w10:wrap type="square"/>
                  <v:fill o:detectmouseclick="t" on="false"/>
                  <v:stroke color="#3465a4" joinstyle="round" endcap="flat"/>
                </v:rect>
                <v:rect id="shape_0" stroked="f" style="position:absolute;left:430;top:10052;width:3491;height:55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14. Een Europa waarin de belangen van elke staat prevaleren</w:t>
                        </w:r>
                      </w:p>
                    </w:txbxContent>
                  </v:textbox>
                  <w10:wrap type="square"/>
                  <v:fill o:detectmouseclick="t" on="false"/>
                  <v:stroke color="#3465a4" joinstyle="round" endcap="flat"/>
                </v:rect>
              </v:group>
            </w:pict>
          </mc:Fallback>
        </mc:AlternateContent>
      </w:r>
      <w:r>
        <w:br w:type="page"/>
      </w:r>
    </w:p>
    <w:p>
      <w:pPr>
        <w:pStyle w:val="P68B1DB1Normal33"/>
        <w:rPr>
          <w:rFonts w:ascii="Times New Roman" w:hAnsi="Times New Roman"/>
          <w:b/>
          <w:b/>
          <w:color w:val="000000"/>
          <w:sz w:val="24"/>
        </w:rPr>
      </w:pPr>
      <w:r>
        <w:rPr/>
        <w:t xml:space="preserve">B. Presentatie van de 14 prioritaire veranderingen die voortvloeien uit de nationale conferentie </w:t>
      </w:r>
    </w:p>
    <w:p>
      <w:pPr>
        <w:pStyle w:val="P68B1DB1Normal19"/>
        <w:widowControl w:val="false"/>
        <w:spacing w:lineRule="exact" w:line="388" w:before="322" w:after="0"/>
        <w:ind w:left="0" w:right="0" w:hanging="0"/>
        <w:jc w:val="left"/>
        <w:rPr/>
      </w:pPr>
      <w:r>
        <w:rPr/>
        <w:t xml:space="preserve">Op de Nationale Synthese Conferentie werkten de 100 deelnemende burgers aan een van de 14 gevestigde wensengroepen. Aan het eind van de werkzaamheden heeft elke groep gekozen om haar wens voor Europa </w:t>
      </w:r>
      <w:r>
        <w:rPr>
          <w:b/>
        </w:rPr>
        <w:t>te vertegenwoordigen, dat vóór 2035 moet worden doorgevoerd</w:t>
      </w:r>
      <w:r>
        <w:rPr/>
        <w:t xml:space="preserve">. Deze 14 prioritaire wijzigingen werden vervolgens voorgesteld om 100 burgers te stemmen op de laatste dag van de nationale conferentie. Het resultaat van deze stemming wordt hieronder weergegeven, in dalende volgorde, afhankelijk van het aantal stemmen dat voor elke wijziging is verkregen. </w:t>
      </w:r>
    </w:p>
    <w:p>
      <w:pPr>
        <w:pStyle w:val="P68B1DB1Normal19"/>
        <w:widowControl w:val="false"/>
        <w:spacing w:lineRule="exact" w:line="413" w:before="332" w:after="0"/>
        <w:ind w:left="0" w:right="708" w:hanging="0"/>
        <w:jc w:val="left"/>
        <w:rPr/>
      </w:pPr>
      <w:r>
        <w:rPr/>
        <w:t xml:space="preserve">De verandering die de meeste stemmen kreeg van de 100 burgers van de nationale conferentie is „ </w:t>
      </w:r>
      <w:r>
        <w:rPr>
          <w:i/>
        </w:rPr>
        <w:t>Ontwikkel energie soberheid om minder te consumeren door het overbodige te stoppen”</w:t>
      </w:r>
      <w:r>
        <w:rPr/>
        <w:t xml:space="preserve">. </w:t>
      </w:r>
    </w:p>
    <w:p>
      <w:pPr>
        <w:pStyle w:val="P68B1DB1Normal39"/>
        <w:widowControl w:val="false"/>
        <w:spacing w:lineRule="exact" w:line="199" w:before="42" w:after="0"/>
        <w:ind w:left="0" w:right="0" w:hanging="0"/>
        <w:jc w:val="left"/>
        <w:rPr>
          <w:rFonts w:ascii="Times New Roman" w:hAnsi="Times New Roman"/>
          <w:b/>
          <w:b/>
          <w:color w:val="000000"/>
          <w:sz w:val="12"/>
        </w:rPr>
      </w:pPr>
      <w:r>
        <w:rPr/>
        <w:t xml:space="preserve"> </w:t>
      </w:r>
    </w:p>
    <w:p>
      <w:pPr>
        <w:pStyle w:val="P68B1DB1Normal40"/>
        <w:widowControl w:val="false"/>
        <w:spacing w:lineRule="auto" w:line="240"/>
        <w:ind w:left="208" w:right="0" w:hanging="0"/>
        <w:jc w:val="left"/>
        <w:rPr/>
      </w:pPr>
      <w:r>
        <w:rPr>
          <w:b/>
          <w:sz w:val="34"/>
        </w:rPr>
        <w:t xml:space="preserve">14 </w:t>
      </w:r>
      <w:r>
        <w:rPr>
          <w:sz w:val="30"/>
        </w:rPr>
        <w:t>belangrijke veranderingen voor Europa in 2035</w:t>
      </w:r>
    </w:p>
    <w:p>
      <w:pPr>
        <w:pStyle w:val="P68B1DB1Normal41"/>
        <w:widowControl w:val="false"/>
        <w:spacing w:lineRule="auto" w:line="240" w:before="202" w:after="0"/>
        <w:ind w:left="336" w:right="0" w:hanging="0"/>
        <w:jc w:val="left"/>
        <w:rPr/>
      </w:pPr>
      <w:r>
        <w:rPr>
          <w:color w:val="FFFFFF"/>
        </w:rPr>
        <w:t>1</w:t>
      </w:r>
      <w:r>
        <w:rPr>
          <w:color w:val="000000"/>
        </w:rPr>
        <w:t>(1)</w:t>
      </w:r>
      <w:r>
        <w:rPr>
          <w:color w:val="FFFFFF"/>
        </w:rPr>
        <w:t xml:space="preserve"> </w:t>
      </w:r>
      <w:r>
        <w:rPr>
          <w:color w:val="000000"/>
        </w:rPr>
        <w:t>Ontwikkel energie soberheid om minder van het overbodige te consumeren</w:t>
      </w:r>
    </w:p>
    <w:p>
      <w:pPr>
        <w:pStyle w:val="P68B1DB1Normal41"/>
        <w:widowControl w:val="false"/>
        <w:spacing w:lineRule="auto" w:line="240" w:before="193" w:after="0"/>
        <w:ind w:left="324" w:right="0" w:hanging="0"/>
        <w:jc w:val="left"/>
        <w:rPr/>
      </w:pPr>
      <w:r>
        <w:rPr>
          <w:color w:val="FFFFFF"/>
        </w:rPr>
        <w:t>2</w:t>
      </w:r>
      <w:r>
        <w:rPr>
          <w:color w:val="000000"/>
        </w:rPr>
        <w:t>(2)</w:t>
      </w:r>
      <w:r>
        <w:rPr>
          <w:color w:val="FFFFFF"/>
        </w:rPr>
        <w:t xml:space="preserve"> </w:t>
      </w:r>
      <w:r>
        <w:rPr>
          <w:color w:val="000000"/>
        </w:rPr>
        <w:t>Versterking van de gemeenschappelijke defensie en veiligheid van de Europese Unie</w:t>
      </w:r>
    </w:p>
    <w:p>
      <w:pPr>
        <w:pStyle w:val="P68B1DB1Normal41"/>
        <w:widowControl w:val="false"/>
        <w:spacing w:lineRule="auto" w:line="240" w:before="193" w:after="0"/>
        <w:ind w:left="324" w:right="0" w:hanging="0"/>
        <w:jc w:val="left"/>
        <w:rPr/>
      </w:pPr>
      <w:r>
        <w:rPr>
          <w:color w:val="FFFFFF"/>
        </w:rPr>
        <w:t>3</w:t>
      </w:r>
      <w:r>
        <w:rPr>
          <w:color w:val="000000"/>
        </w:rPr>
        <w:t>(3)</w:t>
      </w:r>
      <w:r>
        <w:rPr>
          <w:color w:val="FFFFFF"/>
        </w:rPr>
        <w:t xml:space="preserve"> </w:t>
      </w:r>
      <w:r>
        <w:rPr>
          <w:color w:val="000000"/>
        </w:rPr>
        <w:t>Het bevorderen van collectieve economische prestaties door middel van een autonome, concurrerende en gewaardeerde industrie door de Europese Unie</w:t>
      </w:r>
    </w:p>
    <w:p>
      <w:pPr>
        <w:pStyle w:val="P68B1DB1Normal41"/>
        <w:widowControl w:val="false"/>
        <w:spacing w:lineRule="auto" w:line="240" w:before="136" w:after="0"/>
        <w:ind w:left="324" w:right="0" w:hanging="0"/>
        <w:jc w:val="left"/>
        <w:rPr/>
      </w:pPr>
      <w:r>
        <w:rPr>
          <w:color w:val="FFFFFF"/>
        </w:rPr>
        <w:t>4</w:t>
      </w:r>
      <w:r>
        <w:rPr>
          <w:color w:val="000000"/>
        </w:rPr>
        <w:t>(4)</w:t>
      </w:r>
      <w:r>
        <w:rPr>
          <w:color w:val="FFFFFF"/>
        </w:rPr>
        <w:t xml:space="preserve"> </w:t>
      </w:r>
      <w:r>
        <w:rPr>
          <w:color w:val="000000"/>
        </w:rPr>
        <w:t>Het vestigen van een burgermacht op verschillende niveaus: participatie, beslissing, controle</w:t>
      </w:r>
    </w:p>
    <w:p>
      <w:pPr>
        <w:pStyle w:val="P68B1DB1Normal41"/>
        <w:widowControl w:val="false"/>
        <w:spacing w:lineRule="auto" w:line="240" w:before="193" w:after="0"/>
        <w:ind w:left="324" w:right="695" w:hanging="0"/>
        <w:jc w:val="left"/>
        <w:rPr/>
      </w:pPr>
      <w:r>
        <w:rPr>
          <w:color w:val="FFFFFF"/>
        </w:rPr>
        <w:t>5</w:t>
      </w:r>
      <w:r>
        <w:rPr>
          <w:color w:val="000000"/>
        </w:rPr>
        <w:t>(5)</w:t>
      </w:r>
      <w:r>
        <w:rPr>
          <w:color w:val="FFFFFF"/>
        </w:rPr>
        <w:t xml:space="preserve"> </w:t>
      </w:r>
      <w:r>
        <w:rPr>
          <w:color w:val="000000"/>
        </w:rPr>
        <w:t>Naar een federatie van Europese staten met sterke bevoegdheden op gebieden van gemeenschappelijk belang</w:t>
      </w:r>
    </w:p>
    <w:p>
      <w:pPr>
        <w:pStyle w:val="P68B1DB1Normal41"/>
        <w:widowControl w:val="false"/>
        <w:spacing w:lineRule="auto" w:line="240" w:before="136" w:after="0"/>
        <w:ind w:left="324" w:right="0" w:hanging="0"/>
        <w:jc w:val="left"/>
        <w:rPr/>
      </w:pPr>
      <w:r>
        <w:rPr>
          <w:color w:val="000000"/>
        </w:rPr>
        <w:t>6 (6)</w:t>
      </w:r>
      <w:r>
        <w:rPr>
          <w:color w:val="FFFFFF"/>
        </w:rPr>
        <w:t xml:space="preserve"> </w:t>
      </w:r>
      <w:r>
        <w:rPr>
          <w:color w:val="000000"/>
        </w:rPr>
        <w:t>Voorstellen van programma’s voor levenslange uitwisseling</w:t>
      </w:r>
    </w:p>
    <w:p>
      <w:pPr>
        <w:pStyle w:val="P68B1DB1Normal41"/>
        <w:widowControl w:val="false"/>
        <w:spacing w:lineRule="auto" w:line="240" w:before="193" w:after="0"/>
        <w:ind w:left="324" w:right="0" w:hanging="0"/>
        <w:jc w:val="left"/>
        <w:rPr/>
      </w:pPr>
      <w:r>
        <w:rPr>
          <w:color w:val="FFFFFF"/>
        </w:rPr>
        <w:t>7</w:t>
      </w:r>
      <w:r>
        <w:rPr>
          <w:color w:val="000000"/>
        </w:rPr>
        <w:t>(7)</w:t>
      </w:r>
      <w:r>
        <w:rPr>
          <w:color w:val="FFFFFF"/>
        </w:rPr>
        <w:t xml:space="preserve"> </w:t>
      </w:r>
      <w:r>
        <w:rPr>
          <w:color w:val="000000"/>
        </w:rPr>
        <w:t>Het delen van Europese culturen door het verenigen van evenementen en evenementen</w:t>
      </w:r>
    </w:p>
    <w:p>
      <w:pPr>
        <w:pStyle w:val="P68B1DB1Normal41"/>
        <w:widowControl w:val="false"/>
        <w:spacing w:lineRule="auto" w:line="240" w:before="353" w:after="0"/>
        <w:ind w:left="324" w:right="0" w:hanging="0"/>
        <w:jc w:val="left"/>
        <w:rPr/>
      </w:pPr>
      <w:r>
        <w:rPr>
          <w:color w:val="FFFFFF"/>
        </w:rPr>
        <w:t>8</w:t>
      </w:r>
      <w:r>
        <w:rPr>
          <w:color w:val="000000"/>
        </w:rPr>
        <w:t>(8)</w:t>
      </w:r>
      <w:r>
        <w:rPr>
          <w:color w:val="FFFFFF"/>
        </w:rPr>
        <w:t xml:space="preserve"> </w:t>
      </w:r>
      <w:r>
        <w:rPr>
          <w:color w:val="000000"/>
        </w:rPr>
        <w:t>Harmonisatie van de gezondheid en toegankelijkheid ervan voor alle Europeanen door middel van een gemeenschappelijk gezondheidsbeleid</w:t>
      </w:r>
    </w:p>
    <w:p>
      <w:pPr>
        <w:pStyle w:val="P68B1DB1Normal41"/>
        <w:widowControl w:val="false"/>
        <w:spacing w:lineRule="auto" w:line="240" w:before="193" w:after="0"/>
        <w:ind w:left="324" w:right="0" w:hanging="0"/>
        <w:jc w:val="left"/>
        <w:rPr/>
      </w:pPr>
      <w:r>
        <w:rPr>
          <w:color w:val="FFFFFF"/>
        </w:rPr>
        <w:t>9</w:t>
      </w:r>
      <w:r>
        <w:rPr>
          <w:color w:val="000000"/>
        </w:rPr>
        <w:t>(9)</w:t>
      </w:r>
      <w:r>
        <w:rPr>
          <w:color w:val="FFFFFF"/>
        </w:rPr>
        <w:t xml:space="preserve"> </w:t>
      </w:r>
      <w:r>
        <w:rPr>
          <w:color w:val="000000"/>
        </w:rPr>
        <w:t>Ontwikkeling en piloting van strategische kanalen op Europees niveau om onze soevereiniteit te waarborgen</w:t>
      </w:r>
    </w:p>
    <w:p>
      <w:pPr>
        <w:pStyle w:val="P68B1DB1Normal41"/>
        <w:widowControl w:val="false"/>
        <w:spacing w:lineRule="auto" w:line="240" w:before="193" w:after="0"/>
        <w:ind w:left="324" w:right="0" w:hanging="0"/>
        <w:jc w:val="left"/>
        <w:rPr/>
      </w:pPr>
      <w:r>
        <w:rPr>
          <w:color w:val="FFFFFF"/>
        </w:rPr>
        <w:t>10</w:t>
      </w:r>
      <w:r>
        <w:rPr>
          <w:color w:val="000000"/>
        </w:rPr>
        <w:t>(10)Verbetering van de bescherming van milieu’s en ecosystemen en het creëren van beschermde gebieden in het hart van stedelijke, peri-urbane en plattelandsgebieden</w:t>
      </w:r>
    </w:p>
    <w:p>
      <w:pPr>
        <w:pStyle w:val="P68B1DB1Normal41"/>
        <w:widowControl w:val="false"/>
        <w:spacing w:lineRule="auto" w:line="240" w:before="136" w:after="0"/>
        <w:ind w:left="295" w:right="0" w:hanging="0"/>
        <w:jc w:val="left"/>
        <w:rPr/>
      </w:pPr>
      <w:r>
        <w:rPr>
          <w:color w:val="FFFFFF"/>
        </w:rPr>
        <w:t>11</w:t>
      </w:r>
      <w:r>
        <w:rPr>
          <w:color w:val="000000"/>
        </w:rPr>
        <w:t>(11)</w:t>
      </w:r>
      <w:r>
        <w:rPr>
          <w:color w:val="FFFFFF"/>
        </w:rPr>
        <w:t xml:space="preserve"> </w:t>
      </w:r>
      <w:r>
        <w:rPr>
          <w:color w:val="000000"/>
        </w:rPr>
        <w:t>Oprichting van Europese estafettes in de gebieden om naar burgers te luisteren en te adviseren</w:t>
      </w:r>
    </w:p>
    <w:p>
      <w:pPr>
        <w:pStyle w:val="P68B1DB1Normal41"/>
        <w:widowControl w:val="false"/>
        <w:spacing w:lineRule="auto" w:line="240" w:before="193" w:after="0"/>
        <w:ind w:left="283" w:right="643" w:hanging="0"/>
        <w:jc w:val="left"/>
        <w:rPr/>
      </w:pPr>
      <w:r>
        <w:rPr>
          <w:color w:val="FFFFFF"/>
        </w:rPr>
        <w:t>12</w:t>
      </w:r>
      <w:r>
        <w:rPr>
          <w:color w:val="000000"/>
        </w:rPr>
        <w:t>(12)</w:t>
      </w:r>
      <w:r>
        <w:rPr>
          <w:color w:val="FFFFFF"/>
        </w:rPr>
        <w:t xml:space="preserve"> </w:t>
      </w:r>
      <w:r>
        <w:rPr>
          <w:color w:val="000000"/>
        </w:rPr>
        <w:t>De wijze van verkiezing van het Europees Parlement voor de zevenentwintig staten verenigen en de nabijheid van burgers verbeteren door de huidige stemming te vervangen door een eenmalige stemming op regionaal niveau</w:t>
      </w:r>
    </w:p>
    <w:p>
      <w:pPr>
        <w:pStyle w:val="P68B1DB1Normal41"/>
        <w:widowControl w:val="false"/>
        <w:spacing w:lineRule="auto" w:line="240" w:before="136" w:after="0"/>
        <w:ind w:left="283" w:right="164" w:hanging="0"/>
        <w:jc w:val="left"/>
        <w:rPr/>
      </w:pPr>
      <w:r>
        <w:rPr>
          <w:color w:val="FFFFFF"/>
        </w:rPr>
        <w:t>13</w:t>
      </w:r>
      <w:r>
        <w:rPr>
          <w:color w:val="000000"/>
        </w:rPr>
        <w:t>(13)</w:t>
      </w:r>
      <w:r>
        <w:rPr>
          <w:color w:val="FFFFFF"/>
        </w:rPr>
        <w:t xml:space="preserve"> </w:t>
      </w:r>
      <w:r>
        <w:rPr>
          <w:color w:val="000000"/>
        </w:rPr>
        <w:t>De vaststelling van een gemeenschappelijk beleid ter verbetering van de opvang en de sociale en beroepsintegratie van migranten (met inbegrip van irreguliere migranten)</w:t>
      </w:r>
    </w:p>
    <w:p>
      <w:pPr>
        <w:pStyle w:val="P68B1DB1Normal41"/>
        <w:widowControl w:val="false"/>
        <w:spacing w:lineRule="auto" w:line="240" w:before="136" w:after="0"/>
        <w:ind w:left="283" w:right="700" w:hanging="0"/>
        <w:jc w:val="left"/>
        <w:rPr/>
      </w:pPr>
      <w:r>
        <w:rPr>
          <w:color w:val="FFFFFF"/>
        </w:rPr>
        <w:t>14</w:t>
      </w:r>
      <w:r>
        <w:rPr>
          <w:color w:val="000000"/>
        </w:rPr>
        <w:t>(14)</w:t>
      </w:r>
      <w:r>
        <w:rPr>
          <w:color w:val="FFFFFF"/>
        </w:rPr>
        <w:t xml:space="preserve"> </w:t>
      </w:r>
      <w:r>
        <w:rPr>
          <w:color w:val="000000"/>
        </w:rPr>
        <w:t>Het behoud van de specifieke kenmerken (voedseletiketten, ambachtelijke productie, tradities) van de verschillende Europese regio’s, teneinde een uniforme levensstijl te vermijden en de traceerbaarheid en kwaliteit van producten te waarborgen</w:t>
      </w:r>
    </w:p>
    <w:p>
      <w:pPr>
        <w:pStyle w:val="Normal"/>
        <w:spacing w:lineRule="auto" w:line="240"/>
        <w:rPr/>
      </w:pPr>
      <w:r>
        <w:rPr/>
      </w:r>
    </w:p>
    <w:p>
      <w:pPr>
        <w:pStyle w:val="Normal"/>
        <w:rPr/>
      </w:pPr>
      <w:r>
        <w:rPr/>
        <w:t xml:space="preserve">Voor elke prioriteitswijziging gaven de burgers van de betrokken groep een definitie van verandering, stelden concrete acties voor om de uitvoering ervan uit te voeren en gaven zij de criteria voor succes tegen 2035 aan. </w:t>
      </w:r>
    </w:p>
    <w:p>
      <w:pPr>
        <w:pStyle w:val="Normal"/>
        <w:rPr/>
      </w:pPr>
      <w:r>
        <w:rPr/>
      </w:r>
      <w:r>
        <w:br w:type="page"/>
      </w:r>
    </w:p>
    <w:p>
      <w:pPr>
        <w:pStyle w:val="P68B1DB1Normal42"/>
        <w:widowControl w:val="false"/>
        <w:spacing w:lineRule="auto" w:line="240" w:before="237" w:after="0"/>
        <w:ind w:left="0" w:right="0" w:hanging="0"/>
        <w:jc w:val="left"/>
        <w:rPr/>
      </w:pPr>
      <w:r>
        <w:rPr/>
        <w:t xml:space="preserve">Verandering 1 — Ontwikkel energie soberheid om minder te consumeren door het overbodige te stoppen </w:t>
      </w:r>
    </w:p>
    <w:p>
      <w:pPr>
        <w:pStyle w:val="P68B1DB1Normal43"/>
        <w:widowControl w:val="false"/>
        <w:spacing w:lineRule="auto" w:line="240" w:before="347" w:after="0"/>
        <w:ind w:left="0" w:right="0" w:hanging="0"/>
        <w:jc w:val="left"/>
        <w:rPr>
          <w:rFonts w:ascii="Times New Roman" w:hAnsi="Times New Roman"/>
          <w:b/>
          <w:b/>
          <w:i/>
          <w:i/>
          <w:color w:val="808080"/>
          <w:sz w:val="24"/>
        </w:rPr>
      </w:pPr>
      <w:r>
        <w:rPr/>
        <w:t xml:space="preserve">Wens van geassocieerd Europa: Een Europa dat zich inzet voor de klimaat- en milieu-uitdaging </w:t>
      </w:r>
    </w:p>
    <w:p>
      <w:pPr>
        <w:pStyle w:val="P68B1DB1Normal33"/>
        <w:widowControl w:val="false"/>
        <w:spacing w:lineRule="auto" w:line="240" w:before="323" w:after="0"/>
        <w:ind w:left="0" w:right="0" w:hanging="0"/>
        <w:jc w:val="left"/>
        <w:rPr>
          <w:rFonts w:ascii="Times New Roman" w:hAnsi="Times New Roman"/>
          <w:b/>
          <w:b/>
          <w:color w:val="000000"/>
          <w:sz w:val="24"/>
        </w:rPr>
      </w:pPr>
      <w:r>
        <w:rPr/>
        <w:t xml:space="preserve">Wat betekent deze verandering? </w:t>
      </w:r>
    </w:p>
    <w:p>
      <w:pPr>
        <w:pStyle w:val="P68B1DB1Normal7"/>
        <w:widowControl w:val="false"/>
        <w:spacing w:lineRule="auto" w:line="240" w:before="76" w:after="0"/>
        <w:ind w:left="0" w:right="0" w:hanging="0"/>
        <w:jc w:val="left"/>
        <w:rPr/>
      </w:pPr>
      <w:r>
        <w:rPr>
          <w:i/>
          <w:color w:val="000000"/>
        </w:rPr>
        <w:t>Trefwoorden: Ontwikkeling van hernieuwbare energie, daling van het energieverbruik</w:t>
      </w:r>
      <w:r>
        <w:rPr>
          <w:b/>
          <w:color w:val="273375"/>
        </w:rPr>
        <w:t xml:space="preserve"> </w:t>
      </w:r>
    </w:p>
    <w:p>
      <w:pPr>
        <w:pStyle w:val="P68B1DB1Normal19"/>
        <w:widowControl w:val="false"/>
        <w:spacing w:lineRule="auto" w:line="240" w:before="248" w:after="0"/>
        <w:ind w:left="0" w:right="9" w:hanging="0"/>
        <w:jc w:val="both"/>
        <w:rPr/>
      </w:pPr>
      <w:r>
        <w:rPr/>
        <w:t xml:space="preserve">Deze wijziging heeft tot doel de vermindering van het energieverbruik in Europa en de ontwikkeling van hernieuwbare energie aan te moedigen. De prioritering ervan door burgers vertaalt hun wens om Europa en haar inwoners te betrekken bij een </w:t>
      </w:r>
      <w:r>
        <w:rPr>
          <w:b/>
        </w:rPr>
        <w:t>vastberaden benadering</w:t>
      </w:r>
      <w:r>
        <w:rPr/>
        <w:t xml:space="preserve"> van de klimaat- en milieu-uitdaging. </w:t>
      </w:r>
    </w:p>
    <w:p>
      <w:pPr>
        <w:pStyle w:val="P68B1DB1Normal33"/>
        <w:widowControl w:val="false"/>
        <w:spacing w:lineRule="auto" w:line="240" w:before="333" w:after="0"/>
        <w:ind w:left="0" w:right="0" w:hanging="0"/>
        <w:jc w:val="left"/>
        <w:rPr>
          <w:rFonts w:ascii="Times New Roman" w:hAnsi="Times New Roman"/>
          <w:b/>
          <w:b/>
          <w:color w:val="000000"/>
          <w:sz w:val="24"/>
        </w:rPr>
      </w:pPr>
      <w:r>
        <w:rPr/>
        <w:t xml:space="preserve">Wat zijn de belangrijkste stappen en succescriteria? </w:t>
      </w:r>
    </w:p>
    <w:p>
      <w:pPr>
        <w:pStyle w:val="P68B1DB1Normal19"/>
        <w:widowControl w:val="false"/>
        <w:spacing w:lineRule="auto" w:line="240" w:before="237" w:after="0"/>
        <w:ind w:left="0" w:right="9" w:hanging="0"/>
        <w:jc w:val="both"/>
        <w:rPr/>
      </w:pPr>
      <w:r>
        <w:rPr/>
        <w:t xml:space="preserve">Deze verandering komt tot uiting in de ontwikkeling </w:t>
      </w:r>
      <w:r>
        <w:rPr>
          <w:b/>
        </w:rPr>
        <w:t>van ambitieuze onderzoeksprogramma’s</w:t>
      </w:r>
      <w:r>
        <w:rPr/>
        <w:t xml:space="preserve"> op het gebied van hernieuwbare energiebronnen en de </w:t>
      </w:r>
      <w:r>
        <w:rPr>
          <w:b/>
        </w:rPr>
        <w:t>uitrol van Europese investeringsfondsen</w:t>
      </w:r>
      <w:r>
        <w:rPr/>
        <w:t xml:space="preserve"> met directe deelname aan bedrijven in de sector. </w:t>
      </w:r>
    </w:p>
    <w:p>
      <w:pPr>
        <w:pStyle w:val="P68B1DB1Normal19"/>
        <w:widowControl w:val="false"/>
        <w:spacing w:lineRule="auto" w:line="240" w:before="326" w:after="0"/>
        <w:ind w:left="0" w:right="9" w:hanging="0"/>
        <w:jc w:val="both"/>
        <w:rPr/>
      </w:pPr>
      <w:r>
        <w:rPr/>
        <w:t xml:space="preserve">Voor de burgers zou deze verandering succesvol zijn als er </w:t>
      </w:r>
      <w:r>
        <w:rPr>
          <w:b/>
        </w:rPr>
        <w:t>bindende streefcijfers voor energieverbruik</w:t>
      </w:r>
      <w:r>
        <w:rPr/>
        <w:t xml:space="preserve"> en</w:t>
      </w:r>
      <w:r>
        <w:rPr>
          <w:b/>
        </w:rPr>
        <w:t>kernindicatoren van soberheid</w:t>
      </w:r>
      <w:r>
        <w:rPr/>
        <w:t xml:space="preserve"> zouden worden ingevoerd, zoals een daling van het Europese wagenpark of vleesconsumptie. De ambitie is ook om te slagen in het vaststellen van </w:t>
      </w:r>
      <w:r>
        <w:rPr>
          <w:b/>
        </w:rPr>
        <w:t>consumptiequota per sector</w:t>
      </w:r>
      <w:r>
        <w:rPr/>
        <w:t xml:space="preserve">, rekening houdend met de schommelingen in het verbruik van bedrijven en met inachtneming van de vertrouwelijkheid van hun gegevens. </w:t>
      </w:r>
    </w:p>
    <w:p>
      <w:pPr>
        <w:pStyle w:val="Normal"/>
        <w:spacing w:lineRule="auto" w:line="240"/>
        <w:rPr/>
      </w:pPr>
      <w:r>
        <w:rPr/>
      </w:r>
    </w:p>
    <w:p>
      <w:pPr>
        <w:pStyle w:val="P68B1DB1Normal42"/>
        <w:spacing w:lineRule="auto" w:line="240"/>
        <w:rPr/>
      </w:pPr>
      <w:r>
        <w:rPr/>
        <w:t xml:space="preserve">Verandering 2 — Versterking van de gemeenschappelijke defensie en veiligheid van de Europese Unie </w:t>
      </w:r>
    </w:p>
    <w:p>
      <w:pPr>
        <w:pStyle w:val="P68B1DB1Normal43"/>
        <w:widowControl w:val="false"/>
        <w:spacing w:lineRule="auto" w:line="240" w:before="347" w:after="0"/>
        <w:ind w:left="0" w:right="0" w:hanging="0"/>
        <w:jc w:val="left"/>
        <w:rPr>
          <w:rFonts w:ascii="Times New Roman" w:hAnsi="Times New Roman"/>
          <w:b/>
          <w:b/>
          <w:i/>
          <w:i/>
          <w:color w:val="808080"/>
          <w:sz w:val="24"/>
        </w:rPr>
      </w:pPr>
      <w:r>
        <w:rPr/>
        <w:t xml:space="preserve">Wens van geassocieerd Europa: Een machtig Europa in de wereld </w:t>
      </w:r>
    </w:p>
    <w:p>
      <w:pPr>
        <w:pStyle w:val="P68B1DB1Normal33"/>
        <w:widowControl w:val="false"/>
        <w:spacing w:lineRule="auto" w:line="240" w:before="321" w:after="0"/>
        <w:ind w:left="0" w:right="0" w:hanging="0"/>
        <w:jc w:val="left"/>
        <w:rPr>
          <w:rFonts w:ascii="Times New Roman" w:hAnsi="Times New Roman"/>
          <w:b/>
          <w:b/>
          <w:color w:val="000000"/>
          <w:sz w:val="24"/>
        </w:rPr>
      </w:pPr>
      <w:r>
        <w:rPr/>
        <w:t xml:space="preserve">Wat betekent deze verandering? </w:t>
      </w:r>
    </w:p>
    <w:p>
      <w:pPr>
        <w:pStyle w:val="P68B1DB1Normal7"/>
        <w:widowControl w:val="false"/>
        <w:spacing w:lineRule="auto" w:line="240" w:before="78" w:after="0"/>
        <w:ind w:left="0" w:right="0" w:hanging="0"/>
        <w:jc w:val="left"/>
        <w:rPr/>
      </w:pPr>
      <w:r>
        <w:rPr>
          <w:i/>
          <w:color w:val="000000"/>
        </w:rPr>
        <w:t>Trefwoorden: Europees leger, strategische autonomie</w:t>
      </w:r>
      <w:r>
        <w:rPr>
          <w:b/>
          <w:color w:val="273375"/>
        </w:rPr>
        <w:t xml:space="preserve"> </w:t>
      </w:r>
    </w:p>
    <w:p>
      <w:pPr>
        <w:pStyle w:val="P68B1DB1Normal19"/>
        <w:widowControl w:val="false"/>
        <w:spacing w:lineRule="auto" w:line="240" w:before="201" w:after="0"/>
        <w:ind w:left="0" w:right="10" w:hanging="0"/>
        <w:jc w:val="left"/>
        <w:rPr/>
      </w:pPr>
      <w:r>
        <w:rPr/>
        <w:t>Deze verandering is een antwoord op de unanieme wil van de burgers om</w:t>
      </w:r>
      <w:r>
        <w:rPr>
          <w:b/>
        </w:rPr>
        <w:t>autonomie</w:t>
      </w:r>
      <w:r>
        <w:rPr/>
        <w:t xml:space="preserve"> op het gebied van defensie en veiligheid in Europa te bereiken, om niet afhankelijk te zijn van buitenlandse mogendheden. </w:t>
      </w:r>
    </w:p>
    <w:p>
      <w:pPr>
        <w:pStyle w:val="P68B1DB1Normal33"/>
        <w:widowControl w:val="false"/>
        <w:spacing w:lineRule="auto" w:line="240" w:before="330" w:after="0"/>
        <w:ind w:left="0" w:right="0" w:hanging="0"/>
        <w:jc w:val="left"/>
        <w:rPr>
          <w:rFonts w:ascii="Times New Roman" w:hAnsi="Times New Roman"/>
          <w:b/>
          <w:b/>
          <w:color w:val="000000"/>
          <w:sz w:val="24"/>
        </w:rPr>
      </w:pPr>
      <w:r>
        <w:rPr/>
        <w:t xml:space="preserve">Wat zijn de belangrijkste stappen en succescriteria? </w:t>
      </w:r>
    </w:p>
    <w:p>
      <w:pPr>
        <w:pStyle w:val="P68B1DB1Normal19"/>
        <w:widowControl w:val="false"/>
        <w:spacing w:lineRule="auto" w:line="240" w:before="198" w:after="0"/>
        <w:ind w:left="0" w:right="10" w:hanging="0"/>
        <w:jc w:val="left"/>
        <w:rPr/>
      </w:pPr>
      <w:r>
        <w:rPr/>
        <w:t>Het succes van deze verandering zou in de eerste plaats resulteren in de benoeming van een</w:t>
      </w:r>
      <w:r>
        <w:rPr>
          <w:b/>
        </w:rPr>
        <w:t xml:space="preserve"> Europees commissaris</w:t>
      </w:r>
      <w:r>
        <w:rPr/>
        <w:t xml:space="preserve"> voor Defensie en Veiligheid. </w:t>
      </w:r>
    </w:p>
    <w:p>
      <w:pPr>
        <w:pStyle w:val="P68B1DB1Normal19"/>
        <w:widowControl w:val="false"/>
        <w:spacing w:lineRule="auto" w:line="240" w:before="203" w:after="0"/>
        <w:ind w:left="0" w:right="10" w:hanging="0"/>
        <w:jc w:val="both"/>
        <w:rPr/>
      </w:pPr>
      <w:r>
        <w:rPr/>
        <w:t>Op defensiegebied zou de oprichting van een</w:t>
      </w:r>
      <w:r>
        <w:rPr>
          <w:b/>
        </w:rPr>
        <w:t xml:space="preserve"> permanent, reactief en projecteerbaar leger over</w:t>
      </w:r>
      <w:r>
        <w:rPr/>
        <w:t xml:space="preserve"> de hele wereld Europa in staat stellen zijn grenzen te beschermen en, indien nodig, op verzoek van derde landen in te grijpen. </w:t>
      </w:r>
    </w:p>
    <w:p>
      <w:pPr>
        <w:pStyle w:val="P68B1DB1Normal19"/>
        <w:widowControl w:val="false"/>
        <w:spacing w:lineRule="auto" w:line="240" w:before="206" w:after="0"/>
        <w:ind w:left="0" w:right="10" w:hanging="0"/>
        <w:jc w:val="both"/>
        <w:rPr/>
      </w:pPr>
      <w:r>
        <w:rPr/>
        <w:t xml:space="preserve">Op het gebied van veiligheid moet Europa, in de ogen van zijn burgers, de </w:t>
      </w:r>
      <w:r>
        <w:rPr>
          <w:b/>
        </w:rPr>
        <w:t>veiligheid van zijn voorraden</w:t>
      </w:r>
      <w:r>
        <w:rPr/>
        <w:t xml:space="preserve"> waarborgen en zijn </w:t>
      </w:r>
      <w:r>
        <w:rPr>
          <w:b/>
        </w:rPr>
        <w:t>strategisch onderzoek</w:t>
      </w:r>
      <w:r>
        <w:rPr/>
        <w:t xml:space="preserve"> beschermen, in prioritaire sectoren zoals de ruimtevaart, cyberbeveiliging, de medische sector en het milieu. Een betere </w:t>
      </w:r>
      <w:r>
        <w:rPr>
          <w:b/>
        </w:rPr>
        <w:t>bescherming van de buitengrenzen</w:t>
      </w:r>
      <w:r>
        <w:rPr/>
        <w:t xml:space="preserve"> moet ook helpen bij het stoppen van illegale immigratie en mensenhandel. </w:t>
      </w:r>
    </w:p>
    <w:p>
      <w:pPr>
        <w:pStyle w:val="Normal"/>
        <w:spacing w:lineRule="auto" w:line="240"/>
        <w:rPr/>
      </w:pPr>
      <w:r>
        <w:rPr/>
      </w:r>
    </w:p>
    <w:p>
      <w:pPr>
        <w:pStyle w:val="P68B1DB1Normal42"/>
        <w:spacing w:lineRule="auto" w:line="240"/>
        <w:rPr/>
      </w:pPr>
      <w:r>
        <w:rPr/>
        <w:t xml:space="preserve">Verandering 3 — Bevordering van collectieve economische prestaties door middel van een autonome, concurrerende en gewaardeerde industrie door de Europese Unie </w:t>
      </w:r>
    </w:p>
    <w:p>
      <w:pPr>
        <w:pStyle w:val="P68B1DB1Normal43"/>
        <w:widowControl w:val="false"/>
        <w:spacing w:lineRule="auto" w:line="240" w:before="347" w:after="0"/>
        <w:ind w:left="0" w:right="0" w:hanging="0"/>
        <w:jc w:val="left"/>
        <w:rPr>
          <w:rFonts w:ascii="Times New Roman" w:hAnsi="Times New Roman"/>
          <w:b/>
          <w:b/>
          <w:i/>
          <w:i/>
          <w:color w:val="808080"/>
          <w:sz w:val="24"/>
        </w:rPr>
      </w:pPr>
      <w:r>
        <w:rPr/>
        <w:t xml:space="preserve">Wens van geassocieerd Europa: Een Europa dat zijn belangen verdedigt </w:t>
      </w:r>
    </w:p>
    <w:p>
      <w:pPr>
        <w:pStyle w:val="P68B1DB1Normal33"/>
        <w:widowControl w:val="false"/>
        <w:spacing w:lineRule="auto" w:line="240" w:before="323" w:after="0"/>
        <w:ind w:left="0" w:right="0" w:hanging="0"/>
        <w:jc w:val="left"/>
        <w:rPr>
          <w:rFonts w:ascii="Times New Roman" w:hAnsi="Times New Roman"/>
          <w:b/>
          <w:b/>
          <w:color w:val="000000"/>
          <w:sz w:val="24"/>
        </w:rPr>
      </w:pPr>
      <w:r>
        <w:rPr/>
        <w:t xml:space="preserve">Wat betekent deze verandering? </w:t>
      </w:r>
    </w:p>
    <w:p>
      <w:pPr>
        <w:pStyle w:val="P68B1DB1Normal44"/>
        <w:widowControl w:val="false"/>
        <w:spacing w:lineRule="auto" w:line="240" w:before="84" w:after="0"/>
        <w:ind w:left="0" w:right="10" w:hanging="0"/>
        <w:jc w:val="left"/>
        <w:rPr>
          <w:rFonts w:ascii="Times New Roman" w:hAnsi="Times New Roman"/>
          <w:i/>
          <w:i/>
          <w:color w:val="000000"/>
          <w:sz w:val="24"/>
        </w:rPr>
      </w:pPr>
      <w:r>
        <w:rPr/>
        <w:t xml:space="preserve">Trefwoorden: </w:t>
      </w:r>
    </w:p>
    <w:p>
      <w:pPr>
        <w:pStyle w:val="P68B1DB1Normal7"/>
        <w:widowControl w:val="false"/>
        <w:spacing w:lineRule="auto" w:line="240"/>
        <w:ind w:left="0" w:right="10" w:hanging="0"/>
        <w:jc w:val="left"/>
        <w:rPr/>
      </w:pPr>
      <w:r>
        <w:rPr>
          <w:i/>
          <w:color w:val="000000"/>
        </w:rPr>
        <w:t>Europese preferentie, bescherming van de knowhow, ontwikkeling van Europese kampioenen</w:t>
      </w:r>
      <w:r>
        <w:rPr>
          <w:b/>
          <w:color w:val="273375"/>
        </w:rPr>
        <w:t xml:space="preserve"> </w:t>
      </w:r>
    </w:p>
    <w:p>
      <w:pPr>
        <w:pStyle w:val="P68B1DB1Normal19"/>
        <w:widowControl w:val="false"/>
        <w:spacing w:lineRule="auto" w:line="240" w:before="321" w:after="0"/>
        <w:ind w:left="0" w:right="10" w:hanging="0"/>
        <w:jc w:val="both"/>
        <w:rPr/>
      </w:pPr>
      <w:r>
        <w:rPr/>
        <w:t xml:space="preserve">Deze wijziging heeft tot doel drie doelstellingen te bereiken: versterking van een beleid </w:t>
      </w:r>
      <w:r>
        <w:rPr>
          <w:b/>
        </w:rPr>
        <w:t>van „</w:t>
      </w:r>
      <w:r>
        <w:rPr/>
        <w:t xml:space="preserve"> </w:t>
      </w:r>
      <w:r>
        <w:rPr>
          <w:b/>
        </w:rPr>
        <w:t>Europese preferentie”</w:t>
      </w:r>
      <w:r>
        <w:rPr/>
        <w:t xml:space="preserve"> binnen de Unie, waarborging van de </w:t>
      </w:r>
      <w:r>
        <w:rPr>
          <w:b/>
        </w:rPr>
        <w:t>bescherming van essentiële goederen en knowhow</w:t>
      </w:r>
      <w:r>
        <w:rPr/>
        <w:t xml:space="preserve">, en het creëren van </w:t>
      </w:r>
      <w:r>
        <w:rPr>
          <w:b/>
        </w:rPr>
        <w:t>„Europese kampioenen”.</w:t>
      </w:r>
      <w:r>
        <w:rPr/>
        <w:t xml:space="preserve"> </w:t>
      </w:r>
    </w:p>
    <w:p>
      <w:pPr>
        <w:pStyle w:val="P68B1DB1Normal33"/>
        <w:widowControl w:val="false"/>
        <w:spacing w:lineRule="auto" w:line="240" w:before="323" w:after="0"/>
        <w:ind w:left="0" w:right="0" w:hanging="0"/>
        <w:jc w:val="left"/>
        <w:rPr>
          <w:rFonts w:ascii="Times New Roman" w:hAnsi="Times New Roman"/>
          <w:b/>
          <w:b/>
          <w:color w:val="000000"/>
          <w:sz w:val="24"/>
        </w:rPr>
      </w:pPr>
      <w:r>
        <w:rPr/>
        <w:t xml:space="preserve">Wat zijn de belangrijkste stappen en succescriteria? </w:t>
      </w:r>
    </w:p>
    <w:p>
      <w:pPr>
        <w:pStyle w:val="P68B1DB1Normal19"/>
        <w:widowControl w:val="false"/>
        <w:spacing w:lineRule="auto" w:line="240" w:before="316" w:after="0"/>
        <w:ind w:left="0" w:right="10" w:hanging="0"/>
        <w:jc w:val="both"/>
        <w:rPr/>
      </w:pPr>
      <w:r>
        <w:rPr/>
        <w:t xml:space="preserve">De verwezenlijking van deze doelstellingen vereist in de eerste plaats de tenuitvoerlegging van een </w:t>
      </w:r>
      <w:r>
        <w:rPr>
          <w:b/>
        </w:rPr>
        <w:t>„Europese preferentie”-beleid in</w:t>
      </w:r>
      <w:r>
        <w:rPr/>
        <w:t xml:space="preserve"> het kader van aanbestedingen en de invoering van een </w:t>
      </w:r>
      <w:r>
        <w:rPr>
          <w:b/>
        </w:rPr>
        <w:t>koolstofbelasting</w:t>
      </w:r>
      <w:r>
        <w:rPr/>
        <w:t xml:space="preserve"> op invoer. </w:t>
      </w:r>
    </w:p>
    <w:p>
      <w:pPr>
        <w:pStyle w:val="P68B1DB1Normal19"/>
        <w:widowControl w:val="false"/>
        <w:spacing w:lineRule="auto" w:line="240" w:before="332" w:after="0"/>
        <w:ind w:left="0" w:right="10" w:hanging="0"/>
        <w:jc w:val="left"/>
        <w:rPr/>
      </w:pPr>
      <w:r>
        <w:rPr/>
        <w:t xml:space="preserve">De bescherming van knowhow zou leiden tot een grotere controle over buitenlandse inkoop en investeringen en tot de ontwikkeling </w:t>
      </w:r>
      <w:r>
        <w:rPr>
          <w:b/>
        </w:rPr>
        <w:t>van</w:t>
      </w:r>
      <w:r>
        <w:rPr/>
        <w:t xml:space="preserve"> herplaatsingssteun. </w:t>
      </w:r>
    </w:p>
    <w:p>
      <w:pPr>
        <w:pStyle w:val="P68B1DB1Normal19"/>
        <w:widowControl w:val="false"/>
        <w:spacing w:lineRule="auto" w:line="240" w:before="323" w:after="0"/>
        <w:ind w:left="0" w:right="10" w:hanging="0"/>
        <w:jc w:val="both"/>
        <w:rPr/>
      </w:pPr>
      <w:r>
        <w:rPr/>
        <w:t xml:space="preserve">Tot slot houdt de oprichting van „Europese kampioenen” in dat de Europese </w:t>
      </w:r>
      <w:r>
        <w:rPr>
          <w:b/>
        </w:rPr>
        <w:t>industriële allianties</w:t>
      </w:r>
      <w:r>
        <w:rPr/>
        <w:t xml:space="preserve"> in strategische sectoren worden aangemoedigd en investeringen in overheidskapitaal worden gestimuleerd. </w:t>
      </w:r>
    </w:p>
    <w:p>
      <w:pPr>
        <w:pStyle w:val="P68B1DB1Normal45"/>
        <w:widowControl w:val="false"/>
        <w:spacing w:lineRule="auto" w:line="240" w:before="333" w:after="0"/>
        <w:ind w:left="0" w:right="13" w:hanging="0"/>
        <w:jc w:val="both"/>
        <w:rPr>
          <w:sz w:val="20"/>
        </w:rPr>
      </w:pPr>
      <w:r>
        <w:rPr/>
        <w:t xml:space="preserve">Het succes van deze verandering wordt gerealiseerd voor de burgers door de ontwikkeling van Europese industriële allianties in belangrijke sectoren, het verhogen van het aantal bedrijfsverhuizingen en het verbeteren van de handelsbalans. </w:t>
      </w:r>
    </w:p>
    <w:p>
      <w:pPr>
        <w:pStyle w:val="P68B1DB1Normal19"/>
        <w:widowControl w:val="false"/>
        <w:spacing w:lineRule="auto" w:line="240" w:before="153" w:after="0"/>
        <w:ind w:left="0" w:right="0" w:hanging="0"/>
        <w:jc w:val="left"/>
        <w:rPr>
          <w:rFonts w:ascii="Times New Roman" w:hAnsi="Times New Roman"/>
          <w:color w:val="000000"/>
          <w:sz w:val="24"/>
        </w:rPr>
      </w:pPr>
      <w:r>
        <w:rPr/>
        <w:t xml:space="preserve"> </w:t>
      </w:r>
    </w:p>
    <w:p>
      <w:pPr>
        <w:pStyle w:val="P68B1DB1Normal42"/>
        <w:spacing w:lineRule="auto" w:line="240"/>
        <w:rPr/>
      </w:pPr>
      <w:r>
        <w:rPr/>
        <w:t xml:space="preserve">Verandering 4 — Versterking van de macht van de burger op verschillende niveaus: participatie, beslissing, controle </w:t>
      </w:r>
    </w:p>
    <w:p>
      <w:pPr>
        <w:pStyle w:val="P68B1DB1Normal43"/>
        <w:widowControl w:val="false"/>
        <w:spacing w:lineRule="auto" w:line="240" w:before="347" w:after="0"/>
        <w:ind w:left="0" w:right="0" w:hanging="0"/>
        <w:jc w:val="left"/>
        <w:rPr>
          <w:rFonts w:ascii="Times New Roman" w:hAnsi="Times New Roman"/>
          <w:b/>
          <w:b/>
          <w:i/>
          <w:i/>
          <w:color w:val="808080"/>
          <w:sz w:val="24"/>
        </w:rPr>
      </w:pPr>
      <w:r>
        <w:rPr/>
        <w:t xml:space="preserve">Wens van geassocieerd Europa: Een democratischer Europa </w:t>
      </w:r>
    </w:p>
    <w:p>
      <w:pPr>
        <w:pStyle w:val="P68B1DB1Normal33"/>
        <w:widowControl w:val="false"/>
        <w:spacing w:lineRule="auto" w:line="240" w:before="323" w:after="0"/>
        <w:ind w:left="0" w:right="0" w:hanging="0"/>
        <w:jc w:val="left"/>
        <w:rPr>
          <w:rFonts w:ascii="Times New Roman" w:hAnsi="Times New Roman"/>
          <w:b/>
          <w:b/>
          <w:color w:val="000000"/>
          <w:sz w:val="24"/>
        </w:rPr>
      </w:pPr>
      <w:r>
        <w:rPr/>
        <w:t xml:space="preserve">Wat betekent deze verandering? </w:t>
      </w:r>
    </w:p>
    <w:p>
      <w:pPr>
        <w:pStyle w:val="P68B1DB1Normal7"/>
        <w:widowControl w:val="false"/>
        <w:spacing w:lineRule="auto" w:line="240" w:before="84" w:after="0"/>
        <w:ind w:left="0" w:right="10" w:hanging="0"/>
        <w:jc w:val="left"/>
        <w:rPr/>
      </w:pPr>
      <w:r>
        <w:rPr>
          <w:i/>
          <w:color w:val="000000"/>
        </w:rPr>
        <w:t>Trefwoorden: verhoging van de opkomst van de kiezers, Europese tevredenheidsbarometer, generalisatie van burgerraadplegingen</w:t>
      </w:r>
      <w:r>
        <w:rPr>
          <w:b/>
          <w:color w:val="273375"/>
        </w:rPr>
        <w:t xml:space="preserve"> </w:t>
      </w:r>
    </w:p>
    <w:p>
      <w:pPr>
        <w:pStyle w:val="P68B1DB1Normal19"/>
        <w:widowControl w:val="false"/>
        <w:spacing w:lineRule="auto" w:line="240" w:before="324" w:after="0"/>
        <w:ind w:left="0" w:right="10" w:hanging="0"/>
        <w:jc w:val="both"/>
        <w:rPr/>
      </w:pPr>
      <w:r>
        <w:rPr/>
        <w:t xml:space="preserve">Met deze verandering stellen burgers voor een „ </w:t>
      </w:r>
      <w:r>
        <w:rPr>
          <w:i/>
        </w:rPr>
        <w:t xml:space="preserve">volledige burgerervaring” voor  </w:t>
      </w:r>
      <w:r>
        <w:rPr/>
        <w:t xml:space="preserve">Europeanen te ontwikkelen en hun </w:t>
      </w:r>
      <w:r>
        <w:rPr>
          <w:b/>
        </w:rPr>
        <w:t>betrokkenheid bij</w:t>
      </w:r>
      <w:r>
        <w:rPr/>
        <w:t xml:space="preserve"> alle stadia van besluitvormingsprocessen te vergroten. Het weerspiegelt de bereidheid van burgers om </w:t>
      </w:r>
      <w:r>
        <w:rPr>
          <w:b/>
        </w:rPr>
        <w:t>hun stem te laten horen</w:t>
      </w:r>
      <w:r>
        <w:rPr/>
        <w:t xml:space="preserve"> en invloed uit te oefenen op het overheidsbeleid dat van invloed is op hun dagelijks leven. </w:t>
      </w:r>
    </w:p>
    <w:p>
      <w:pPr>
        <w:pStyle w:val="P68B1DB1Normal33"/>
        <w:widowControl w:val="false"/>
        <w:spacing w:lineRule="auto" w:line="240" w:before="330" w:after="0"/>
        <w:ind w:left="0" w:right="0" w:hanging="0"/>
        <w:jc w:val="left"/>
        <w:rPr>
          <w:rFonts w:ascii="Times New Roman" w:hAnsi="Times New Roman"/>
          <w:b/>
          <w:b/>
          <w:color w:val="000000"/>
          <w:sz w:val="24"/>
        </w:rPr>
      </w:pPr>
      <w:r>
        <w:rPr/>
        <w:t xml:space="preserve">Wat zijn de belangrijkste stappen en succescriteria? </w:t>
      </w:r>
    </w:p>
    <w:p>
      <w:pPr>
        <w:pStyle w:val="P68B1DB1Normal24"/>
        <w:widowControl w:val="false"/>
        <w:spacing w:lineRule="auto" w:line="240" w:before="323" w:after="0"/>
        <w:ind w:left="0" w:right="13" w:hanging="0"/>
        <w:jc w:val="both"/>
        <w:rPr/>
      </w:pPr>
      <w:r>
        <w:rPr/>
        <w:t>Dit is vooral aan de burgers om burgerparticipatie-initiatieven te ontwikkelen en te ondersteunen</w:t>
      </w:r>
      <w:r>
        <w:rPr>
          <w:b/>
        </w:rPr>
        <w:t xml:space="preserve">. </w:t>
      </w:r>
      <w:r>
        <w:rPr/>
        <w:t xml:space="preserve">Daartoe kunnen verschillende hefbomen worden geïmplementeerd: de oprichting van een </w:t>
      </w:r>
      <w:r>
        <w:rPr>
          <w:b/>
        </w:rPr>
        <w:t>permanente raadgevende kamer</w:t>
      </w:r>
      <w:r>
        <w:rPr/>
        <w:t xml:space="preserve">, de registratie van de </w:t>
      </w:r>
      <w:r>
        <w:rPr>
          <w:b/>
        </w:rPr>
        <w:t>bevoegdheid van de burger</w:t>
      </w:r>
      <w:r>
        <w:rPr/>
        <w:t xml:space="preserve"> in de Europese Verdragen of de invoering van een </w:t>
      </w:r>
      <w:r>
        <w:rPr>
          <w:b/>
        </w:rPr>
        <w:t>keurmerk</w:t>
      </w:r>
      <w:r>
        <w:rPr/>
        <w:t xml:space="preserve"> ter bevestiging van de wetten waarover een burgerraadpleging heeft plaatsgevonden. </w:t>
      </w:r>
    </w:p>
    <w:p>
      <w:pPr>
        <w:pStyle w:val="P68B1DB1Normal19"/>
        <w:widowControl w:val="false"/>
        <w:spacing w:lineRule="auto" w:line="240" w:before="230" w:after="0"/>
        <w:ind w:left="0" w:right="10" w:hanging="0"/>
        <w:jc w:val="both"/>
        <w:rPr/>
      </w:pPr>
      <w:r>
        <w:rPr/>
        <w:t>Het succes van deze verandering zou blijken uit de opkomst van indicatoren zoals verkiezingsparticipatie</w:t>
      </w:r>
      <w:r>
        <w:rPr>
          <w:b/>
        </w:rPr>
        <w:t>,de belangstelling</w:t>
      </w:r>
      <w:r>
        <w:rPr/>
        <w:t xml:space="preserve"> en het </w:t>
      </w:r>
      <w:r>
        <w:rPr>
          <w:b/>
        </w:rPr>
        <w:t>vertrouwen</w:t>
      </w:r>
      <w:r>
        <w:rPr/>
        <w:t xml:space="preserve"> in de Europese Unie en de </w:t>
      </w:r>
      <w:r>
        <w:rPr>
          <w:b/>
        </w:rPr>
        <w:t>aanwezigheid van Europese websites</w:t>
      </w:r>
      <w:r>
        <w:rPr/>
        <w:t xml:space="preserve">. De toename van het aantal besluiten die na een raadpleging van de burgers worden genomen en het toegenomen gebruik van </w:t>
      </w:r>
      <w:r>
        <w:rPr>
          <w:b/>
        </w:rPr>
        <w:t>Europese burgerinitiatieven (EBI</w:t>
      </w:r>
      <w:r>
        <w:rPr/>
        <w:t xml:space="preserve">) worden ook gezien als indicatoren voor succes. </w:t>
      </w:r>
    </w:p>
    <w:p>
      <w:pPr>
        <w:pStyle w:val="P68B1DB1Normal19"/>
        <w:widowControl w:val="false"/>
        <w:spacing w:lineRule="auto" w:line="240" w:before="90" w:after="0"/>
        <w:ind w:left="0" w:right="0" w:hanging="0"/>
        <w:jc w:val="left"/>
        <w:rPr>
          <w:rFonts w:ascii="Times New Roman" w:hAnsi="Times New Roman"/>
          <w:color w:val="000000"/>
          <w:sz w:val="24"/>
        </w:rPr>
      </w:pPr>
      <w:r>
        <w:rPr/>
        <w:t xml:space="preserve"> </w:t>
      </w:r>
    </w:p>
    <w:p>
      <w:pPr>
        <w:pStyle w:val="P68B1DB1Normal42"/>
        <w:spacing w:lineRule="auto" w:line="240"/>
        <w:rPr/>
      </w:pPr>
      <w:r>
        <w:rPr/>
        <w:t xml:space="preserve">Verandering 5 — Naar een federatie van Europese staten met sterke bevoegdheden op gebieden van gemeenschappelijk belang </w:t>
      </w:r>
    </w:p>
    <w:p>
      <w:pPr>
        <w:pStyle w:val="P68B1DB1Normal43"/>
        <w:widowControl w:val="false"/>
        <w:spacing w:lineRule="auto" w:line="240" w:before="347" w:after="0"/>
        <w:ind w:left="0" w:right="0" w:hanging="0"/>
        <w:jc w:val="left"/>
        <w:rPr>
          <w:rFonts w:ascii="Times New Roman" w:hAnsi="Times New Roman"/>
          <w:b/>
          <w:b/>
          <w:i/>
          <w:i/>
          <w:color w:val="808080"/>
          <w:sz w:val="24"/>
        </w:rPr>
      </w:pPr>
      <w:r>
        <w:rPr/>
        <w:t xml:space="preserve">Wens van geassocieerd Europa: Een meer verenigd Europa </w:t>
      </w:r>
    </w:p>
    <w:p>
      <w:pPr>
        <w:pStyle w:val="P68B1DB1Normal33"/>
        <w:widowControl w:val="false"/>
        <w:spacing w:lineRule="auto" w:line="240" w:before="323" w:after="0"/>
        <w:ind w:left="0" w:right="0" w:hanging="0"/>
        <w:jc w:val="left"/>
        <w:rPr>
          <w:rFonts w:ascii="Times New Roman" w:hAnsi="Times New Roman"/>
          <w:b/>
          <w:b/>
          <w:color w:val="000000"/>
          <w:sz w:val="24"/>
        </w:rPr>
      </w:pPr>
      <w:r>
        <w:rPr/>
        <w:t xml:space="preserve">Wat betekent deze verandering? </w:t>
      </w:r>
    </w:p>
    <w:p>
      <w:pPr>
        <w:pStyle w:val="P68B1DB1Normal7"/>
        <w:widowControl w:val="false"/>
        <w:spacing w:lineRule="auto" w:line="240" w:before="76" w:after="0"/>
        <w:ind w:left="0" w:right="0" w:hanging="0"/>
        <w:jc w:val="left"/>
        <w:rPr/>
      </w:pPr>
      <w:r>
        <w:rPr>
          <w:i/>
          <w:color w:val="000000"/>
        </w:rPr>
        <w:t>Trefwoorden: institutionele eenwording, verkozen voorzitter, versterking van de bevoegdheden van de EU</w:t>
      </w:r>
      <w:r>
        <w:rPr>
          <w:b/>
          <w:color w:val="273375"/>
        </w:rPr>
        <w:t xml:space="preserve"> </w:t>
      </w:r>
    </w:p>
    <w:p>
      <w:pPr>
        <w:pStyle w:val="P68B1DB1Normal19"/>
        <w:widowControl w:val="false"/>
        <w:spacing w:lineRule="auto" w:line="240" w:before="244" w:after="0"/>
        <w:ind w:left="0" w:right="10" w:hanging="0"/>
        <w:jc w:val="both"/>
        <w:rPr/>
      </w:pPr>
      <w:r>
        <w:rPr/>
        <w:t>Deze verandering weerspiegelt de ambitie van de burgers om de Europese politieke instellingen te</w:t>
      </w:r>
      <w:r>
        <w:rPr>
          <w:b/>
        </w:rPr>
        <w:t>verenigen</w:t>
      </w:r>
      <w:r>
        <w:rPr/>
        <w:t xml:space="preserve">. Het getoonde model is dat van een federatie van staten met als doel </w:t>
      </w:r>
      <w:r>
        <w:rPr>
          <w:b/>
        </w:rPr>
        <w:t>de gedeelde of exclusieve bevoegdheden van de Europese Unie te versterken</w:t>
      </w:r>
      <w:r>
        <w:rPr/>
        <w:t xml:space="preserve">, zonder echter naar een federale staat te gaan. </w:t>
      </w:r>
    </w:p>
    <w:p>
      <w:pPr>
        <w:pStyle w:val="P68B1DB1Normal33"/>
        <w:widowControl w:val="false"/>
        <w:spacing w:lineRule="auto" w:line="240" w:before="330" w:after="0"/>
        <w:ind w:left="0" w:right="0" w:hanging="0"/>
        <w:jc w:val="left"/>
        <w:rPr>
          <w:rFonts w:ascii="Times New Roman" w:hAnsi="Times New Roman"/>
          <w:b/>
          <w:b/>
          <w:color w:val="000000"/>
          <w:sz w:val="24"/>
        </w:rPr>
      </w:pPr>
      <w:r>
        <w:rPr/>
        <w:t xml:space="preserve">Wat zijn de belangrijkste mijlpalen en succescriteria? </w:t>
      </w:r>
    </w:p>
    <w:p>
      <w:pPr>
        <w:pStyle w:val="P68B1DB1Normal19"/>
        <w:widowControl w:val="false"/>
        <w:spacing w:lineRule="auto" w:line="240" w:before="239" w:after="0"/>
        <w:ind w:left="0" w:right="10" w:hanging="0"/>
        <w:jc w:val="both"/>
        <w:rPr/>
      </w:pPr>
      <w:r>
        <w:rPr/>
        <w:t xml:space="preserve">Intern kan deze verandering gepaard gaan met de ontwikkeling van </w:t>
      </w:r>
      <w:r>
        <w:rPr>
          <w:b/>
        </w:rPr>
        <w:t>burgerparticipatie</w:t>
      </w:r>
      <w:r>
        <w:rPr/>
        <w:t xml:space="preserve">, de oprichting van Europese </w:t>
      </w:r>
      <w:r>
        <w:rPr>
          <w:b/>
        </w:rPr>
        <w:t>ministeries binnen de</w:t>
      </w:r>
      <w:r>
        <w:rPr/>
        <w:t xml:space="preserve"> lidstaten en, op langere termijn, de</w:t>
      </w:r>
      <w:r>
        <w:rPr>
          <w:b/>
        </w:rPr>
        <w:t xml:space="preserve">verkiezing </w:t>
      </w:r>
      <w:r>
        <w:rPr/>
        <w:t xml:space="preserve">van de voorzitter van de Europese Commissie </w:t>
      </w:r>
      <w:r>
        <w:rPr>
          <w:b/>
        </w:rPr>
        <w:t>door middel van algemeen kiesrecht</w:t>
      </w:r>
      <w:r>
        <w:rPr/>
        <w:t xml:space="preserve">. </w:t>
      </w:r>
    </w:p>
    <w:p>
      <w:pPr>
        <w:pStyle w:val="P68B1DB1Normal19"/>
        <w:widowControl w:val="false"/>
        <w:spacing w:lineRule="auto" w:line="240" w:before="327" w:after="0"/>
        <w:ind w:left="0" w:right="10" w:hanging="0"/>
        <w:jc w:val="left"/>
        <w:rPr/>
      </w:pPr>
      <w:r>
        <w:rPr/>
        <w:t xml:space="preserve">Extern zou de versterking van de Europese stem in het buitenland worden vertaald in een incarnatie </w:t>
      </w:r>
      <w:r>
        <w:rPr>
          <w:b/>
        </w:rPr>
        <w:t xml:space="preserve">door </w:t>
      </w:r>
      <w:r>
        <w:rPr/>
        <w:t>middel van een</w:t>
      </w:r>
      <w:r>
        <w:rPr>
          <w:b/>
        </w:rPr>
        <w:t xml:space="preserve"> unieke vertegenwoordiger</w:t>
      </w:r>
      <w:r>
        <w:rPr/>
        <w:t xml:space="preserve"> </w:t>
      </w:r>
      <w:r>
        <w:rPr>
          <w:b/>
        </w:rPr>
        <w:t>van Europa</w:t>
      </w:r>
      <w:r>
        <w:rPr/>
        <w:t xml:space="preserve"> op het internationale toneel. </w:t>
      </w:r>
    </w:p>
    <w:p>
      <w:pPr>
        <w:pStyle w:val="P68B1DB1Normal24"/>
        <w:widowControl w:val="false"/>
        <w:spacing w:lineRule="auto" w:line="240" w:before="324" w:after="0"/>
        <w:ind w:left="0" w:right="15" w:hanging="0"/>
        <w:jc w:val="left"/>
        <w:rPr/>
      </w:pPr>
      <w:r>
        <w:rPr/>
        <w:t xml:space="preserve">Deze federatie van staten zou ook profiteren van een verhoging van de </w:t>
      </w:r>
      <w:r>
        <w:rPr>
          <w:b/>
        </w:rPr>
        <w:t>Europese begroting</w:t>
      </w:r>
      <w:r>
        <w:rPr/>
        <w:t xml:space="preserve">, met de ambitie om 10 % van het bbp te bereiken (tegenover 2 % op dit moment). </w:t>
      </w:r>
    </w:p>
    <w:p>
      <w:pPr>
        <w:pStyle w:val="Normal"/>
        <w:widowControl w:val="false"/>
        <w:spacing w:lineRule="auto" w:line="240" w:before="153" w:after="0"/>
        <w:ind w:left="0" w:right="0" w:hanging="0"/>
        <w:jc w:val="left"/>
        <w:rPr>
          <w:rFonts w:ascii="Times New Roman" w:hAnsi="Times New Roman"/>
          <w:color w:val="000000"/>
          <w:sz w:val="24"/>
        </w:rPr>
      </w:pPr>
      <w:r>
        <w:rPr>
          <w:rFonts w:ascii="Times New Roman" w:hAnsi="Times New Roman"/>
          <w:color w:val="000000"/>
          <w:sz w:val="24"/>
        </w:rPr>
      </w:r>
      <w:r>
        <w:br w:type="page"/>
      </w:r>
    </w:p>
    <w:p>
      <w:pPr>
        <w:pStyle w:val="P68B1DB1Normal42"/>
        <w:spacing w:lineRule="auto" w:line="240"/>
        <w:rPr>
          <w:rFonts w:ascii="Times New Roman" w:hAnsi="Times New Roman"/>
          <w:b/>
          <w:b/>
          <w:color w:val="000000"/>
          <w:sz w:val="28"/>
        </w:rPr>
      </w:pPr>
      <w:r>
        <w:rPr/>
        <w:t xml:space="preserve">Wijziging 6 — Voorstellen van programma’s voor levenslange uitwisseling </w:t>
      </w:r>
    </w:p>
    <w:p>
      <w:pPr>
        <w:pStyle w:val="P68B1DB1Normal43"/>
        <w:widowControl w:val="false"/>
        <w:spacing w:lineRule="auto" w:line="240" w:before="349" w:after="0"/>
        <w:ind w:left="0" w:right="0" w:hanging="0"/>
        <w:jc w:val="left"/>
        <w:rPr>
          <w:rFonts w:ascii="Times New Roman" w:hAnsi="Times New Roman"/>
          <w:b/>
          <w:b/>
          <w:i/>
          <w:i/>
          <w:color w:val="808080"/>
          <w:sz w:val="24"/>
        </w:rPr>
      </w:pPr>
      <w:r>
        <w:rPr/>
        <w:t xml:space="preserve">Wens van geassocieerd Europa: Een Europa dat onderwijs voorop zet </w:t>
      </w:r>
    </w:p>
    <w:p>
      <w:pPr>
        <w:pStyle w:val="P68B1DB1Normal33"/>
        <w:widowControl w:val="false"/>
        <w:spacing w:lineRule="auto" w:line="240" w:before="326" w:after="0"/>
        <w:ind w:left="0" w:right="0" w:hanging="0"/>
        <w:jc w:val="left"/>
        <w:rPr>
          <w:rFonts w:ascii="Times New Roman" w:hAnsi="Times New Roman"/>
          <w:b/>
          <w:b/>
          <w:color w:val="000000"/>
          <w:sz w:val="24"/>
        </w:rPr>
      </w:pPr>
      <w:r>
        <w:rPr/>
        <w:t xml:space="preserve">Wat betekent deze verandering? </w:t>
      </w:r>
    </w:p>
    <w:p>
      <w:pPr>
        <w:pStyle w:val="P68B1DB1Normal44"/>
        <w:widowControl w:val="false"/>
        <w:spacing w:lineRule="auto" w:line="240" w:before="326" w:after="0"/>
        <w:ind w:left="0" w:right="0" w:hanging="0"/>
        <w:jc w:val="left"/>
        <w:rPr>
          <w:rFonts w:ascii="Times New Roman" w:hAnsi="Times New Roman"/>
          <w:i/>
          <w:i/>
          <w:color w:val="000000"/>
          <w:sz w:val="24"/>
        </w:rPr>
      </w:pPr>
      <w:r>
        <w:rPr/>
        <w:t xml:space="preserve">Trefwoorden: schooluitwisselingen, Erasmus </w:t>
      </w:r>
    </w:p>
    <w:p>
      <w:pPr>
        <w:pStyle w:val="P68B1DB1Normal19"/>
        <w:widowControl w:val="false"/>
        <w:spacing w:lineRule="auto" w:line="240" w:before="330" w:after="0"/>
        <w:ind w:left="0" w:right="0" w:hanging="0"/>
        <w:jc w:val="both"/>
        <w:rPr/>
      </w:pPr>
      <w:r>
        <w:rPr/>
        <w:t xml:space="preserve">Deze verandering weerspiegelt het belang voor de burgers van ontmoetingen en ervaringen in het buitenland, als een krachtige fermentatie van het Europese sentiment. De ambitie is om </w:t>
      </w:r>
      <w:r>
        <w:rPr>
          <w:i/>
        </w:rPr>
        <w:t>„van academische kennis naar een geleefde</w:t>
      </w:r>
      <w:r>
        <w:rPr>
          <w:b/>
          <w:i/>
        </w:rPr>
        <w:t>, ervaren en gevoelige benadering</w:t>
      </w:r>
      <w:r>
        <w:rPr>
          <w:i/>
        </w:rPr>
        <w:t>van Europa” te</w:t>
      </w:r>
      <w:r>
        <w:rPr/>
        <w:t xml:space="preserve">gaan en onderwijs in brede zin te begrijpen als </w:t>
      </w:r>
      <w:r>
        <w:rPr>
          <w:b/>
        </w:rPr>
        <w:t xml:space="preserve">levenslang leren. </w:t>
      </w:r>
    </w:p>
    <w:p>
      <w:pPr>
        <w:pStyle w:val="P68B1DB1Normal33"/>
        <w:widowControl w:val="false"/>
        <w:spacing w:lineRule="auto" w:line="240" w:before="323" w:after="0"/>
        <w:ind w:left="0" w:right="0" w:hanging="0"/>
        <w:jc w:val="left"/>
        <w:rPr>
          <w:rFonts w:ascii="Times New Roman" w:hAnsi="Times New Roman"/>
          <w:b/>
          <w:b/>
          <w:color w:val="000000"/>
          <w:sz w:val="24"/>
        </w:rPr>
      </w:pPr>
      <w:r>
        <w:rPr/>
        <w:t xml:space="preserve">Wat zijn de belangrijkste stappen en succescriteria? </w:t>
      </w:r>
    </w:p>
    <w:p>
      <w:pPr>
        <w:pStyle w:val="P68B1DB1Normal24"/>
        <w:widowControl w:val="false"/>
        <w:spacing w:lineRule="auto" w:line="240" w:before="317" w:after="0"/>
        <w:ind w:left="0" w:right="4" w:hanging="0"/>
        <w:jc w:val="both"/>
        <w:rPr/>
      </w:pPr>
      <w:r>
        <w:rPr/>
        <w:t xml:space="preserve">Het succes van een dergelijke verandering is voornamelijk het gevolg </w:t>
      </w:r>
      <w:r>
        <w:rPr>
          <w:b/>
        </w:rPr>
        <w:t>van de invoering van een uitgebreid mobiliteitsaanbod</w:t>
      </w:r>
      <w:r>
        <w:rPr/>
        <w:t xml:space="preserve">, waaronder onder meer schooluitwisselingen, jumelages, reizen en beroepsmobiliteit. Voor burgers moet dit aanbod toegankelijk zijn voor iedereen, met name voor mensen met een lage middelen of een handicap. Het Erasmus-programma zou bijvoorbeeld betrekking kunnen hebben op alle Europeanen zonder leeftijds- of middelenlimieten. Deze programma’s moeten worden opgevat als </w:t>
      </w:r>
      <w:r>
        <w:rPr>
          <w:b/>
        </w:rPr>
        <w:t>divers, inclusief</w:t>
      </w:r>
      <w:r>
        <w:rPr>
          <w:b/>
          <w:sz w:val="20"/>
        </w:rPr>
        <w:t xml:space="preserve"> </w:t>
      </w:r>
      <w:r>
        <w:rPr>
          <w:b/>
        </w:rPr>
        <w:t>en toegankelijk</w:t>
      </w:r>
      <w:r>
        <w:rPr/>
        <w:t xml:space="preserve"> met vereenvoudigde administratieve procedures. </w:t>
      </w:r>
    </w:p>
    <w:p>
      <w:pPr>
        <w:pStyle w:val="P68B1DB1Normal24"/>
        <w:widowControl w:val="false"/>
        <w:spacing w:lineRule="auto" w:line="240" w:before="232" w:after="0"/>
        <w:ind w:left="0" w:right="3" w:hanging="0"/>
        <w:jc w:val="both"/>
        <w:rPr/>
      </w:pPr>
      <w:r>
        <w:rPr/>
        <w:t xml:space="preserve">Naast mobiliteit werd ook gewezen op het belang </w:t>
      </w:r>
      <w:r>
        <w:rPr>
          <w:b/>
        </w:rPr>
        <w:t>van het ontwikkelen van bruggen tussen onderwijsstelsels</w:t>
      </w:r>
      <w:r>
        <w:rPr/>
        <w:t xml:space="preserve"> (gelijkwaardigheid van diploma’s, enz.) en het vergroten van de aantrekkelijkheid van Europa om talentlekkage in het buitenland te voorkomen. </w:t>
      </w:r>
    </w:p>
    <w:p>
      <w:pPr>
        <w:pStyle w:val="P68B1DB1Normal19"/>
        <w:widowControl w:val="false"/>
        <w:spacing w:lineRule="auto" w:line="240" w:before="153" w:after="0"/>
        <w:ind w:left="0" w:right="0" w:hanging="0"/>
        <w:jc w:val="left"/>
        <w:rPr>
          <w:rFonts w:ascii="Times New Roman" w:hAnsi="Times New Roman"/>
          <w:color w:val="000000"/>
          <w:sz w:val="24"/>
        </w:rPr>
      </w:pPr>
      <w:r>
        <w:rPr/>
        <w:t xml:space="preserve"> </w:t>
      </w:r>
    </w:p>
    <w:p>
      <w:pPr>
        <w:pStyle w:val="P68B1DB1Normal42"/>
        <w:spacing w:lineRule="auto" w:line="240"/>
        <w:rPr/>
      </w:pPr>
      <w:r>
        <w:rPr/>
        <w:t xml:space="preserve">Verandering 7 — Het delen van Europese culturen door het verenigen van evenementen en evenementen </w:t>
      </w:r>
    </w:p>
    <w:p>
      <w:pPr>
        <w:pStyle w:val="P68B1DB1Normal43"/>
        <w:widowControl w:val="false"/>
        <w:spacing w:lineRule="auto" w:line="240" w:before="347" w:after="0"/>
        <w:ind w:left="0" w:right="0" w:hanging="0"/>
        <w:jc w:val="left"/>
        <w:rPr>
          <w:rFonts w:ascii="Times New Roman" w:hAnsi="Times New Roman"/>
          <w:b/>
          <w:b/>
          <w:i/>
          <w:i/>
          <w:color w:val="808080"/>
          <w:sz w:val="24"/>
        </w:rPr>
      </w:pPr>
      <w:r>
        <w:rPr/>
        <w:t xml:space="preserve">Wens van geassocieerd Europa: Een Europa met gedeelde culturen en identiteiten </w:t>
      </w:r>
    </w:p>
    <w:p>
      <w:pPr>
        <w:pStyle w:val="P68B1DB1Normal33"/>
        <w:widowControl w:val="false"/>
        <w:spacing w:lineRule="auto" w:line="240" w:before="326" w:after="0"/>
        <w:ind w:left="0" w:right="0" w:hanging="0"/>
        <w:jc w:val="left"/>
        <w:rPr>
          <w:rFonts w:ascii="Times New Roman" w:hAnsi="Times New Roman"/>
          <w:b/>
          <w:b/>
          <w:color w:val="000000"/>
          <w:sz w:val="24"/>
        </w:rPr>
      </w:pPr>
      <w:r>
        <w:rPr/>
        <w:t xml:space="preserve">Wat betekent deze verandering? </w:t>
      </w:r>
    </w:p>
    <w:p>
      <w:pPr>
        <w:pStyle w:val="P68B1DB1Normal44"/>
        <w:widowControl w:val="false"/>
        <w:spacing w:lineRule="auto" w:line="240" w:before="206" w:after="0"/>
        <w:ind w:left="0" w:right="0" w:hanging="0"/>
        <w:jc w:val="left"/>
        <w:rPr>
          <w:rFonts w:ascii="Times New Roman" w:hAnsi="Times New Roman"/>
          <w:i/>
          <w:i/>
          <w:color w:val="000000"/>
          <w:sz w:val="24"/>
        </w:rPr>
      </w:pPr>
      <w:r>
        <w:rPr/>
        <w:t xml:space="preserve">Trefwoorden: Europees Festival, Europese Feestdag, Wereldtentoonstelling van Europa </w:t>
      </w:r>
    </w:p>
    <w:p>
      <w:pPr>
        <w:pStyle w:val="P68B1DB1Normal19"/>
        <w:widowControl w:val="false"/>
        <w:spacing w:lineRule="auto" w:line="240" w:before="246" w:after="0"/>
        <w:ind w:left="0" w:right="10" w:hanging="0"/>
        <w:jc w:val="left"/>
        <w:rPr/>
      </w:pPr>
      <w:r>
        <w:rPr/>
        <w:t xml:space="preserve">Deze verandering heeft </w:t>
      </w:r>
      <w:r>
        <w:rPr>
          <w:b/>
        </w:rPr>
        <w:t>tot doel een Europese geest te creëren en te leven</w:t>
      </w:r>
      <w:r>
        <w:rPr/>
        <w:t xml:space="preserve"> door middel van gedeelde ervaringen, evenementen en feestelijke evenementen. </w:t>
      </w:r>
    </w:p>
    <w:p>
      <w:pPr>
        <w:pStyle w:val="P68B1DB1Normal33"/>
        <w:widowControl w:val="false"/>
        <w:spacing w:lineRule="auto" w:line="240" w:before="330" w:after="0"/>
        <w:ind w:left="0" w:right="0" w:hanging="0"/>
        <w:jc w:val="left"/>
        <w:rPr>
          <w:rFonts w:ascii="Times New Roman" w:hAnsi="Times New Roman"/>
          <w:b/>
          <w:b/>
          <w:color w:val="000000"/>
          <w:sz w:val="24"/>
        </w:rPr>
      </w:pPr>
      <w:r>
        <w:rPr/>
        <w:t xml:space="preserve">Wat zijn de belangrijkste stappen en succescriteria? </w:t>
      </w:r>
    </w:p>
    <w:p>
      <w:pPr>
        <w:pStyle w:val="P68B1DB1Normal19"/>
        <w:widowControl w:val="false"/>
        <w:spacing w:lineRule="auto" w:line="240" w:before="239" w:after="0"/>
        <w:ind w:left="0" w:right="10" w:hanging="0"/>
        <w:jc w:val="both"/>
        <w:rPr/>
      </w:pPr>
      <w:r>
        <w:rPr/>
        <w:t xml:space="preserve">De gebeurtenissen die door de burgers worden voorgesteld, zijn bedoeld als </w:t>
      </w:r>
      <w:r>
        <w:rPr>
          <w:b/>
        </w:rPr>
        <w:t>leuk, verenigend en populair</w:t>
      </w:r>
      <w:r>
        <w:rPr/>
        <w:t xml:space="preserve"> om door het grootste aantal te worden gedeeld. Daartoe moeten zij </w:t>
      </w:r>
      <w:r>
        <w:rPr>
          <w:b/>
        </w:rPr>
        <w:t>alle doelgroepen</w:t>
      </w:r>
      <w:r>
        <w:rPr/>
        <w:t xml:space="preserve"> (met inbegrip van kinderen, schoolpublieken, jongeren en Erasmus-studenten) betrekken en op </w:t>
      </w:r>
      <w:r>
        <w:rPr>
          <w:b/>
        </w:rPr>
        <w:t>verschillende plaatsen</w:t>
      </w:r>
      <w:r>
        <w:rPr/>
        <w:t xml:space="preserve"> (pensioenhuizen, scholen, overheidsdiensten, gevangenissen enz.) plaatsvinden. </w:t>
      </w:r>
    </w:p>
    <w:p>
      <w:pPr>
        <w:pStyle w:val="P68B1DB1Normal24"/>
        <w:widowControl w:val="false"/>
        <w:spacing w:lineRule="auto" w:line="240" w:before="327" w:after="0"/>
        <w:ind w:left="0" w:right="13" w:hanging="0"/>
        <w:jc w:val="both"/>
        <w:rPr/>
      </w:pPr>
      <w:r>
        <w:rPr/>
        <w:t xml:space="preserve">Er werden met name twee evenementen gepland om Europeanen samen te brengen: een </w:t>
      </w:r>
      <w:r>
        <w:rPr>
          <w:b/>
        </w:rPr>
        <w:t>universele tentoonstelling van Europa</w:t>
      </w:r>
      <w:r>
        <w:rPr/>
        <w:t xml:space="preserve"> die het mogelijk zou maken om alle lidstaten te vertegenwoordigen en een </w:t>
      </w:r>
      <w:r>
        <w:rPr>
          <w:b/>
        </w:rPr>
        <w:t>herschikking van de Dag van Europa</w:t>
      </w:r>
      <w:r>
        <w:rPr/>
        <w:t xml:space="preserve">op 9 mei, die met name een educatief evenement zou omvatten, </w:t>
      </w:r>
      <w:r>
        <w:rPr>
          <w:i/>
        </w:rPr>
        <w:t>zodat „we de vrede die verbonden is met Europa en haar waarden niet vergeten</w:t>
      </w:r>
      <w:r>
        <w:rPr/>
        <w:t xml:space="preserve">”. Tegelijkertijd zouden Europese vertegenwoordigers de schoolkinderen van het continent in hun scholen kunnen ontmoeten om de nabijheid en het begrip van Europa van jongs af aan te vergroten. </w:t>
      </w:r>
    </w:p>
    <w:p>
      <w:pPr>
        <w:pStyle w:val="P68B1DB1Normal19"/>
        <w:widowControl w:val="false"/>
        <w:spacing w:lineRule="auto" w:line="240" w:before="112" w:after="0"/>
        <w:ind w:left="0" w:right="0" w:hanging="0"/>
        <w:jc w:val="left"/>
        <w:rPr>
          <w:rFonts w:ascii="Times New Roman" w:hAnsi="Times New Roman"/>
          <w:color w:val="000000"/>
          <w:sz w:val="24"/>
        </w:rPr>
      </w:pPr>
      <w:r>
        <w:rPr/>
        <w:t xml:space="preserve"> </w:t>
      </w:r>
    </w:p>
    <w:p>
      <w:pPr>
        <w:pStyle w:val="P68B1DB1Normal42"/>
        <w:spacing w:lineRule="auto" w:line="240"/>
        <w:rPr/>
      </w:pPr>
      <w:r>
        <w:rPr/>
        <w:t xml:space="preserve">Verandering 8 — Gezondheid harmoniseren en toegankelijk maken voor alle Europeanen door middel van een gemeenschappelijk gezondheidsbeleid </w:t>
      </w:r>
    </w:p>
    <w:p>
      <w:pPr>
        <w:pStyle w:val="P68B1DB1Normal43"/>
        <w:widowControl w:val="false"/>
        <w:spacing w:lineRule="auto" w:line="240" w:before="347" w:after="0"/>
        <w:ind w:left="0" w:right="0" w:hanging="0"/>
        <w:jc w:val="left"/>
        <w:rPr>
          <w:rFonts w:ascii="Times New Roman" w:hAnsi="Times New Roman"/>
          <w:b/>
          <w:b/>
          <w:i/>
          <w:i/>
          <w:color w:val="808080"/>
          <w:sz w:val="24"/>
        </w:rPr>
      </w:pPr>
      <w:r>
        <w:rPr/>
        <w:t xml:space="preserve">Wens van geassocieerd Europa: Een solidariteits Europa dat beschermt </w:t>
      </w:r>
    </w:p>
    <w:p>
      <w:pPr>
        <w:pStyle w:val="P68B1DB1Normal33"/>
        <w:widowControl w:val="false"/>
        <w:spacing w:lineRule="auto" w:line="240" w:before="326" w:after="0"/>
        <w:ind w:left="0" w:right="0" w:hanging="0"/>
        <w:jc w:val="left"/>
        <w:rPr>
          <w:rFonts w:ascii="Times New Roman" w:hAnsi="Times New Roman"/>
          <w:b/>
          <w:b/>
          <w:color w:val="000000"/>
          <w:sz w:val="24"/>
        </w:rPr>
      </w:pPr>
      <w:r>
        <w:rPr/>
        <w:t xml:space="preserve">Wat betekent deze verandering? </w:t>
      </w:r>
    </w:p>
    <w:p>
      <w:pPr>
        <w:pStyle w:val="P68B1DB1Normal7"/>
        <w:widowControl w:val="false"/>
        <w:spacing w:lineRule="auto" w:line="240" w:before="86" w:after="0"/>
        <w:ind w:left="0" w:right="10" w:hanging="0"/>
        <w:jc w:val="left"/>
        <w:rPr/>
      </w:pPr>
      <w:r>
        <w:rPr>
          <w:i/>
          <w:color w:val="000000"/>
        </w:rPr>
        <w:t>Trefwoorden: universele gezondheidszorg, harmonisatie van de zorg, gezondheid als grondrecht</w:t>
      </w:r>
      <w:r>
        <w:rPr>
          <w:b/>
          <w:color w:val="273375"/>
        </w:rPr>
        <w:t xml:space="preserve"> </w:t>
      </w:r>
    </w:p>
    <w:p>
      <w:pPr>
        <w:pStyle w:val="P68B1DB1Normal19"/>
        <w:widowControl w:val="false"/>
        <w:spacing w:lineRule="auto" w:line="240" w:before="248" w:after="0"/>
        <w:ind w:left="0" w:right="10" w:hanging="0"/>
        <w:jc w:val="both"/>
        <w:rPr/>
      </w:pPr>
      <w:r>
        <w:rPr/>
        <w:t xml:space="preserve">Om de toegang tot gezondheid voor alle Europeanen te waarborgen en te reageren op </w:t>
      </w:r>
      <w:r>
        <w:rPr>
          <w:i/>
        </w:rPr>
        <w:t>de „noodzaak voor bescherming en solidariteit</w:t>
      </w:r>
      <w:r>
        <w:rPr/>
        <w:t xml:space="preserve">” werd unaniem een </w:t>
      </w:r>
      <w:r>
        <w:rPr>
          <w:b/>
        </w:rPr>
        <w:t>supranationaal gezondheidsstelsel</w:t>
      </w:r>
      <w:r>
        <w:rPr/>
        <w:t xml:space="preserve"> voorgesteld. Het zou gebaseerd zijn op eerlijke financiering tussen de lidstaten en voortbouwen op de beste EU-systemen. Een dergelijke verandering weerspiegelt de bereidheid van de burgers om Europa een actievere rol te laten spelen bij de bescherming van zijn inwoners, met name op het gebied van gezondheid, waar acties tot nu toe als te verlegen worden beschouwd. </w:t>
      </w:r>
    </w:p>
    <w:p>
      <w:pPr>
        <w:pStyle w:val="P68B1DB1Normal33"/>
        <w:widowControl w:val="false"/>
        <w:spacing w:lineRule="auto" w:line="240" w:before="330" w:after="0"/>
        <w:ind w:left="0" w:right="0" w:hanging="0"/>
        <w:jc w:val="left"/>
        <w:rPr>
          <w:rFonts w:ascii="Times New Roman" w:hAnsi="Times New Roman"/>
          <w:b/>
          <w:b/>
          <w:color w:val="000000"/>
          <w:sz w:val="24"/>
        </w:rPr>
      </w:pPr>
      <w:r>
        <w:rPr/>
        <w:t xml:space="preserve">Wat zijn de belangrijkste stappen en succescriteria? </w:t>
      </w:r>
    </w:p>
    <w:p>
      <w:pPr>
        <w:pStyle w:val="P68B1DB1Normal19"/>
        <w:widowControl w:val="false"/>
        <w:spacing w:lineRule="auto" w:line="240" w:before="239" w:after="0"/>
        <w:ind w:left="0" w:right="10" w:hanging="0"/>
        <w:jc w:val="both"/>
        <w:rPr/>
      </w:pPr>
      <w:r>
        <w:rPr/>
        <w:t xml:space="preserve">Om deze verandering door te voeren, werd het beginsel van de </w:t>
      </w:r>
      <w:r>
        <w:rPr>
          <w:b/>
        </w:rPr>
        <w:t>Europese universele sociale zekerheid</w:t>
      </w:r>
      <w:r>
        <w:rPr/>
        <w:t xml:space="preserve"> door de meerderheid goedgekeurd. De regelingen voor de tenuitvoerlegging van dit systeem konden echter niet worden vastgesteld. Terwijl sommigen pleiten voor </w:t>
      </w:r>
      <w:r>
        <w:rPr>
          <w:i/>
        </w:rPr>
        <w:t xml:space="preserve">„een centralisatie van gegevens die [Europese] gezondheidswerkers toegang geven tot alle medische geschiedenis van de patiënt”, </w:t>
      </w:r>
      <w:r>
        <w:rPr/>
        <w:t xml:space="preserve">beschouwen anderen deze maatregel als </w:t>
      </w:r>
      <w:r>
        <w:rPr>
          <w:i/>
        </w:rPr>
        <w:t>„een extra vrijheidsbeneming en een controlesysteem”.</w:t>
      </w:r>
      <w:r>
        <w:rPr/>
        <w:t xml:space="preserve"> </w:t>
      </w:r>
    </w:p>
    <w:p>
      <w:pPr>
        <w:pStyle w:val="P68B1DB1Normal24"/>
        <w:widowControl w:val="false"/>
        <w:spacing w:lineRule="auto" w:line="240" w:before="329" w:after="0"/>
        <w:ind w:left="0" w:right="14" w:hanging="0"/>
        <w:jc w:val="both"/>
        <w:rPr/>
      </w:pPr>
      <w:r>
        <w:rPr>
          <w:b/>
        </w:rPr>
        <w:t xml:space="preserve">Transparantie </w:t>
      </w:r>
      <w:r>
        <w:rPr/>
        <w:t>en</w:t>
      </w:r>
      <w:r>
        <w:rPr>
          <w:b/>
        </w:rPr>
        <w:t>harmonisatie van regelgevingsvereisten op het hele</w:t>
      </w:r>
      <w:r>
        <w:rPr/>
        <w:t xml:space="preserve"> continent, evenals een </w:t>
      </w:r>
      <w:r>
        <w:rPr>
          <w:b/>
        </w:rPr>
        <w:t>Europees gezondheidsplan, zijn</w:t>
      </w:r>
      <w:r>
        <w:rPr/>
        <w:t xml:space="preserve"> niettemin aangemerkt als voorwaarden voor elke significante transformatie. </w:t>
      </w:r>
    </w:p>
    <w:p>
      <w:pPr>
        <w:pStyle w:val="P68B1DB1Normal19"/>
        <w:spacing w:lineRule="auto" w:line="240"/>
        <w:rPr>
          <w:rFonts w:ascii="Times New Roman" w:hAnsi="Times New Roman"/>
          <w:color w:val="000000"/>
          <w:sz w:val="24"/>
        </w:rPr>
      </w:pPr>
      <w:r>
        <w:rPr/>
        <w:t xml:space="preserve"> </w:t>
      </w:r>
    </w:p>
    <w:p>
      <w:pPr>
        <w:pStyle w:val="P68B1DB1Normal42"/>
        <w:widowControl w:val="false"/>
        <w:spacing w:lineRule="auto" w:line="240" w:before="237" w:after="0"/>
        <w:ind w:left="0" w:right="0" w:hanging="0"/>
        <w:jc w:val="left"/>
        <w:rPr/>
      </w:pPr>
      <w:r>
        <w:rPr/>
        <w:t xml:space="preserve">Verandering 9 — Strategische kanalen op Europees niveau ontwikkelen en leiden om onze soevereiniteit te waarborgen </w:t>
      </w:r>
    </w:p>
    <w:p>
      <w:pPr>
        <w:pStyle w:val="P68B1DB1Normal43"/>
        <w:widowControl w:val="false"/>
        <w:spacing w:lineRule="auto" w:line="240" w:before="347" w:after="0"/>
        <w:ind w:left="0" w:right="0" w:hanging="0"/>
        <w:jc w:val="left"/>
        <w:rPr>
          <w:rFonts w:ascii="Times New Roman" w:hAnsi="Times New Roman"/>
          <w:b/>
          <w:b/>
          <w:i/>
          <w:i/>
          <w:color w:val="808080"/>
          <w:sz w:val="24"/>
        </w:rPr>
      </w:pPr>
      <w:r>
        <w:rPr/>
        <w:t xml:space="preserve">Wens van geassocieerd Europa: Een concurrerend en innovatief Europa </w:t>
      </w:r>
    </w:p>
    <w:p>
      <w:pPr>
        <w:pStyle w:val="P68B1DB1Normal33"/>
        <w:widowControl w:val="false"/>
        <w:spacing w:lineRule="auto" w:line="240" w:before="326" w:after="0"/>
        <w:ind w:left="0" w:right="0" w:hanging="0"/>
        <w:jc w:val="left"/>
        <w:rPr>
          <w:rFonts w:ascii="Times New Roman" w:hAnsi="Times New Roman"/>
          <w:b/>
          <w:b/>
          <w:color w:val="000000"/>
          <w:sz w:val="24"/>
        </w:rPr>
      </w:pPr>
      <w:r>
        <w:rPr/>
        <w:t xml:space="preserve">Wat betekent deze verandering? </w:t>
      </w:r>
    </w:p>
    <w:p>
      <w:pPr>
        <w:pStyle w:val="P68B1DB1Normal7"/>
        <w:widowControl w:val="false"/>
        <w:spacing w:lineRule="auto" w:line="240" w:before="86" w:after="0"/>
        <w:ind w:left="0" w:right="9" w:hanging="0"/>
        <w:jc w:val="left"/>
        <w:rPr/>
      </w:pPr>
      <w:r>
        <w:rPr>
          <w:i/>
          <w:color w:val="000000"/>
        </w:rPr>
        <w:t>Trefwoorden: ontwikkeling van Europese kampioenen, controle op buitenlandse investeringen, digitale autonomie en energie</w:t>
      </w:r>
      <w:r>
        <w:rPr>
          <w:b/>
          <w:color w:val="273375"/>
        </w:rPr>
        <w:t xml:space="preserve"> </w:t>
      </w:r>
    </w:p>
    <w:p>
      <w:pPr>
        <w:pStyle w:val="P68B1DB1Normal19"/>
        <w:widowControl w:val="false"/>
        <w:spacing w:lineRule="auto" w:line="240" w:before="248" w:after="0"/>
        <w:ind w:left="0" w:right="9" w:hanging="0"/>
        <w:jc w:val="both"/>
        <w:rPr/>
      </w:pPr>
      <w:r>
        <w:rPr/>
        <w:t xml:space="preserve">Het proefproject voor strategische sectoren zoals gezondheid, voedsel, energie, digitale technologie, defensie, vervoer en nieuwe materialen op Europees niveau beantwoordt aan de </w:t>
      </w:r>
      <w:r>
        <w:rPr>
          <w:b/>
        </w:rPr>
        <w:t xml:space="preserve">behoefte aan soevereiniteit </w:t>
      </w:r>
      <w:r>
        <w:rPr/>
        <w:t>die door de burgers is vastgesteld. Dit zou de concurrentie tussen Europese bedrijven beperken, de</w:t>
      </w:r>
      <w:r>
        <w:rPr>
          <w:b/>
        </w:rPr>
        <w:t>opkomst van continentale kampioenen</w:t>
      </w:r>
      <w:r>
        <w:rPr/>
        <w:t xml:space="preserve"> bevorderen en </w:t>
      </w:r>
      <w:r>
        <w:rPr>
          <w:b/>
        </w:rPr>
        <w:t>Europa herindustrialiseren</w:t>
      </w:r>
      <w:r>
        <w:rPr/>
        <w:t xml:space="preserve"> door middel van een Europese voorkeur. </w:t>
      </w:r>
    </w:p>
    <w:p>
      <w:pPr>
        <w:pStyle w:val="P68B1DB1Normal33"/>
        <w:widowControl w:val="false"/>
        <w:spacing w:lineRule="auto" w:line="240" w:before="325" w:after="0"/>
        <w:ind w:left="0" w:right="0" w:hanging="0"/>
        <w:jc w:val="left"/>
        <w:rPr>
          <w:rFonts w:ascii="Times New Roman" w:hAnsi="Times New Roman"/>
          <w:b/>
          <w:b/>
          <w:color w:val="000000"/>
          <w:sz w:val="24"/>
        </w:rPr>
      </w:pPr>
      <w:r>
        <w:rPr/>
        <w:t xml:space="preserve">Wat zijn de belangrijkste stappen en succescriteria? </w:t>
      </w:r>
    </w:p>
    <w:p>
      <w:pPr>
        <w:pStyle w:val="P68B1DB1Normal19"/>
        <w:widowControl w:val="false"/>
        <w:spacing w:lineRule="auto" w:line="240" w:before="237" w:after="0"/>
        <w:ind w:left="0" w:right="9" w:hanging="0"/>
        <w:jc w:val="both"/>
        <w:rPr/>
      </w:pPr>
      <w:r>
        <w:rPr/>
        <w:t xml:space="preserve">Om deze soevereiniteit te bereiken, kan een </w:t>
      </w:r>
      <w:r>
        <w:rPr>
          <w:b/>
        </w:rPr>
        <w:t>Europese autoriteit</w:t>
      </w:r>
      <w:r>
        <w:rPr/>
        <w:t xml:space="preserve"> worden belast met het leiden van deze sectoren door het verlenen van vergunningen voor de aankoop van Europese bedrijven door buitenlandse concurrenten en ervoor te zorgen dat geïmporteerde producten aan dezelfde normen voldoen als de EU-productie. Op middellange termijn moet</w:t>
      </w:r>
      <w:r>
        <w:rPr>
          <w:b/>
        </w:rPr>
        <w:t xml:space="preserve"> 30 tot 50 %</w:t>
      </w:r>
      <w:r>
        <w:rPr/>
        <w:t xml:space="preserve"> van de Europese consumptie in deze strategische sectoren worden </w:t>
      </w:r>
      <w:r>
        <w:rPr>
          <w:b/>
        </w:rPr>
        <w:t>geproduceerd op het continent</w:t>
      </w:r>
      <w:r>
        <w:rPr/>
        <w:t xml:space="preserve"> en tot </w:t>
      </w:r>
      <w:r>
        <w:rPr>
          <w:b/>
        </w:rPr>
        <w:t>70 %</w:t>
      </w:r>
      <w:r>
        <w:rPr/>
        <w:t xml:space="preserve"> op de lange termijn. Als aan deze criteria wordt voldaan, zou</w:t>
      </w:r>
      <w:r>
        <w:rPr>
          <w:b/>
        </w:rPr>
        <w:t>de</w:t>
      </w:r>
      <w:r>
        <w:rPr/>
        <w:t xml:space="preserve"> zelfvoorziening en de</w:t>
      </w:r>
      <w:r>
        <w:rPr>
          <w:b/>
        </w:rPr>
        <w:t xml:space="preserve"> invloed</w:t>
      </w:r>
      <w:r>
        <w:rPr/>
        <w:t>en zelfs de</w:t>
      </w:r>
      <w:r>
        <w:rPr>
          <w:b/>
        </w:rPr>
        <w:t xml:space="preserve">uitvoer </w:t>
      </w:r>
      <w:r>
        <w:rPr/>
        <w:t xml:space="preserve">van het Europese industriële model worden gewaarborgd. </w:t>
      </w:r>
    </w:p>
    <w:p>
      <w:pPr>
        <w:pStyle w:val="Normal"/>
        <w:spacing w:lineRule="auto" w:line="240"/>
        <w:rPr/>
      </w:pPr>
      <w:r>
        <w:rPr/>
      </w:r>
    </w:p>
    <w:p>
      <w:pPr>
        <w:pStyle w:val="P68B1DB1Normal42"/>
        <w:spacing w:lineRule="auto" w:line="240"/>
        <w:rPr/>
      </w:pPr>
      <w:r>
        <w:rPr/>
        <w:t xml:space="preserve">Verandering 10 — Verbetering van de bescherming van milieu’s en ecosystemen en het creëren van beschermde gebieden in het hart van stedelijke, peri-urbane en plattelandsgebieden </w:t>
      </w:r>
    </w:p>
    <w:p>
      <w:pPr>
        <w:pStyle w:val="P68B1DB1Normal43"/>
        <w:widowControl w:val="false"/>
        <w:spacing w:lineRule="auto" w:line="240" w:before="347" w:after="0"/>
        <w:ind w:left="0" w:right="0" w:hanging="0"/>
        <w:jc w:val="left"/>
        <w:rPr>
          <w:rFonts w:ascii="Times New Roman" w:hAnsi="Times New Roman"/>
          <w:b/>
          <w:b/>
          <w:i/>
          <w:i/>
          <w:color w:val="808080"/>
          <w:sz w:val="24"/>
        </w:rPr>
      </w:pPr>
      <w:r>
        <w:rPr/>
        <w:t xml:space="preserve">Wens van geassocieerd Europa: Een Europa dat duurzame ontwikkeling bevordert </w:t>
      </w:r>
    </w:p>
    <w:p>
      <w:pPr>
        <w:pStyle w:val="P68B1DB1Normal33"/>
        <w:widowControl w:val="false"/>
        <w:spacing w:lineRule="auto" w:line="240" w:before="326" w:after="0"/>
        <w:ind w:left="0" w:right="0" w:hanging="0"/>
        <w:jc w:val="left"/>
        <w:rPr>
          <w:rFonts w:ascii="Times New Roman" w:hAnsi="Times New Roman"/>
          <w:b/>
          <w:b/>
          <w:color w:val="000000"/>
          <w:sz w:val="24"/>
        </w:rPr>
      </w:pPr>
      <w:r>
        <w:rPr/>
        <w:t xml:space="preserve">Wat betekent deze verandering? </w:t>
      </w:r>
    </w:p>
    <w:p>
      <w:pPr>
        <w:pStyle w:val="P68B1DB1Normal7"/>
        <w:widowControl w:val="false"/>
        <w:spacing w:lineRule="auto" w:line="240" w:before="78" w:after="0"/>
        <w:ind w:left="0" w:right="0" w:hanging="0"/>
        <w:jc w:val="left"/>
        <w:rPr/>
      </w:pPr>
      <w:r>
        <w:rPr>
          <w:i/>
          <w:color w:val="000000"/>
        </w:rPr>
        <w:t>Trefwoorden: milieuvriendelijkere verstedelijking, respect en bescherming van bodems</w:t>
      </w:r>
      <w:r>
        <w:rPr>
          <w:b/>
          <w:color w:val="273375"/>
        </w:rPr>
        <w:t xml:space="preserve"> </w:t>
      </w:r>
    </w:p>
    <w:p>
      <w:pPr>
        <w:pStyle w:val="P68B1DB1Normal19"/>
        <w:widowControl w:val="false"/>
        <w:spacing w:lineRule="auto" w:line="240" w:before="321" w:after="0"/>
        <w:ind w:left="0" w:right="9" w:hanging="0"/>
        <w:jc w:val="both"/>
        <w:rPr/>
      </w:pPr>
      <w:r>
        <w:rPr/>
        <w:t xml:space="preserve">Het doel is de </w:t>
      </w:r>
      <w:r>
        <w:rPr>
          <w:b/>
        </w:rPr>
        <w:t>negatieve effecten van verstedelijking op de bodem te beperken</w:t>
      </w:r>
      <w:r>
        <w:rPr/>
        <w:t xml:space="preserve">. Krachtige maatregelen zouden </w:t>
      </w:r>
      <w:r>
        <w:rPr>
          <w:b/>
        </w:rPr>
        <w:t xml:space="preserve">rampen in verband met bodemvernietiging, zoals aardverschuivingen, beperken </w:t>
      </w:r>
      <w:r>
        <w:rPr/>
        <w:t>en</w:t>
      </w:r>
      <w:r>
        <w:rPr>
          <w:b/>
        </w:rPr>
        <w:t>de levenskwaliteit in stedelijke gebieden verbeteren</w:t>
      </w:r>
      <w:r>
        <w:rPr/>
        <w:t xml:space="preserve">, met name door het planten van bomen. </w:t>
      </w:r>
    </w:p>
    <w:p>
      <w:pPr>
        <w:pStyle w:val="P68B1DB1Normal33"/>
        <w:widowControl w:val="false"/>
        <w:spacing w:lineRule="auto" w:line="240" w:before="330" w:after="0"/>
        <w:ind w:left="0" w:right="0" w:hanging="0"/>
        <w:jc w:val="left"/>
        <w:rPr>
          <w:rFonts w:ascii="Times New Roman" w:hAnsi="Times New Roman"/>
          <w:b/>
          <w:b/>
          <w:color w:val="000000"/>
          <w:sz w:val="24"/>
        </w:rPr>
      </w:pPr>
      <w:r>
        <w:rPr/>
        <w:t xml:space="preserve">Wat zijn de belangrijkste stappen en succescriteria? </w:t>
      </w:r>
    </w:p>
    <w:p>
      <w:pPr>
        <w:pStyle w:val="P68B1DB1Normal19"/>
        <w:widowControl w:val="false"/>
        <w:spacing w:lineRule="auto" w:line="240" w:before="318" w:after="0"/>
        <w:ind w:left="0" w:right="9" w:hanging="0"/>
        <w:jc w:val="both"/>
        <w:rPr/>
      </w:pPr>
      <w:r>
        <w:rPr/>
        <w:t xml:space="preserve">Voorgesteld werd om op twee niveaus te handelen: ten eerste, om </w:t>
      </w:r>
      <w:r>
        <w:rPr>
          <w:b/>
        </w:rPr>
        <w:t>de trend van nieuwe constructies</w:t>
      </w:r>
      <w:r>
        <w:rPr/>
        <w:t xml:space="preserve"> om de snelheid van de bodemafdichting te verminderen, en ten tweede het </w:t>
      </w:r>
      <w:r>
        <w:rPr>
          <w:b/>
        </w:rPr>
        <w:t>herstel van de bodem aan te moedigen</w:t>
      </w:r>
      <w:r>
        <w:rPr/>
        <w:t xml:space="preserve"> om „terug </w:t>
      </w:r>
      <w:r>
        <w:rPr>
          <w:i/>
        </w:rPr>
        <w:t>te keren naar de natuur wat eraan toebehoort</w:t>
      </w:r>
      <w:r>
        <w:rPr/>
        <w:t xml:space="preserve">”. </w:t>
      </w:r>
    </w:p>
    <w:p>
      <w:pPr>
        <w:pStyle w:val="Normal"/>
        <w:spacing w:lineRule="auto" w:line="240"/>
        <w:rPr/>
      </w:pPr>
      <w:r>
        <w:rPr/>
      </w:r>
    </w:p>
    <w:p>
      <w:pPr>
        <w:pStyle w:val="P68B1DB1Normal42"/>
        <w:spacing w:lineRule="auto" w:line="240"/>
        <w:rPr/>
      </w:pPr>
      <w:r>
        <w:rPr/>
        <w:t xml:space="preserve">Wijziging 11 — Oprichting van Europese relais in de gebieden om naar burgers te luisteren en te adviseren </w:t>
      </w:r>
    </w:p>
    <w:p>
      <w:pPr>
        <w:pStyle w:val="P68B1DB1Normal43"/>
        <w:widowControl w:val="false"/>
        <w:spacing w:lineRule="auto" w:line="240" w:before="347" w:after="0"/>
        <w:ind w:left="0" w:right="0" w:hanging="0"/>
        <w:jc w:val="left"/>
        <w:rPr>
          <w:rFonts w:ascii="Times New Roman" w:hAnsi="Times New Roman"/>
          <w:b/>
          <w:b/>
          <w:i/>
          <w:i/>
          <w:color w:val="808080"/>
          <w:sz w:val="24"/>
        </w:rPr>
      </w:pPr>
      <w:r>
        <w:rPr/>
        <w:t xml:space="preserve">Wens van geassocieerd Europa: Een dichter en toegankelijk Europa </w:t>
      </w:r>
    </w:p>
    <w:p>
      <w:pPr>
        <w:pStyle w:val="P68B1DB1Normal33"/>
        <w:widowControl w:val="false"/>
        <w:spacing w:lineRule="auto" w:line="240" w:before="326" w:after="0"/>
        <w:ind w:left="0" w:right="0" w:hanging="0"/>
        <w:jc w:val="left"/>
        <w:rPr>
          <w:rFonts w:ascii="Times New Roman" w:hAnsi="Times New Roman"/>
          <w:b/>
          <w:b/>
          <w:color w:val="000000"/>
          <w:sz w:val="24"/>
        </w:rPr>
      </w:pPr>
      <w:r>
        <w:rPr/>
        <w:t xml:space="preserve">Wat betekent deze verandering? </w:t>
      </w:r>
    </w:p>
    <w:p>
      <w:pPr>
        <w:pStyle w:val="P68B1DB1Normal44"/>
        <w:widowControl w:val="false"/>
        <w:spacing w:lineRule="auto" w:line="240" w:before="326" w:after="0"/>
        <w:ind w:left="0" w:right="0" w:hanging="0"/>
        <w:jc w:val="left"/>
        <w:rPr>
          <w:rFonts w:ascii="Times New Roman" w:hAnsi="Times New Roman"/>
          <w:i/>
          <w:i/>
          <w:color w:val="000000"/>
          <w:sz w:val="24"/>
        </w:rPr>
      </w:pPr>
      <w:r>
        <w:rPr/>
        <w:t xml:space="preserve">Trefwoorden: Houses of Europe, referent Europe local, betere toegang tot informatie </w:t>
      </w:r>
    </w:p>
    <w:p>
      <w:pPr>
        <w:pStyle w:val="P68B1DB1Normal19"/>
        <w:widowControl w:val="false"/>
        <w:spacing w:lineRule="auto" w:line="240" w:before="326" w:after="0"/>
        <w:ind w:left="0" w:right="11" w:hanging="0"/>
        <w:jc w:val="both"/>
        <w:rPr/>
      </w:pPr>
      <w:r>
        <w:rPr/>
        <w:t xml:space="preserve">Het doel van deze verandering is concrete antwoorden te bieden op het </w:t>
      </w:r>
      <w:r>
        <w:rPr>
          <w:b/>
        </w:rPr>
        <w:t>gebrek aan belichaming van de Europese Unie</w:t>
      </w:r>
      <w:r>
        <w:rPr/>
        <w:t xml:space="preserve"> in het dagelijks leven, zoals vele deelnemers hebben opgemerkt, en om Europa en haar burgers dichter bij elkaar te brengen. </w:t>
      </w:r>
    </w:p>
    <w:p>
      <w:pPr>
        <w:pStyle w:val="P68B1DB1Normal33"/>
        <w:widowControl w:val="false"/>
        <w:spacing w:lineRule="auto" w:line="240" w:before="333" w:after="0"/>
        <w:ind w:left="0" w:right="0" w:hanging="0"/>
        <w:jc w:val="left"/>
        <w:rPr>
          <w:rFonts w:ascii="Times New Roman" w:hAnsi="Times New Roman"/>
          <w:b/>
          <w:b/>
          <w:color w:val="000000"/>
          <w:sz w:val="24"/>
        </w:rPr>
      </w:pPr>
      <w:r>
        <w:rPr/>
        <w:t xml:space="preserve">Wat zijn de belangrijkste stappen en succescriteria? </w:t>
      </w:r>
    </w:p>
    <w:p>
      <w:pPr>
        <w:pStyle w:val="P68B1DB1Normal24"/>
        <w:widowControl w:val="false"/>
        <w:spacing w:lineRule="auto" w:line="240" w:before="317" w:after="0"/>
        <w:ind w:left="0" w:right="14" w:hanging="0"/>
        <w:jc w:val="both"/>
        <w:rPr/>
      </w:pPr>
      <w:r>
        <w:rPr/>
        <w:t xml:space="preserve">Om deze afstand tussen de EU en burgers aan te pakken, zou </w:t>
      </w:r>
      <w:r>
        <w:rPr>
          <w:b/>
        </w:rPr>
        <w:t>een gespecialiseerde referent</w:t>
      </w:r>
      <w:r>
        <w:rPr/>
        <w:t xml:space="preserve"> naar elk stadhuis kunnen worden aangesteld met een missie om burgers te luisteren en te adviseren. De in dit verslag verstrekte informatie kan sociaal-economisch zijn, met name over de toegang tot Europese of informatieve hulp, bijvoorbeeld over de rol van lobbyisten. De verstrekte informatie zou gericht zijn op zowel het grote publiek als de beroepsbeoefenaren, met name om kmo’s te adviseren en projectleiders te helpen toegang te krijgen tot EU-middelen. Op de lange termijn zou deze verandering kunnen leiden tot de oprichting van </w:t>
      </w:r>
      <w:r>
        <w:rPr>
          <w:b/>
        </w:rPr>
        <w:t>plaatsen die gewijd zijn aan Europa</w:t>
      </w:r>
      <w:r>
        <w:rPr/>
        <w:t xml:space="preserve">, vergelijkbaar met de bestaande huizen van Europa, maar op gemeenschappelijk niveau waardoor een fijn territoriaal netwerk kan worden gecreëerd. </w:t>
      </w:r>
    </w:p>
    <w:p>
      <w:pPr>
        <w:pStyle w:val="P68B1DB1Normal24"/>
        <w:widowControl w:val="false"/>
        <w:spacing w:lineRule="auto" w:line="240" w:before="235" w:after="0"/>
        <w:ind w:left="0" w:right="15" w:hanging="0"/>
        <w:jc w:val="both"/>
        <w:rPr/>
      </w:pPr>
      <w:r>
        <w:rPr/>
        <w:t xml:space="preserve">Het succes van deze verandering zou compleet zijn als elke burger „ </w:t>
      </w:r>
      <w:r>
        <w:rPr>
          <w:i/>
        </w:rPr>
        <w:t>als voor de hand liggend</w:t>
      </w:r>
      <w:r>
        <w:rPr/>
        <w:t xml:space="preserve">” het bestaan van deze referentie kent en deze plaats van middelen die bestemd zijn voor Europa, die middelen, luisteren, informatie en advies zou verstrekken. </w:t>
      </w:r>
    </w:p>
    <w:p>
      <w:pPr>
        <w:pStyle w:val="P68B1DB1Normal19"/>
        <w:widowControl w:val="false"/>
        <w:spacing w:lineRule="auto" w:line="240" w:before="153" w:after="0"/>
        <w:ind w:left="0" w:right="0" w:hanging="0"/>
        <w:jc w:val="left"/>
        <w:rPr>
          <w:rFonts w:ascii="Times New Roman" w:hAnsi="Times New Roman"/>
          <w:color w:val="000000"/>
          <w:sz w:val="24"/>
        </w:rPr>
      </w:pPr>
      <w:r>
        <w:rPr/>
        <w:t xml:space="preserve"> </w:t>
      </w:r>
    </w:p>
    <w:p>
      <w:pPr>
        <w:pStyle w:val="P68B1DB1Normal42"/>
        <w:widowControl w:val="false"/>
        <w:spacing w:lineRule="auto" w:line="240" w:before="237" w:after="0"/>
        <w:ind w:left="0" w:right="0" w:hanging="0"/>
        <w:jc w:val="both"/>
        <w:rPr/>
      </w:pPr>
      <w:r>
        <w:rPr/>
        <w:t xml:space="preserve">Wijziging 12 — De wijze van verkiezing van het Europees Parlement voor de 27 staten verenigen en de nabijheid van burgers verbeteren door de huidige stemming te vervangen door een eenmalige stemming op regionaal niveau </w:t>
      </w:r>
    </w:p>
    <w:p>
      <w:pPr>
        <w:pStyle w:val="P68B1DB1Normal43"/>
        <w:widowControl w:val="false"/>
        <w:spacing w:lineRule="auto" w:line="240" w:before="347" w:after="0"/>
        <w:ind w:left="0" w:right="0" w:hanging="0"/>
        <w:jc w:val="left"/>
        <w:rPr>
          <w:rFonts w:ascii="Times New Roman" w:hAnsi="Times New Roman"/>
          <w:b/>
          <w:b/>
          <w:i/>
          <w:i/>
          <w:color w:val="808080"/>
          <w:sz w:val="24"/>
        </w:rPr>
      </w:pPr>
      <w:r>
        <w:rPr/>
        <w:t xml:space="preserve">Wens van geassocieerd Europa: Een Europa met doeltreffender bestuur </w:t>
      </w:r>
    </w:p>
    <w:p>
      <w:pPr>
        <w:pStyle w:val="P68B1DB1Normal33"/>
        <w:widowControl w:val="false"/>
        <w:spacing w:lineRule="auto" w:line="240" w:before="328" w:after="0"/>
        <w:ind w:left="0" w:right="0" w:hanging="0"/>
        <w:jc w:val="left"/>
        <w:rPr>
          <w:rFonts w:ascii="Times New Roman" w:hAnsi="Times New Roman"/>
          <w:b/>
          <w:b/>
          <w:color w:val="000000"/>
          <w:sz w:val="24"/>
        </w:rPr>
      </w:pPr>
      <w:r>
        <w:rPr/>
        <w:t xml:space="preserve">Wat betekent deze verandering? </w:t>
      </w:r>
    </w:p>
    <w:p>
      <w:pPr>
        <w:pStyle w:val="P68B1DB1Normal7"/>
        <w:widowControl w:val="false"/>
        <w:spacing w:lineRule="auto" w:line="240" w:before="76" w:after="0"/>
        <w:ind w:left="0" w:right="0" w:hanging="0"/>
        <w:jc w:val="left"/>
        <w:rPr/>
      </w:pPr>
      <w:r>
        <w:rPr>
          <w:i/>
          <w:color w:val="000000"/>
        </w:rPr>
        <w:t>Trefwoorden: institutionele verandering, gevolgd door burgers van acties gedurende het hele mandaat</w:t>
      </w:r>
      <w:r>
        <w:rPr>
          <w:b/>
          <w:color w:val="273375"/>
        </w:rPr>
        <w:t xml:space="preserve"> </w:t>
      </w:r>
    </w:p>
    <w:p>
      <w:pPr>
        <w:pStyle w:val="P68B1DB1Normal19"/>
        <w:widowControl w:val="false"/>
        <w:spacing w:lineRule="auto" w:line="240" w:before="275" w:after="0"/>
        <w:ind w:left="0" w:right="10" w:hanging="0"/>
        <w:jc w:val="both"/>
        <w:rPr/>
      </w:pPr>
      <w:r>
        <w:rPr/>
        <w:t xml:space="preserve">Deze verandering weerspiegelt de wens van burgers om hun </w:t>
      </w:r>
      <w:r>
        <w:rPr>
          <w:b/>
        </w:rPr>
        <w:t>nabijheid tot gekozen ambtenaren te</w:t>
      </w:r>
      <w:r>
        <w:rPr/>
        <w:t xml:space="preserve"> versterken en hun acties gedurende hun hele mandaat te volgen. Het antwoordt op de algemeen gedeelde constatering van een gebrek aan vertaling van de zorgen van de burgers in concrete acties van de gekozen vertegenwoordigers van het Europees Parlement. </w:t>
      </w:r>
    </w:p>
    <w:p>
      <w:pPr>
        <w:pStyle w:val="P68B1DB1Normal33"/>
        <w:widowControl w:val="false"/>
        <w:spacing w:lineRule="auto" w:line="240" w:before="381" w:after="0"/>
        <w:ind w:left="0" w:right="0" w:hanging="0"/>
        <w:jc w:val="left"/>
        <w:rPr>
          <w:rFonts w:ascii="Times New Roman" w:hAnsi="Times New Roman"/>
          <w:b/>
          <w:b/>
          <w:color w:val="000000"/>
          <w:sz w:val="24"/>
        </w:rPr>
      </w:pPr>
      <w:r>
        <w:rPr/>
        <w:t xml:space="preserve">Wat zijn de belangrijkste stappen en succescriteria? </w:t>
      </w:r>
    </w:p>
    <w:p>
      <w:pPr>
        <w:pStyle w:val="P68B1DB1Normal19"/>
        <w:widowControl w:val="false"/>
        <w:spacing w:lineRule="auto" w:line="240" w:before="316" w:after="0"/>
        <w:ind w:left="0" w:right="10" w:hanging="0"/>
        <w:jc w:val="both"/>
        <w:rPr/>
      </w:pPr>
      <w:r>
        <w:rPr/>
        <w:t xml:space="preserve">De wijziging van de wijze van verkiezing zou bestaan in </w:t>
      </w:r>
      <w:r>
        <w:rPr>
          <w:b/>
        </w:rPr>
        <w:t>een eenwording van het stemsysteem</w:t>
      </w:r>
      <w:r>
        <w:rPr/>
        <w:t xml:space="preserve"> op Europees niveau en de overgang van nationale naar regionale kiesdistricten, die naar schatting tegen 2035 mogelijk zijn. </w:t>
      </w:r>
    </w:p>
    <w:p>
      <w:pPr>
        <w:pStyle w:val="Normal"/>
        <w:spacing w:lineRule="auto" w:line="240"/>
        <w:rPr/>
      </w:pPr>
      <w:r>
        <w:rPr/>
      </w:r>
    </w:p>
    <w:p>
      <w:pPr>
        <w:pStyle w:val="P68B1DB1Normal42"/>
        <w:spacing w:lineRule="auto" w:line="240"/>
        <w:rPr/>
      </w:pPr>
      <w:r>
        <w:rPr/>
        <w:t xml:space="preserve">Wijziging 13 — Bepaling van een gemeenschappelijk beleid ter verbetering van de opvang en de sociale en beroepsintegratie van migranten (met inbegrip van irreguliere migranten) </w:t>
      </w:r>
    </w:p>
    <w:p>
      <w:pPr>
        <w:pStyle w:val="P68B1DB1Normal43"/>
        <w:widowControl w:val="false"/>
        <w:spacing w:lineRule="auto" w:line="240" w:before="347" w:after="0"/>
        <w:ind w:left="0" w:right="0" w:hanging="0"/>
        <w:jc w:val="left"/>
        <w:rPr>
          <w:rFonts w:ascii="Times New Roman" w:hAnsi="Times New Roman"/>
          <w:b/>
          <w:b/>
          <w:i/>
          <w:i/>
          <w:color w:val="808080"/>
          <w:sz w:val="24"/>
        </w:rPr>
      </w:pPr>
      <w:r>
        <w:rPr/>
        <w:t xml:space="preserve">Wens van geassocieerd Europa: Een Europa dat de eerbiediging van de grondrechten waarborgt </w:t>
      </w:r>
    </w:p>
    <w:p>
      <w:pPr>
        <w:pStyle w:val="P68B1DB1Normal33"/>
        <w:widowControl w:val="false"/>
        <w:spacing w:lineRule="auto" w:line="240" w:before="328" w:after="0"/>
        <w:ind w:left="0" w:right="0" w:hanging="0"/>
        <w:jc w:val="left"/>
        <w:rPr>
          <w:rFonts w:ascii="Times New Roman" w:hAnsi="Times New Roman"/>
          <w:b/>
          <w:b/>
          <w:color w:val="000000"/>
          <w:sz w:val="24"/>
        </w:rPr>
      </w:pPr>
      <w:r>
        <w:rPr/>
        <w:t xml:space="preserve">Wat betekent deze verandering? </w:t>
      </w:r>
    </w:p>
    <w:p>
      <w:pPr>
        <w:pStyle w:val="P68B1DB1Normal7"/>
        <w:widowControl w:val="false"/>
        <w:spacing w:lineRule="auto" w:line="240" w:before="76" w:after="0"/>
        <w:ind w:left="0" w:right="0" w:hanging="0"/>
        <w:jc w:val="left"/>
        <w:rPr/>
      </w:pPr>
      <w:r>
        <w:rPr>
          <w:i/>
          <w:color w:val="000000"/>
        </w:rPr>
        <w:t>Trefwoorden: Europees Migratiebureau, zorgen voor een fatsoenlijke opvang in heel Europa</w:t>
      </w:r>
      <w:r>
        <w:rPr>
          <w:b/>
          <w:color w:val="273375"/>
        </w:rPr>
        <w:t xml:space="preserve"> </w:t>
      </w:r>
    </w:p>
    <w:p>
      <w:pPr>
        <w:pStyle w:val="P68B1DB1Normal19"/>
        <w:widowControl w:val="false"/>
        <w:spacing w:lineRule="auto" w:line="240" w:before="248" w:after="0"/>
        <w:ind w:left="0" w:right="10" w:hanging="0"/>
        <w:jc w:val="both"/>
        <w:rPr/>
      </w:pPr>
      <w:r>
        <w:rPr/>
        <w:t xml:space="preserve">Deze wijziging heeft tot doel de opvang van migranten binnen de Europese Unie te verbeteren, een probleem dat unaniem als </w:t>
      </w:r>
      <w:r>
        <w:rPr>
          <w:b/>
        </w:rPr>
        <w:t>noodgeval</w:t>
      </w:r>
      <w:r>
        <w:rPr/>
        <w:t xml:space="preserve"> door burgers wordt aangemerkt. Bij een breuk met de huidige situatie lijkt de totstandbrenging van een </w:t>
      </w:r>
      <w:r>
        <w:rPr>
          <w:b/>
        </w:rPr>
        <w:t>gemeenschappelijk, gecoördineerd en solidair immigratiebeleid</w:t>
      </w:r>
      <w:r>
        <w:rPr/>
        <w:t xml:space="preserve"> een belangrijke vector van vrede te zijn.</w:t>
      </w:r>
      <w:r>
        <w:rPr>
          <w:b/>
        </w:rPr>
        <w:t xml:space="preserve"> </w:t>
      </w:r>
    </w:p>
    <w:p>
      <w:pPr>
        <w:pStyle w:val="P68B1DB1Normal33"/>
        <w:widowControl w:val="false"/>
        <w:spacing w:lineRule="auto" w:line="240" w:before="325" w:after="0"/>
        <w:ind w:left="0" w:right="0" w:hanging="0"/>
        <w:jc w:val="left"/>
        <w:rPr>
          <w:rFonts w:ascii="Times New Roman" w:hAnsi="Times New Roman"/>
          <w:b/>
          <w:b/>
          <w:color w:val="000000"/>
          <w:sz w:val="24"/>
        </w:rPr>
      </w:pPr>
      <w:r>
        <w:rPr/>
        <w:t xml:space="preserve">Wat zijn de belangrijkste stappen en succescriteria? </w:t>
      </w:r>
    </w:p>
    <w:p>
      <w:pPr>
        <w:pStyle w:val="P68B1DB1Normal19"/>
        <w:widowControl w:val="false"/>
        <w:spacing w:lineRule="auto" w:line="240" w:before="243" w:after="0"/>
        <w:ind w:left="0" w:right="10" w:hanging="0"/>
        <w:jc w:val="left"/>
        <w:rPr/>
      </w:pPr>
      <w:r>
        <w:rPr/>
        <w:t xml:space="preserve">Het succes van een dergelijke verandering zou leiden tot de geleidelijke tenuitvoerlegging van een gemeenschappelijk beleid inzake de opvang van migranten. </w:t>
      </w:r>
    </w:p>
    <w:p>
      <w:pPr>
        <w:pStyle w:val="P68B1DB1Normal19"/>
        <w:widowControl w:val="false"/>
        <w:spacing w:lineRule="auto" w:line="240" w:before="326" w:after="0"/>
        <w:ind w:left="0" w:right="10" w:hanging="0"/>
        <w:jc w:val="both"/>
        <w:rPr/>
      </w:pPr>
      <w:r>
        <w:rPr/>
        <w:t xml:space="preserve">Een </w:t>
      </w:r>
      <w:r>
        <w:rPr>
          <w:b/>
        </w:rPr>
        <w:t>burgerinitiatief</w:t>
      </w:r>
      <w:r>
        <w:rPr/>
        <w:t xml:space="preserve"> moet de zaak aan de Commissie voorleggen en op middellange termijn de goedkeuring mogelijk maken van een </w:t>
      </w:r>
      <w:r>
        <w:rPr>
          <w:b/>
        </w:rPr>
        <w:t>gemeenschappelijke norm</w:t>
      </w:r>
      <w:r>
        <w:rPr/>
        <w:t xml:space="preserve"> tot vaststelling van een kader voor de opvang en sociale integratie van migranten. Op de lange termijn zou deze norm worden ondersteund door de oprichting van een </w:t>
      </w:r>
      <w:r>
        <w:rPr>
          <w:b/>
        </w:rPr>
        <w:t>gespecialiseerd Europees immigratiebureau</w:t>
      </w:r>
      <w:r>
        <w:rPr/>
        <w:t xml:space="preserve"> en de erkenning van het migratiebeleid als een bevoegdheid van de Europese Unie. </w:t>
      </w:r>
    </w:p>
    <w:p>
      <w:pPr>
        <w:pStyle w:val="Normal"/>
        <w:spacing w:lineRule="auto" w:line="240"/>
        <w:rPr/>
      </w:pPr>
      <w:r>
        <w:rPr/>
      </w:r>
    </w:p>
    <w:p>
      <w:pPr>
        <w:pStyle w:val="P68B1DB1Normal42"/>
        <w:spacing w:lineRule="auto" w:line="240"/>
        <w:rPr/>
      </w:pPr>
      <w:r>
        <w:rPr/>
        <w:t xml:space="preserve">Wijziging 14 — Behoud van de specifieke kenmerken (voedseletiketten, ambachtelijke productie, tradities) van de verschillende Europese regio’s, teneinde een uniforme levensstijl te vermijden en de traceerbaarheid en kwaliteit van producten te waarborgen </w:t>
      </w:r>
    </w:p>
    <w:p>
      <w:pPr>
        <w:pStyle w:val="P68B1DB1Normal43"/>
        <w:widowControl w:val="false"/>
        <w:spacing w:lineRule="auto" w:line="240" w:before="347" w:after="0"/>
        <w:ind w:left="0" w:right="912" w:hanging="0"/>
        <w:jc w:val="left"/>
        <w:rPr/>
      </w:pPr>
      <w:r>
        <w:rPr/>
        <w:t xml:space="preserve">Wens van geassocieerd Europa: Een Europa waarin de belangen van elke staat prevaleren </w:t>
      </w:r>
    </w:p>
    <w:p>
      <w:pPr>
        <w:pStyle w:val="P68B1DB1Normal33"/>
        <w:widowControl w:val="false"/>
        <w:spacing w:lineRule="auto" w:line="240" w:before="347" w:after="0"/>
        <w:ind w:left="0" w:right="912" w:hanging="0"/>
        <w:jc w:val="left"/>
        <w:rPr>
          <w:rFonts w:ascii="Times New Roman" w:hAnsi="Times New Roman"/>
          <w:b/>
          <w:b/>
          <w:color w:val="000000"/>
          <w:sz w:val="24"/>
        </w:rPr>
      </w:pPr>
      <w:r>
        <w:rPr/>
        <w:t xml:space="preserve">Wat betekent deze verandering? </w:t>
      </w:r>
    </w:p>
    <w:p>
      <w:pPr>
        <w:pStyle w:val="P68B1DB1Normal7"/>
        <w:widowControl w:val="false"/>
        <w:spacing w:lineRule="auto" w:line="240" w:before="76" w:after="0"/>
        <w:ind w:left="0" w:right="0" w:hanging="0"/>
        <w:jc w:val="left"/>
        <w:rPr/>
      </w:pPr>
      <w:r>
        <w:rPr>
          <w:i/>
          <w:color w:val="000000"/>
        </w:rPr>
        <w:t>Trefwoorden: Europese labels, waardering van de diversiteit van culturen en tradities</w:t>
      </w:r>
      <w:r>
        <w:rPr>
          <w:b/>
          <w:color w:val="273375"/>
        </w:rPr>
        <w:t xml:space="preserve"> </w:t>
      </w:r>
    </w:p>
    <w:p>
      <w:pPr>
        <w:pStyle w:val="P68B1DB1Normal19"/>
        <w:widowControl w:val="false"/>
        <w:spacing w:lineRule="auto" w:line="240" w:before="323" w:after="0"/>
        <w:ind w:left="0" w:right="10" w:hanging="0"/>
        <w:jc w:val="both"/>
        <w:rPr/>
      </w:pPr>
      <w:r>
        <w:rPr/>
        <w:t xml:space="preserve">De ambitie van deze verandering is het behoud van de </w:t>
      </w:r>
      <w:r>
        <w:rPr>
          <w:b/>
        </w:rPr>
        <w:t>diversiteit van de Europese tradities en producties</w:t>
      </w:r>
      <w:r>
        <w:rPr/>
        <w:t xml:space="preserve"> en</w:t>
      </w:r>
      <w:r>
        <w:rPr>
          <w:b/>
        </w:rPr>
        <w:t xml:space="preserve">het vermijden van standaardisering </w:t>
      </w:r>
      <w:r>
        <w:rPr/>
        <w:t>van levensstijlen, vaak aangeduid als kritiek op de Europese Unie.</w:t>
      </w:r>
      <w:r>
        <w:rPr>
          <w:b/>
        </w:rPr>
        <w:t xml:space="preserve"> </w:t>
      </w:r>
    </w:p>
    <w:p>
      <w:pPr>
        <w:pStyle w:val="P68B1DB1Normal33"/>
        <w:widowControl w:val="false"/>
        <w:spacing w:lineRule="auto" w:line="240" w:before="325" w:after="0"/>
        <w:ind w:left="0" w:right="0" w:hanging="0"/>
        <w:jc w:val="left"/>
        <w:rPr>
          <w:rFonts w:ascii="Times New Roman" w:hAnsi="Times New Roman"/>
          <w:b/>
          <w:b/>
          <w:color w:val="000000"/>
          <w:sz w:val="24"/>
        </w:rPr>
      </w:pPr>
      <w:r>
        <w:rPr/>
        <w:t xml:space="preserve">Wat zijn de belangrijkste stappen en succescriteria? </w:t>
      </w:r>
    </w:p>
    <w:p>
      <w:pPr>
        <w:pStyle w:val="P68B1DB1Normal19"/>
        <w:widowControl w:val="false"/>
        <w:spacing w:lineRule="auto" w:line="240" w:before="322" w:after="0"/>
        <w:ind w:left="0" w:right="10" w:hanging="0"/>
        <w:jc w:val="both"/>
        <w:rPr/>
      </w:pPr>
      <w:r>
        <w:rPr/>
        <w:t xml:space="preserve">Voor de burgers is het hoofddoel om de bestaande databank met de verschillende </w:t>
      </w:r>
      <w:r>
        <w:rPr>
          <w:b/>
        </w:rPr>
        <w:t>Europese en nationale labels</w:t>
      </w:r>
      <w:r>
        <w:rPr/>
        <w:t xml:space="preserve"> toegankelijker te maken. Om dit te doen, wordt de oprichting van een „ </w:t>
      </w:r>
      <w:r>
        <w:rPr>
          <w:i/>
        </w:rPr>
        <w:t>drie-klik”</w:t>
      </w:r>
      <w:r>
        <w:rPr/>
        <w:t xml:space="preserve"> -website voorgesteld: Eén klik om toegang te krijgen tot de site, een tweede om een kaart van de regio’s van de Europese Unie weer te geven en één om de beschrijving van de etiketten van elke regio weer te geven. </w:t>
      </w:r>
    </w:p>
    <w:p>
      <w:pPr>
        <w:pStyle w:val="Normal"/>
        <w:widowControl w:val="false"/>
        <w:spacing w:lineRule="auto" w:line="240" w:before="327" w:after="0"/>
        <w:ind w:left="0" w:right="14" w:hanging="0"/>
        <w:jc w:val="left"/>
        <w:rPr/>
      </w:pPr>
      <w:r>
        <w:rPr>
          <w:rFonts w:ascii="Times New Roman" w:hAnsi="Times New Roman"/>
          <w:color w:val="000000"/>
        </w:rPr>
        <w:t xml:space="preserve">Het succes van deze verandering zou bestaan in een betere </w:t>
      </w:r>
      <w:r>
        <w:rPr>
          <w:rFonts w:ascii="Times New Roman" w:hAnsi="Times New Roman"/>
          <w:b/>
          <w:color w:val="000000"/>
        </w:rPr>
        <w:t>communicatie over</w:t>
      </w:r>
      <w:r>
        <w:rPr>
          <w:rFonts w:ascii="Times New Roman" w:hAnsi="Times New Roman"/>
          <w:color w:val="000000"/>
        </w:rPr>
        <w:t xml:space="preserve"> bestaande verworvenheden, wat resulteert in een beter </w:t>
      </w:r>
      <w:r>
        <w:rPr>
          <w:rFonts w:ascii="Times New Roman" w:hAnsi="Times New Roman"/>
          <w:b/>
          <w:color w:val="000000"/>
        </w:rPr>
        <w:t>begrip</w:t>
      </w:r>
      <w:r>
        <w:rPr>
          <w:rFonts w:ascii="Times New Roman" w:hAnsi="Times New Roman"/>
          <w:color w:val="000000"/>
        </w:rPr>
        <w:t xml:space="preserve"> van de diversiteit van de Europese culturen van de kant van de burgers.</w:t>
      </w:r>
      <w:r>
        <w:rPr>
          <w:rFonts w:ascii="Times New Roman" w:hAnsi="Times New Roman"/>
          <w:b/>
          <w:color w:val="273375"/>
        </w:rPr>
        <w:t xml:space="preserve"> </w:t>
      </w:r>
      <w:r>
        <w:br w:type="page"/>
      </w:r>
    </w:p>
    <w:p>
      <w:pPr>
        <w:pStyle w:val="Titre2"/>
        <w:numPr>
          <w:ilvl w:val="1"/>
          <w:numId w:val="2"/>
        </w:numPr>
        <w:rPr/>
      </w:pPr>
      <w:bookmarkStart w:id="212" w:name="__RefHeading___Toc297351_1346298689"/>
      <w:bookmarkEnd w:id="212"/>
      <w:r>
        <w:rPr/>
        <w:t>Tweede deel: presentatie van de resultaten van de raadpleging „Words to Youth”</w:t>
      </w:r>
      <w:r>
        <w:rPr>
          <w:rFonts w:ascii="Times New Roman" w:hAnsi="Times New Roman"/>
          <w:color w:val="000070"/>
          <w:sz w:val="30"/>
        </w:rPr>
        <w:t xml:space="preserve"> </w:t>
      </w:r>
    </w:p>
    <w:p>
      <w:pPr>
        <w:pStyle w:val="P68B1DB1Normal46"/>
        <w:widowControl w:val="false"/>
        <w:spacing w:lineRule="auto" w:line="240" w:before="34" w:after="0"/>
        <w:ind w:left="0" w:right="0" w:hanging="0"/>
        <w:jc w:val="center"/>
        <w:rPr>
          <w:rFonts w:ascii="Times New Roman" w:hAnsi="Times New Roman"/>
          <w:b/>
          <w:b/>
          <w:color w:val="F79646"/>
          <w:sz w:val="24"/>
        </w:rPr>
      </w:pPr>
      <w:r>
        <w:rPr/>
        <w:t xml:space="preserve">De data van de raadpleging </w:t>
      </w:r>
    </w:p>
    <w:p>
      <w:pPr>
        <w:pStyle w:val="P68B1DB1Normal19"/>
        <w:widowControl w:val="false"/>
        <w:spacing w:lineRule="auto" w:line="240" w:before="34" w:after="0"/>
        <w:ind w:left="0" w:right="0" w:hanging="0"/>
        <w:jc w:val="center"/>
        <w:rPr/>
      </w:pPr>
      <w:r>
        <w:rPr/>
        <w:t>van 09/05/2021 tot en met 18/07/2021</w:t>
      </w:r>
      <w:r>
        <w:rPr>
          <w:b/>
        </w:rPr>
        <w:t xml:space="preserve"> </w:t>
      </w:r>
    </w:p>
    <w:p>
      <w:pPr>
        <w:pStyle w:val="P68B1DB1Normal47"/>
        <w:widowControl w:val="false"/>
        <w:spacing w:lineRule="auto" w:line="240" w:before="102" w:after="0"/>
        <w:ind w:left="0" w:right="0" w:hanging="0"/>
        <w:jc w:val="center"/>
        <w:rPr>
          <w:rFonts w:ascii="Times New Roman" w:hAnsi="Times New Roman"/>
          <w:b/>
          <w:b/>
          <w:color w:val="1F497D"/>
          <w:sz w:val="12"/>
        </w:rPr>
      </w:pPr>
      <w:r>
        <w:rPr/>
        <w:t xml:space="preserve"> </w:t>
      </w:r>
    </w:p>
    <w:p>
      <w:pPr>
        <w:pStyle w:val="P68B1DB1Normal48"/>
        <w:widowControl w:val="false"/>
        <w:spacing w:lineRule="auto" w:line="240" w:before="26" w:after="0"/>
        <w:ind w:left="0" w:right="0" w:hanging="0"/>
        <w:jc w:val="center"/>
        <w:rPr/>
      </w:pPr>
      <w:r>
        <w:rPr>
          <w:b/>
        </w:rPr>
        <w:t>Participatiecijfers</w:t>
      </w:r>
      <w:r>
        <w:rPr/>
        <w:t xml:space="preserve"> </w:t>
      </w:r>
    </w:p>
    <w:p>
      <w:pPr>
        <w:pStyle w:val="P68B1DB1Normal19"/>
        <w:widowControl w:val="false"/>
        <w:spacing w:lineRule="auto" w:line="240" w:before="26" w:after="0"/>
        <w:ind w:left="0" w:right="0" w:hanging="0"/>
        <w:jc w:val="center"/>
        <w:rPr>
          <w:rFonts w:ascii="Times New Roman" w:hAnsi="Times New Roman"/>
          <w:color w:val="000000"/>
          <w:sz w:val="24"/>
        </w:rPr>
      </w:pPr>
      <w:r>
        <w:rPr/>
        <w:t xml:space="preserve">50 008 deelnemers </w:t>
      </w:r>
    </w:p>
    <w:p>
      <w:pPr>
        <w:pStyle w:val="P68B1DB1Normal19"/>
        <w:widowControl w:val="false"/>
        <w:spacing w:lineRule="auto" w:line="240" w:before="92" w:after="0"/>
        <w:ind w:left="0" w:right="0" w:hanging="0"/>
        <w:jc w:val="center"/>
        <w:rPr>
          <w:rFonts w:ascii="Times New Roman" w:hAnsi="Times New Roman"/>
          <w:color w:val="000000"/>
          <w:sz w:val="24"/>
        </w:rPr>
      </w:pPr>
      <w:r>
        <w:rPr/>
        <w:t xml:space="preserve">2.918 voorstellen </w:t>
      </w:r>
    </w:p>
    <w:p>
      <w:pPr>
        <w:pStyle w:val="P68B1DB1Normal19"/>
        <w:widowControl w:val="false"/>
        <w:spacing w:lineRule="auto" w:line="240" w:before="90" w:after="0"/>
        <w:ind w:left="0" w:right="0" w:hanging="0"/>
        <w:jc w:val="center"/>
        <w:rPr>
          <w:rFonts w:ascii="Times New Roman" w:hAnsi="Times New Roman"/>
          <w:color w:val="000000"/>
          <w:sz w:val="24"/>
        </w:rPr>
      </w:pPr>
      <w:r>
        <w:rPr/>
        <w:t xml:space="preserve">338 330 stemmen </w:t>
      </w:r>
    </w:p>
    <w:p>
      <w:pPr>
        <w:pStyle w:val="P68B1DB1Normal49"/>
        <w:widowControl w:val="false"/>
        <w:spacing w:lineRule="auto" w:line="240" w:before="106" w:after="0"/>
        <w:ind w:left="4819" w:right="0" w:hanging="0"/>
        <w:jc w:val="left"/>
        <w:rPr>
          <w:rFonts w:ascii="Times New Roman" w:hAnsi="Times New Roman"/>
          <w:color w:val="000000"/>
          <w:sz w:val="12"/>
        </w:rPr>
      </w:pPr>
      <w:r>
        <w:rPr/>
        <w:t xml:space="preserve"> </w:t>
      </w:r>
    </w:p>
    <w:p>
      <w:pPr>
        <w:pStyle w:val="P68B1DB1Normal50"/>
        <w:widowControl w:val="false"/>
        <w:spacing w:lineRule="auto" w:line="240" w:before="30" w:after="0"/>
        <w:ind w:left="0" w:right="28" w:hanging="0"/>
        <w:jc w:val="both"/>
        <w:rPr/>
      </w:pPr>
      <w:r>
        <w:rPr/>
        <w:t xml:space="preserve">De raadpleging „Walk to Youth” is gestart op initiatief van het Staatssecretariaat voor Europese Zaken. Deze raadpleging vindt plaats in het kader van de conferentie over de toekomst van Europa, een ongekende participatieve democratie onder leiding van de Europese instellingen, die tot doel heeft alle Europese burgers in staat te stellen hun mening te geven over wat zij van de Europese Unie verwachten. De lessen uit de raadpleging zullen worden meegenomen in de werkzaamheden van de Conferentie over de toekomst van Europa en het Franse voorzitterschap van de Raad van de Europese Unie. </w:t>
      </w:r>
    </w:p>
    <w:p>
      <w:pPr>
        <w:pStyle w:val="P68B1DB1Normal51"/>
        <w:widowControl w:val="false"/>
        <w:spacing w:lineRule="auto" w:line="240" w:before="210" w:after="0"/>
        <w:ind w:left="0" w:right="0" w:hanging="0"/>
        <w:jc w:val="left"/>
        <w:rPr>
          <w:rFonts w:ascii="Times New Roman" w:hAnsi="Times New Roman"/>
          <w:b/>
          <w:b/>
          <w:color w:val="222222"/>
          <w:sz w:val="24"/>
        </w:rPr>
      </w:pPr>
      <w:r>
        <w:rPr/>
        <w:t xml:space="preserve">4 hoofdlessen </w:t>
      </w:r>
    </w:p>
    <w:p>
      <w:pPr>
        <w:pStyle w:val="P68B1DB1Normal34"/>
        <w:widowControl w:val="false"/>
        <w:spacing w:lineRule="auto" w:line="240" w:before="78" w:after="0"/>
        <w:ind w:left="360" w:right="0" w:hanging="0"/>
        <w:jc w:val="left"/>
        <w:rPr/>
      </w:pPr>
      <w:r>
        <w:rPr>
          <w:rFonts w:ascii="Times New Roman" w:hAnsi="Times New Roman"/>
        </w:rPr>
        <w:t>1.</w:t>
      </w:r>
      <w:r>
        <w:rPr/>
        <w:t xml:space="preserve"> </w:t>
      </w:r>
      <w:r>
        <w:rPr>
          <w:rFonts w:ascii="Times New Roman" w:hAnsi="Times New Roman"/>
        </w:rPr>
        <w:t>Een massale mobilisatie van jongeren: meer dan</w:t>
      </w:r>
      <w:r>
        <w:rPr>
          <w:rFonts w:ascii="Times New Roman" w:hAnsi="Times New Roman"/>
          <w:b/>
        </w:rPr>
        <w:t xml:space="preserve"> 50.000 jonge Franse burgers namen </w:t>
      </w:r>
      <w:r>
        <w:rPr>
          <w:rFonts w:ascii="Times New Roman" w:hAnsi="Times New Roman"/>
        </w:rPr>
        <w:t xml:space="preserve">deel aan de raadpleging, in alle gebieden. </w:t>
      </w:r>
    </w:p>
    <w:p>
      <w:pPr>
        <w:pStyle w:val="P68B1DB1Normal34"/>
        <w:widowControl w:val="false"/>
        <w:spacing w:lineRule="auto" w:line="240" w:before="86" w:after="0"/>
        <w:ind w:left="360" w:right="0" w:hanging="0"/>
        <w:jc w:val="left"/>
        <w:rPr/>
      </w:pPr>
      <w:r>
        <w:rPr>
          <w:rFonts w:ascii="Times New Roman" w:hAnsi="Times New Roman"/>
        </w:rPr>
        <w:t>2.</w:t>
      </w:r>
      <w:r>
        <w:rPr/>
        <w:t xml:space="preserve"> </w:t>
      </w:r>
      <w:r>
        <w:rPr>
          <w:rFonts w:ascii="Times New Roman" w:hAnsi="Times New Roman"/>
          <w:b/>
        </w:rPr>
        <w:t>De</w:t>
      </w:r>
      <w:r>
        <w:rPr>
          <w:rFonts w:ascii="Times New Roman" w:hAnsi="Times New Roman"/>
        </w:rPr>
        <w:t xml:space="preserve"> belangrijkste consensus </w:t>
      </w:r>
      <w:r>
        <w:rPr>
          <w:rFonts w:ascii="Times New Roman" w:hAnsi="Times New Roman"/>
          <w:b/>
        </w:rPr>
        <w:t>betreft het Europees beleid ter bestrijding van klimaatverandering, de verplaatsing van productie naar Europa, de revitalisering van de Europese democratie, het gewicht van de EU in de wereld (economie, onderzoek, mensenrechten, diplomatie).</w:t>
      </w:r>
    </w:p>
    <w:p>
      <w:pPr>
        <w:pStyle w:val="Normal"/>
        <w:spacing w:lineRule="auto" w:line="240"/>
        <w:rPr>
          <w:rFonts w:ascii="Times New Roman" w:hAnsi="Times New Roman"/>
          <w:color w:val="000000"/>
          <w:sz w:val="24"/>
        </w:rPr>
      </w:pPr>
      <w:r>
        <w:rPr>
          <w:rFonts w:ascii="Times New Roman" w:hAnsi="Times New Roman"/>
          <w:color w:val="000000"/>
          <w:sz w:val="24"/>
        </w:rPr>
      </w:r>
    </w:p>
    <w:p>
      <w:pPr>
        <w:pStyle w:val="P68B1DB1Normal34"/>
        <w:widowControl w:val="false"/>
        <w:spacing w:lineRule="auto" w:line="240" w:before="88" w:after="0"/>
        <w:ind w:left="360" w:right="0" w:hanging="0"/>
        <w:jc w:val="left"/>
        <w:rPr/>
      </w:pPr>
      <w:r>
        <w:rPr>
          <w:rFonts w:ascii="Times New Roman" w:hAnsi="Times New Roman"/>
        </w:rPr>
        <w:t>3.</w:t>
      </w:r>
      <w:r>
        <w:rPr/>
        <w:t xml:space="preserve"> </w:t>
      </w:r>
      <w:r>
        <w:rPr>
          <w:rFonts w:ascii="Times New Roman" w:hAnsi="Times New Roman"/>
        </w:rPr>
        <w:t>Het</w:t>
      </w:r>
      <w:r>
        <w:rPr>
          <w:rFonts w:ascii="Times New Roman" w:hAnsi="Times New Roman"/>
          <w:b/>
        </w:rPr>
        <w:t>idee van een krachtiger en meer verenigd Europa gaat door de hele raadpleging</w:t>
      </w:r>
      <w:r>
        <w:rPr>
          <w:rFonts w:ascii="Times New Roman" w:hAnsi="Times New Roman"/>
        </w:rPr>
        <w:t xml:space="preserve">, waarbij consensus wordt bereikt over verschillende punten: </w:t>
      </w:r>
    </w:p>
    <w:p>
      <w:pPr>
        <w:pStyle w:val="P68B1DB1Normal34"/>
        <w:widowControl w:val="false"/>
        <w:spacing w:lineRule="auto" w:line="240" w:before="92" w:after="0"/>
        <w:ind w:left="360" w:right="0" w:hanging="0"/>
        <w:jc w:val="left"/>
        <w:rPr/>
      </w:pPr>
      <w:r>
        <w:rPr>
          <w:rFonts w:ascii="Times New Roman" w:hAnsi="Times New Roman"/>
        </w:rPr>
        <w:t>Een</w:t>
      </w:r>
      <w:r>
        <w:rPr/>
        <w:t xml:space="preserve"> </w:t>
      </w:r>
      <w:r>
        <w:rPr>
          <w:rFonts w:ascii="Times New Roman" w:hAnsi="Times New Roman"/>
        </w:rPr>
        <w:t xml:space="preserve">sterker Europa economisch (met name door herplaatsing) om China of de Verenigde Staten het hoofd te bieden </w:t>
      </w:r>
    </w:p>
    <w:p>
      <w:pPr>
        <w:pStyle w:val="P68B1DB1Normal34"/>
        <w:widowControl w:val="false"/>
        <w:spacing w:lineRule="auto" w:line="240" w:before="92" w:after="0"/>
        <w:ind w:left="360" w:right="0" w:hanging="0"/>
        <w:jc w:val="left"/>
        <w:rPr/>
      </w:pPr>
      <w:r>
        <w:rPr>
          <w:rFonts w:ascii="Times New Roman" w:hAnsi="Times New Roman"/>
        </w:rPr>
        <w:t>Een</w:t>
      </w:r>
      <w:r>
        <w:rPr/>
        <w:t xml:space="preserve"> </w:t>
      </w:r>
      <w:r>
        <w:rPr>
          <w:rFonts w:ascii="Times New Roman" w:hAnsi="Times New Roman"/>
        </w:rPr>
        <w:t xml:space="preserve">diplomatiek Europa dat meer weegt op het internationale toneel </w:t>
      </w:r>
    </w:p>
    <w:p>
      <w:pPr>
        <w:pStyle w:val="P68B1DB1Normal34"/>
        <w:widowControl w:val="false"/>
        <w:spacing w:lineRule="auto" w:line="240" w:before="85" w:after="0"/>
        <w:ind w:left="360" w:right="1483" w:hanging="0"/>
        <w:jc w:val="left"/>
        <w:rPr/>
      </w:pPr>
      <w:r>
        <w:rPr>
          <w:rFonts w:ascii="Times New Roman" w:hAnsi="Times New Roman"/>
        </w:rPr>
        <w:t>-</w:t>
      </w:r>
      <w:r>
        <w:rPr/>
        <w:t xml:space="preserve"> </w:t>
      </w:r>
      <w:r>
        <w:rPr>
          <w:rFonts w:ascii="Times New Roman" w:hAnsi="Times New Roman"/>
        </w:rPr>
        <w:t>Een Europaleider in de strijd tegen klimaatverandering in de wereld</w:t>
      </w:r>
    </w:p>
    <w:p>
      <w:pPr>
        <w:pStyle w:val="P68B1DB1Normal34"/>
        <w:widowControl w:val="false"/>
        <w:spacing w:lineRule="auto" w:line="240" w:before="85" w:after="0"/>
        <w:ind w:left="360" w:right="1483" w:hanging="0"/>
        <w:jc w:val="left"/>
        <w:rPr/>
      </w:pPr>
      <w:r>
        <w:rPr>
          <w:rFonts w:ascii="Times New Roman" w:hAnsi="Times New Roman"/>
        </w:rPr>
        <w:t>Een</w:t>
      </w:r>
      <w:r>
        <w:rPr/>
        <w:t xml:space="preserve"> </w:t>
      </w:r>
      <w:r>
        <w:rPr>
          <w:rFonts w:ascii="Times New Roman" w:hAnsi="Times New Roman"/>
        </w:rPr>
        <w:t xml:space="preserve">Europa samengebracht door zijn jeugd </w:t>
      </w:r>
    </w:p>
    <w:p>
      <w:pPr>
        <w:pStyle w:val="P68B1DB1Normal34"/>
        <w:widowControl w:val="false"/>
        <w:spacing w:lineRule="auto" w:line="240" w:before="85" w:after="0"/>
        <w:ind w:left="360" w:right="0" w:hanging="0"/>
        <w:jc w:val="left"/>
        <w:rPr/>
      </w:pPr>
      <w:r>
        <w:rPr>
          <w:rFonts w:ascii="Times New Roman" w:hAnsi="Times New Roman"/>
        </w:rPr>
        <w:t>Een</w:t>
      </w:r>
      <w:r>
        <w:rPr/>
        <w:t xml:space="preserve"> </w:t>
      </w:r>
      <w:r>
        <w:rPr>
          <w:rFonts w:ascii="Times New Roman" w:hAnsi="Times New Roman"/>
        </w:rPr>
        <w:t xml:space="preserve">verenigd Europa op het gebied van onderzoek en innovatie </w:t>
      </w:r>
    </w:p>
    <w:p>
      <w:pPr>
        <w:pStyle w:val="P68B1DB1Normal19"/>
        <w:widowControl w:val="false"/>
        <w:spacing w:lineRule="auto" w:line="240" w:before="88" w:after="0"/>
        <w:ind w:left="720" w:right="0" w:hanging="0"/>
        <w:jc w:val="left"/>
        <w:rPr>
          <w:rFonts w:ascii="Times New Roman" w:hAnsi="Times New Roman"/>
          <w:color w:val="000000"/>
          <w:sz w:val="24"/>
        </w:rPr>
      </w:pPr>
      <w:r>
        <w:rPr/>
        <w:t xml:space="preserve"> </w:t>
      </w:r>
    </w:p>
    <w:p>
      <w:pPr>
        <w:pStyle w:val="P68B1DB1Normal34"/>
        <w:widowControl w:val="false"/>
        <w:spacing w:lineRule="auto" w:line="240" w:before="86" w:after="0"/>
        <w:ind w:left="360" w:right="1128" w:hanging="0"/>
        <w:jc w:val="left"/>
        <w:rPr/>
      </w:pPr>
      <w:r>
        <w:rPr>
          <w:rFonts w:ascii="Times New Roman" w:hAnsi="Times New Roman"/>
        </w:rPr>
        <w:t>4.</w:t>
      </w:r>
      <w:r>
        <w:rPr/>
        <w:t xml:space="preserve"> </w:t>
      </w:r>
      <w:r>
        <w:rPr>
          <w:rFonts w:ascii="Times New Roman" w:hAnsi="Times New Roman"/>
          <w:b/>
        </w:rPr>
        <w:t>Vier complementaire ideeën</w:t>
      </w:r>
      <w:r>
        <w:rPr>
          <w:rFonts w:ascii="Times New Roman" w:hAnsi="Times New Roman"/>
        </w:rPr>
        <w:t xml:space="preserve"> voor die van de burgerpanels werden ook verwelkomd door jongeren: </w:t>
      </w:r>
    </w:p>
    <w:p>
      <w:pPr>
        <w:pStyle w:val="P68B1DB1Normal34"/>
        <w:widowControl w:val="false"/>
        <w:spacing w:lineRule="auto" w:line="240" w:before="90" w:after="0"/>
        <w:ind w:left="360" w:right="0" w:hanging="0"/>
        <w:jc w:val="left"/>
        <w:rPr/>
      </w:pPr>
      <w:r>
        <w:rPr>
          <w:rFonts w:ascii="Times New Roman" w:hAnsi="Times New Roman"/>
        </w:rPr>
        <w:t>Een</w:t>
      </w:r>
      <w:r>
        <w:rPr/>
        <w:t xml:space="preserve"> </w:t>
      </w:r>
      <w:r>
        <w:rPr>
          <w:rFonts w:ascii="Times New Roman" w:hAnsi="Times New Roman"/>
        </w:rPr>
        <w:t xml:space="preserve">ecologisch en sociaal verantwoorde Europese economie </w:t>
      </w:r>
    </w:p>
    <w:p>
      <w:pPr>
        <w:pStyle w:val="P68B1DB1Normal34"/>
        <w:widowControl w:val="false"/>
        <w:spacing w:lineRule="auto" w:line="240" w:before="88" w:after="0"/>
        <w:ind w:left="360" w:right="0" w:hanging="0"/>
        <w:jc w:val="left"/>
        <w:rPr/>
      </w:pPr>
      <w:r>
        <w:rPr>
          <w:rFonts w:ascii="Times New Roman" w:hAnsi="Times New Roman"/>
        </w:rPr>
        <w:t>-</w:t>
      </w:r>
      <w:r>
        <w:rPr/>
        <w:t xml:space="preserve"> </w:t>
      </w:r>
      <w:r>
        <w:rPr>
          <w:rFonts w:ascii="Times New Roman" w:hAnsi="Times New Roman"/>
        </w:rPr>
        <w:t xml:space="preserve">Een geografisch meer verbonden Europa per spoor </w:t>
      </w:r>
    </w:p>
    <w:p>
      <w:pPr>
        <w:pStyle w:val="P68B1DB1Normal34"/>
        <w:widowControl w:val="false"/>
        <w:spacing w:lineRule="auto" w:line="240" w:before="85" w:after="0"/>
        <w:ind w:left="360" w:right="0" w:hanging="0"/>
        <w:jc w:val="left"/>
        <w:rPr/>
      </w:pPr>
      <w:r>
        <w:rPr>
          <w:rFonts w:ascii="Times New Roman" w:hAnsi="Times New Roman"/>
        </w:rPr>
        <w:t>Een</w:t>
      </w:r>
      <w:r>
        <w:rPr/>
        <w:t xml:space="preserve"> </w:t>
      </w:r>
      <w:r>
        <w:rPr>
          <w:rFonts w:ascii="Times New Roman" w:hAnsi="Times New Roman"/>
        </w:rPr>
        <w:t xml:space="preserve">fiscaal eerlijker Europa </w:t>
      </w:r>
    </w:p>
    <w:p>
      <w:pPr>
        <w:pStyle w:val="P68B1DB1Normal34"/>
        <w:widowControl w:val="false"/>
        <w:spacing w:lineRule="auto" w:line="240" w:before="88" w:after="0"/>
        <w:ind w:left="360" w:right="0" w:hanging="0"/>
        <w:jc w:val="left"/>
        <w:rPr/>
      </w:pPr>
      <w:r>
        <w:rPr>
          <w:rFonts w:ascii="Times New Roman" w:hAnsi="Times New Roman"/>
        </w:rPr>
        <w:t>Krachtig</w:t>
      </w:r>
      <w:r>
        <w:rPr/>
        <w:t xml:space="preserve"> </w:t>
      </w:r>
      <w:r>
        <w:rPr>
          <w:rFonts w:ascii="Times New Roman" w:hAnsi="Times New Roman"/>
        </w:rPr>
        <w:t xml:space="preserve">optreden van de Europese Unie ter ondersteuning van de rechten van de vrouw </w:t>
      </w:r>
    </w:p>
    <w:p>
      <w:pPr>
        <w:pStyle w:val="Normal"/>
        <w:widowControl w:val="false"/>
        <w:spacing w:lineRule="auto" w:line="240" w:before="85" w:after="0"/>
        <w:ind w:left="0" w:right="0" w:hanging="0"/>
        <w:jc w:val="left"/>
        <w:rPr>
          <w:rFonts w:ascii="Times New Roman" w:hAnsi="Times New Roman"/>
          <w:color w:val="000000"/>
          <w:sz w:val="24"/>
        </w:rPr>
      </w:pPr>
      <w:r>
        <w:rPr>
          <w:rFonts w:ascii="Times New Roman" w:hAnsi="Times New Roman"/>
          <w:color w:val="000000"/>
          <w:sz w:val="24"/>
        </w:rPr>
      </w:r>
      <w:r>
        <w:br w:type="page"/>
      </w:r>
    </w:p>
    <w:p>
      <w:pPr>
        <w:pStyle w:val="P68B1DB1Normal33"/>
        <w:widowControl w:val="false"/>
        <w:spacing w:lineRule="auto" w:line="240" w:before="85" w:after="0"/>
        <w:ind w:left="0" w:right="0" w:hanging="0"/>
        <w:jc w:val="left"/>
        <w:rPr/>
      </w:pPr>
      <w:r>
        <w:rPr/>
        <w:t xml:space="preserve">22 populaire ideeën en 13 controversiële ideeën verspreid over de 9 thema’s van de conferentie over de toekomst van Europa </w:t>
      </w:r>
    </w:p>
    <w:p>
      <w:pPr>
        <w:pStyle w:val="P68B1DB1Normal19"/>
        <w:widowControl w:val="false"/>
        <w:spacing w:lineRule="auto" w:line="240" w:before="80" w:after="0"/>
        <w:ind w:left="0" w:right="0" w:hanging="0"/>
        <w:jc w:val="left"/>
        <w:rPr>
          <w:rFonts w:ascii="Times New Roman" w:hAnsi="Times New Roman"/>
          <w:color w:val="000000"/>
          <w:sz w:val="24"/>
        </w:rPr>
      </w:pPr>
      <w:r>
        <w:rPr/>
        <w:t xml:space="preserve"> </w:t>
      </w:r>
    </w:p>
    <w:p>
      <w:pPr>
        <w:pStyle w:val="P68B1DB1Normal52"/>
        <w:widowControl w:val="false"/>
        <w:spacing w:lineRule="auto" w:line="240" w:before="96" w:after="0"/>
        <w:ind w:left="0" w:right="0" w:hanging="0"/>
        <w:jc w:val="both"/>
        <w:rPr/>
      </w:pPr>
      <w:r>
        <w:rPr>
          <w:color w:val="38761D"/>
        </w:rPr>
        <w:t>De veelgeprezen ideeën</w:t>
      </w:r>
      <w:r>
        <w:rPr>
          <w:color w:val="000000"/>
        </w:rPr>
        <w:t xml:space="preserve"> zijn gebaseerd op de voorstellen die meestal worden ondersteund door de deelnemers aan de raadpleging. De veelgeprezen voorstellen zijn de voorstellen die de meeste steun krijgen, ze profiteren gemiddeld </w:t>
      </w:r>
      <w:r>
        <w:rPr>
          <w:b/>
          <w:color w:val="000000"/>
        </w:rPr>
        <w:t>79 % van de „stemmen voor”</w:t>
      </w:r>
      <w:r>
        <w:rPr>
          <w:color w:val="000000"/>
        </w:rPr>
        <w:t xml:space="preserve">. </w:t>
      </w:r>
    </w:p>
    <w:p>
      <w:pPr>
        <w:pStyle w:val="P68B1DB1Normal44"/>
        <w:widowControl w:val="false"/>
        <w:spacing w:lineRule="auto" w:line="240" w:before="94" w:after="0"/>
        <w:ind w:left="0" w:right="0" w:hanging="0"/>
        <w:jc w:val="left"/>
        <w:rPr>
          <w:rFonts w:ascii="Times New Roman" w:hAnsi="Times New Roman"/>
          <w:i/>
          <w:i/>
          <w:color w:val="000000"/>
          <w:sz w:val="24"/>
        </w:rPr>
      </w:pPr>
      <w:r>
        <w:rPr/>
        <w:t xml:space="preserve"> </w:t>
      </w:r>
    </w:p>
    <w:p>
      <w:pPr>
        <w:pStyle w:val="P68B1DB1Normal52"/>
        <w:widowControl w:val="false"/>
        <w:spacing w:lineRule="auto" w:line="240" w:before="96" w:after="0"/>
        <w:ind w:left="0" w:right="0" w:hanging="0"/>
        <w:jc w:val="both"/>
        <w:rPr/>
      </w:pPr>
      <w:r>
        <w:rPr>
          <w:color w:val="FF9900"/>
        </w:rPr>
        <w:t>De controversiële ideeën</w:t>
      </w:r>
      <w:r>
        <w:rPr>
          <w:color w:val="000000"/>
        </w:rPr>
        <w:t xml:space="preserve"> zijn gebaseerd op de voorstellen die de deelnemers aan de raadpleging het meest hebben besproken, met een evenwicht tussen stemmen voor en tegen. De controversiële voorstellen zijn de meest besproken voorstellen van de raadpleging, waarbij gemiddeld </w:t>
      </w:r>
      <w:r>
        <w:rPr>
          <w:b/>
          <w:color w:val="000000"/>
        </w:rPr>
        <w:t>40 % van de „stemmen voor”</w:t>
      </w:r>
      <w:r>
        <w:rPr>
          <w:color w:val="000000"/>
        </w:rPr>
        <w:t xml:space="preserve"> en </w:t>
      </w:r>
      <w:r>
        <w:rPr>
          <w:b/>
          <w:color w:val="000000"/>
        </w:rPr>
        <w:t>38 % van de „stemmen tegen”</w:t>
      </w:r>
      <w:r>
        <w:rPr>
          <w:color w:val="000000"/>
        </w:rPr>
        <w:t xml:space="preserve"> worden benut. </w:t>
      </w:r>
    </w:p>
    <w:p>
      <w:pPr>
        <w:pStyle w:val="P68B1DB1Normal44"/>
        <w:widowControl w:val="false"/>
        <w:spacing w:lineRule="auto" w:line="240" w:before="96" w:after="0"/>
        <w:ind w:left="0" w:right="0" w:hanging="0"/>
        <w:jc w:val="left"/>
        <w:rPr>
          <w:rFonts w:ascii="Times New Roman" w:hAnsi="Times New Roman"/>
          <w:i/>
          <w:i/>
          <w:color w:val="000000"/>
          <w:sz w:val="24"/>
        </w:rPr>
      </w:pPr>
      <w:r>
        <w:rPr/>
        <w:t xml:space="preserve"> </w:t>
      </w:r>
    </w:p>
    <w:p>
      <w:pPr>
        <w:pStyle w:val="Normal"/>
        <w:widowControl w:val="false"/>
        <w:spacing w:lineRule="auto" w:line="240" w:before="90" w:after="0"/>
        <w:ind w:left="0" w:right="0" w:hanging="0"/>
        <w:jc w:val="both"/>
        <w:rPr/>
      </w:pPr>
      <w:r>
        <w:rPr>
          <w:rFonts w:ascii="Times New Roman" w:hAnsi="Times New Roman"/>
          <w:color w:val="000000"/>
          <w:sz w:val="24"/>
        </w:rPr>
        <w:t xml:space="preserve">De analyse van deze voorstellen identificeerde 22 veelgeprezen ideeën en 13 controversiële ideeën. Deze 22 veelgeprezen ideeën en de 13 controversiële ideeën werden onderverdeeld in 9 assen die overeenkomen met de hoofdthema’s van de conferentie over de toekomst van Europa. </w:t>
      </w:r>
      <w:r>
        <w:br w:type="page"/>
      </w:r>
    </w:p>
    <w:p>
      <w:pPr>
        <w:pStyle w:val="Normal"/>
        <w:widowControl w:val="false"/>
        <w:spacing w:lineRule="auto" w:line="240" w:before="85" w:after="0"/>
        <w:ind w:left="0" w:right="0" w:hanging="0"/>
        <w:jc w:val="left"/>
        <w:rPr/>
      </w:pPr>
      <w:r>
        <w:rPr/>
        <w:t>Synthese van veelgeprezen en controversiële ideeën</w:t>
      </w:r>
      <w:r>
        <w:rPr>
          <w:rFonts w:ascii="Times New Roman" w:hAnsi="Times New Roman"/>
          <w:color w:val="000000"/>
          <w:sz w:val="24"/>
        </w:rPr>
        <w:t xml:space="preserve"> </w:t>
      </w:r>
    </w:p>
    <w:tbl>
      <w:tblPr>
        <w:tblW w:w="9638" w:type="dxa"/>
        <w:jc w:val="left"/>
        <w:tblInd w:w="-5" w:type="dxa"/>
        <w:tblBorders>
          <w:top w:val="single" w:sz="4" w:space="0" w:color="000001"/>
          <w:left w:val="single" w:sz="4" w:space="0" w:color="000001"/>
          <w:bottom w:val="single" w:sz="4" w:space="0" w:color="000001"/>
          <w:right w:val="single" w:sz="4" w:space="0" w:color="000001"/>
          <w:insideH w:val="single" w:sz="4" w:space="0" w:color="000001"/>
          <w:insideV w:val="single" w:sz="4" w:space="0" w:color="000001"/>
        </w:tblBorders>
        <w:tblCellMar>
          <w:top w:w="55" w:type="dxa"/>
          <w:left w:w="50" w:type="dxa"/>
          <w:bottom w:w="55" w:type="dxa"/>
          <w:right w:w="55" w:type="dxa"/>
        </w:tblCellMar>
      </w:tblPr>
      <w:tblGrid>
        <w:gridCol w:w="2409"/>
        <w:gridCol w:w="803"/>
        <w:gridCol w:w="1606"/>
        <w:gridCol w:w="1607"/>
        <w:gridCol w:w="803"/>
        <w:gridCol w:w="2409"/>
      </w:tblGrid>
      <w:tr>
        <w:trPr/>
        <w:tc>
          <w:tcPr>
            <w:tcW w:w="9637" w:type="dxa"/>
            <w:gridSpan w:val="6"/>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3"/>
              <w:spacing w:before="57" w:after="57"/>
              <w:jc w:val="center"/>
              <w:rPr>
                <w:color w:val="FFFFFF"/>
                <w:sz w:val="18"/>
                <w:highlight w:val="darkCyan"/>
              </w:rPr>
            </w:pPr>
            <w:r>
              <w:rPr/>
              <w:t>Klimaatverandering en milieu</w:t>
            </w:r>
          </w:p>
        </w:tc>
      </w:tr>
      <w:tr>
        <w:trPr/>
        <w:tc>
          <w:tcPr>
            <w:tcW w:w="3212"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sz w:val="18"/>
              </w:rPr>
            </w:pPr>
            <w:r>
              <w:rPr/>
              <w:t>Totstandbrenging van een sterker Europees ecologisch beleid</w:t>
            </w:r>
          </w:p>
        </w:tc>
        <w:tc>
          <w:tcPr>
            <w:tcW w:w="3213"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sz w:val="18"/>
              </w:rPr>
            </w:pPr>
            <w:r>
              <w:rPr/>
              <w:t>Op weg naar een duurzamere landbouw</w:t>
            </w:r>
          </w:p>
        </w:tc>
        <w:tc>
          <w:tcPr>
            <w:tcW w:w="3212" w:type="dxa"/>
            <w:gridSpan w:val="2"/>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4"/>
              <w:spacing w:before="57" w:after="57"/>
              <w:jc w:val="center"/>
              <w:rPr>
                <w:sz w:val="18"/>
              </w:rPr>
            </w:pPr>
            <w:r>
              <w:rPr/>
              <w:t>Krachtiger optreden voor de bescherming van de biodiversiteit</w:t>
            </w:r>
          </w:p>
        </w:tc>
      </w:tr>
      <w:tr>
        <w:trPr/>
        <w:tc>
          <w:tcPr>
            <w:tcW w:w="3212"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sz w:val="18"/>
              </w:rPr>
            </w:pPr>
            <w:r>
              <w:rPr/>
              <w:t>Ontwikkeling van het spoorvervoer in de EU</w:t>
            </w:r>
          </w:p>
        </w:tc>
        <w:tc>
          <w:tcPr>
            <w:tcW w:w="3213"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sz w:val="18"/>
              </w:rPr>
            </w:pPr>
            <w:r>
              <w:rPr/>
              <w:t>Versnel de energietransitie</w:t>
            </w:r>
          </w:p>
        </w:tc>
        <w:tc>
          <w:tcPr>
            <w:tcW w:w="3212" w:type="dxa"/>
            <w:gridSpan w:val="2"/>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4"/>
              <w:spacing w:before="57" w:after="57"/>
              <w:jc w:val="center"/>
              <w:rPr>
                <w:sz w:val="18"/>
              </w:rPr>
            </w:pPr>
            <w:r>
              <w:rPr/>
              <w:t>Verpakking beperken en afvalbeheer verbeteren</w:t>
            </w:r>
          </w:p>
        </w:tc>
      </w:tr>
      <w:tr>
        <w:trPr/>
        <w:tc>
          <w:tcPr>
            <w:tcW w:w="3212"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sz w:val="18"/>
              </w:rPr>
            </w:pPr>
            <w:r>
              <w:rPr/>
              <w:t>Bewustmaking van het milieu</w:t>
            </w:r>
          </w:p>
        </w:tc>
        <w:tc>
          <w:tcPr>
            <w:tcW w:w="3213"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sz w:val="18"/>
              </w:rPr>
            </w:pPr>
            <w:r>
              <w:rPr>
                <w:rFonts w:eastAsia="Wingdings" w:cs="Wingdings" w:ascii="Wingdings" w:hAnsi="Wingdings"/>
              </w:rPr>
              <w:t xml:space="preserve"> </w:t>
            </w:r>
            <w:r>
              <w:rPr/>
              <w:t>Milieuvriendelijke bouwprocessen bevorderen</w:t>
            </w:r>
          </w:p>
        </w:tc>
        <w:tc>
          <w:tcPr>
            <w:tcW w:w="3212" w:type="dxa"/>
            <w:gridSpan w:val="2"/>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4"/>
              <w:spacing w:before="57" w:after="57"/>
              <w:jc w:val="center"/>
              <w:rPr>
                <w:sz w:val="18"/>
              </w:rPr>
            </w:pPr>
            <w:r>
              <w:rPr/>
              <w:t>Meer investeren in kernenergie</w:t>
            </w:r>
          </w:p>
        </w:tc>
      </w:tr>
      <w:tr>
        <w:trPr/>
        <w:tc>
          <w:tcPr>
            <w:tcW w:w="9637" w:type="dxa"/>
            <w:gridSpan w:val="6"/>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5"/>
              <w:spacing w:before="57" w:after="57"/>
              <w:jc w:val="center"/>
              <w:rPr>
                <w:color w:val="FFFFFF"/>
                <w:sz w:val="18"/>
                <w:highlight w:val="darkCyan"/>
              </w:rPr>
            </w:pPr>
            <w:r>
              <w:rPr/>
              <w:t>Europese democratie</w:t>
            </w:r>
          </w:p>
        </w:tc>
      </w:tr>
      <w:tr>
        <w:trPr/>
        <w:tc>
          <w:tcPr>
            <w:tcW w:w="3212"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sz w:val="18"/>
              </w:rPr>
            </w:pPr>
            <w:r>
              <w:rPr/>
              <w:t>Beter communiceren over de rol en het werk van de EU</w:t>
            </w:r>
          </w:p>
        </w:tc>
        <w:tc>
          <w:tcPr>
            <w:tcW w:w="3213"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sz w:val="18"/>
              </w:rPr>
            </w:pPr>
            <w:r>
              <w:rPr/>
              <w:t>Wijziging van de democratische werking van de Europese Unie</w:t>
            </w:r>
          </w:p>
        </w:tc>
        <w:tc>
          <w:tcPr>
            <w:tcW w:w="3212" w:type="dxa"/>
            <w:gridSpan w:val="2"/>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4"/>
              <w:spacing w:before="57" w:after="57"/>
              <w:jc w:val="center"/>
              <w:rPr>
                <w:sz w:val="18"/>
              </w:rPr>
            </w:pPr>
            <w:r>
              <w:rPr>
                <w:rFonts w:eastAsia="Wingdings" w:cs="Wingdings" w:ascii="Wingdings" w:hAnsi="Wingdings"/>
              </w:rPr>
              <w:t xml:space="preserve"> </w:t>
            </w:r>
            <w:r>
              <w:rPr/>
              <w:t>Bestrijding van desinformatie</w:t>
            </w:r>
          </w:p>
        </w:tc>
      </w:tr>
      <w:tr>
        <w:trPr/>
        <w:tc>
          <w:tcPr>
            <w:tcW w:w="3212"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sz w:val="18"/>
              </w:rPr>
            </w:pPr>
            <w:r>
              <w:rPr/>
              <w:t>Van Europa een federatie maken</w:t>
            </w:r>
          </w:p>
        </w:tc>
        <w:tc>
          <w:tcPr>
            <w:tcW w:w="3213"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sz w:val="18"/>
              </w:rPr>
            </w:pPr>
            <w:r>
              <w:rPr/>
              <w:t>Meer autonomie aan de lidstatenoverlaten</w:t>
            </w:r>
          </w:p>
        </w:tc>
        <w:tc>
          <w:tcPr>
            <w:tcW w:w="3212" w:type="dxa"/>
            <w:gridSpan w:val="2"/>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4"/>
              <w:spacing w:before="57" w:after="57"/>
              <w:jc w:val="center"/>
              <w:rPr>
                <w:sz w:val="18"/>
              </w:rPr>
            </w:pPr>
            <w:r>
              <w:rPr/>
              <w:t>Versterking van de Europese uitvoerende macht</w:t>
            </w:r>
          </w:p>
        </w:tc>
      </w:tr>
      <w:tr>
        <w:trPr/>
        <w:tc>
          <w:tcPr>
            <w:tcW w:w="3212"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sz w:val="18"/>
              </w:rPr>
            </w:pPr>
            <w:r>
              <w:rPr/>
              <w:t>Jongeren een plaats geven in de Europese instellingen</w:t>
            </w:r>
          </w:p>
        </w:tc>
        <w:tc>
          <w:tcPr>
            <w:tcW w:w="3213" w:type="dxa"/>
            <w:gridSpan w:val="2"/>
            <w:tcBorders>
              <w:left w:val="single" w:sz="4" w:space="0" w:color="000001"/>
              <w:bottom w:val="single" w:sz="4" w:space="0" w:color="000001"/>
              <w:insideH w:val="single" w:sz="4" w:space="0" w:color="000001"/>
            </w:tcBorders>
            <w:shd w:fill="auto" w:val="clear"/>
          </w:tcPr>
          <w:p>
            <w:pPr>
              <w:pStyle w:val="Contenudetableau"/>
              <w:spacing w:before="57" w:after="57"/>
              <w:jc w:val="center"/>
              <w:rPr>
                <w:sz w:val="18"/>
              </w:rPr>
            </w:pPr>
            <w:r>
              <w:rPr>
                <w:sz w:val="18"/>
              </w:rPr>
            </w:r>
          </w:p>
        </w:tc>
        <w:tc>
          <w:tcPr>
            <w:tcW w:w="3212" w:type="dxa"/>
            <w:gridSpan w:val="2"/>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Contenudetableau"/>
              <w:spacing w:before="57" w:after="57"/>
              <w:jc w:val="center"/>
              <w:rPr>
                <w:sz w:val="18"/>
              </w:rPr>
            </w:pPr>
            <w:r>
              <w:rPr>
                <w:sz w:val="18"/>
              </w:rPr>
            </w:r>
          </w:p>
        </w:tc>
      </w:tr>
      <w:tr>
        <w:trPr/>
        <w:tc>
          <w:tcPr>
            <w:tcW w:w="9637" w:type="dxa"/>
            <w:gridSpan w:val="6"/>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6"/>
              <w:spacing w:before="57" w:after="57"/>
              <w:jc w:val="center"/>
              <w:rPr>
                <w:color w:val="FFFFFF"/>
                <w:sz w:val="18"/>
                <w:highlight w:val="red"/>
              </w:rPr>
            </w:pPr>
            <w:r>
              <w:rPr/>
              <w:t>Economie, sociale rechtvaardigheid en werkgelegenheid</w:t>
            </w:r>
          </w:p>
        </w:tc>
      </w:tr>
      <w:tr>
        <w:trPr/>
        <w:tc>
          <w:tcPr>
            <w:tcW w:w="3212"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sz w:val="18"/>
              </w:rPr>
            </w:pPr>
            <w:r>
              <w:rPr/>
              <w:t>Productie verplaatsen naar Europa voor meer autonomie</w:t>
            </w:r>
          </w:p>
        </w:tc>
        <w:tc>
          <w:tcPr>
            <w:tcW w:w="3213"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sz w:val="18"/>
              </w:rPr>
            </w:pPr>
            <w:r>
              <w:rPr/>
              <w:t>Bedrijfspraktijken en handel verantwoordelijker maken</w:t>
            </w:r>
          </w:p>
        </w:tc>
        <w:tc>
          <w:tcPr>
            <w:tcW w:w="3212" w:type="dxa"/>
            <w:gridSpan w:val="2"/>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4"/>
              <w:spacing w:before="57" w:after="57"/>
              <w:jc w:val="center"/>
              <w:rPr>
                <w:sz w:val="18"/>
              </w:rPr>
            </w:pPr>
            <w:r>
              <w:rPr/>
              <w:t>Bestrijding van belastingontduiking en -optimalisatie</w:t>
            </w:r>
          </w:p>
        </w:tc>
      </w:tr>
      <w:tr>
        <w:trPr/>
        <w:tc>
          <w:tcPr>
            <w:tcW w:w="3212"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sz w:val="18"/>
              </w:rPr>
            </w:pPr>
            <w:r>
              <w:rPr/>
              <w:t>Harmonisatie van de Europese lonen</w:t>
            </w:r>
          </w:p>
        </w:tc>
        <w:tc>
          <w:tcPr>
            <w:tcW w:w="3213"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sz w:val="18"/>
              </w:rPr>
            </w:pPr>
            <w:r>
              <w:rPr/>
              <w:t>Het creëren van een universeel inkomen</w:t>
            </w:r>
          </w:p>
        </w:tc>
        <w:tc>
          <w:tcPr>
            <w:tcW w:w="3212" w:type="dxa"/>
            <w:gridSpan w:val="2"/>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4"/>
              <w:spacing w:before="57" w:after="57"/>
              <w:jc w:val="center"/>
              <w:rPr>
                <w:sz w:val="18"/>
              </w:rPr>
            </w:pPr>
            <w:r>
              <w:rPr/>
              <w:t>Europaheroriënteren naar een antikapitalistisch model</w:t>
            </w:r>
          </w:p>
        </w:tc>
      </w:tr>
      <w:tr>
        <w:trPr/>
        <w:tc>
          <w:tcPr>
            <w:tcW w:w="4818" w:type="dxa"/>
            <w:gridSpan w:val="3"/>
            <w:tcBorders>
              <w:top w:val="single" w:sz="4" w:space="0" w:color="000001"/>
              <w:left w:val="single" w:sz="4" w:space="0" w:color="000001"/>
              <w:bottom w:val="single" w:sz="4" w:space="0" w:color="000001"/>
              <w:insideH w:val="single" w:sz="4" w:space="0" w:color="000001"/>
            </w:tcBorders>
            <w:shd w:fill="auto" w:val="clear"/>
          </w:tcPr>
          <w:p>
            <w:pPr>
              <w:pStyle w:val="P68B1DB1Contenudetableau57"/>
              <w:spacing w:before="57" w:after="57"/>
              <w:jc w:val="center"/>
              <w:rPr>
                <w:rFonts w:ascii="Arial" w:hAnsi="Arial"/>
                <w:b w:val="false"/>
                <w:b w:val="false"/>
                <w:i w:val="false"/>
                <w:i w:val="false"/>
                <w:strike w:val="false"/>
                <w:dstrike w:val="false"/>
                <w:outline w:val="false"/>
                <w:shadow w:val="false"/>
                <w:color w:val="FFFFFF"/>
                <w:sz w:val="18"/>
                <w:highlight w:val="blue"/>
                <w:u w:val="none"/>
              </w:rPr>
            </w:pPr>
            <w:r>
              <w:rPr/>
              <w:t>Onderwijs, cultuur, jeugd en sport</w:t>
            </w:r>
          </w:p>
        </w:tc>
        <w:tc>
          <w:tcPr>
            <w:tcW w:w="4819" w:type="dxa"/>
            <w:gridSpan w:val="3"/>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8"/>
              <w:spacing w:before="57" w:after="57"/>
              <w:jc w:val="center"/>
              <w:rPr>
                <w:rFonts w:ascii="Arial" w:hAnsi="Arial"/>
                <w:b w:val="false"/>
                <w:b w:val="false"/>
                <w:i w:val="false"/>
                <w:i w:val="false"/>
                <w:strike w:val="false"/>
                <w:dstrike w:val="false"/>
                <w:outline w:val="false"/>
                <w:shadow w:val="false"/>
                <w:color w:val="FFFFFF"/>
                <w:sz w:val="18"/>
                <w:highlight w:val="darkMagenta"/>
                <w:u w:val="none"/>
              </w:rPr>
            </w:pPr>
            <w:r>
              <w:rPr/>
              <w:t>Digitale transformatie</w:t>
            </w:r>
          </w:p>
        </w:tc>
      </w:tr>
      <w:tr>
        <w:trPr/>
        <w:tc>
          <w:tcPr>
            <w:tcW w:w="2409" w:type="dxa"/>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rFonts w:ascii="Arial" w:hAnsi="Arial"/>
                <w:b w:val="false"/>
                <w:b w:val="false"/>
                <w:i w:val="false"/>
                <w:i w:val="false"/>
                <w:strike w:val="false"/>
                <w:dstrike w:val="false"/>
                <w:outline w:val="false"/>
                <w:shadow w:val="false"/>
                <w:color w:val="000000"/>
                <w:sz w:val="18"/>
                <w:u w:val="none"/>
              </w:rPr>
            </w:pPr>
            <w:r>
              <w:rPr>
                <w:color w:val="000000"/>
              </w:rPr>
              <w:t>Jongeren in staat stellen meer uit te wisselen met andere EU-landen</w:t>
            </w:r>
          </w:p>
        </w:tc>
        <w:tc>
          <w:tcPr>
            <w:tcW w:w="2409" w:type="dxa"/>
            <w:gridSpan w:val="2"/>
            <w:tcBorders>
              <w:left w:val="single" w:sz="4" w:space="0" w:color="000001"/>
              <w:bottom w:val="single" w:sz="4" w:space="0" w:color="000001"/>
              <w:insideH w:val="single" w:sz="4" w:space="0" w:color="000001"/>
            </w:tcBorders>
            <w:shd w:fill="auto" w:val="clear"/>
          </w:tcPr>
          <w:p>
            <w:pPr>
              <w:pStyle w:val="P68B1DB1Contenudetableau59"/>
              <w:spacing w:before="57" w:after="57"/>
              <w:jc w:val="center"/>
              <w:rPr>
                <w:rFonts w:ascii="Arial" w:hAnsi="Arial"/>
                <w:b w:val="false"/>
                <w:b w:val="false"/>
                <w:i w:val="false"/>
                <w:i w:val="false"/>
                <w:strike w:val="false"/>
                <w:dstrike w:val="false"/>
                <w:outline w:val="false"/>
                <w:shadow w:val="false"/>
                <w:color w:val="000000"/>
                <w:sz w:val="18"/>
                <w:u w:val="none"/>
              </w:rPr>
            </w:pPr>
            <w:r>
              <w:rPr/>
              <w:t>Het leren van niet-Engelse talen aanmoedigen</w:t>
            </w:r>
          </w:p>
        </w:tc>
        <w:tc>
          <w:tcPr>
            <w:tcW w:w="2410"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rFonts w:ascii="Arial" w:hAnsi="Arial"/>
                <w:b w:val="false"/>
                <w:b w:val="false"/>
                <w:i w:val="false"/>
                <w:i w:val="false"/>
                <w:strike w:val="false"/>
                <w:dstrike w:val="false"/>
                <w:outline w:val="false"/>
                <w:shadow w:val="false"/>
                <w:color w:val="000000"/>
                <w:sz w:val="18"/>
                <w:u w:val="none"/>
              </w:rPr>
            </w:pPr>
            <w:r>
              <w:rPr>
                <w:color w:val="000000"/>
              </w:rPr>
              <w:t>Investeren in wetenschappelijk, digitaal en milieuonderzoek</w:t>
            </w:r>
          </w:p>
        </w:tc>
        <w:tc>
          <w:tcPr>
            <w:tcW w:w="2409"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4"/>
              <w:spacing w:before="57" w:after="57"/>
              <w:jc w:val="center"/>
              <w:rPr>
                <w:rFonts w:ascii="Arial" w:hAnsi="Arial"/>
                <w:b w:val="false"/>
                <w:b w:val="false"/>
                <w:i w:val="false"/>
                <w:i w:val="false"/>
                <w:strike w:val="false"/>
                <w:dstrike w:val="false"/>
                <w:outline w:val="false"/>
                <w:shadow w:val="false"/>
                <w:color w:val="000000"/>
                <w:sz w:val="18"/>
                <w:u w:val="none"/>
              </w:rPr>
            </w:pPr>
            <w:r>
              <w:rPr>
                <w:color w:val="000000"/>
              </w:rPr>
              <w:t>Het bewustzijn van digitale technologie en de gevaren ervan vergroten</w:t>
            </w:r>
          </w:p>
        </w:tc>
      </w:tr>
      <w:tr>
        <w:trPr/>
        <w:tc>
          <w:tcPr>
            <w:tcW w:w="2409" w:type="dxa"/>
            <w:tcBorders>
              <w:left w:val="single" w:sz="4" w:space="0" w:color="000001"/>
              <w:bottom w:val="single" w:sz="4" w:space="0" w:color="000001"/>
              <w:insideH w:val="single" w:sz="4" w:space="0" w:color="000001"/>
            </w:tcBorders>
            <w:shd w:fill="auto" w:val="clear"/>
          </w:tcPr>
          <w:p>
            <w:pPr>
              <w:pStyle w:val="P68B1DB1Contenudetableau59"/>
              <w:spacing w:before="57" w:after="57"/>
              <w:jc w:val="center"/>
              <w:rPr>
                <w:rFonts w:ascii="Arial" w:hAnsi="Arial"/>
                <w:b w:val="false"/>
                <w:b w:val="false"/>
                <w:i w:val="false"/>
                <w:i w:val="false"/>
                <w:strike w:val="false"/>
                <w:dstrike w:val="false"/>
                <w:outline w:val="false"/>
                <w:shadow w:val="false"/>
                <w:color w:val="000000"/>
                <w:sz w:val="18"/>
                <w:u w:val="none"/>
              </w:rPr>
            </w:pPr>
            <w:r>
              <w:rPr/>
              <w:t>Het verplicht stellen van Europese verblijven voor jongeren</w:t>
            </w:r>
          </w:p>
        </w:tc>
        <w:tc>
          <w:tcPr>
            <w:tcW w:w="2409" w:type="dxa"/>
            <w:gridSpan w:val="2"/>
            <w:tcBorders>
              <w:left w:val="single" w:sz="4" w:space="0" w:color="000001"/>
              <w:bottom w:val="single" w:sz="4" w:space="0" w:color="000001"/>
              <w:insideH w:val="single" w:sz="4" w:space="0" w:color="000001"/>
            </w:tcBorders>
            <w:shd w:fill="auto" w:val="clear"/>
          </w:tcPr>
          <w:p>
            <w:pPr>
              <w:pStyle w:val="Contenudetableau"/>
              <w:spacing w:before="57" w:after="57"/>
              <w:jc w:val="center"/>
              <w:rPr>
                <w:rFonts w:ascii="Arial" w:hAnsi="Arial"/>
                <w:b w:val="false"/>
                <w:b w:val="false"/>
                <w:i w:val="false"/>
                <w:i w:val="false"/>
                <w:strike w:val="false"/>
                <w:dstrike w:val="false"/>
                <w:outline w:val="false"/>
                <w:shadow w:val="false"/>
                <w:color w:val="000000"/>
                <w:sz w:val="18"/>
                <w:u w:val="none"/>
              </w:rPr>
            </w:pPr>
            <w:r>
              <w:rPr>
                <w:b w:val="false"/>
                <w:i w:val="false"/>
                <w:strike w:val="false"/>
                <w:dstrike w:val="false"/>
                <w:outline w:val="false"/>
                <w:shadow w:val="false"/>
                <w:color w:val="000000"/>
                <w:sz w:val="18"/>
                <w:u w:val="none"/>
              </w:rPr>
            </w:r>
          </w:p>
        </w:tc>
        <w:tc>
          <w:tcPr>
            <w:tcW w:w="2410" w:type="dxa"/>
            <w:gridSpan w:val="2"/>
            <w:tcBorders>
              <w:left w:val="single" w:sz="4" w:space="0" w:color="000001"/>
              <w:bottom w:val="single" w:sz="4" w:space="0" w:color="000001"/>
              <w:insideH w:val="single" w:sz="4" w:space="0" w:color="000001"/>
            </w:tcBorders>
            <w:shd w:fill="auto" w:val="clear"/>
          </w:tcPr>
          <w:p>
            <w:pPr>
              <w:pStyle w:val="P68B1DB1Contenudetableau59"/>
              <w:spacing w:before="57" w:after="57"/>
              <w:jc w:val="center"/>
              <w:rPr>
                <w:rFonts w:ascii="Arial" w:hAnsi="Arial"/>
                <w:b w:val="false"/>
                <w:b w:val="false"/>
                <w:i w:val="false"/>
                <w:i w:val="false"/>
                <w:strike w:val="false"/>
                <w:dstrike w:val="false"/>
                <w:outline w:val="false"/>
                <w:shadow w:val="false"/>
                <w:color w:val="000000"/>
                <w:sz w:val="18"/>
                <w:u w:val="none"/>
              </w:rPr>
            </w:pPr>
            <w:r>
              <w:rPr/>
              <w:t>Cryptocurrencies ontwikkelen in Europa</w:t>
            </w:r>
          </w:p>
        </w:tc>
        <w:tc>
          <w:tcPr>
            <w:tcW w:w="2409"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Contenudetableau"/>
              <w:spacing w:before="57" w:after="57"/>
              <w:jc w:val="center"/>
              <w:rPr>
                <w:rFonts w:ascii="Arial" w:hAnsi="Arial"/>
                <w:b w:val="false"/>
                <w:b w:val="false"/>
                <w:i w:val="false"/>
                <w:i w:val="false"/>
                <w:strike w:val="false"/>
                <w:dstrike w:val="false"/>
                <w:outline w:val="false"/>
                <w:shadow w:val="false"/>
                <w:color w:val="000000"/>
                <w:sz w:val="18"/>
                <w:u w:val="none"/>
              </w:rPr>
            </w:pPr>
            <w:r>
              <w:rPr>
                <w:b w:val="false"/>
                <w:i w:val="false"/>
                <w:strike w:val="false"/>
                <w:dstrike w:val="false"/>
                <w:outline w:val="false"/>
                <w:shadow w:val="false"/>
                <w:color w:val="000000"/>
                <w:sz w:val="18"/>
                <w:u w:val="none"/>
              </w:rPr>
            </w:r>
          </w:p>
        </w:tc>
      </w:tr>
      <w:tr>
        <w:trPr/>
        <w:tc>
          <w:tcPr>
            <w:tcW w:w="4818" w:type="dxa"/>
            <w:gridSpan w:val="3"/>
            <w:tcBorders>
              <w:left w:val="single" w:sz="4" w:space="0" w:color="000001"/>
              <w:bottom w:val="single" w:sz="4" w:space="0" w:color="000001"/>
              <w:insideH w:val="single" w:sz="4" w:space="0" w:color="000001"/>
            </w:tcBorders>
            <w:shd w:fill="auto" w:val="clear"/>
          </w:tcPr>
          <w:p>
            <w:pPr>
              <w:pStyle w:val="P68B1DB1Contenudetableau60"/>
              <w:spacing w:before="57" w:after="57"/>
              <w:jc w:val="center"/>
              <w:rPr>
                <w:rFonts w:ascii="Arial" w:hAnsi="Arial"/>
                <w:b w:val="false"/>
                <w:b w:val="false"/>
                <w:i w:val="false"/>
                <w:i w:val="false"/>
                <w:strike w:val="false"/>
                <w:dstrike w:val="false"/>
                <w:outline w:val="false"/>
                <w:shadow w:val="false"/>
                <w:color w:val="FFFFFF"/>
                <w:sz w:val="18"/>
                <w:highlight w:val="blue"/>
                <w:u w:val="none"/>
              </w:rPr>
            </w:pPr>
            <w:r>
              <w:rPr/>
              <w:t>Waarden en rechten, rechtsstaat, veiligheid</w:t>
            </w:r>
          </w:p>
        </w:tc>
        <w:tc>
          <w:tcPr>
            <w:tcW w:w="4819" w:type="dxa"/>
            <w:gridSpan w:val="3"/>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61"/>
              <w:spacing w:before="57" w:after="57"/>
              <w:jc w:val="center"/>
              <w:rPr>
                <w:rFonts w:ascii="Arial" w:hAnsi="Arial"/>
                <w:b w:val="false"/>
                <w:b w:val="false"/>
                <w:i w:val="false"/>
                <w:i w:val="false"/>
                <w:strike w:val="false"/>
                <w:dstrike w:val="false"/>
                <w:outline w:val="false"/>
                <w:shadow w:val="false"/>
                <w:color w:val="FFFFFF"/>
                <w:sz w:val="18"/>
                <w:highlight w:val="darkBlue"/>
                <w:u w:val="none"/>
              </w:rPr>
            </w:pPr>
            <w:r>
              <w:rPr/>
              <w:t>Gezondheid</w:t>
            </w:r>
          </w:p>
        </w:tc>
      </w:tr>
      <w:tr>
        <w:trPr/>
        <w:tc>
          <w:tcPr>
            <w:tcW w:w="2409" w:type="dxa"/>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rFonts w:ascii="Arial" w:hAnsi="Arial"/>
                <w:b w:val="false"/>
                <w:b w:val="false"/>
                <w:i w:val="false"/>
                <w:i w:val="false"/>
                <w:strike w:val="false"/>
                <w:dstrike w:val="false"/>
                <w:outline w:val="false"/>
                <w:shadow w:val="false"/>
                <w:color w:val="000000"/>
                <w:sz w:val="18"/>
                <w:u w:val="none"/>
              </w:rPr>
            </w:pPr>
            <w:r>
              <w:rPr>
                <w:color w:val="000000"/>
              </w:rPr>
              <w:t>Versterking van het optreden van de EU om de mensenrechten te eerbiedigen</w:t>
            </w:r>
          </w:p>
        </w:tc>
        <w:tc>
          <w:tcPr>
            <w:tcW w:w="2409"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rFonts w:ascii="Arial" w:hAnsi="Arial"/>
                <w:b w:val="false"/>
                <w:b w:val="false"/>
                <w:i w:val="false"/>
                <w:i w:val="false"/>
                <w:strike w:val="false"/>
                <w:dstrike w:val="false"/>
                <w:outline w:val="false"/>
                <w:shadow w:val="false"/>
                <w:color w:val="000000"/>
                <w:sz w:val="18"/>
                <w:u w:val="none"/>
              </w:rPr>
            </w:pPr>
            <w:r>
              <w:rPr>
                <w:color w:val="000000"/>
              </w:rPr>
              <w:t>Versterking van de rechten van vrouwen</w:t>
            </w:r>
          </w:p>
        </w:tc>
        <w:tc>
          <w:tcPr>
            <w:tcW w:w="2410"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rFonts w:ascii="Arial" w:hAnsi="Arial"/>
                <w:b w:val="false"/>
                <w:b w:val="false"/>
                <w:i w:val="false"/>
                <w:i w:val="false"/>
                <w:strike w:val="false"/>
                <w:dstrike w:val="false"/>
                <w:outline w:val="false"/>
                <w:shadow w:val="false"/>
                <w:color w:val="000000"/>
                <w:sz w:val="18"/>
                <w:u w:val="none"/>
              </w:rPr>
            </w:pPr>
            <w:r>
              <w:rPr>
                <w:color w:val="000000"/>
              </w:rPr>
              <w:t>Investeren in gezondheid</w:t>
            </w:r>
          </w:p>
        </w:tc>
        <w:tc>
          <w:tcPr>
            <w:tcW w:w="2409"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4"/>
              <w:spacing w:before="57" w:after="57"/>
              <w:jc w:val="center"/>
              <w:rPr>
                <w:rFonts w:ascii="Arial" w:hAnsi="Arial"/>
                <w:b w:val="false"/>
                <w:b w:val="false"/>
                <w:i w:val="false"/>
                <w:i w:val="false"/>
                <w:strike w:val="false"/>
                <w:dstrike w:val="false"/>
                <w:outline w:val="false"/>
                <w:shadow w:val="false"/>
                <w:color w:val="000000"/>
                <w:sz w:val="18"/>
                <w:u w:val="none"/>
              </w:rPr>
            </w:pPr>
            <w:r>
              <w:rPr>
                <w:color w:val="000000"/>
              </w:rPr>
              <w:t>Verbetering van de kwaliteit van onze voedingsproducten</w:t>
            </w:r>
          </w:p>
        </w:tc>
      </w:tr>
      <w:tr>
        <w:trPr/>
        <w:tc>
          <w:tcPr>
            <w:tcW w:w="4818" w:type="dxa"/>
            <w:gridSpan w:val="3"/>
            <w:tcBorders>
              <w:left w:val="single" w:sz="4" w:space="0" w:color="000001"/>
              <w:bottom w:val="single" w:sz="4" w:space="0" w:color="000001"/>
              <w:insideH w:val="single" w:sz="4" w:space="0" w:color="000001"/>
            </w:tcBorders>
            <w:shd w:fill="auto" w:val="clear"/>
          </w:tcPr>
          <w:p>
            <w:pPr>
              <w:pStyle w:val="P68B1DB1Contenudetableau62"/>
              <w:spacing w:before="57" w:after="57"/>
              <w:jc w:val="center"/>
              <w:rPr>
                <w:rFonts w:ascii="Arial" w:hAnsi="Arial"/>
                <w:b w:val="false"/>
                <w:b w:val="false"/>
                <w:i w:val="false"/>
                <w:i w:val="false"/>
                <w:strike w:val="false"/>
                <w:dstrike w:val="false"/>
                <w:outline w:val="false"/>
                <w:shadow w:val="false"/>
                <w:color w:val="FFFFFF"/>
                <w:sz w:val="18"/>
                <w:highlight w:val="cyan"/>
                <w:u w:val="none"/>
              </w:rPr>
            </w:pPr>
            <w:r>
              <w:rPr/>
              <w:t>De EU in de wereld</w:t>
            </w:r>
          </w:p>
        </w:tc>
        <w:tc>
          <w:tcPr>
            <w:tcW w:w="4819" w:type="dxa"/>
            <w:gridSpan w:val="3"/>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63"/>
              <w:spacing w:before="57" w:after="57"/>
              <w:jc w:val="center"/>
              <w:rPr>
                <w:rFonts w:ascii="Arial" w:hAnsi="Arial"/>
                <w:b w:val="false"/>
                <w:b w:val="false"/>
                <w:i w:val="false"/>
                <w:i w:val="false"/>
                <w:strike w:val="false"/>
                <w:dstrike w:val="false"/>
                <w:outline w:val="false"/>
                <w:shadow w:val="false"/>
                <w:color w:val="FFFFFF"/>
                <w:sz w:val="18"/>
                <w:highlight w:val="red"/>
                <w:u w:val="none"/>
              </w:rPr>
            </w:pPr>
            <w:r>
              <w:rPr/>
              <w:t xml:space="preserve">Immigratie </w:t>
            </w:r>
          </w:p>
        </w:tc>
      </w:tr>
      <w:tr>
        <w:trPr/>
        <w:tc>
          <w:tcPr>
            <w:tcW w:w="2409" w:type="dxa"/>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rFonts w:ascii="Arial" w:hAnsi="Arial"/>
                <w:b w:val="false"/>
                <w:b w:val="false"/>
                <w:i w:val="false"/>
                <w:i w:val="false"/>
                <w:strike w:val="false"/>
                <w:dstrike w:val="false"/>
                <w:outline w:val="false"/>
                <w:shadow w:val="false"/>
                <w:color w:val="000000"/>
                <w:sz w:val="18"/>
                <w:u w:val="none"/>
              </w:rPr>
            </w:pPr>
            <w:r>
              <w:rPr>
                <w:color w:val="000000"/>
              </w:rPr>
              <w:t>De EU in staat stellen internationaal te wegen</w:t>
            </w:r>
          </w:p>
        </w:tc>
        <w:tc>
          <w:tcPr>
            <w:tcW w:w="2409" w:type="dxa"/>
            <w:gridSpan w:val="2"/>
            <w:tcBorders>
              <w:left w:val="single" w:sz="4" w:space="0" w:color="000001"/>
              <w:bottom w:val="single" w:sz="4" w:space="0" w:color="000001"/>
              <w:insideH w:val="single" w:sz="4" w:space="0" w:color="000001"/>
            </w:tcBorders>
            <w:shd w:fill="auto" w:val="clear"/>
          </w:tcPr>
          <w:p>
            <w:pPr>
              <w:pStyle w:val="P68B1DB1Contenudetableau59"/>
              <w:spacing w:before="57" w:after="57"/>
              <w:jc w:val="center"/>
              <w:rPr>
                <w:rFonts w:ascii="Arial" w:hAnsi="Arial"/>
                <w:b w:val="false"/>
                <w:b w:val="false"/>
                <w:i w:val="false"/>
                <w:i w:val="false"/>
                <w:strike w:val="false"/>
                <w:dstrike w:val="false"/>
                <w:outline w:val="false"/>
                <w:shadow w:val="false"/>
                <w:color w:val="000000"/>
                <w:sz w:val="18"/>
                <w:u w:val="none"/>
              </w:rPr>
            </w:pPr>
            <w:r>
              <w:rPr/>
              <w:t>Oprichting van een Europese strijdkrachten</w:t>
            </w:r>
          </w:p>
        </w:tc>
        <w:tc>
          <w:tcPr>
            <w:tcW w:w="2410" w:type="dxa"/>
            <w:gridSpan w:val="2"/>
            <w:tcBorders>
              <w:left w:val="single" w:sz="4" w:space="0" w:color="000001"/>
              <w:bottom w:val="single" w:sz="4" w:space="0" w:color="000001"/>
              <w:insideH w:val="single" w:sz="4" w:space="0" w:color="000001"/>
            </w:tcBorders>
            <w:shd w:fill="auto" w:val="clear"/>
          </w:tcPr>
          <w:p>
            <w:pPr>
              <w:pStyle w:val="P68B1DB1Contenudetableau59"/>
              <w:spacing w:before="57" w:after="57"/>
              <w:jc w:val="center"/>
              <w:rPr>
                <w:rFonts w:ascii="Arial" w:hAnsi="Arial"/>
                <w:b w:val="false"/>
                <w:b w:val="false"/>
                <w:i w:val="false"/>
                <w:i w:val="false"/>
                <w:strike w:val="false"/>
                <w:dstrike w:val="false"/>
                <w:outline w:val="false"/>
                <w:shadow w:val="false"/>
                <w:color w:val="000000"/>
                <w:sz w:val="18"/>
                <w:u w:val="none"/>
              </w:rPr>
            </w:pPr>
            <w:r>
              <w:rPr/>
              <w:t>Vermindering of begeleiding van immigratie in Europa</w:t>
            </w:r>
          </w:p>
        </w:tc>
        <w:tc>
          <w:tcPr>
            <w:tcW w:w="2409"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Contenudetableau"/>
              <w:spacing w:before="57" w:after="57"/>
              <w:jc w:val="center"/>
              <w:rPr>
                <w:rFonts w:ascii="Arial" w:hAnsi="Arial"/>
                <w:b w:val="false"/>
                <w:b w:val="false"/>
                <w:i w:val="false"/>
                <w:i w:val="false"/>
                <w:strike w:val="false"/>
                <w:dstrike w:val="false"/>
                <w:outline w:val="false"/>
                <w:shadow w:val="false"/>
                <w:color w:val="000000"/>
                <w:sz w:val="18"/>
                <w:u w:val="none"/>
              </w:rPr>
            </w:pPr>
            <w:r>
              <w:rPr>
                <w:b w:val="false"/>
                <w:i w:val="false"/>
                <w:strike w:val="false"/>
                <w:dstrike w:val="false"/>
                <w:outline w:val="false"/>
                <w:shadow w:val="false"/>
                <w:color w:val="000000"/>
                <w:sz w:val="18"/>
                <w:u w:val="none"/>
              </w:rPr>
            </w:r>
          </w:p>
        </w:tc>
      </w:tr>
    </w:tbl>
    <w:p>
      <w:pPr>
        <w:pStyle w:val="Normal"/>
        <w:spacing w:lineRule="auto" w:line="240"/>
        <w:rPr/>
      </w:pPr>
      <w:r>
        <w:rPr/>
      </w:r>
    </w:p>
    <w:p>
      <w:pPr>
        <w:pStyle w:val="P68B1DB1Contenudetableau64"/>
        <w:spacing w:lineRule="auto" w:line="240"/>
        <w:jc w:val="center"/>
        <w:rPr>
          <w:rFonts w:ascii="Arial" w:hAnsi="Arial"/>
          <w:b w:val="false"/>
          <w:b w:val="false"/>
          <w:i w:val="false"/>
          <w:i w:val="false"/>
          <w:strike w:val="false"/>
          <w:dstrike w:val="false"/>
          <w:outline w:val="false"/>
          <w:shadow w:val="false"/>
          <w:color w:val="000000"/>
          <w:sz w:val="18"/>
          <w:u w:val="none"/>
        </w:rPr>
      </w:pPr>
      <w:r>
        <w:rPr>
          <w:rFonts w:eastAsia="SimSun" w:cs="Mangal" w:ascii="Times New Roman" w:hAnsi="Times New Roman"/>
        </w:rPr>
        <w:t>Overheersend idee (&gt; 10 veelgeprezen voorstellen)</w:t>
      </w:r>
    </w:p>
    <w:p>
      <w:pPr>
        <w:pStyle w:val="P68B1DB1Contenudetableau64"/>
        <w:spacing w:lineRule="auto" w:line="240"/>
        <w:jc w:val="center"/>
        <w:rPr>
          <w:rFonts w:ascii="Arial" w:hAnsi="Arial"/>
          <w:b w:val="false"/>
          <w:b w:val="false"/>
          <w:i w:val="false"/>
          <w:i w:val="false"/>
          <w:strike w:val="false"/>
          <w:dstrike w:val="false"/>
          <w:outline w:val="false"/>
          <w:shadow w:val="false"/>
          <w:color w:val="000000"/>
          <w:sz w:val="18"/>
          <w:u w:val="none"/>
        </w:rPr>
      </w:pPr>
      <w:r>
        <w:rPr>
          <w:rFonts w:eastAsia="SimSun" w:cs="Mangal" w:ascii="Times New Roman" w:hAnsi="Times New Roman"/>
        </w:rPr>
        <w:t>Enkelvoudig idee (&lt;10 veelgeprezen voorstellen)</w:t>
      </w:r>
    </w:p>
    <w:p>
      <w:pPr>
        <w:pStyle w:val="Contenudetableau"/>
        <w:spacing w:lineRule="auto" w:line="240"/>
        <w:jc w:val="center"/>
        <w:rPr/>
      </w:pPr>
      <w:r>
        <w:rPr>
          <w:rFonts w:eastAsia="SimSun" w:cs="Mangal" w:ascii="Times New Roman" w:hAnsi="Times New Roman"/>
          <w:color w:val="F58220"/>
          <w:sz w:val="18"/>
        </w:rPr>
        <w:t>Controversieel idee (&gt; 3 controversiële voorstellen)</w:t>
      </w:r>
      <w:r>
        <w:br w:type="page"/>
      </w:r>
    </w:p>
    <w:p>
      <w:pPr>
        <w:pStyle w:val="Titre2"/>
        <w:numPr>
          <w:ilvl w:val="1"/>
          <w:numId w:val="2"/>
        </w:numPr>
        <w:rPr/>
      </w:pPr>
      <w:bookmarkStart w:id="213" w:name="__RefHeading___Toc300458_1346298689"/>
      <w:bookmarkEnd w:id="213"/>
      <w:r>
        <w:rPr/>
        <w:t xml:space="preserve">Conclusie </w:t>
      </w:r>
    </w:p>
    <w:p>
      <w:pPr>
        <w:pStyle w:val="P68B1DB1Normal33"/>
        <w:widowControl w:val="false"/>
        <w:spacing w:lineRule="exact" w:line="399" w:before="293" w:after="0"/>
        <w:ind w:left="0" w:right="0" w:hanging="0"/>
        <w:jc w:val="left"/>
        <w:rPr>
          <w:rFonts w:ascii="Times New Roman" w:hAnsi="Times New Roman"/>
          <w:b/>
          <w:b/>
          <w:color w:val="000000"/>
          <w:sz w:val="24"/>
        </w:rPr>
      </w:pPr>
      <w:r>
        <w:rPr/>
        <w:t xml:space="preserve"> </w:t>
      </w:r>
    </w:p>
    <w:p>
      <w:pPr>
        <w:pStyle w:val="P68B1DB1Normal33"/>
        <w:widowControl w:val="false"/>
        <w:spacing w:lineRule="exact" w:line="399" w:before="81" w:after="0"/>
        <w:ind w:left="0" w:right="0" w:hanging="0"/>
        <w:jc w:val="left"/>
        <w:rPr>
          <w:rFonts w:ascii="Times New Roman" w:hAnsi="Times New Roman"/>
          <w:b/>
          <w:b/>
          <w:color w:val="000000"/>
          <w:sz w:val="24"/>
        </w:rPr>
      </w:pPr>
      <w:r>
        <w:rPr/>
        <w:t xml:space="preserve"> </w:t>
      </w:r>
    </w:p>
    <w:p>
      <w:pPr>
        <w:pStyle w:val="P68B1DB1Normal33"/>
        <w:widowControl w:val="false"/>
        <w:spacing w:lineRule="exact" w:line="399" w:before="83" w:after="0"/>
        <w:ind w:left="0" w:right="0" w:hanging="0"/>
        <w:jc w:val="left"/>
        <w:rPr>
          <w:rFonts w:ascii="Times New Roman" w:hAnsi="Times New Roman"/>
          <w:b/>
          <w:b/>
          <w:color w:val="000000"/>
          <w:sz w:val="24"/>
        </w:rPr>
      </w:pPr>
      <w:r>
        <w:rPr/>
        <w:t xml:space="preserve"> </w:t>
      </w:r>
    </w:p>
    <w:p>
      <w:pPr>
        <w:pStyle w:val="P68B1DB1Normal65"/>
        <w:widowControl w:val="false"/>
        <w:spacing w:lineRule="exact" w:line="416" w:before="88" w:after="0"/>
        <w:ind w:left="0" w:right="0" w:hanging="0"/>
        <w:jc w:val="left"/>
        <w:rPr>
          <w:rFonts w:ascii="Times New Roman" w:hAnsi="Times New Roman"/>
          <w:b/>
          <w:b/>
          <w:i/>
          <w:i/>
          <w:color w:val="273375"/>
          <w:sz w:val="26"/>
        </w:rPr>
      </w:pPr>
      <w:r>
        <w:rPr/>
        <w:t>„</w:t>
      </w:r>
      <w:r>
        <w:rPr/>
        <w:t xml:space="preserve">In één woord, voor u, zal Europa in 2035 moeten zijn...”: </w:t>
      </w:r>
    </w:p>
    <w:p>
      <w:pPr>
        <w:pStyle w:val="Normal"/>
        <w:widowControl w:val="false"/>
        <w:spacing w:lineRule="exact" w:line="430" w:before="2454" w:after="0"/>
        <w:ind w:left="0" w:right="0" w:hanging="0"/>
        <w:jc w:val="center"/>
        <w:rPr/>
      </w:pPr>
      <w:r>
        <w:drawing>
          <wp:anchor behindDoc="0" distT="0" distB="0" distL="0" distR="0" simplePos="0" locked="0" layoutInCell="1" allowOverlap="1" relativeHeight="40">
            <wp:simplePos x="0" y="0"/>
            <wp:positionH relativeFrom="column">
              <wp:align>center</wp:align>
            </wp:positionH>
            <wp:positionV relativeFrom="paragraph">
              <wp:posOffset>635</wp:posOffset>
            </wp:positionV>
            <wp:extent cx="6120130" cy="1558290"/>
            <wp:effectExtent l="0" t="0" r="0" b="0"/>
            <wp:wrapSquare wrapText="largest"/>
            <wp:docPr id="98" name="Afbeelding4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Afbeelding41" descr=""/>
                    <pic:cNvPicPr>
                      <a:picLocks noChangeAspect="1" noChangeArrowheads="1"/>
                    </pic:cNvPicPr>
                  </pic:nvPicPr>
                  <pic:blipFill>
                    <a:blip r:embed="rId101"/>
                    <a:stretch>
                      <a:fillRect/>
                    </a:stretch>
                  </pic:blipFill>
                  <pic:spPr bwMode="auto">
                    <a:xfrm>
                      <a:off x="0" y="0"/>
                      <a:ext cx="6120130" cy="1558290"/>
                    </a:xfrm>
                    <a:prstGeom prst="rect">
                      <a:avLst/>
                    </a:prstGeom>
                  </pic:spPr>
                </pic:pic>
              </a:graphicData>
            </a:graphic>
          </wp:anchor>
        </w:drawing>
      </w:r>
      <w:r>
        <w:rPr>
          <w:rFonts w:ascii="Times New Roman" w:hAnsi="Times New Roman"/>
          <w:i/>
          <w:color w:val="632423"/>
          <w:sz w:val="24"/>
        </w:rPr>
        <w:t>A</w:t>
      </w:r>
      <w:r>
        <w:rPr>
          <w:rFonts w:ascii="Times New Roman" w:hAnsi="Times New Roman"/>
          <w:i/>
          <w:color w:val="632423"/>
          <w:sz w:val="24"/>
        </w:rPr>
        <w:t xml:space="preserve">ntwoord van de burgers van de nationale conferentie op de laatste vraag: </w:t>
      </w:r>
    </w:p>
    <w:p>
      <w:pPr>
        <w:pStyle w:val="P68B1DB1Normal66"/>
        <w:widowControl w:val="false"/>
        <w:spacing w:lineRule="exact" w:line="430" w:before="95" w:after="0"/>
        <w:ind w:left="0" w:right="0" w:hanging="0"/>
        <w:jc w:val="center"/>
        <w:rPr>
          <w:rFonts w:ascii="Times New Roman" w:hAnsi="Times New Roman"/>
          <w:i/>
          <w:i/>
          <w:color w:val="632423"/>
          <w:sz w:val="24"/>
        </w:rPr>
      </w:pPr>
      <w:r>
        <w:rPr/>
        <w:t xml:space="preserve">In een notendop, voor u, Europa in 2035 zal moeten zijn... </w:t>
      </w:r>
    </w:p>
    <w:p>
      <w:pPr>
        <w:pStyle w:val="Normal"/>
        <w:widowControl w:val="false"/>
        <w:spacing w:lineRule="exact" w:line="430" w:before="95" w:after="0"/>
        <w:ind w:left="0" w:right="0" w:hanging="0"/>
        <w:jc w:val="left"/>
        <w:rPr>
          <w:rFonts w:ascii="Times New Roman" w:hAnsi="Times New Roman"/>
          <w:b/>
          <w:b/>
          <w:i/>
          <w:i/>
          <w:color w:val="632423"/>
          <w:sz w:val="24"/>
        </w:rPr>
      </w:pPr>
      <w:r>
        <w:rPr>
          <w:rFonts w:ascii="Times New Roman" w:hAnsi="Times New Roman"/>
          <w:b/>
          <w:i/>
          <w:color w:val="632423"/>
          <w:sz w:val="24"/>
        </w:rPr>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spacing w:lineRule="auto" w:line="240"/>
        <w:rPr/>
      </w:pPr>
      <w:r>
        <w:rPr/>
      </w:r>
      <w:r>
        <w:br w:type="page"/>
      </w:r>
    </w:p>
    <w:p>
      <w:pPr>
        <w:pStyle w:val="Titre1"/>
        <w:numPr>
          <w:ilvl w:val="0"/>
          <w:numId w:val="2"/>
        </w:numPr>
        <w:rPr/>
      </w:pPr>
      <w:bookmarkStart w:id="214" w:name="__RefHeading___Toc297353_1346298689"/>
      <w:bookmarkEnd w:id="214"/>
      <w:r>
        <w:rPr/>
        <w:t>II C Nationale Panelen: Duitsland</w:t>
      </w:r>
    </w:p>
    <w:p>
      <w:pPr>
        <w:pStyle w:val="P68B1DB1Normal67"/>
        <w:spacing w:lineRule="auto" w:line="240"/>
        <w:rPr>
          <w:rFonts w:ascii="Calibri" w:hAnsi="Calibri"/>
          <w:b/>
          <w:b/>
          <w:color w:val="000000"/>
          <w:sz w:val="36"/>
        </w:rPr>
      </w:pPr>
      <w:r>
        <w:rPr/>
        <w:t xml:space="preserve">Nationaal burgerpanel voor de toekomst van Europa in Berlijn </w:t>
      </w:r>
    </w:p>
    <w:p>
      <w:pPr>
        <w:pStyle w:val="P68B1DB1Normal19"/>
        <w:widowControl w:val="false"/>
        <w:spacing w:lineRule="exact" w:line="388" w:before="206" w:after="0"/>
        <w:ind w:left="3422" w:right="0" w:hanging="0"/>
        <w:jc w:val="left"/>
        <w:rPr>
          <w:rFonts w:ascii="Times New Roman" w:hAnsi="Times New Roman"/>
          <w:color w:val="000000"/>
          <w:sz w:val="24"/>
        </w:rPr>
      </w:pPr>
      <w:r>
        <w:rPr/>
        <w:t xml:space="preserve">— </w:t>
      </w:r>
      <w:r>
        <w:rPr/>
        <w:t xml:space="preserve">Aanbevelingen van de burgers — </w:t>
      </w:r>
    </w:p>
    <w:p>
      <w:pPr>
        <w:pStyle w:val="P68B1DB1Normal52"/>
        <w:widowControl w:val="false"/>
        <w:spacing w:lineRule="exact" w:line="317" w:before="288" w:after="0"/>
        <w:ind w:left="276" w:right="113" w:hanging="0"/>
        <w:jc w:val="both"/>
        <w:rPr/>
      </w:pPr>
      <w:r>
        <w:rPr>
          <w:color w:val="000000"/>
        </w:rPr>
        <w:t xml:space="preserve">Duitsland hield zijn nationale burgerpanel over de toekomst van Europa op 5, 8, 15 en 16 januari. Het selectieproces voor burgers volgde de gestratificeerde willekeurige selectie van deelnemers aan de Europese burgerpanels. 12.000 Duitse burgers werden uitgenodigd om deel te nemen; van de respondenten werden ongeveer 100 geselecteerd, rekening houdend met de huidige volkstellingsgegevens van de Bondsrepubliek Duitsland, om de diversiteit van de Duitse samenleving en de bevolking als geheel weer te geven. Tijdens het Nationaal Burgerpanel bespraken de deelnemers vijf thema’s: de EU in de wereld; een sterkere economie; klimaatverandering en het milieu; sociale rechtvaardigheid; Europese waarden en de rechtsstaat. Vervolgens hebben zij voor elk van deze thema’s concrete aanbevelingen opgesteld, die tijdens de laatste zitting van 16 januari zijn goedgekeurd: </w:t>
      </w:r>
      <w:r>
        <w:rPr>
          <w:color w:val="0000FF"/>
        </w:rPr>
        <w:t>www.youtube.com/watch?v=cefqmarZXzY</w:t>
      </w:r>
    </w:p>
    <w:p>
      <w:pPr>
        <w:pStyle w:val="Normal"/>
        <w:spacing w:lineRule="auto" w:line="240"/>
        <w:rPr/>
      </w:pPr>
      <w:r>
        <w:rPr/>
      </w:r>
    </w:p>
    <w:p>
      <w:pPr>
        <w:pStyle w:val="Normal"/>
        <w:spacing w:lineRule="auto" w:line="240"/>
        <w:rPr/>
      </w:pPr>
      <w:r>
        <w:rPr/>
      </w:r>
      <w:r>
        <w:br w:type="page"/>
      </w:r>
    </w:p>
    <w:p>
      <w:pPr>
        <w:pStyle w:val="P68B1DB1Normal44"/>
        <w:spacing w:lineRule="auto" w:line="240"/>
        <w:rPr>
          <w:rFonts w:ascii="Times New Roman" w:hAnsi="Times New Roman"/>
          <w:i/>
          <w:i/>
          <w:color w:val="000000"/>
          <w:sz w:val="24"/>
        </w:rPr>
      </w:pPr>
      <w:r>
        <w:rPr/>
        <w:t xml:space="preserve">Ronde tafel 1: </w:t>
      </w:r>
    </w:p>
    <w:p>
      <w:pPr>
        <w:pStyle w:val="P68B1DB1Normal68"/>
        <w:widowControl w:val="false"/>
        <w:spacing w:lineRule="exact" w:line="400" w:before="196" w:after="0"/>
        <w:ind w:left="0" w:right="0" w:hanging="0"/>
        <w:jc w:val="left"/>
        <w:rPr>
          <w:rFonts w:ascii="Calibri" w:hAnsi="Calibri"/>
          <w:b/>
          <w:b/>
          <w:color w:val="000000"/>
          <w:sz w:val="24"/>
        </w:rPr>
      </w:pPr>
      <w:r>
        <w:rPr/>
        <w:t xml:space="preserve">Buitenlandse handelsbelangen koppelen aan klimaatbeleidsmaatregelen </w:t>
      </w:r>
    </w:p>
    <w:p>
      <w:pPr>
        <w:pStyle w:val="P68B1DB1Normal20"/>
        <w:widowControl w:val="false"/>
        <w:spacing w:lineRule="exact" w:line="337" w:before="192" w:after="0"/>
        <w:ind w:left="276" w:right="123" w:hanging="0"/>
        <w:jc w:val="both"/>
        <w:rPr/>
      </w:pPr>
      <w:r>
        <w:rPr/>
        <w:t xml:space="preserve">Wij raden de EU (met name de Europese Commissie) aan om een investeringspakket te lanceren voor klimaatvriendelijke technologieën en innovaties, met inbegrip van financieringsprogramma’s. Dit pakket maatregelen moet worden gefinancierd met klimaatgerelateerde invoerrechten, die specifiek zouden worden getroffen en doorberekend als financiële compensatie voor klimaatschade. In dit verband zou voor bepaalde producten een systeem van punten voor de beoordeling van duurzaamheid worden ingevoerd. Een duidelijk EU-standpunt en een sterk en innovatief Europa zouden bijdragen tot de verwezenlijking van de mondiale klimaatdoelstellingen. Dit zou bijdragen tot het consolideren van de rol van de Europese Unie als wereldpionier en verantwoord model, dat welvaart garandeert en kan leiden tot duurzame veranderingen op wereldschaal. Deze doelstellingen zijn belangrijk voor ons, aangezien de EU een duurzame bijdrage levert aan de strijd tegen de klimaatverandering, die op de lange termijn een sleutelrol zou kunnen spelen bij de consolidering van de mondiale vrede. </w:t>
      </w:r>
    </w:p>
    <w:p>
      <w:pPr>
        <w:pStyle w:val="Normal"/>
        <w:widowControl w:val="false"/>
        <w:spacing w:lineRule="exact" w:line="385" w:before="135" w:after="0"/>
        <w:ind w:left="0" w:right="0" w:hanging="0"/>
        <w:jc w:val="left"/>
        <w:rPr>
          <w:rFonts w:ascii="Calibri" w:hAnsi="Calibri"/>
          <w:color w:val="000000"/>
          <w:sz w:val="24"/>
        </w:rPr>
      </w:pPr>
      <w:r>
        <w:rPr>
          <w:rFonts w:ascii="Calibri" w:hAnsi="Calibri"/>
          <w:color w:val="000000"/>
          <w:sz w:val="24"/>
        </w:rPr>
      </w:r>
    </w:p>
    <w:p>
      <w:pPr>
        <w:pStyle w:val="P68B1DB1Normal44"/>
        <w:widowControl w:val="false"/>
        <w:spacing w:lineRule="exact" w:line="383"/>
        <w:ind w:left="276" w:right="0" w:hanging="0"/>
        <w:jc w:val="left"/>
        <w:rPr>
          <w:rFonts w:ascii="Times New Roman" w:hAnsi="Times New Roman"/>
          <w:i/>
          <w:i/>
          <w:color w:val="000000"/>
          <w:sz w:val="24"/>
        </w:rPr>
      </w:pPr>
      <w:r>
        <w:rPr/>
        <w:t xml:space="preserve">Ronde tafel 2: </w:t>
      </w:r>
    </w:p>
    <w:p>
      <w:pPr>
        <w:pStyle w:val="P68B1DB1Normal68"/>
        <w:widowControl w:val="false"/>
        <w:spacing w:lineRule="exact" w:line="338" w:before="321" w:after="0"/>
        <w:ind w:left="0" w:right="131" w:hanging="0"/>
        <w:jc w:val="left"/>
        <w:rPr/>
      </w:pPr>
      <w:r>
        <w:rPr/>
        <w:t xml:space="preserve">Stimulansen te creëren voor de tenuitvoerlegging van de productie in de EU, met name op het gebied van grondstoffen </w:t>
      </w:r>
    </w:p>
    <w:p>
      <w:pPr>
        <w:pStyle w:val="P68B1DB1Normal20"/>
        <w:widowControl w:val="false"/>
        <w:spacing w:lineRule="exact" w:line="337" w:before="208" w:after="0"/>
        <w:ind w:left="276" w:right="121" w:hanging="0"/>
        <w:jc w:val="both"/>
        <w:rPr/>
      </w:pPr>
      <w:r>
        <w:rPr/>
        <w:t xml:space="preserve">Om de productie van grondstoffen in de EU te vergemakkelijken, raden wij aan de goedkeuringsprocedures te versnellen en te standaardiseren, de bureaucratie te verminderen en subsidies toe te kennen aan bedrijven die naar de EU verhuizen en/of productielocaties in de EU op te richten. De EU moet hernieuwbare energie massaal bevorderen om de energiekosten te verlagen. </w:t>
      </w:r>
    </w:p>
    <w:p>
      <w:pPr>
        <w:pStyle w:val="P68B1DB1Normal20"/>
        <w:widowControl w:val="false"/>
        <w:spacing w:lineRule="exact" w:line="336" w:before="216" w:after="0"/>
        <w:ind w:left="276" w:right="121" w:hanging="0"/>
        <w:jc w:val="both"/>
        <w:rPr/>
      </w:pPr>
      <w:r>
        <w:rPr/>
        <w:t xml:space="preserve">Met deze maatregelen willen we de toeleveringsketens verkorten en klimaatvriendelijker maken, de EU helpen versterken en banen creëren waarin de mensenrechten worden geëerbiedigd. </w:t>
      </w:r>
    </w:p>
    <w:p>
      <w:pPr>
        <w:pStyle w:val="Normal"/>
        <w:widowControl w:val="false"/>
        <w:spacing w:lineRule="exact" w:line="336" w:before="219" w:after="0"/>
        <w:ind w:left="276" w:right="121" w:hanging="0"/>
        <w:jc w:val="both"/>
        <w:rPr/>
      </w:pPr>
      <w:r>
        <w:rPr>
          <w:rFonts w:ascii="Calibri" w:hAnsi="Calibri"/>
          <w:color w:val="000000"/>
          <w:sz w:val="24"/>
        </w:rPr>
        <w:t xml:space="preserve">Deze doelstellingen zijn belangrijk voor ons, omdat de verplaatsing van de productie naar de EU de EU internationaal autonoomer en minder politiek kwetsbaar zou maken. </w:t>
      </w:r>
      <w:r>
        <w:br w:type="page"/>
      </w:r>
    </w:p>
    <w:p>
      <w:pPr>
        <w:pStyle w:val="P68B1DB1Normal44"/>
        <w:widowControl w:val="false"/>
        <w:spacing w:lineRule="exact" w:line="383" w:before="247" w:after="0"/>
        <w:ind w:left="276" w:right="0" w:hanging="0"/>
        <w:jc w:val="left"/>
        <w:rPr>
          <w:rFonts w:ascii="Times New Roman" w:hAnsi="Times New Roman"/>
          <w:i/>
          <w:i/>
          <w:color w:val="000000"/>
          <w:sz w:val="24"/>
        </w:rPr>
      </w:pPr>
      <w:r>
        <w:rPr/>
        <w:t xml:space="preserve">Ronde tafel 1: </w:t>
      </w:r>
    </w:p>
    <w:p>
      <w:pPr>
        <w:pStyle w:val="P68B1DB1Normal68"/>
        <w:widowControl w:val="false"/>
        <w:spacing w:lineRule="exact" w:line="400" w:before="196" w:after="0"/>
        <w:ind w:left="0" w:right="0" w:hanging="0"/>
        <w:jc w:val="left"/>
        <w:rPr>
          <w:rFonts w:ascii="Calibri" w:hAnsi="Calibri"/>
          <w:b/>
          <w:b/>
          <w:color w:val="000000"/>
          <w:sz w:val="24"/>
        </w:rPr>
      </w:pPr>
      <w:r>
        <w:rPr/>
        <w:t xml:space="preserve">Digi-Score — een puntensysteem voor een sterke digitale economie in de hele EU </w:t>
      </w:r>
    </w:p>
    <w:p>
      <w:pPr>
        <w:pStyle w:val="P68B1DB1Normal20"/>
        <w:widowControl w:val="false"/>
        <w:spacing w:lineRule="exact" w:line="337" w:before="192" w:after="0"/>
        <w:ind w:left="276" w:right="119" w:hanging="0"/>
        <w:jc w:val="both"/>
        <w:rPr/>
      </w:pPr>
      <w:r>
        <w:rPr/>
        <w:t xml:space="preserve">We stellen voor een openbaar toegankelijk digitaal dashboard op te zetten, genaamd Digi-Score, beheerd door de Europese Commissie (DG CNECT). Dit zou een nauwkeurig rankingsysteem zijn om het huidige niveau van digitale volwassenheid van EU-bedrijven aan te geven en te vergelijken. Met dit voorstel willen we meer digitalisering in heel Europa stimuleren. Bedrijven met een lage digitale score zouden recht hebben op gerichte steun om hen te helpen bij het inhalen. </w:t>
      </w:r>
    </w:p>
    <w:p>
      <w:pPr>
        <w:pStyle w:val="P68B1DB1Normal20"/>
        <w:widowControl w:val="false"/>
        <w:spacing w:lineRule="exact" w:line="338" w:before="219" w:after="0"/>
        <w:ind w:left="276" w:right="121" w:hanging="0"/>
        <w:jc w:val="both"/>
        <w:rPr/>
      </w:pPr>
      <w:r>
        <w:rPr/>
        <w:t xml:space="preserve">Deze doelstelling is belangrijk voor ons, omdat het de weg zou helpen effenen voor een hogere productiviteit, efficiëntie en verkoop, waardoor de rol van Europa als basis voor de productie wordt versterkt. </w:t>
      </w:r>
    </w:p>
    <w:p>
      <w:pPr>
        <w:pStyle w:val="P68B1DB1Normal20"/>
        <w:widowControl w:val="false"/>
        <w:spacing w:lineRule="exact" w:line="385" w:before="137" w:after="0"/>
        <w:ind w:left="0" w:right="0" w:hanging="0"/>
        <w:jc w:val="left"/>
        <w:rPr>
          <w:rFonts w:ascii="Calibri" w:hAnsi="Calibri"/>
          <w:color w:val="000000"/>
          <w:sz w:val="24"/>
        </w:rPr>
      </w:pPr>
      <w:r>
        <w:rPr/>
        <w:t xml:space="preserve"> </w:t>
      </w:r>
    </w:p>
    <w:p>
      <w:pPr>
        <w:pStyle w:val="P68B1DB1Normal44"/>
        <w:widowControl w:val="false"/>
        <w:spacing w:lineRule="exact" w:line="383" w:before="271" w:after="0"/>
        <w:ind w:left="276" w:right="0" w:hanging="0"/>
        <w:jc w:val="left"/>
        <w:rPr>
          <w:rFonts w:ascii="Times New Roman" w:hAnsi="Times New Roman"/>
          <w:i/>
          <w:i/>
          <w:color w:val="000000"/>
          <w:sz w:val="24"/>
        </w:rPr>
      </w:pPr>
      <w:r>
        <w:rPr/>
        <w:t xml:space="preserve">Ronde tafel 2: </w:t>
      </w:r>
    </w:p>
    <w:p>
      <w:pPr>
        <w:pStyle w:val="P68B1DB1Normal68"/>
        <w:widowControl w:val="false"/>
        <w:spacing w:lineRule="exact" w:line="400" w:before="209" w:after="0"/>
        <w:ind w:left="0" w:right="0" w:hanging="0"/>
        <w:jc w:val="left"/>
        <w:rPr>
          <w:rFonts w:ascii="Calibri" w:hAnsi="Calibri"/>
          <w:b/>
          <w:b/>
          <w:color w:val="000000"/>
          <w:sz w:val="24"/>
        </w:rPr>
      </w:pPr>
      <w:r>
        <w:rPr/>
        <w:t xml:space="preserve">Informatieplatform voor de uitwisseling van kennis en ervaring op EU-niveau </w:t>
      </w:r>
    </w:p>
    <w:p>
      <w:pPr>
        <w:pStyle w:val="P68B1DB1Normal20"/>
        <w:widowControl w:val="false"/>
        <w:spacing w:lineRule="exact" w:line="337"/>
        <w:ind w:left="276" w:right="119" w:hanging="0"/>
        <w:jc w:val="both"/>
        <w:rPr/>
      </w:pPr>
      <w:r>
        <w:rPr/>
        <w:t xml:space="preserve">Wij raden de EU aan een informatieplatform op te zetten voor de uitwisseling van kennis en ervaring op EU-niveau. Ons doel is informatie te delen over bestaande transnationale onderwijs- en opleidingsactiviteiten in de EU, voorbeelden van beste praktijken te presenteren en burgers de kans te geven nieuwe ideeën voor grensoverschrijdende uitwisselingen te presenteren. Daarnaast kan aanvullende informatie worden verstrekt over de beschikbare fora van technische deskundigen (bv. over energie, milieu of digitale transitie). </w:t>
      </w:r>
    </w:p>
    <w:p>
      <w:pPr>
        <w:pStyle w:val="P68B1DB1Normal20"/>
        <w:widowControl w:val="false"/>
        <w:spacing w:lineRule="exact" w:line="337" w:before="216" w:after="0"/>
        <w:ind w:left="276" w:right="121" w:hanging="0"/>
        <w:jc w:val="both"/>
        <w:rPr/>
      </w:pPr>
      <w:r>
        <w:rPr/>
        <w:t xml:space="preserve">Wij vinden dit belangrijk omdat burgers transparantie nodig hebben met betrekking tot de grensoverschrijdende onderwijs- en opleidingsactiviteiten die beschikbaar zijn. Zij moeten op EU-niveau betere richtsnoeren krijgen voor bestaande fora en platforms. </w:t>
      </w:r>
    </w:p>
    <w:p>
      <w:pPr>
        <w:pStyle w:val="Normal"/>
        <w:spacing w:lineRule="auto" w:line="240"/>
        <w:rPr/>
      </w:pPr>
      <w:r>
        <w:rPr/>
      </w:r>
      <w:r>
        <w:br w:type="page"/>
      </w:r>
    </w:p>
    <w:p>
      <w:pPr>
        <w:pStyle w:val="P68B1DB1Normal44"/>
        <w:spacing w:lineRule="auto" w:line="240"/>
        <w:rPr>
          <w:rFonts w:ascii="Times New Roman" w:hAnsi="Times New Roman"/>
          <w:i/>
          <w:i/>
          <w:color w:val="000000"/>
          <w:sz w:val="24"/>
        </w:rPr>
      </w:pPr>
      <w:r>
        <w:rPr/>
        <w:t xml:space="preserve">Ronde tafel 1: </w:t>
      </w:r>
    </w:p>
    <w:p>
      <w:pPr>
        <w:pStyle w:val="P68B1DB1Normal68"/>
        <w:widowControl w:val="false"/>
        <w:spacing w:lineRule="exact" w:line="400" w:before="196" w:after="0"/>
        <w:ind w:left="0" w:right="0" w:hanging="0"/>
        <w:jc w:val="left"/>
        <w:rPr>
          <w:rFonts w:ascii="Calibri" w:hAnsi="Calibri"/>
          <w:b/>
          <w:b/>
          <w:color w:val="000000"/>
          <w:sz w:val="24"/>
        </w:rPr>
      </w:pPr>
      <w:r>
        <w:rPr/>
        <w:t xml:space="preserve">De verordening betreffende de garantie van de productlevensduur </w:t>
      </w:r>
    </w:p>
    <w:p>
      <w:pPr>
        <w:pStyle w:val="P68B1DB1Normal20"/>
        <w:widowControl w:val="false"/>
        <w:spacing w:lineRule="exact" w:line="337" w:before="192" w:after="0"/>
        <w:ind w:left="276" w:right="119" w:hanging="0"/>
        <w:jc w:val="both"/>
        <w:rPr/>
      </w:pPr>
      <w:r>
        <w:rPr/>
        <w:t xml:space="preserve">Wij raden de EU aan wetgeving aan te nemen om een langere, gegarandeerde en specifieke levensduur vast te stellen voor elk product dat in de EU wordt vervaardigd en verkocht, en transparant te zijn met de consumenten in dit verband. </w:t>
      </w:r>
    </w:p>
    <w:p>
      <w:pPr>
        <w:pStyle w:val="P68B1DB1Normal20"/>
        <w:widowControl w:val="false"/>
        <w:spacing w:lineRule="exact" w:line="336" w:before="219" w:after="0"/>
        <w:ind w:left="276" w:right="126" w:hanging="0"/>
        <w:jc w:val="both"/>
        <w:rPr/>
      </w:pPr>
      <w:r>
        <w:rPr/>
        <w:t xml:space="preserve">De middelen zijn beperkt en dit zou geld besparen en afval verminderen, wat het milieu, het klimaat en de consumenten ten goede zou komen. </w:t>
      </w:r>
    </w:p>
    <w:p>
      <w:pPr>
        <w:pStyle w:val="P68B1DB1Normal20"/>
        <w:widowControl w:val="false"/>
        <w:spacing w:lineRule="exact" w:line="338" w:before="216" w:after="0"/>
        <w:ind w:left="276" w:right="131" w:hanging="0"/>
        <w:jc w:val="left"/>
        <w:rPr/>
      </w:pPr>
      <w:r>
        <w:rPr/>
        <w:t xml:space="preserve">We willen fabrikanten aanmoedigen om duurzamere en herstelbare producten op de markt te brengen. </w:t>
      </w:r>
    </w:p>
    <w:p>
      <w:pPr>
        <w:pStyle w:val="P68B1DB1Normal69"/>
        <w:widowControl w:val="false"/>
        <w:spacing w:lineRule="exact" w:line="332" w:before="138" w:after="0"/>
        <w:ind w:left="0" w:right="0" w:hanging="0"/>
        <w:jc w:val="left"/>
        <w:rPr>
          <w:rFonts w:ascii="Calibri" w:hAnsi="Calibri"/>
          <w:b/>
          <w:b/>
          <w:color w:val="000000"/>
          <w:sz w:val="20"/>
        </w:rPr>
      </w:pPr>
      <w:r>
        <w:rPr/>
        <w:t xml:space="preserve"> </w:t>
      </w:r>
    </w:p>
    <w:p>
      <w:pPr>
        <w:pStyle w:val="P68B1DB1Normal44"/>
        <w:widowControl w:val="false"/>
        <w:spacing w:lineRule="exact" w:line="383" w:before="107" w:after="0"/>
        <w:ind w:left="276" w:right="0" w:hanging="0"/>
        <w:jc w:val="left"/>
        <w:rPr>
          <w:rFonts w:ascii="Times New Roman" w:hAnsi="Times New Roman"/>
          <w:i/>
          <w:i/>
          <w:color w:val="000000"/>
          <w:sz w:val="24"/>
        </w:rPr>
      </w:pPr>
      <w:r>
        <w:rPr/>
        <w:t xml:space="preserve">Ronde tafel 2: </w:t>
      </w:r>
    </w:p>
    <w:p>
      <w:pPr>
        <w:pStyle w:val="P68B1DB1Normal68"/>
        <w:widowControl w:val="false"/>
        <w:spacing w:lineRule="exact" w:line="400" w:before="321" w:after="0"/>
        <w:ind w:left="0" w:right="0" w:hanging="0"/>
        <w:jc w:val="left"/>
        <w:rPr>
          <w:rFonts w:ascii="Calibri" w:hAnsi="Calibri"/>
          <w:b/>
          <w:b/>
          <w:color w:val="000000"/>
          <w:sz w:val="24"/>
        </w:rPr>
      </w:pPr>
      <w:r>
        <w:rPr/>
        <w:t xml:space="preserve">EU-campagne op lange termijn voor duurzame consumptie en levensstijl </w:t>
      </w:r>
    </w:p>
    <w:p>
      <w:pPr>
        <w:pStyle w:val="P68B1DB1Normal20"/>
        <w:widowControl w:val="false"/>
        <w:spacing w:lineRule="exact" w:line="336"/>
        <w:ind w:left="276" w:right="126" w:hanging="0"/>
        <w:jc w:val="left"/>
        <w:rPr/>
      </w:pPr>
      <w:r>
        <w:rPr/>
        <w:t xml:space="preserve">Wij raden aan dat een Europees orgaan, inclusief filialen in EU-landen, over eigen middelen beschikt en deze campagne leidt. </w:t>
      </w:r>
    </w:p>
    <w:p>
      <w:pPr>
        <w:pStyle w:val="P68B1DB1Normal20"/>
        <w:widowControl w:val="false"/>
        <w:spacing w:lineRule="exact" w:line="336" w:before="219" w:after="0"/>
        <w:ind w:left="276" w:right="128" w:hanging="0"/>
        <w:jc w:val="both"/>
        <w:rPr/>
      </w:pPr>
      <w:r>
        <w:rPr/>
        <w:t xml:space="preserve">Ons doel is ervoor te zorgen dat alle EU-burgers zich in een gemeenschappelijke identiteit herkennen, zich bewuster worden van de noodzaak van duurzame consumptie en levensstijl en deze manier van leven aannemen. </w:t>
      </w:r>
    </w:p>
    <w:p>
      <w:pPr>
        <w:pStyle w:val="P68B1DB1Normal20"/>
        <w:widowControl w:val="false"/>
        <w:spacing w:lineRule="exact" w:line="336" w:before="216" w:after="0"/>
        <w:ind w:left="276" w:right="128" w:hanging="0"/>
        <w:jc w:val="left"/>
        <w:rPr/>
      </w:pPr>
      <w:r>
        <w:rPr/>
        <w:t xml:space="preserve">Deze doelen zijn belangrijk voor ons omdat we een intrinsieke motivatie willen wekken voor een duurzame levensstijl. </w:t>
      </w:r>
    </w:p>
    <w:p>
      <w:pPr>
        <w:pStyle w:val="Normal"/>
        <w:spacing w:lineRule="auto" w:line="240"/>
        <w:rPr/>
      </w:pPr>
      <w:r>
        <w:rPr/>
      </w:r>
      <w:r>
        <w:br w:type="page"/>
      </w:r>
    </w:p>
    <w:p>
      <w:pPr>
        <w:pStyle w:val="P68B1DB1Normal44"/>
        <w:widowControl w:val="false"/>
        <w:spacing w:lineRule="exact" w:line="383" w:before="247" w:after="0"/>
        <w:ind w:left="276" w:right="0" w:hanging="0"/>
        <w:jc w:val="left"/>
        <w:rPr>
          <w:rFonts w:ascii="Times New Roman" w:hAnsi="Times New Roman"/>
          <w:i/>
          <w:i/>
          <w:color w:val="000000"/>
          <w:sz w:val="24"/>
        </w:rPr>
      </w:pPr>
      <w:r>
        <w:rPr/>
        <w:t xml:space="preserve">Ronde tafel 1: </w:t>
      </w:r>
    </w:p>
    <w:p>
      <w:pPr>
        <w:pStyle w:val="P68B1DB1Normal68"/>
        <w:widowControl w:val="false"/>
        <w:spacing w:lineRule="exact" w:line="400" w:before="88" w:after="0"/>
        <w:ind w:left="0" w:right="0" w:hanging="0"/>
        <w:jc w:val="left"/>
        <w:rPr>
          <w:rFonts w:ascii="Calibri" w:hAnsi="Calibri"/>
          <w:b/>
          <w:b/>
          <w:color w:val="000000"/>
          <w:sz w:val="24"/>
        </w:rPr>
      </w:pPr>
      <w:r>
        <w:rPr/>
        <w:t xml:space="preserve">Meer uitwisselingsmogelijkheden creëren voor studenten in Europa </w:t>
      </w:r>
    </w:p>
    <w:p>
      <w:pPr>
        <w:pStyle w:val="P68B1DB1Normal20"/>
        <w:widowControl w:val="false"/>
        <w:spacing w:lineRule="exact" w:line="293" w:before="162" w:after="0"/>
        <w:ind w:left="276" w:right="123" w:hanging="0"/>
        <w:jc w:val="both"/>
        <w:rPr/>
      </w:pPr>
      <w:r>
        <w:rPr/>
        <w:t xml:space="preserve">Wij raden de Europese Unie aan om, naast het Erasmus-programma, een verordening vast te stellen betreffende een uitwisselingsprogramma voor leerlingen en studenten tussen 14 en 25 jaar, ongeacht hun herkomst, geslacht en opleidingsniveau. Dit uitwisselingsprogramma moet systematisch worden opgezet en bevorderd door scholen op lokaal niveau. Elke student moet de mogelijkheid hebben om deel te nemen aan het uitwisselingsprogramma op elk moment van hun opleiding. Daartoe dient de Europese Commissie een voorstel in te dienen bij het Europees Parlement en de Europese Raad. </w:t>
      </w:r>
    </w:p>
    <w:p>
      <w:pPr>
        <w:pStyle w:val="P68B1DB1Normal20"/>
        <w:widowControl w:val="false"/>
        <w:spacing w:lineRule="exact" w:line="293" w:before="168" w:after="0"/>
        <w:ind w:left="276" w:right="123" w:hanging="0"/>
        <w:jc w:val="both"/>
        <w:rPr/>
      </w:pPr>
      <w:r>
        <w:rPr/>
        <w:t xml:space="preserve">Ons doel is om studenten, ongeacht hun academische prestaties en de financiële steun van hun ouders, de mogelijkheid te geven om deel te nemen aan uitwisselingsprogramma’s in heel Europa. Een cultuur van Europese uitwisselingen moet vanaf schooltijd worden bevorderd. Vooral is het belangrijk dat uitwisselingsprogramma’s gemakkelijk toegankelijk zijn en vrij zijn van administratieve rompslomp. Met dit uitwisselingsprogramma willen we Europese solidariteit tot stand brengen en taalbarrières verminderen. In dit verband moet rekening worden gehouden met gelijkheid in onderwijs en participatie in het onderwijs om de interculturele en communicatieve vaardigheden te versterken. </w:t>
      </w:r>
    </w:p>
    <w:p>
      <w:pPr>
        <w:pStyle w:val="P68B1DB1Normal20"/>
        <w:widowControl w:val="false"/>
        <w:spacing w:lineRule="exact" w:line="293" w:before="168" w:after="0"/>
        <w:ind w:left="276" w:right="123" w:hanging="0"/>
        <w:jc w:val="both"/>
        <w:rPr/>
      </w:pPr>
      <w:r>
        <w:rPr/>
        <w:t xml:space="preserve">Deze doelstellingen zijn belangrijk voor ons, omdat ze de Europese cohesie kunnen helpen bevorderen, respect en samenwerking kunnen versterken en Europese waarden van jongs af aan kunnen overbrengen, zodat de diversiteit van Europa als een kans kan worden gezien. </w:t>
      </w:r>
    </w:p>
    <w:p>
      <w:pPr>
        <w:pStyle w:val="P68B1DB1Normal20"/>
        <w:widowControl w:val="false"/>
        <w:spacing w:lineRule="exact" w:line="385" w:before="92" w:after="0"/>
        <w:ind w:left="0" w:right="0" w:hanging="0"/>
        <w:jc w:val="left"/>
        <w:rPr>
          <w:rFonts w:ascii="Calibri" w:hAnsi="Calibri"/>
          <w:color w:val="000000"/>
          <w:sz w:val="24"/>
        </w:rPr>
      </w:pPr>
      <w:r>
        <w:rPr/>
        <w:t xml:space="preserve"> </w:t>
      </w:r>
    </w:p>
    <w:p>
      <w:pPr>
        <w:pStyle w:val="P68B1DB1Normal44"/>
        <w:widowControl w:val="false"/>
        <w:spacing w:lineRule="exact" w:line="383" w:before="112" w:after="0"/>
        <w:ind w:left="276" w:right="0" w:hanging="0"/>
        <w:jc w:val="left"/>
        <w:rPr>
          <w:rFonts w:ascii="Times New Roman" w:hAnsi="Times New Roman"/>
          <w:i/>
          <w:i/>
          <w:color w:val="000000"/>
          <w:sz w:val="24"/>
        </w:rPr>
      </w:pPr>
      <w:r>
        <w:rPr/>
        <w:t xml:space="preserve">Ronde tafel 2: </w:t>
      </w:r>
    </w:p>
    <w:p>
      <w:pPr>
        <w:pStyle w:val="P68B1DB1Normal68"/>
        <w:widowControl w:val="false"/>
        <w:spacing w:lineRule="exact" w:line="400" w:before="205" w:after="0"/>
        <w:ind w:left="0" w:right="0" w:hanging="0"/>
        <w:jc w:val="left"/>
        <w:rPr>
          <w:rFonts w:ascii="Calibri" w:hAnsi="Calibri"/>
          <w:b/>
          <w:b/>
          <w:color w:val="000000"/>
          <w:sz w:val="24"/>
        </w:rPr>
      </w:pPr>
      <w:r>
        <w:rPr/>
        <w:t xml:space="preserve">Vaststelling van een basisloon dat specifiek is voor de werkgelegenheid </w:t>
      </w:r>
    </w:p>
    <w:p>
      <w:pPr>
        <w:pStyle w:val="P68B1DB1Normal20"/>
        <w:widowControl w:val="false"/>
        <w:spacing w:lineRule="exact" w:line="293"/>
        <w:ind w:left="276" w:right="121" w:hanging="0"/>
        <w:jc w:val="both"/>
        <w:rPr/>
      </w:pPr>
      <w:r>
        <w:rPr/>
        <w:t xml:space="preserve">Wij bevelen de Europees commissaris voor Werkgelegenheid en Sociale Rechten aan het Europees Parlement een voorstel in voor de invoering van een basisloon dat specifiek is voor de werkgelegenheid in alle lidstaten. Dit basisloon moet bestaan uit een minimuminkomen dat voldoende is om te zorgen voor levensonderhoud en een specifieke aanvulling op de werkgelegenheid. </w:t>
      </w:r>
    </w:p>
    <w:p>
      <w:pPr>
        <w:pStyle w:val="P68B1DB1Normal20"/>
        <w:widowControl w:val="false"/>
        <w:spacing w:lineRule="exact" w:line="293" w:before="173" w:after="0"/>
        <w:ind w:left="276" w:right="121" w:hanging="0"/>
        <w:jc w:val="both"/>
        <w:rPr/>
      </w:pPr>
      <w:r>
        <w:rPr/>
        <w:t xml:space="preserve">Ons doel is ervoor te zorgen dat professionele prestaties en lonen in de hele EU vergelijkbaar zijn om de sociale rechtvaardigheid te versterken. Deze doelstelling is belangrijk voor ons omdat het ervoor zorgt dat de arbeidsmarkt een fundamenteel EU-beginsel eerbiedigt: vergelijkbare leef- en arbeidsomstandigheden, ongeacht de woonplaats en het beroep van een persoon. </w:t>
      </w:r>
    </w:p>
    <w:p>
      <w:pPr>
        <w:pStyle w:val="Normal"/>
        <w:spacing w:lineRule="auto" w:line="240"/>
        <w:rPr/>
      </w:pPr>
      <w:r>
        <w:rPr/>
      </w:r>
      <w:r>
        <w:br w:type="page"/>
      </w:r>
    </w:p>
    <w:p>
      <w:pPr>
        <w:pStyle w:val="P68B1DB1Normal44"/>
        <w:spacing w:lineRule="auto" w:line="240"/>
        <w:rPr>
          <w:rFonts w:ascii="Times New Roman" w:hAnsi="Times New Roman"/>
          <w:i/>
          <w:i/>
          <w:color w:val="000000"/>
          <w:sz w:val="24"/>
        </w:rPr>
      </w:pPr>
      <w:r>
        <w:rPr/>
        <w:t xml:space="preserve">Ronde tafel 1: </w:t>
      </w:r>
    </w:p>
    <w:p>
      <w:pPr>
        <w:pStyle w:val="P68B1DB1Normal68"/>
        <w:widowControl w:val="false"/>
        <w:spacing w:lineRule="exact" w:line="400" w:before="196" w:after="0"/>
        <w:ind w:left="0" w:right="0" w:hanging="0"/>
        <w:jc w:val="left"/>
        <w:rPr>
          <w:rFonts w:ascii="Calibri" w:hAnsi="Calibri"/>
          <w:b/>
          <w:b/>
          <w:color w:val="000000"/>
          <w:sz w:val="24"/>
        </w:rPr>
      </w:pPr>
      <w:r>
        <w:rPr/>
        <w:t xml:space="preserve">Het belichamen van Europese waarden en het communiceren ervan door een beroep te doen op emoties </w:t>
      </w:r>
    </w:p>
    <w:p>
      <w:pPr>
        <w:pStyle w:val="P68B1DB1Normal20"/>
        <w:widowControl w:val="false"/>
        <w:spacing w:lineRule="exact" w:line="338" w:before="192" w:after="0"/>
        <w:ind w:left="276" w:right="126" w:hanging="0"/>
        <w:jc w:val="both"/>
        <w:rPr/>
      </w:pPr>
      <w:r>
        <w:rPr/>
        <w:t xml:space="preserve">We raden aan om Europese waarden concreter te maken en meer emoties te communiceren. Dit kunnen we bijvoorbeeld bereiken door middel van een „integratiepakket” dat de media, interactieve elementen en een grotere burgerparticipatie omvat. </w:t>
      </w:r>
    </w:p>
    <w:p>
      <w:pPr>
        <w:pStyle w:val="P68B1DB1Normal20"/>
        <w:widowControl w:val="false"/>
        <w:spacing w:lineRule="exact" w:line="336" w:before="216" w:after="0"/>
        <w:ind w:left="276" w:right="126" w:hanging="0"/>
        <w:jc w:val="left"/>
        <w:rPr/>
      </w:pPr>
      <w:r>
        <w:rPr/>
        <w:t xml:space="preserve">Ons doel is dat iedereen in de EU gemeenschappelijke waarden kent en omarmt. </w:t>
      </w:r>
    </w:p>
    <w:p>
      <w:pPr>
        <w:pStyle w:val="P68B1DB1Normal20"/>
        <w:widowControl w:val="false"/>
        <w:spacing w:lineRule="exact" w:line="337" w:before="216" w:after="0"/>
        <w:ind w:left="276" w:right="119" w:hanging="0"/>
        <w:jc w:val="both"/>
        <w:rPr/>
      </w:pPr>
      <w:r>
        <w:rPr/>
        <w:t xml:space="preserve">Dit doel is belangrijk voor ons omdat het de basis vormt voor onze coëxistentie binnen onze waardengemeenschap. Deze waarden zijn te weinig bekend omdat de persoonlijke band ontbreekt. We moeten deze verbinding maken. </w:t>
      </w:r>
    </w:p>
    <w:p>
      <w:pPr>
        <w:pStyle w:val="P68B1DB1Normal20"/>
        <w:widowControl w:val="false"/>
        <w:spacing w:lineRule="exact" w:line="385" w:before="135" w:after="0"/>
        <w:ind w:left="0" w:right="0" w:hanging="0"/>
        <w:jc w:val="left"/>
        <w:rPr>
          <w:rFonts w:ascii="Calibri" w:hAnsi="Calibri"/>
          <w:color w:val="000000"/>
          <w:sz w:val="24"/>
        </w:rPr>
      </w:pPr>
      <w:r>
        <w:rPr/>
        <w:t xml:space="preserve"> </w:t>
      </w:r>
    </w:p>
    <w:p>
      <w:pPr>
        <w:pStyle w:val="P68B1DB1Normal44"/>
        <w:widowControl w:val="false"/>
        <w:spacing w:lineRule="exact" w:line="383" w:before="114" w:after="0"/>
        <w:ind w:left="276" w:right="0" w:hanging="0"/>
        <w:jc w:val="left"/>
        <w:rPr>
          <w:rFonts w:ascii="Times New Roman" w:hAnsi="Times New Roman"/>
          <w:i/>
          <w:i/>
          <w:color w:val="000000"/>
          <w:sz w:val="24"/>
        </w:rPr>
      </w:pPr>
      <w:r>
        <w:rPr/>
        <w:t xml:space="preserve">Ronde tafel 2: </w:t>
      </w:r>
    </w:p>
    <w:p>
      <w:pPr>
        <w:pStyle w:val="P68B1DB1Normal68"/>
        <w:widowControl w:val="false"/>
        <w:spacing w:lineRule="exact" w:line="400" w:before="211" w:after="0"/>
        <w:ind w:left="0" w:right="0" w:hanging="0"/>
        <w:jc w:val="left"/>
        <w:rPr>
          <w:rFonts w:ascii="Calibri" w:hAnsi="Calibri"/>
          <w:b/>
          <w:b/>
          <w:color w:val="000000"/>
          <w:sz w:val="24"/>
        </w:rPr>
      </w:pPr>
      <w:r>
        <w:rPr/>
        <w:t xml:space="preserve">Het leven in de EU </w:t>
      </w:r>
    </w:p>
    <w:p>
      <w:pPr>
        <w:pStyle w:val="P68B1DB1Normal20"/>
        <w:widowControl w:val="false"/>
        <w:spacing w:lineRule="exact" w:line="337" w:before="191" w:after="0"/>
        <w:ind w:left="276" w:right="116" w:hanging="0"/>
        <w:jc w:val="both"/>
        <w:rPr/>
      </w:pPr>
      <w:r>
        <w:rPr/>
        <w:t xml:space="preserve">Wij raden de EU aan haar eigen onderwijs- en informatietelevisieprogramma op te zetten om alle EU-burgers bewust te maken van onze gedeelde waarden en te zorgen voor gemakkelijke en ongehinderde toegang tot deze informatie voor iedereen. Deze doelstellingen zijn belangrijk voor ons, omdat we de publieke opinie in elk van de EU-landen beter willen begrijpen. Op deze manier willen we de gemeenschappelijke basis versterken en burgers helpen samen te brengen om meer solidariteit te bevorderen en hen op te leiden in de rechtsstaat om de democratie te behouden. </w:t>
      </w:r>
    </w:p>
    <w:p>
      <w:pPr>
        <w:pStyle w:val="P68B1DB1Normal33"/>
        <w:widowControl w:val="false"/>
        <w:spacing w:lineRule="exact" w:line="399" w:before="365" w:after="0"/>
        <w:ind w:left="4819" w:right="0" w:hanging="0"/>
        <w:jc w:val="left"/>
        <w:rPr/>
      </w:pPr>
      <w:r>
        <w:rPr/>
        <w:t xml:space="preserve"> </w:t>
      </w:r>
      <w:r>
        <w:rPr/>
        <w:t>___</w:t>
      </w:r>
    </w:p>
    <w:p>
      <w:pPr>
        <w:pStyle w:val="Normal"/>
        <w:spacing w:lineRule="auto" w:line="240"/>
        <w:rPr/>
      </w:pPr>
      <w:r>
        <w:rPr/>
      </w:r>
      <w:r>
        <w:br w:type="page"/>
      </w:r>
    </w:p>
    <w:p>
      <w:pPr>
        <w:pStyle w:val="Titre1"/>
        <w:numPr>
          <w:ilvl w:val="0"/>
          <w:numId w:val="2"/>
        </w:numPr>
        <w:rPr/>
      </w:pPr>
      <w:bookmarkStart w:id="215" w:name="__RefHeading___Toc297355_1346298689"/>
      <w:bookmarkEnd w:id="215"/>
      <w:r>
        <w:rPr/>
        <w:t>II D Nationale Panelen: Italië</w:t>
      </w:r>
    </w:p>
    <w:p>
      <w:pPr>
        <w:pStyle w:val="P68B1DB1Normal70"/>
        <w:spacing w:lineRule="auto" w:line="240"/>
        <w:jc w:val="center"/>
        <w:rPr/>
      </w:pPr>
      <w:r>
        <w:rPr/>
        <w:t xml:space="preserve">Burgerpanel om aanbevelingen te doen voor de conferentie over de toekomst van Europa, 11-12 maart 2022 </w:t>
      </w:r>
    </w:p>
    <w:p>
      <w:pPr>
        <w:pStyle w:val="P68B1DB1Normal71"/>
        <w:widowControl w:val="false"/>
        <w:spacing w:lineRule="exact" w:line="916" w:before="147" w:after="0"/>
        <w:ind w:left="2234" w:right="0" w:hanging="0"/>
        <w:jc w:val="left"/>
        <w:rPr>
          <w:rFonts w:ascii="Arial" w:hAnsi="Arial"/>
          <w:color w:val="BD1271"/>
          <w:sz w:val="56"/>
        </w:rPr>
      </w:pPr>
      <w:r>
        <w:rPr/>
        <w:t xml:space="preserve">Samenvattende verslag </w:t>
      </w:r>
    </w:p>
    <w:p>
      <w:pPr>
        <w:pStyle w:val="Normal"/>
        <w:widowControl w:val="false"/>
        <w:spacing w:lineRule="exact" w:line="719" w:before="216" w:after="0"/>
        <w:ind w:left="4819" w:right="0" w:hanging="0"/>
        <w:jc w:val="left"/>
        <w:rPr/>
      </w:pPr>
      <w:r>
        <w:rPr>
          <w:color w:val="BD1271"/>
          <w:sz w:val="44"/>
        </w:rPr>
        <w:t xml:space="preserve"> </w:t>
      </w:r>
      <w:r>
        <w:rPr>
          <w:color w:val="000000"/>
          <w:sz w:val="32"/>
        </w:rPr>
        <w:t>Rome, 16 maart 2022</w:t>
      </w:r>
    </w:p>
    <w:p>
      <w:pPr>
        <w:pStyle w:val="P68B1DB1Normal72"/>
        <w:widowControl w:val="false"/>
        <w:spacing w:lineRule="exact" w:line="719" w:before="216" w:after="0"/>
        <w:ind w:left="4819" w:right="0" w:hanging="0"/>
        <w:jc w:val="left"/>
        <w:rPr>
          <w:rFonts w:ascii="Arial" w:hAnsi="Arial"/>
          <w:color w:val="BD1271"/>
          <w:sz w:val="44"/>
        </w:rPr>
      </w:pPr>
      <w:r>
        <w:rPr>
          <w:color w:val="BD1271"/>
          <w:sz w:val="44"/>
        </w:rPr>
        <w:drawing>
          <wp:anchor behindDoc="0" distT="0" distB="0" distL="0" distR="0" simplePos="0" locked="0" layoutInCell="1" allowOverlap="1" relativeHeight="41">
            <wp:simplePos x="0" y="0"/>
            <wp:positionH relativeFrom="column">
              <wp:posOffset>50800</wp:posOffset>
            </wp:positionH>
            <wp:positionV relativeFrom="paragraph">
              <wp:posOffset>155575</wp:posOffset>
            </wp:positionV>
            <wp:extent cx="810895" cy="956310"/>
            <wp:effectExtent l="0" t="0" r="0" b="0"/>
            <wp:wrapSquare wrapText="largest"/>
            <wp:docPr id="99" name="Afbeelding4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Afbeelding42" descr=""/>
                    <pic:cNvPicPr>
                      <a:picLocks noChangeAspect="1" noChangeArrowheads="1"/>
                    </pic:cNvPicPr>
                  </pic:nvPicPr>
                  <pic:blipFill>
                    <a:blip r:embed="rId102"/>
                    <a:stretch>
                      <a:fillRect/>
                    </a:stretch>
                  </pic:blipFill>
                  <pic:spPr bwMode="auto">
                    <a:xfrm>
                      <a:off x="0" y="0"/>
                      <a:ext cx="810895" cy="956310"/>
                    </a:xfrm>
                    <a:prstGeom prst="rect">
                      <a:avLst/>
                    </a:prstGeom>
                  </pic:spPr>
                </pic:pic>
              </a:graphicData>
            </a:graphic>
          </wp:anchor>
        </w:drawing>
      </w:r>
    </w:p>
    <w:p>
      <w:pPr>
        <w:pStyle w:val="Normal"/>
        <w:spacing w:lineRule="auto" w:line="240"/>
        <w:rPr/>
      </w:pPr>
      <w:r>
        <w:rPr/>
      </w:r>
    </w:p>
    <w:p>
      <w:pPr>
        <w:pStyle w:val="Normal"/>
        <w:spacing w:lineRule="auto" w:line="240"/>
        <w:rPr/>
      </w:pPr>
      <w:r>
        <w:rPr/>
      </w:r>
      <w:r>
        <w:br w:type="page"/>
      </w:r>
    </w:p>
    <w:sdt>
      <w:sdtPr>
        <w:docPartObj>
          <w:docPartGallery w:val="Table of Contents"/>
          <w:docPartUnique w:val="true"/>
        </w:docPartObj>
      </w:sdtPr>
      <w:sdtContent>
        <w:p>
          <w:pPr>
            <w:pStyle w:val="TOAHeading"/>
            <w:rPr/>
          </w:pPr>
          <w:r>
            <w:rPr/>
            <w:t>Inhoudsopgave</w:t>
          </w:r>
        </w:p>
        <w:p>
          <w:pPr>
            <w:pStyle w:val="Tabledesmatiresniveau1"/>
            <w:rPr/>
          </w:pPr>
          <w:r>
            <w:fldChar w:fldCharType="begin"/>
          </w:r>
          <w:r>
            <w:rPr>
              <w:rStyle w:val="Sautdindex"/>
            </w:rPr>
            <w:instrText> TOC \f \o "1-4" \h</w:instrText>
          </w:r>
          <w:r>
            <w:rPr>
              <w:rStyle w:val="Sautdindex"/>
            </w:rPr>
            <w:fldChar w:fldCharType="separate"/>
          </w:r>
          <w:hyperlink w:anchor="__RefHeading___Toc297355_1346298689">
            <w:r>
              <w:rPr>
                <w:rStyle w:val="Sautdindex"/>
              </w:rPr>
              <w:t>II D Panels nationaux : Italie</w:t>
              <w:tab/>
              <w:t>227</w:t>
            </w:r>
          </w:hyperlink>
        </w:p>
        <w:p>
          <w:pPr>
            <w:pStyle w:val="Tabledesmatiresniveau2"/>
            <w:tabs>
              <w:tab w:val="right" w:pos="9638" w:leader="dot"/>
            </w:tabs>
            <w:rPr/>
          </w:pPr>
          <w:hyperlink w:anchor="__RefHeading___Toc300308_1346298689">
            <w:r>
              <w:rPr>
                <w:rStyle w:val="Sautdindex"/>
              </w:rPr>
              <w:t>1. Principes directeurs du processus d'organisation du panel</w:t>
              <w:tab/>
              <w:t>229</w:t>
            </w:r>
          </w:hyperlink>
        </w:p>
        <w:p>
          <w:pPr>
            <w:pStyle w:val="Tabledesmatiresniveau2"/>
            <w:tabs>
              <w:tab w:val="right" w:pos="9638" w:leader="dot"/>
            </w:tabs>
            <w:rPr/>
          </w:pPr>
          <w:hyperlink w:anchor="__RefHeading___Toc300310_1346298689">
            <w:r>
              <w:rPr>
                <w:rStyle w:val="Sautdindex"/>
              </w:rPr>
              <w:t>2. Sélection des participants et modalité de participation</w:t>
              <w:tab/>
              <w:t>230</w:t>
            </w:r>
          </w:hyperlink>
        </w:p>
        <w:p>
          <w:pPr>
            <w:pStyle w:val="Tabledesmatiresniveau2"/>
            <w:tabs>
              <w:tab w:val="right" w:pos="9638" w:leader="dot"/>
            </w:tabs>
            <w:rPr/>
          </w:pPr>
          <w:hyperlink w:anchor="__RefHeading___Toc300312_1346298689">
            <w:r>
              <w:rPr>
                <w:rStyle w:val="Sautdindex"/>
              </w:rPr>
              <w:t>3. Organisation du panel</w:t>
              <w:tab/>
              <w:t>233</w:t>
            </w:r>
          </w:hyperlink>
        </w:p>
        <w:p>
          <w:pPr>
            <w:pStyle w:val="Tabledesmatiresniveau2"/>
            <w:tabs>
              <w:tab w:val="right" w:pos="9638" w:leader="dot"/>
            </w:tabs>
            <w:rPr/>
          </w:pPr>
          <w:hyperlink w:anchor="__RefHeading___Toc300314_1346298689">
            <w:r>
              <w:rPr>
                <w:rStyle w:val="Sautdindex"/>
              </w:rPr>
              <w:t>4. Programme de travail</w:t>
              <w:tab/>
              <w:t>233</w:t>
            </w:r>
          </w:hyperlink>
        </w:p>
        <w:p>
          <w:pPr>
            <w:pStyle w:val="Tabledesmatiresniveau2"/>
            <w:tabs>
              <w:tab w:val="right" w:pos="9638" w:leader="dot"/>
            </w:tabs>
            <w:rPr/>
          </w:pPr>
          <w:hyperlink w:anchor="__RefHeading___Toc300316_1346298689">
            <w:r>
              <w:rPr>
                <w:rStyle w:val="Sautdindex"/>
              </w:rPr>
              <w:t>5. Recommandations formulées</w:t>
              <w:tab/>
              <w:t>235</w:t>
            </w:r>
          </w:hyperlink>
        </w:p>
        <w:p>
          <w:pPr>
            <w:pStyle w:val="Tabledesmatiresniveau3"/>
            <w:tabs>
              <w:tab w:val="right" w:pos="9638" w:leader="dot"/>
            </w:tabs>
            <w:rPr/>
          </w:pPr>
          <w:hyperlink w:anchor="__RefHeading___Toc300318_1346298689">
            <w:r>
              <w:rPr>
                <w:rStyle w:val="Sautdindex"/>
              </w:rPr>
              <w:t>Une économie plus forte, justice sociale et emploi</w:t>
              <w:tab/>
              <w:t>235</w:t>
            </w:r>
          </w:hyperlink>
        </w:p>
        <w:p>
          <w:pPr>
            <w:pStyle w:val="Tabledesmatiresniveau4"/>
            <w:tabs>
              <w:tab w:val="right" w:pos="9638" w:leader="dot"/>
            </w:tabs>
            <w:rPr/>
          </w:pPr>
          <w:hyperlink w:anchor="__RefHeading___Toc300428_1346298689">
            <w:r>
              <w:rPr>
                <w:rStyle w:val="Sautdindex"/>
              </w:rPr>
              <w:t>1. Dépasser le modèle de production du siècle passé</w:t>
              <w:tab/>
              <w:t>235</w:t>
            </w:r>
          </w:hyperlink>
        </w:p>
        <w:p>
          <w:pPr>
            <w:pStyle w:val="Tabledesmatiresniveau4"/>
            <w:tabs>
              <w:tab w:val="right" w:pos="9638" w:leader="dot"/>
            </w:tabs>
            <w:rPr/>
          </w:pPr>
          <w:hyperlink w:anchor="__RefHeading___Toc300430_1346298689">
            <w:r>
              <w:rPr>
                <w:rStyle w:val="Sautdindex"/>
              </w:rPr>
              <w:t>2. Règlements génératifs et inclusifs en matière de production</w:t>
              <w:tab/>
              <w:t>235</w:t>
            </w:r>
          </w:hyperlink>
        </w:p>
        <w:p>
          <w:pPr>
            <w:pStyle w:val="Tabledesmatiresniveau4"/>
            <w:tabs>
              <w:tab w:val="right" w:pos="9638" w:leader="dot"/>
            </w:tabs>
            <w:rPr/>
          </w:pPr>
          <w:hyperlink w:anchor="__RefHeading___Toc300432_1346298689">
            <w:r>
              <w:rPr>
                <w:rStyle w:val="Sautdindex"/>
              </w:rPr>
              <w:t>3. Mesurer la croissance à l'aune du bonheur au sein de la population plutôt que de la quantité de produits</w:t>
              <w:tab/>
              <w:t>236</w:t>
            </w:r>
          </w:hyperlink>
        </w:p>
        <w:p>
          <w:pPr>
            <w:pStyle w:val="Tabledesmatiresniveau4"/>
            <w:tabs>
              <w:tab w:val="right" w:pos="9638" w:leader="dot"/>
            </w:tabs>
            <w:rPr/>
          </w:pPr>
          <w:hyperlink w:anchor="__RefHeading___Toc300434_1346298689">
            <w:r>
              <w:rPr>
                <w:rStyle w:val="Sautdindex"/>
              </w:rPr>
              <w:t>4. Une plus grande intégration parmi les États</w:t>
              <w:tab/>
              <w:t>237</w:t>
            </w:r>
          </w:hyperlink>
        </w:p>
        <w:p>
          <w:pPr>
            <w:pStyle w:val="Tabledesmatiresniveau4"/>
            <w:tabs>
              <w:tab w:val="right" w:pos="9638" w:leader="dot"/>
            </w:tabs>
            <w:rPr/>
          </w:pPr>
          <w:hyperlink w:anchor="__RefHeading___Toc300436_1346298689">
            <w:r>
              <w:rPr>
                <w:rStyle w:val="Sautdindex"/>
              </w:rPr>
              <w:t>5. Politiques d'inclusion</w:t>
              <w:tab/>
              <w:t>238</w:t>
            </w:r>
          </w:hyperlink>
        </w:p>
        <w:p>
          <w:pPr>
            <w:pStyle w:val="Tabledesmatiresniveau4"/>
            <w:tabs>
              <w:tab w:val="right" w:pos="9638" w:leader="dot"/>
            </w:tabs>
            <w:rPr/>
          </w:pPr>
          <w:hyperlink w:anchor="__RefHeading___Toc300438_1346298689">
            <w:r>
              <w:rPr>
                <w:rStyle w:val="Sautdindex"/>
              </w:rPr>
              <w:t>6. Emploi</w:t>
              <w:tab/>
              <w:t>239</w:t>
            </w:r>
          </w:hyperlink>
        </w:p>
        <w:p>
          <w:pPr>
            <w:pStyle w:val="Tabledesmatiresniveau3"/>
            <w:tabs>
              <w:tab w:val="right" w:pos="9638" w:leader="dot"/>
            </w:tabs>
            <w:rPr/>
          </w:pPr>
          <w:hyperlink w:anchor="__RefHeading___Toc300320_1346298689">
            <w:r>
              <w:rPr>
                <w:rStyle w:val="Sautdindex"/>
              </w:rPr>
              <w:t xml:space="preserve"> </w:t>
            </w:r>
            <w:r>
              <w:rPr>
                <w:rStyle w:val="Sautdindex"/>
              </w:rPr>
              <w:t>L'Europe dans le monde</w:t>
              <w:tab/>
              <w:t>240</w:t>
            </w:r>
          </w:hyperlink>
        </w:p>
        <w:p>
          <w:pPr>
            <w:pStyle w:val="Tabledesmatiresniveau4"/>
            <w:tabs>
              <w:tab w:val="right" w:pos="9638" w:leader="dot"/>
            </w:tabs>
            <w:rPr/>
          </w:pPr>
          <w:hyperlink w:anchor="__RefHeading___Toc300440_1346298689">
            <w:r>
              <w:rPr>
                <w:rStyle w:val="Sautdindex"/>
              </w:rPr>
              <w:t>1. Renforcer l'identité européenne</w:t>
              <w:tab/>
              <w:t>240</w:t>
            </w:r>
          </w:hyperlink>
        </w:p>
        <w:p>
          <w:pPr>
            <w:pStyle w:val="Tabledesmatiresniveau4"/>
            <w:tabs>
              <w:tab w:val="right" w:pos="9638" w:leader="dot"/>
            </w:tabs>
            <w:rPr/>
          </w:pPr>
          <w:hyperlink w:anchor="__RefHeading___Toc300442_1346298689">
            <w:r>
              <w:rPr>
                <w:rStyle w:val="Sautdindex"/>
              </w:rPr>
              <w:t>2. Renforcer l'économie et les institutions</w:t>
              <w:tab/>
              <w:t>240</w:t>
            </w:r>
          </w:hyperlink>
        </w:p>
        <w:p>
          <w:pPr>
            <w:pStyle w:val="Tabledesmatiresniveau4"/>
            <w:tabs>
              <w:tab w:val="right" w:pos="9638" w:leader="dot"/>
            </w:tabs>
            <w:rPr/>
          </w:pPr>
          <w:hyperlink w:anchor="__RefHeading___Toc300444_1346298689">
            <w:r>
              <w:rPr>
                <w:rStyle w:val="Sautdindex"/>
              </w:rPr>
              <w:t>3. Coopération et partenariats</w:t>
              <w:tab/>
              <w:t>241</w:t>
            </w:r>
          </w:hyperlink>
        </w:p>
        <w:p>
          <w:pPr>
            <w:pStyle w:val="Tabledesmatiresniveau4"/>
            <w:tabs>
              <w:tab w:val="right" w:pos="9638" w:leader="dot"/>
            </w:tabs>
            <w:rPr/>
          </w:pPr>
          <w:hyperlink w:anchor="__RefHeading___Toc300446_1346298689">
            <w:r>
              <w:rPr>
                <w:rStyle w:val="Sautdindex"/>
              </w:rPr>
              <w:t>4. Référence politique et culturelle</w:t>
              <w:tab/>
              <w:t>242</w:t>
            </w:r>
          </w:hyperlink>
        </w:p>
        <w:p>
          <w:pPr>
            <w:pStyle w:val="Tabledesmatiresniveau2"/>
            <w:tabs>
              <w:tab w:val="right" w:pos="9638" w:leader="dot"/>
            </w:tabs>
            <w:rPr/>
          </w:pPr>
          <w:hyperlink w:anchor="__RefHeading___Toc300322_1346298689">
            <w:r>
              <w:rPr>
                <w:rStyle w:val="Sautdindex"/>
              </w:rPr>
              <w:t>6. Évaluation finale par les participants</w:t>
              <w:tab/>
              <w:t>242</w:t>
            </w:r>
          </w:hyperlink>
        </w:p>
      </w:sdtContent>
    </w:sdt>
    <w:p>
      <w:pPr>
        <w:pStyle w:val="Normal"/>
        <w:spacing w:lineRule="auto" w:line="240"/>
        <w:rPr>
          <w:rFonts w:ascii="Calibri" w:hAnsi="Calibri"/>
          <w:color w:val="0000FF"/>
          <w:sz w:val="22"/>
        </w:rPr>
      </w:pPr>
      <w:r>
        <w:rPr>
          <w:rFonts w:ascii="Calibri" w:hAnsi="Calibri"/>
          <w:color w:val="0000FF"/>
          <w:sz w:val="22"/>
        </w:rPr>
      </w:r>
      <w:r>
        <w:rPr>
          <w:sz w:val="22"/>
          <w:rFonts w:ascii="Calibri" w:hAnsi="Calibri"/>
        </w:rPr>
        <w:fldChar w:fldCharType="end"/>
      </w:r>
      <w:r>
        <w:br w:type="page"/>
      </w:r>
    </w:p>
    <w:p>
      <w:pPr>
        <w:pStyle w:val="P68B1DB1Titre273"/>
        <w:numPr>
          <w:ilvl w:val="0"/>
          <w:numId w:val="2"/>
        </w:numPr>
        <w:rPr/>
      </w:pPr>
      <w:bookmarkStart w:id="216" w:name="__RefHeading___Toc300308_1346298689"/>
      <w:bookmarkEnd w:id="216"/>
      <w:r>
        <w:rPr/>
        <w:t xml:space="preserve">1. Leidende principes voor het proces van organisatie van het panel </w:t>
      </w:r>
    </w:p>
    <w:p>
      <w:pPr>
        <w:pStyle w:val="P68B1DB1Normal34"/>
        <w:widowControl w:val="false"/>
        <w:spacing w:lineRule="auto" w:line="240"/>
        <w:ind w:left="0" w:right="0" w:hanging="0"/>
        <w:jc w:val="left"/>
        <w:rPr/>
      </w:pPr>
      <w:r>
        <w:rPr/>
        <w:t xml:space="preserve"> </w:t>
      </w:r>
      <w:r>
        <w:rPr/>
        <w:t xml:space="preserve">Het hele proces van uitvoering van het panel was ontworpen om in overeenstemming te zijn met de richtsnoeren in de richtsnoeren voor nationale burgerpanels in het kader van de conferentie over de toekomst van Europa. Meer specifiek: </w:t>
      </w:r>
    </w:p>
    <w:p>
      <w:pPr>
        <w:pStyle w:val="Normal"/>
        <w:widowControl w:val="false"/>
        <w:spacing w:lineRule="auto" w:line="240" w:before="80" w:after="0"/>
        <w:ind w:left="360" w:right="0" w:hanging="0"/>
        <w:jc w:val="left"/>
        <w:rPr/>
      </w:pPr>
      <w:r>
        <w:rPr>
          <w:rFonts w:ascii="Symbol" w:hAnsi="Symbol"/>
          <w:color w:val="000000"/>
        </w:rPr>
        <w:t>•</w:t>
      </w:r>
      <w:r>
        <w:rPr>
          <w:color w:val="000000"/>
        </w:rPr>
        <w:t xml:space="preserve"> </w:t>
      </w:r>
      <w:r>
        <w:rPr>
          <w:b/>
          <w:color w:val="2E74B5"/>
        </w:rPr>
        <w:t>Doel:</w:t>
      </w:r>
      <w:r>
        <w:rPr>
          <w:b/>
          <w:color w:val="000000"/>
        </w:rPr>
        <w:t xml:space="preserve"> </w:t>
      </w:r>
    </w:p>
    <w:p>
      <w:pPr>
        <w:pStyle w:val="P68B1DB1Normal34"/>
        <w:widowControl w:val="false"/>
        <w:spacing w:lineRule="auto" w:line="240"/>
        <w:ind w:left="720" w:right="0" w:hanging="0"/>
        <w:jc w:val="left"/>
        <w:rPr/>
      </w:pPr>
      <w:r>
        <w:rPr/>
        <w:t xml:space="preserve">Alle uitgenodigden om deel te nemen aan het panel vulden een vragenlijst in met de doelstellingen en doelstellingen van het project, met specifieke verwijzingen naar de Conferentie over de toekomst van Europa, de behandelde onderwerpen en de modaliteiten van deelname. </w:t>
      </w:r>
    </w:p>
    <w:p>
      <w:pPr>
        <w:pStyle w:val="P68B1DB1Normal74"/>
        <w:widowControl w:val="false"/>
        <w:spacing w:lineRule="auto" w:line="240"/>
        <w:ind w:left="360" w:right="0" w:hanging="0"/>
        <w:jc w:val="left"/>
        <w:rPr/>
      </w:pPr>
      <w:r>
        <w:rPr>
          <w:rFonts w:ascii="Symbol" w:hAnsi="Symbol"/>
        </w:rPr>
        <w:t>•</w:t>
      </w:r>
      <w:r>
        <w:rPr/>
        <w:t xml:space="preserve"> </w:t>
      </w:r>
      <w:r>
        <w:rPr>
          <w:b/>
        </w:rPr>
        <w:t xml:space="preserve">Transparantie: </w:t>
      </w:r>
    </w:p>
    <w:p>
      <w:pPr>
        <w:pStyle w:val="P68B1DB1Normal34"/>
        <w:widowControl w:val="false"/>
        <w:spacing w:lineRule="auto" w:line="240"/>
        <w:ind w:left="720" w:right="0" w:hanging="0"/>
        <w:jc w:val="left"/>
        <w:rPr/>
      </w:pPr>
      <w:r>
        <w:rPr/>
        <w:t xml:space="preserve">Alle documenten waarin het initiatief wordt gepresenteerd, zijn op verschillende manieren ter beschikking gesteld van de deelnemers, waarbij altijd wordt verwezen naar de officiële website van de conferentie. De documenten werden per e-mail naar alle deelnemers verzonden. </w:t>
      </w:r>
    </w:p>
    <w:p>
      <w:pPr>
        <w:pStyle w:val="P68B1DB1Normal74"/>
        <w:widowControl w:val="false"/>
        <w:spacing w:lineRule="auto" w:line="240"/>
        <w:ind w:left="360" w:right="0" w:hanging="0"/>
        <w:jc w:val="left"/>
        <w:rPr/>
      </w:pPr>
      <w:r>
        <w:rPr>
          <w:rFonts w:ascii="Symbol" w:hAnsi="Symbol"/>
        </w:rPr>
        <w:t>•</w:t>
      </w:r>
      <w:r>
        <w:rPr/>
        <w:t xml:space="preserve"> </w:t>
      </w:r>
      <w:r>
        <w:rPr>
          <w:b/>
        </w:rPr>
        <w:t xml:space="preserve">Inclusiviteit: </w:t>
      </w:r>
    </w:p>
    <w:p>
      <w:pPr>
        <w:pStyle w:val="P68B1DB1Normal75"/>
        <w:widowControl w:val="false"/>
        <w:spacing w:lineRule="auto" w:line="240"/>
        <w:ind w:left="708" w:right="0" w:hanging="0"/>
        <w:jc w:val="left"/>
        <w:rPr/>
      </w:pPr>
      <w:r>
        <w:rPr>
          <w:color w:val="000000"/>
        </w:rPr>
        <w:t xml:space="preserve">De uitnodiging om deel te nemen werd via verschillende kanalen verzonden: e-mail bijvoorbeeld naar </w:t>
      </w:r>
      <w:r>
        <w:rPr>
          <w:color w:val="ED7D31"/>
        </w:rPr>
        <w:t>SWG</w:t>
      </w:r>
      <w:r>
        <w:rPr>
          <w:color w:val="000000"/>
        </w:rPr>
        <w:t xml:space="preserve"> -communityleden en deel de link naar het aanvraagformulier via Twitter en LinkedIn. Dit resulteerde in een totaal van meer dan 400 toegang tot het aanvraagformulier en 245 aanvragen. De (willekeurige) selectie van deelnemers is zodanig uitgevoerd dat de aanwezigheid van verschillende personen van geslacht, leeftijd, sociale afkomst, woonplaats en beroepsstatus wordt gewaarborgd. </w:t>
      </w:r>
    </w:p>
    <w:p>
      <w:pPr>
        <w:pStyle w:val="P68B1DB1Normal74"/>
        <w:widowControl w:val="false"/>
        <w:spacing w:lineRule="auto" w:line="240"/>
        <w:ind w:left="360" w:right="0" w:hanging="0"/>
        <w:jc w:val="left"/>
        <w:rPr/>
      </w:pPr>
      <w:r>
        <w:rPr>
          <w:rFonts w:ascii="Symbol" w:hAnsi="Symbol"/>
        </w:rPr>
        <w:t>•</w:t>
      </w:r>
      <w:r>
        <w:rPr/>
        <w:t xml:space="preserve"> </w:t>
      </w:r>
      <w:r>
        <w:rPr>
          <w:b/>
        </w:rPr>
        <w:t xml:space="preserve">Representativiteit: </w:t>
      </w:r>
    </w:p>
    <w:p>
      <w:pPr>
        <w:pStyle w:val="P68B1DB1Normal34"/>
        <w:widowControl w:val="false"/>
        <w:spacing w:lineRule="auto" w:line="240"/>
        <w:ind w:left="708" w:right="0" w:hanging="0"/>
        <w:jc w:val="left"/>
        <w:rPr/>
      </w:pPr>
      <w:r>
        <w:rPr/>
        <w:t xml:space="preserve">Hoewel de steekproefgrootte niet representatief is in statistische zin, werd de steekproef ontworpen om maximale heterogeniteit tussen de deelnemers te bereiken om een microkosmos van de doelgroep te reproduceren. </w:t>
      </w:r>
    </w:p>
    <w:p>
      <w:pPr>
        <w:pStyle w:val="P68B1DB1Normal74"/>
        <w:widowControl w:val="false"/>
        <w:spacing w:lineRule="auto" w:line="240"/>
        <w:ind w:left="360" w:right="0" w:hanging="0"/>
        <w:jc w:val="left"/>
        <w:rPr/>
      </w:pPr>
      <w:r>
        <w:rPr>
          <w:rFonts w:ascii="Symbol" w:hAnsi="Symbol"/>
        </w:rPr>
        <w:t>•</w:t>
      </w:r>
      <w:r>
        <w:rPr/>
        <w:t xml:space="preserve"> </w:t>
      </w:r>
      <w:r>
        <w:rPr>
          <w:b/>
        </w:rPr>
        <w:t xml:space="preserve">Informatie: </w:t>
      </w:r>
    </w:p>
    <w:p>
      <w:pPr>
        <w:pStyle w:val="Normal"/>
        <w:widowControl w:val="false"/>
        <w:spacing w:lineRule="auto" w:line="240"/>
        <w:ind w:left="720" w:right="0" w:hanging="0"/>
        <w:jc w:val="left"/>
        <w:rPr/>
      </w:pPr>
      <w:r>
        <w:rPr>
          <w:color w:val="000000"/>
        </w:rPr>
        <w:t xml:space="preserve">Alle deelnemers kregen een breed scala aan informatie over de conferentie en over de onderwerpen die tijdens het panel werden besproken. De doelstellingen en modaliteiten van het project werden in het inleidende deel aan de deelnemers herinnerd, in overeenstemming met de beginselen van neutraliteit en volledigheid. Alle deelnemers kregen de mogelijkheid om meer informatie en details over het evenement op te vragen via de directe telefoonnummers van de projectmanagers binnen </w:t>
      </w:r>
      <w:r>
        <w:rPr>
          <w:color w:val="ED7D31"/>
        </w:rPr>
        <w:t>SWG</w:t>
      </w:r>
      <w:r>
        <w:rPr>
          <w:color w:val="000000"/>
        </w:rPr>
        <w:t xml:space="preserve">. </w:t>
      </w:r>
    </w:p>
    <w:p>
      <w:pPr>
        <w:pStyle w:val="P68B1DB1Normal74"/>
        <w:widowControl w:val="false"/>
        <w:spacing w:lineRule="auto" w:line="240"/>
        <w:ind w:left="360" w:right="0" w:hanging="0"/>
        <w:jc w:val="left"/>
        <w:rPr/>
      </w:pPr>
      <w:r>
        <w:rPr>
          <w:rFonts w:ascii="Symbol" w:hAnsi="Symbol"/>
        </w:rPr>
        <w:t>•</w:t>
      </w:r>
      <w:r>
        <w:rPr/>
        <w:t xml:space="preserve"> </w:t>
      </w:r>
      <w:r>
        <w:rPr>
          <w:b/>
        </w:rPr>
        <w:t xml:space="preserve">Beraadslagingsgroepen: </w:t>
      </w:r>
    </w:p>
    <w:p>
      <w:pPr>
        <w:pStyle w:val="P68B1DB1Normal76"/>
        <w:widowControl w:val="false"/>
        <w:spacing w:lineRule="auto" w:line="240"/>
        <w:ind w:left="720" w:right="0" w:hanging="0"/>
        <w:jc w:val="left"/>
        <w:rPr/>
      </w:pPr>
      <w:r>
        <w:rPr/>
        <w:t xml:space="preserve">De belangrijkste doelstelling van het hele proces was het formuleren van concrete, door de deelnemers op grote schaal gedeelde aanbevelingen, die tot de Europese Unie moesten worden gericht. De manier waarop het werk werd georganiseerd en de groepen leidden resulteerde in een proces gericht op het verzamelen van indicaties van deelnemers, hun behandeling en synthese, evenals hun verificatie en validatie door de groepen zelf tijdens een volgende werksessie. </w:t>
      </w:r>
    </w:p>
    <w:p>
      <w:pPr>
        <w:pStyle w:val="P68B1DB1Normal74"/>
        <w:widowControl w:val="false"/>
        <w:spacing w:lineRule="auto" w:line="240"/>
        <w:ind w:left="360" w:right="0" w:hanging="0"/>
        <w:jc w:val="left"/>
        <w:rPr/>
      </w:pPr>
      <w:r>
        <w:rPr>
          <w:rFonts w:ascii="Symbol" w:hAnsi="Symbol"/>
        </w:rPr>
        <w:t>•</w:t>
      </w:r>
      <w:r>
        <w:rPr/>
        <w:t xml:space="preserve"> </w:t>
      </w:r>
      <w:r>
        <w:rPr>
          <w:b/>
        </w:rPr>
        <w:t xml:space="preserve">Kalender: </w:t>
      </w:r>
    </w:p>
    <w:p>
      <w:pPr>
        <w:pStyle w:val="P68B1DB1Normal76"/>
        <w:widowControl w:val="false"/>
        <w:spacing w:lineRule="auto" w:line="240"/>
        <w:ind w:left="720" w:right="0" w:hanging="0"/>
        <w:jc w:val="left"/>
        <w:rPr/>
      </w:pPr>
      <w:r>
        <w:rPr/>
        <w:t xml:space="preserve">Tijdens de werksessies werd een ontspannen sfeer gecreëerd, waarbij deelnemers alle tijd kregen die nodig waren om de thema’s waarover ze waren uitgenodigd te verdiepen, hun mening te uiten en te luisteren naar die van anderen. Om dezelfde reden werd besloten om de twee hoofdgroepen in twee subgroepen te verdelen. Daarnaast werd het werk verspreid over twee dagen om de geformuleerde ideeën te kunnen baseren. </w:t>
      </w:r>
    </w:p>
    <w:p>
      <w:pPr>
        <w:pStyle w:val="Normal"/>
        <w:widowControl w:val="false"/>
        <w:spacing w:lineRule="auto" w:line="240"/>
        <w:ind w:left="360" w:right="0" w:hanging="0"/>
        <w:jc w:val="left"/>
        <w:rPr/>
      </w:pPr>
      <w:r>
        <w:rPr>
          <w:rFonts w:ascii="Symbol" w:hAnsi="Symbol"/>
          <w:color w:val="000000"/>
        </w:rPr>
        <w:t>•</w:t>
      </w:r>
      <w:r>
        <w:rPr>
          <w:color w:val="000000"/>
        </w:rPr>
        <w:t xml:space="preserve"> </w:t>
      </w:r>
      <w:r>
        <w:rPr>
          <w:b/>
          <w:color w:val="2E74B5"/>
        </w:rPr>
        <w:t>Follow-up:</w:t>
      </w:r>
      <w:r>
        <w:rPr>
          <w:color w:val="000000"/>
        </w:rPr>
        <w:t xml:space="preserve"> </w:t>
      </w:r>
    </w:p>
    <w:p>
      <w:pPr>
        <w:pStyle w:val="P68B1DB1Normal76"/>
        <w:widowControl w:val="false"/>
        <w:spacing w:lineRule="auto" w:line="240"/>
        <w:ind w:left="720" w:right="0" w:hanging="0"/>
        <w:jc w:val="left"/>
        <w:rPr/>
      </w:pPr>
      <w:r>
        <w:rPr/>
        <w:t xml:space="preserve">Op de laatste dag hebben alle groepen de verificatie en validering van de eerste ontwerpaanbevelingen tijdens de eerste fase van de werkzaamheden uitgevoerd. Zodra het verslag over de resultaten is voorgelegd aan de afdeling Europees Beleid van het voorzitterschap van de Raad van Ministers en de toestemming daarvoor, werd de definitieve versie van de aanbevelingen aan alle deelnemers van het panel toegezonden. In ieder geval werden de deelnemers uitgenodigd om de activiteiten van de conferentie op de website en de te publiceren updates te blijven volgen. </w:t>
      </w:r>
    </w:p>
    <w:p>
      <w:pPr>
        <w:pStyle w:val="P68B1DB1Normal74"/>
        <w:widowControl w:val="false"/>
        <w:spacing w:lineRule="auto" w:line="240"/>
        <w:ind w:left="360" w:right="0" w:hanging="0"/>
        <w:jc w:val="left"/>
        <w:rPr/>
      </w:pPr>
      <w:r>
        <w:rPr>
          <w:rFonts w:ascii="Symbol" w:hAnsi="Symbol"/>
        </w:rPr>
        <w:t>•</w:t>
      </w:r>
      <w:r>
        <w:rPr/>
        <w:t xml:space="preserve"> </w:t>
      </w:r>
      <w:r>
        <w:rPr>
          <w:b/>
        </w:rPr>
        <w:t xml:space="preserve">Integriteit: </w:t>
      </w:r>
    </w:p>
    <w:p>
      <w:pPr>
        <w:pStyle w:val="Normal"/>
        <w:widowControl w:val="false"/>
        <w:spacing w:lineRule="auto" w:line="240"/>
        <w:ind w:left="720" w:right="0" w:hanging="0"/>
        <w:jc w:val="left"/>
        <w:rPr/>
      </w:pPr>
      <w:r>
        <w:rPr>
          <w:color w:val="000000"/>
        </w:rPr>
        <w:t xml:space="preserve">Het hele werkproces werd onafhankelijk uitgevoerd door de </w:t>
      </w:r>
      <w:r>
        <w:rPr>
          <w:color w:val="ED7D31"/>
        </w:rPr>
        <w:t>SWG</w:t>
      </w:r>
      <w:r>
        <w:rPr>
          <w:color w:val="000000"/>
        </w:rPr>
        <w:t xml:space="preserve">, afhankelijk van de ontvangen missie. De afdeling Europees Beleid van het voorzitterschap van de Raad van Ministers werd voortdurend geïnformeerd over de verschillende fasen van het initiatief en de resultaten. </w:t>
      </w:r>
    </w:p>
    <w:p>
      <w:pPr>
        <w:pStyle w:val="P68B1DB1Normal74"/>
        <w:widowControl w:val="false"/>
        <w:spacing w:lineRule="auto" w:line="240"/>
        <w:ind w:left="361" w:right="0" w:hanging="0"/>
        <w:jc w:val="left"/>
        <w:rPr/>
      </w:pPr>
      <w:r>
        <w:rPr>
          <w:rFonts w:ascii="Symbol" w:hAnsi="Symbol"/>
        </w:rPr>
        <w:t>•</w:t>
      </w:r>
      <w:r>
        <w:rPr/>
        <w:t xml:space="preserve"> </w:t>
      </w:r>
      <w:r>
        <w:rPr>
          <w:b/>
        </w:rPr>
        <w:t xml:space="preserve">Bescherming van de privacy: </w:t>
      </w:r>
    </w:p>
    <w:p>
      <w:pPr>
        <w:pStyle w:val="P68B1DB1Normal76"/>
        <w:widowControl w:val="false"/>
        <w:spacing w:lineRule="auto" w:line="240"/>
        <w:ind w:left="721" w:right="0" w:hanging="0"/>
        <w:jc w:val="left"/>
        <w:rPr/>
      </w:pPr>
      <w:r>
        <w:rPr/>
        <w:t xml:space="preserve">De privacy van de deelnemers was volledig gewaarborgd. Om in aanmerking te komen voor deelname aan het panel, moesten alle kandidaten het door de wet vereiste formulier voor geïnformeerde toestemming ondertekenen. </w:t>
      </w:r>
    </w:p>
    <w:p>
      <w:pPr>
        <w:pStyle w:val="P68B1DB1Normal74"/>
        <w:widowControl w:val="false"/>
        <w:spacing w:lineRule="auto" w:line="240"/>
        <w:ind w:left="361" w:right="0" w:hanging="0"/>
        <w:jc w:val="left"/>
        <w:rPr/>
      </w:pPr>
      <w:r>
        <w:rPr>
          <w:rFonts w:ascii="Symbol" w:hAnsi="Symbol"/>
        </w:rPr>
        <w:t>•</w:t>
      </w:r>
      <w:r>
        <w:rPr/>
        <w:t xml:space="preserve"> </w:t>
      </w:r>
      <w:r>
        <w:rPr>
          <w:b/>
        </w:rPr>
        <w:t xml:space="preserve">Waardering: </w:t>
      </w:r>
    </w:p>
    <w:p>
      <w:pPr>
        <w:pStyle w:val="P68B1DB1Normal76"/>
        <w:widowControl w:val="false"/>
        <w:spacing w:lineRule="auto" w:line="240"/>
        <w:ind w:left="721" w:right="0" w:hanging="0"/>
        <w:jc w:val="left"/>
        <w:rPr>
          <w:rFonts w:ascii="Arial" w:hAnsi="Arial"/>
          <w:color w:val="000000"/>
          <w:sz w:val="22"/>
        </w:rPr>
      </w:pPr>
      <w:r>
        <w:rPr/>
        <w:t xml:space="preserve">Aan het einde van het proces werd een vragenlijst naar alle deelnemers gestuurd om hun ervaring te beoordelen. De resultaten worden samengevat in dit verslag. </w:t>
      </w:r>
    </w:p>
    <w:p>
      <w:pPr>
        <w:pStyle w:val="P68B1DB1Titre277"/>
        <w:numPr>
          <w:ilvl w:val="0"/>
          <w:numId w:val="2"/>
        </w:numPr>
        <w:rPr>
          <w:color w:val="BD1271"/>
        </w:rPr>
      </w:pPr>
      <w:bookmarkStart w:id="217" w:name="__RefHeading___Toc300310_1346298689"/>
      <w:bookmarkEnd w:id="217"/>
      <w:r>
        <w:rPr/>
        <w:t xml:space="preserve">2. Selectie van deelnemers en modaliteit van deelname </w:t>
      </w:r>
    </w:p>
    <w:p>
      <w:pPr>
        <w:pStyle w:val="P68B1DB1Normal74"/>
        <w:widowControl w:val="false"/>
        <w:spacing w:lineRule="auto" w:line="240" w:before="208" w:after="0"/>
        <w:ind w:left="0" w:right="0" w:hanging="0"/>
        <w:jc w:val="left"/>
        <w:rPr>
          <w:rFonts w:ascii="Arial" w:hAnsi="Arial"/>
          <w:color w:val="2E74B5"/>
          <w:sz w:val="22"/>
        </w:rPr>
      </w:pPr>
      <w:r>
        <w:rPr/>
        <w:t xml:space="preserve">Selectie </w:t>
      </w:r>
    </w:p>
    <w:p>
      <w:pPr>
        <w:pStyle w:val="P68B1DB1Normal76"/>
        <w:widowControl w:val="false"/>
        <w:spacing w:lineRule="auto" w:line="240" w:before="90" w:after="0"/>
        <w:ind w:left="0" w:right="6" w:hanging="0"/>
        <w:jc w:val="left"/>
        <w:rPr/>
      </w:pPr>
      <w:r>
        <w:rPr/>
        <w:t xml:space="preserve">Het doel van de pre-event communicatiefase was om ten minste 50 Italiaanse burgers te selecteren die geïnteresseerd zijn in deelname aan het initiatief. </w:t>
      </w:r>
    </w:p>
    <w:p>
      <w:pPr>
        <w:pStyle w:val="Normal"/>
        <w:widowControl w:val="false"/>
        <w:spacing w:lineRule="auto" w:line="240" w:before="90" w:after="0"/>
        <w:ind w:left="0" w:right="4" w:hanging="0"/>
        <w:jc w:val="both"/>
        <w:rPr/>
      </w:pPr>
      <w:r>
        <w:rPr>
          <w:color w:val="000000"/>
        </w:rPr>
        <w:t xml:space="preserve">Daartoe is een kort zelfaanvraagformulier opgesteld in de vorm van een vragenlijst die online op het </w:t>
      </w:r>
      <w:r>
        <w:rPr>
          <w:color w:val="ED7D31"/>
        </w:rPr>
        <w:t>SWG</w:t>
      </w:r>
      <w:r>
        <w:rPr>
          <w:color w:val="000000"/>
        </w:rPr>
        <w:t xml:space="preserve">-platform moet worden ingevuld, waarbij alle geïnteresseerden die aan het initiatief willen deelnemen, kunnen solliciteren, met vermelding van de gegevens die moeten worden opgenomen in de groepen waaruit de deelnemers willekeurig zijn geselecteerd. De noodzakelijke voorwaarden voor deelname waren: hebben een internetverbinding, een apparaat uitgerust met een microfoon en een videocamera, evenals ondertekenen van de conferentie charter. </w:t>
      </w:r>
    </w:p>
    <w:p>
      <w:pPr>
        <w:pStyle w:val="Normal"/>
        <w:widowControl w:val="false"/>
        <w:spacing w:lineRule="auto" w:line="240" w:before="90" w:after="0"/>
        <w:ind w:left="0" w:right="3" w:hanging="0"/>
        <w:jc w:val="left"/>
        <w:rPr/>
      </w:pPr>
      <w:r>
        <w:drawing>
          <wp:anchor behindDoc="0" distT="0" distB="0" distL="0" distR="0" simplePos="0" locked="0" layoutInCell="1" allowOverlap="1" relativeHeight="64">
            <wp:simplePos x="0" y="0"/>
            <wp:positionH relativeFrom="column">
              <wp:posOffset>58420</wp:posOffset>
            </wp:positionH>
            <wp:positionV relativeFrom="paragraph">
              <wp:posOffset>1365885</wp:posOffset>
            </wp:positionV>
            <wp:extent cx="187960" cy="187960"/>
            <wp:effectExtent l="0" t="0" r="0" b="0"/>
            <wp:wrapSquare wrapText="largest"/>
            <wp:docPr id="100" name="Afbeelding4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Afbeelding44" descr=""/>
                    <pic:cNvPicPr>
                      <a:picLocks noChangeAspect="1" noChangeArrowheads="1"/>
                    </pic:cNvPicPr>
                  </pic:nvPicPr>
                  <pic:blipFill>
                    <a:blip r:embed="rId103"/>
                    <a:stretch>
                      <a:fillRect/>
                    </a:stretch>
                  </pic:blipFill>
                  <pic:spPr bwMode="auto">
                    <a:xfrm>
                      <a:off x="0" y="0"/>
                      <a:ext cx="187960" cy="187960"/>
                    </a:xfrm>
                    <a:prstGeom prst="rect">
                      <a:avLst/>
                    </a:prstGeom>
                  </pic:spPr>
                </pic:pic>
              </a:graphicData>
            </a:graphic>
          </wp:anchor>
        </w:drawing>
        <w:drawing>
          <wp:anchor behindDoc="0" distT="0" distB="0" distL="0" distR="0" simplePos="0" locked="0" layoutInCell="1" allowOverlap="1" relativeHeight="78">
            <wp:simplePos x="0" y="0"/>
            <wp:positionH relativeFrom="column">
              <wp:posOffset>49530</wp:posOffset>
            </wp:positionH>
            <wp:positionV relativeFrom="paragraph">
              <wp:posOffset>958850</wp:posOffset>
            </wp:positionV>
            <wp:extent cx="287020" cy="287020"/>
            <wp:effectExtent l="0" t="0" r="0" b="0"/>
            <wp:wrapSquare wrapText="largest"/>
            <wp:docPr id="101" name="Afbeelding4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Afbeelding43" descr=""/>
                    <pic:cNvPicPr>
                      <a:picLocks noChangeAspect="1" noChangeArrowheads="1"/>
                    </pic:cNvPicPr>
                  </pic:nvPicPr>
                  <pic:blipFill>
                    <a:blip r:embed="rId104"/>
                    <a:stretch>
                      <a:fillRect/>
                    </a:stretch>
                  </pic:blipFill>
                  <pic:spPr bwMode="auto">
                    <a:xfrm>
                      <a:off x="0" y="0"/>
                      <a:ext cx="287020" cy="287020"/>
                    </a:xfrm>
                    <a:prstGeom prst="rect">
                      <a:avLst/>
                    </a:prstGeom>
                  </pic:spPr>
                </pic:pic>
              </a:graphicData>
            </a:graphic>
          </wp:anchor>
        </w:drawing>
      </w:r>
      <w:r>
        <w:rPr>
          <w:color w:val="000000"/>
        </w:rPr>
        <w:t>H</w:t>
      </w:r>
      <w:r>
        <w:rPr>
          <w:color w:val="000000"/>
        </w:rPr>
        <w:t>et aanvraagformulier werd via de accounts van</w:t>
      </w:r>
      <w:r>
        <w:rPr>
          <w:color w:val="ED7D31"/>
        </w:rPr>
        <w:t>SWG</w:t>
      </w:r>
      <w:r>
        <w:rPr>
          <w:color w:val="000000"/>
        </w:rPr>
        <w:t xml:space="preserve">op sociale netwerken verspreid. Daartoe werden zes berichten geplaatst op Twitter en één op LinkedIn, met de volgende resultaten: </w:t>
      </w:r>
    </w:p>
    <w:tbl>
      <w:tblPr>
        <w:tblW w:w="9638" w:type="dxa"/>
        <w:jc w:val="left"/>
        <w:tblInd w:w="-5" w:type="dxa"/>
        <w:tblBorders>
          <w:top w:val="single" w:sz="4" w:space="0" w:color="000001"/>
          <w:left w:val="single" w:sz="4" w:space="0" w:color="000001"/>
          <w:bottom w:val="single" w:sz="4" w:space="0" w:color="000001"/>
          <w:insideH w:val="single" w:sz="4" w:space="0" w:color="000001"/>
        </w:tblBorders>
        <w:tblCellMar>
          <w:top w:w="55" w:type="dxa"/>
          <w:left w:w="50" w:type="dxa"/>
          <w:bottom w:w="55" w:type="dxa"/>
          <w:right w:w="55" w:type="dxa"/>
        </w:tblCellMar>
      </w:tblPr>
      <w:tblGrid>
        <w:gridCol w:w="2409"/>
        <w:gridCol w:w="2409"/>
        <w:gridCol w:w="2410"/>
        <w:gridCol w:w="2409"/>
      </w:tblGrid>
      <w:tr>
        <w:trPr/>
        <w:tc>
          <w:tcPr>
            <w:tcW w:w="2409"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jc w:val="center"/>
              <w:rPr/>
            </w:pPr>
            <w:r>
              <w:rPr/>
              <w:t>Sociaal netwerk</w:t>
            </w:r>
          </w:p>
        </w:tc>
        <w:tc>
          <w:tcPr>
            <w:tcW w:w="2409"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jc w:val="center"/>
              <w:rPr/>
            </w:pPr>
            <w:r>
              <w:rPr/>
              <w:t>Datums</w:t>
            </w:r>
          </w:p>
        </w:tc>
        <w:tc>
          <w:tcPr>
            <w:tcW w:w="2410"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jc w:val="center"/>
              <w:rPr/>
            </w:pPr>
            <w:r>
              <w:rPr/>
              <w:t>Aantal views</w:t>
            </w:r>
          </w:p>
        </w:tc>
        <w:tc>
          <w:tcPr>
            <w:tcW w:w="2409"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jc w:val="center"/>
              <w:rPr/>
            </w:pPr>
            <w:r>
              <w:rPr/>
              <w:t>Toegang tot het aanvraagformulier</w:t>
            </w:r>
          </w:p>
        </w:tc>
      </w:tr>
      <w:tr>
        <w:trPr/>
        <w:tc>
          <w:tcPr>
            <w:tcW w:w="2409" w:type="dxa"/>
            <w:tcBorders>
              <w:left w:val="single" w:sz="4" w:space="0" w:color="000001"/>
              <w:bottom w:val="single" w:sz="4" w:space="0" w:color="000001"/>
              <w:insideH w:val="single" w:sz="4" w:space="0" w:color="000001"/>
            </w:tcBorders>
            <w:shd w:fill="auto" w:val="clear"/>
          </w:tcPr>
          <w:p>
            <w:pPr>
              <w:pStyle w:val="Normal"/>
              <w:spacing w:before="57" w:after="57"/>
              <w:jc w:val="center"/>
              <w:rPr/>
            </w:pPr>
            <w:r>
              <w:rPr/>
              <w:t>Op Twitter</w:t>
            </w:r>
          </w:p>
        </w:tc>
        <w:tc>
          <w:tcPr>
            <w:tcW w:w="2409" w:type="dxa"/>
            <w:tcBorders>
              <w:left w:val="single" w:sz="4" w:space="0" w:color="000001"/>
              <w:bottom w:val="single" w:sz="4" w:space="0" w:color="000001"/>
              <w:insideH w:val="single" w:sz="4" w:space="0" w:color="000001"/>
            </w:tcBorders>
            <w:shd w:fill="auto" w:val="clear"/>
          </w:tcPr>
          <w:p>
            <w:pPr>
              <w:pStyle w:val="Normal"/>
              <w:spacing w:before="57" w:after="57"/>
              <w:jc w:val="center"/>
              <w:rPr/>
            </w:pPr>
            <w:r>
              <w:rPr/>
              <w:t>6 posten tussen 8 en 10 maart</w:t>
            </w:r>
          </w:p>
        </w:tc>
        <w:tc>
          <w:tcPr>
            <w:tcW w:w="2410" w:type="dxa"/>
            <w:tcBorders>
              <w:left w:val="single" w:sz="4" w:space="0" w:color="000001"/>
              <w:bottom w:val="single" w:sz="4" w:space="0" w:color="000001"/>
              <w:insideH w:val="single" w:sz="4" w:space="0" w:color="000001"/>
            </w:tcBorders>
            <w:shd w:fill="auto" w:val="clear"/>
          </w:tcPr>
          <w:p>
            <w:pPr>
              <w:pStyle w:val="Normal"/>
              <w:spacing w:before="57" w:after="57"/>
              <w:jc w:val="center"/>
              <w:rPr/>
            </w:pPr>
            <w:r>
              <w:rPr/>
              <w:t>889</w:t>
            </w:r>
          </w:p>
        </w:tc>
        <w:tc>
          <w:tcPr>
            <w:tcW w:w="2409"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jc w:val="center"/>
              <w:rPr/>
            </w:pPr>
            <w:r>
              <w:rPr/>
              <w:t>31</w:t>
            </w:r>
          </w:p>
        </w:tc>
      </w:tr>
      <w:tr>
        <w:trPr/>
        <w:tc>
          <w:tcPr>
            <w:tcW w:w="2409" w:type="dxa"/>
            <w:tcBorders>
              <w:left w:val="single" w:sz="4" w:space="0" w:color="000001"/>
              <w:bottom w:val="single" w:sz="4" w:space="0" w:color="000001"/>
              <w:insideH w:val="single" w:sz="4" w:space="0" w:color="000001"/>
            </w:tcBorders>
            <w:shd w:fill="auto" w:val="clear"/>
          </w:tcPr>
          <w:p>
            <w:pPr>
              <w:pStyle w:val="Normal"/>
              <w:spacing w:before="57" w:after="57"/>
              <w:jc w:val="center"/>
              <w:rPr/>
            </w:pPr>
            <w:r>
              <w:rPr/>
              <w:t>Welkom op LinkedIn</w:t>
            </w:r>
          </w:p>
        </w:tc>
        <w:tc>
          <w:tcPr>
            <w:tcW w:w="2409" w:type="dxa"/>
            <w:tcBorders>
              <w:left w:val="single" w:sz="4" w:space="0" w:color="000001"/>
              <w:bottom w:val="single" w:sz="4" w:space="0" w:color="000001"/>
              <w:insideH w:val="single" w:sz="4" w:space="0" w:color="000001"/>
            </w:tcBorders>
            <w:shd w:fill="auto" w:val="clear"/>
          </w:tcPr>
          <w:p>
            <w:pPr>
              <w:pStyle w:val="Normal"/>
              <w:spacing w:before="57" w:after="57"/>
              <w:jc w:val="center"/>
              <w:rPr/>
            </w:pPr>
            <w:r>
              <w:rPr/>
              <w:t>1 bericht op 8 maart</w:t>
            </w:r>
          </w:p>
        </w:tc>
        <w:tc>
          <w:tcPr>
            <w:tcW w:w="2410" w:type="dxa"/>
            <w:tcBorders>
              <w:left w:val="single" w:sz="4" w:space="0" w:color="000001"/>
              <w:bottom w:val="single" w:sz="4" w:space="0" w:color="000001"/>
              <w:insideH w:val="single" w:sz="4" w:space="0" w:color="000001"/>
            </w:tcBorders>
            <w:shd w:fill="auto" w:val="clear"/>
          </w:tcPr>
          <w:p>
            <w:pPr>
              <w:pStyle w:val="Normal"/>
              <w:spacing w:before="57" w:after="57"/>
              <w:jc w:val="center"/>
              <w:rPr/>
            </w:pPr>
            <w:r>
              <w:rPr/>
              <w:t>410</w:t>
            </w:r>
          </w:p>
        </w:tc>
        <w:tc>
          <w:tcPr>
            <w:tcW w:w="2409"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jc w:val="center"/>
              <w:rPr/>
            </w:pPr>
            <w:r>
              <w:rPr/>
              <w:t>25</w:t>
            </w:r>
          </w:p>
        </w:tc>
      </w:tr>
    </w:tbl>
    <w:p>
      <w:pPr>
        <w:pStyle w:val="Normal"/>
        <w:rPr/>
      </w:pPr>
      <w:r>
        <w:rPr/>
      </w:r>
    </w:p>
    <w:p>
      <w:pPr>
        <w:pStyle w:val="Normal"/>
        <w:widowControl w:val="false"/>
        <w:spacing w:lineRule="exact" w:line="252" w:before="208" w:after="0"/>
        <w:ind w:left="0" w:right="3" w:hanging="0"/>
        <w:jc w:val="both"/>
        <w:rPr/>
      </w:pPr>
      <w:r>
        <w:rPr>
          <w:color w:val="000000"/>
        </w:rPr>
        <w:t xml:space="preserve">Tegelijkertijd werden de leden van de </w:t>
      </w:r>
      <w:r>
        <w:rPr>
          <w:color w:val="ED7D31"/>
        </w:rPr>
        <w:t>SWG</w:t>
      </w:r>
      <w:r>
        <w:rPr>
          <w:color w:val="000000"/>
        </w:rPr>
        <w:t xml:space="preserve"> -gemeenschap uitgenodigd om een aanvraag in te dienen, overeenkomstig een uitnodigingsstrategie om de Italiaanse bevolking maximaal representatief te maken, niet alleen wat betreft sociale kenmerken, maar ook op het gebied van ideeën, culturele oriëntaties en waarden. </w:t>
      </w:r>
    </w:p>
    <w:p>
      <w:pPr>
        <w:pStyle w:val="P68B1DB1Normal76"/>
        <w:widowControl w:val="false"/>
        <w:spacing w:lineRule="exact" w:line="253" w:before="71" w:after="0"/>
        <w:ind w:left="1" w:right="0" w:hanging="0"/>
        <w:jc w:val="both"/>
        <w:rPr/>
      </w:pPr>
      <w:r>
        <w:rPr/>
        <w:t xml:space="preserve">Aanvragen kunnen worden ingediend tussen 8 maart om 8 uur en 10 maart 2022 om 16 uur. In totaal heeft het proces 420 toegang tot het aanvraagformulier gegenereerd en 225 volledige aanvragen ontvangen. </w:t>
      </w:r>
    </w:p>
    <w:p>
      <w:pPr>
        <w:pStyle w:val="P68B1DB1Normal76"/>
        <w:widowControl w:val="false"/>
        <w:spacing w:lineRule="exact" w:line="253" w:before="67" w:after="0"/>
        <w:ind w:left="1" w:right="2" w:hanging="0"/>
        <w:jc w:val="both"/>
        <w:rPr/>
      </w:pPr>
      <w:r>
        <w:rPr/>
        <w:t xml:space="preserve">In totaal kwamen in totaal </w:t>
      </w:r>
      <w:r>
        <w:rPr>
          <w:b/>
        </w:rPr>
        <w:t>140</w:t>
      </w:r>
      <w:r>
        <w:rPr/>
        <w:t xml:space="preserve"> personen in aanmerking, waarvan 70 werden geselecteerd op basis van een criterium om te zorgen voor een evenwichtige aanwezigheid in termen van geslacht, geografische spreiding, leeftijd en opleidingsniveau. </w:t>
      </w:r>
    </w:p>
    <w:p>
      <w:pPr>
        <w:pStyle w:val="P68B1DB1Normal76"/>
        <w:widowControl w:val="false"/>
        <w:spacing w:lineRule="exact" w:line="253" w:before="73" w:after="0"/>
        <w:ind w:left="1" w:right="1" w:hanging="0"/>
        <w:jc w:val="both"/>
        <w:rPr/>
      </w:pPr>
      <w:r>
        <w:rPr/>
        <w:t xml:space="preserve">In het kader van de selectieprocedure werd bijzondere aandacht besteed aan het beginsel van eerlijke waarschijnlijkheid bij het selecteren van deelnemers, vergezeld van procedures op basis van een willekeurig criterium. </w:t>
      </w:r>
    </w:p>
    <w:p>
      <w:pPr>
        <w:pStyle w:val="P68B1DB1Normal76"/>
        <w:widowControl w:val="false"/>
        <w:spacing w:lineRule="exact" w:line="253" w:before="71" w:after="0"/>
        <w:ind w:left="1" w:right="0" w:hanging="0"/>
        <w:jc w:val="both"/>
        <w:rPr/>
      </w:pPr>
      <w:r>
        <w:rPr/>
        <w:t xml:space="preserve">Het willekeurige karakter van de selectie was een centraal onderdeel van het project om de eerlijkheid van het toegangsproces te waarborgen. In de geest van het initiatief leek het echter belangrijk om een strategie op te zetten die niet alleen gericht is op het betrekken van zoveel mogelijk mensen, maar ook op het waarborgen van maximale heterogeniteit van de geselecteerde personen om maximale inclusiviteit te bevorderen. </w:t>
      </w:r>
    </w:p>
    <w:p>
      <w:pPr>
        <w:pStyle w:val="P68B1DB1Normal34"/>
        <w:widowControl w:val="false"/>
        <w:spacing w:lineRule="exact" w:line="393" w:before="70" w:after="0"/>
        <w:ind w:left="0" w:right="0" w:hanging="0"/>
        <w:jc w:val="left"/>
        <w:rPr>
          <w:rFonts w:ascii="Arial" w:hAnsi="Arial"/>
          <w:color w:val="000000"/>
          <w:sz w:val="24"/>
        </w:rPr>
      </w:pPr>
      <w:r>
        <w:rPr/>
        <w:t xml:space="preserve"> </w:t>
      </w:r>
    </w:p>
    <w:p>
      <w:pPr>
        <w:pStyle w:val="P68B1DB1Normal76"/>
        <w:widowControl w:val="false"/>
        <w:spacing w:lineRule="exact" w:line="362" w:before="69" w:after="0"/>
        <w:ind w:left="0" w:right="0" w:hanging="0"/>
        <w:jc w:val="left"/>
        <w:rPr>
          <w:rFonts w:ascii="Arial" w:hAnsi="Arial"/>
          <w:color w:val="000000"/>
          <w:sz w:val="22"/>
        </w:rPr>
      </w:pPr>
      <w:r>
        <w:rPr/>
        <w:t>Samengevat was de verdeling van de in aanmerking komende personen als volgt:</w:t>
      </w:r>
    </w:p>
    <w:p>
      <w:pPr>
        <w:pStyle w:val="P68B1DB1Normal76"/>
        <w:widowControl w:val="false"/>
        <w:spacing w:lineRule="exact" w:line="252" w:before="5945" w:after="0"/>
        <w:ind w:left="0" w:right="3" w:hanging="0"/>
        <w:jc w:val="both"/>
        <w:rPr>
          <w:rFonts w:ascii="Arial" w:hAnsi="Arial"/>
          <w:color w:val="000000"/>
          <w:sz w:val="22"/>
        </w:rPr>
      </w:pPr>
      <w:r>
        <w:rPr>
          <w:color w:val="000000"/>
          <w:sz w:val="22"/>
        </w:rPr>
        <mc:AlternateContent>
          <mc:Choice Requires="wpg">
            <w:drawing>
              <wp:anchor behindDoc="0" distT="0" distB="0" distL="0" distR="0" simplePos="0" locked="0" layoutInCell="1" allowOverlap="1" relativeHeight="54">
                <wp:simplePos x="0" y="0"/>
                <wp:positionH relativeFrom="column">
                  <wp:posOffset>0</wp:posOffset>
                </wp:positionH>
                <wp:positionV relativeFrom="paragraph">
                  <wp:posOffset>132715</wp:posOffset>
                </wp:positionV>
                <wp:extent cx="6059805" cy="3775710"/>
                <wp:effectExtent l="0" t="0" r="0" b="0"/>
                <wp:wrapTopAndBottom/>
                <wp:docPr id="102" name="Formulier4"/>
                <a:graphic xmlns:a="http://schemas.openxmlformats.org/drawingml/2006/main">
                  <a:graphicData uri="http://schemas.microsoft.com/office/word/2010/wordprocessingGroup">
                    <wpg:wgp>
                      <wpg:cNvGrpSpPr/>
                      <wpg:grpSpPr>
                        <a:xfrm>
                          <a:off x="0" y="0"/>
                          <a:ext cx="6059160" cy="3774960"/>
                        </a:xfrm>
                      </wpg:grpSpPr>
                      <pic:pic xmlns:pic="http://schemas.openxmlformats.org/drawingml/2006/picture">
                        <pic:nvPicPr>
                          <pic:cNvPr id="6" name="" descr=""/>
                          <pic:cNvPicPr/>
                        </pic:nvPicPr>
                        <pic:blipFill>
                          <a:blip r:embed="rId105"/>
                          <a:stretch/>
                        </pic:blipFill>
                        <pic:spPr>
                          <a:xfrm>
                            <a:off x="0" y="487080"/>
                            <a:ext cx="6049800" cy="3287880"/>
                          </a:xfrm>
                          <a:prstGeom prst="rect">
                            <a:avLst/>
                          </a:prstGeom>
                          <a:ln>
                            <a:noFill/>
                          </a:ln>
                        </pic:spPr>
                      </pic:pic>
                      <wps:wsp>
                        <wps:cNvSpPr/>
                        <wps:spPr>
                          <a:xfrm>
                            <a:off x="1450440" y="0"/>
                            <a:ext cx="3891960" cy="6159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Verdeling van in aanmerking komende kandidaten</w:t>
                              </w:r>
                            </w:p>
                          </w:txbxContent>
                        </wps:txbx>
                        <wps:bodyPr lIns="90000" rIns="90000" tIns="45000" bIns="45000">
                          <a:noAutofit/>
                        </wps:bodyPr>
                      </wps:wsp>
                      <wps:wsp>
                        <wps:cNvSpPr/>
                        <wps:spPr>
                          <a:xfrm>
                            <a:off x="489600" y="1149480"/>
                            <a:ext cx="107820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geslacht</w:t>
                              </w:r>
                            </w:p>
                          </w:txbxContent>
                        </wps:txbx>
                        <wps:bodyPr lIns="90000" rIns="90000" tIns="45000" bIns="45000">
                          <a:noAutofit/>
                        </wps:bodyPr>
                      </wps:wsp>
                      <wps:wsp>
                        <wps:cNvSpPr/>
                        <wps:spPr>
                          <a:xfrm>
                            <a:off x="329400" y="2034720"/>
                            <a:ext cx="107820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leeftijdscategorie</w:t>
                              </w:r>
                            </w:p>
                          </w:txbxContent>
                        </wps:txbx>
                        <wps:bodyPr lIns="90000" rIns="90000" tIns="45000" bIns="45000">
                          <a:noAutofit/>
                        </wps:bodyPr>
                      </wps:wsp>
                      <wps:wsp>
                        <wps:cNvSpPr/>
                        <wps:spPr>
                          <a:xfrm>
                            <a:off x="1020960" y="2357280"/>
                            <a:ext cx="842040" cy="4406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18-34 jaar oud</w:t>
                              </w:r>
                            </w:p>
                          </w:txbxContent>
                        </wps:txbx>
                        <wps:bodyPr lIns="90000" rIns="90000" tIns="45000" bIns="45000">
                          <a:noAutofit/>
                        </wps:bodyPr>
                      </wps:wsp>
                      <wps:wsp>
                        <wps:cNvSpPr/>
                        <wps:spPr>
                          <a:xfrm>
                            <a:off x="987480" y="2739960"/>
                            <a:ext cx="842040" cy="4413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35-64 jaar</w:t>
                              </w:r>
                            </w:p>
                          </w:txbxContent>
                        </wps:txbx>
                        <wps:bodyPr lIns="90000" rIns="90000" tIns="45000" bIns="45000">
                          <a:noAutofit/>
                        </wps:bodyPr>
                      </wps:wsp>
                      <wps:wsp>
                        <wps:cNvSpPr/>
                        <wps:spPr>
                          <a:xfrm>
                            <a:off x="995760" y="3064680"/>
                            <a:ext cx="842040" cy="4406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65-75 jaar oud</w:t>
                              </w:r>
                            </w:p>
                          </w:txbxContent>
                        </wps:txbx>
                        <wps:bodyPr lIns="90000" rIns="90000" tIns="45000" bIns="45000">
                          <a:noAutofit/>
                        </wps:bodyPr>
                      </wps:wsp>
                      <wps:wsp>
                        <wps:cNvSpPr/>
                        <wps:spPr>
                          <a:xfrm>
                            <a:off x="2108160" y="1157760"/>
                            <a:ext cx="166680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Opleidingsniveau</w:t>
                              </w:r>
                            </w:p>
                          </w:txbxContent>
                        </wps:txbx>
                        <wps:bodyPr lIns="90000" rIns="90000" tIns="45000" bIns="45000">
                          <a:noAutofit/>
                        </wps:bodyPr>
                      </wps:wsp>
                      <wps:wsp>
                        <wps:cNvSpPr/>
                        <wps:spPr>
                          <a:xfrm>
                            <a:off x="2748240" y="1480680"/>
                            <a:ext cx="84204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Laag</w:t>
                              </w:r>
                            </w:p>
                          </w:txbxContent>
                        </wps:txbx>
                        <wps:bodyPr lIns="90000" rIns="90000" tIns="45000" bIns="45000">
                          <a:noAutofit/>
                        </wps:bodyPr>
                      </wps:wsp>
                      <wps:wsp>
                        <wps:cNvSpPr/>
                        <wps:spPr>
                          <a:xfrm>
                            <a:off x="5090760" y="1335960"/>
                            <a:ext cx="84132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Noordoostelijk</w:t>
                              </w:r>
                            </w:p>
                          </w:txbxContent>
                        </wps:txbx>
                        <wps:bodyPr lIns="90000" rIns="90000" tIns="45000" bIns="45000">
                          <a:noAutofit/>
                        </wps:bodyPr>
                      </wps:wsp>
                      <wps:wsp>
                        <wps:cNvSpPr/>
                        <wps:spPr>
                          <a:xfrm>
                            <a:off x="2024280" y="1735920"/>
                            <a:ext cx="1776240" cy="4406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College, beroepsonderwijs</w:t>
                              </w:r>
                            </w:p>
                          </w:txbxContent>
                        </wps:txbx>
                        <wps:bodyPr lIns="90000" rIns="90000" tIns="45000" bIns="45000">
                          <a:noAutofit/>
                        </wps:bodyPr>
                      </wps:wsp>
                      <wps:wsp>
                        <wps:cNvSpPr/>
                        <wps:spPr>
                          <a:xfrm>
                            <a:off x="2799000" y="2161440"/>
                            <a:ext cx="84204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Gemiddeld</w:t>
                              </w:r>
                            </w:p>
                          </w:txbxContent>
                        </wps:txbx>
                        <wps:bodyPr lIns="90000" rIns="90000" tIns="45000" bIns="45000">
                          <a:noAutofit/>
                        </wps:bodyPr>
                      </wps:wsp>
                      <wps:wsp>
                        <wps:cNvSpPr/>
                        <wps:spPr>
                          <a:xfrm>
                            <a:off x="2167200" y="2451240"/>
                            <a:ext cx="148140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Middelbare school</w:t>
                              </w:r>
                            </w:p>
                          </w:txbxContent>
                        </wps:txbx>
                        <wps:bodyPr lIns="90000" rIns="90000" tIns="45000" bIns="45000">
                          <a:noAutofit/>
                        </wps:bodyPr>
                      </wps:wsp>
                      <wps:wsp>
                        <wps:cNvSpPr/>
                        <wps:spPr>
                          <a:xfrm>
                            <a:off x="2816280" y="2945160"/>
                            <a:ext cx="84060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Opgevoed</w:t>
                              </w:r>
                            </w:p>
                          </w:txbxContent>
                        </wps:txbx>
                        <wps:bodyPr lIns="90000" rIns="90000" tIns="45000" bIns="45000">
                          <a:noAutofit/>
                        </wps:bodyPr>
                      </wps:wsp>
                      <wps:wsp>
                        <wps:cNvSpPr/>
                        <wps:spPr>
                          <a:xfrm>
                            <a:off x="1990080" y="3174840"/>
                            <a:ext cx="1928520" cy="3848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Bachelor’s degree, master’s degree of meer</w:t>
                              </w:r>
                            </w:p>
                          </w:txbxContent>
                        </wps:txbx>
                        <wps:bodyPr lIns="90000" rIns="90000" tIns="45000" bIns="45000">
                          <a:noAutofit/>
                        </wps:bodyPr>
                      </wps:wsp>
                      <wps:wsp>
                        <wps:cNvSpPr/>
                        <wps:spPr>
                          <a:xfrm>
                            <a:off x="4045680" y="1557720"/>
                            <a:ext cx="842760" cy="4406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Noord-West</w:t>
                              </w:r>
                            </w:p>
                          </w:txbxContent>
                        </wps:txbx>
                        <wps:bodyPr lIns="90000" rIns="90000" tIns="45000" bIns="45000">
                          <a:noAutofit/>
                        </wps:bodyPr>
                      </wps:wsp>
                      <wps:wsp>
                        <wps:cNvSpPr/>
                        <wps:spPr>
                          <a:xfrm>
                            <a:off x="4130640" y="1157760"/>
                            <a:ext cx="167508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Gebied van verblijf</w:t>
                              </w:r>
                            </w:p>
                          </w:txbxContent>
                        </wps:txbx>
                        <wps:bodyPr lIns="90000" rIns="90000" tIns="45000" bIns="45000">
                          <a:noAutofit/>
                        </wps:bodyPr>
                      </wps:wsp>
                      <wps:wsp>
                        <wps:cNvSpPr/>
                        <wps:spPr>
                          <a:xfrm>
                            <a:off x="5217840" y="1897920"/>
                            <a:ext cx="84132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centrum</w:t>
                              </w:r>
                            </w:p>
                          </w:txbxContent>
                        </wps:txbx>
                        <wps:bodyPr lIns="90000" rIns="90000" tIns="45000" bIns="45000">
                          <a:noAutofit/>
                        </wps:bodyPr>
                      </wps:wsp>
                      <wps:wsp>
                        <wps:cNvSpPr/>
                        <wps:spPr>
                          <a:xfrm>
                            <a:off x="4038120" y="2842920"/>
                            <a:ext cx="102672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Zuid- en eilanden</w:t>
                              </w:r>
                            </w:p>
                          </w:txbxContent>
                        </wps:txbx>
                        <wps:bodyPr lIns="90000" rIns="90000" tIns="45000" bIns="45000">
                          <a:noAutofit/>
                        </wps:bodyPr>
                      </wps:wsp>
                    </wpg:wgp>
                  </a:graphicData>
                </a:graphic>
              </wp:anchor>
            </w:drawing>
          </mc:Choice>
          <mc:Fallback>
            <w:pict>
              <v:group id="shape_0" alt="Formulier4" style="position:absolute;margin-left:0pt;margin-top:10.45pt;width:477.1pt;height:297.25pt" coordorigin="0,209" coordsize="9542,5945">
                <v:shape id="shape_0" stroked="f" style="position:absolute;left:0;top:976;width:9526;height:5177" type="shapetype_75">
                  <v:imagedata r:id="rId105" o:detectmouseclick="t"/>
                  <w10:wrap type="none"/>
                  <v:stroke color="#3465a4" joinstyle="round" endcap="flat"/>
                </v:shape>
                <v:rect id="shape_0" stroked="f" style="position:absolute;left:2284;top:209;width:6128;height:969">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Verdeling van in aanmerking komende kandidaten</w:t>
                        </w:r>
                      </w:p>
                    </w:txbxContent>
                  </v:textbox>
                  <w10:wrap type="square"/>
                  <v:fill o:detectmouseclick="t" on="false"/>
                  <v:stroke color="#3465a4" joinstyle="round" endcap="flat"/>
                </v:rect>
                <v:rect id="shape_0" stroked="f" style="position:absolute;left:771;top:2019;width:1697;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geslacht</w:t>
                        </w:r>
                      </w:p>
                    </w:txbxContent>
                  </v:textbox>
                  <w10:wrap type="square"/>
                  <v:fill o:detectmouseclick="t" on="false"/>
                  <v:stroke color="#3465a4" joinstyle="round" endcap="flat"/>
                </v:rect>
                <v:rect id="shape_0" stroked="f" style="position:absolute;left:519;top:3413;width:1697;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leeftijdscategorie</w:t>
                        </w:r>
                      </w:p>
                    </w:txbxContent>
                  </v:textbox>
                  <w10:wrap type="square"/>
                  <v:fill o:detectmouseclick="t" on="false"/>
                  <v:stroke color="#3465a4" joinstyle="round" endcap="flat"/>
                </v:rect>
                <v:rect id="shape_0" stroked="f" style="position:absolute;left:1608;top:3921;width:1325;height:693">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18-34 jaar oud</w:t>
                        </w:r>
                      </w:p>
                    </w:txbxContent>
                  </v:textbox>
                  <w10:wrap type="square"/>
                  <v:fill o:detectmouseclick="t" on="false"/>
                  <v:stroke color="#3465a4" joinstyle="round" endcap="flat"/>
                </v:rect>
                <v:rect id="shape_0" stroked="f" style="position:absolute;left:1555;top:4524;width:1325;height:694">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35-64 jaar</w:t>
                        </w:r>
                      </w:p>
                    </w:txbxContent>
                  </v:textbox>
                  <w10:wrap type="square"/>
                  <v:fill o:detectmouseclick="t" on="false"/>
                  <v:stroke color="#3465a4" joinstyle="round" endcap="flat"/>
                </v:rect>
                <v:rect id="shape_0" stroked="f" style="position:absolute;left:1568;top:5035;width:1325;height:693">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65-75 jaar oud</w:t>
                        </w:r>
                      </w:p>
                    </w:txbxContent>
                  </v:textbox>
                  <w10:wrap type="square"/>
                  <v:fill o:detectmouseclick="t" on="false"/>
                  <v:stroke color="#3465a4" joinstyle="round" endcap="flat"/>
                </v:rect>
                <v:rect id="shape_0" stroked="f" style="position:absolute;left:3320;top:2032;width:2624;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Opleidingsniveau</w:t>
                        </w:r>
                      </w:p>
                    </w:txbxContent>
                  </v:textbox>
                  <w10:wrap type="square"/>
                  <v:fill o:detectmouseclick="t" on="false"/>
                  <v:stroke color="#3465a4" joinstyle="round" endcap="flat"/>
                </v:rect>
                <v:rect id="shape_0" stroked="f" style="position:absolute;left:4328;top:2541;width:1325;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Laag</w:t>
                        </w:r>
                      </w:p>
                    </w:txbxContent>
                  </v:textbox>
                  <w10:wrap type="square"/>
                  <v:fill o:detectmouseclick="t" on="false"/>
                  <v:stroke color="#3465a4" joinstyle="round" endcap="flat"/>
                </v:rect>
                <v:rect id="shape_0" stroked="f" style="position:absolute;left:8017;top:2313;width:1324;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Noordoostelijk</w:t>
                        </w:r>
                      </w:p>
                    </w:txbxContent>
                  </v:textbox>
                  <w10:wrap type="square"/>
                  <v:fill o:detectmouseclick="t" on="false"/>
                  <v:stroke color="#3465a4" joinstyle="round" endcap="flat"/>
                </v:rect>
                <v:rect id="shape_0" stroked="f" style="position:absolute;left:3188;top:2943;width:2796;height:693">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College, beroepsonderwijs</w:t>
                        </w:r>
                      </w:p>
                    </w:txbxContent>
                  </v:textbox>
                  <w10:wrap type="square"/>
                  <v:fill o:detectmouseclick="t" on="false"/>
                  <v:stroke color="#3465a4" joinstyle="round" endcap="flat"/>
                </v:rect>
                <v:rect id="shape_0" stroked="f" style="position:absolute;left:4408;top:3613;width:1325;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Gemiddeld</w:t>
                        </w:r>
                      </w:p>
                    </w:txbxContent>
                  </v:textbox>
                  <w10:wrap type="square"/>
                  <v:fill o:detectmouseclick="t" on="false"/>
                  <v:stroke color="#3465a4" joinstyle="round" endcap="flat"/>
                </v:rect>
                <v:rect id="shape_0" stroked="f" style="position:absolute;left:3413;top:4069;width:2332;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Middelbare school</w:t>
                        </w:r>
                      </w:p>
                    </w:txbxContent>
                  </v:textbox>
                  <w10:wrap type="square"/>
                  <v:fill o:detectmouseclick="t" on="false"/>
                  <v:stroke color="#3465a4" joinstyle="round" endcap="flat"/>
                </v:rect>
                <v:rect id="shape_0" stroked="f" style="position:absolute;left:4435;top:4847;width:1323;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Opgevoed</w:t>
                        </w:r>
                      </w:p>
                    </w:txbxContent>
                  </v:textbox>
                  <w10:wrap type="square"/>
                  <v:fill o:detectmouseclick="t" on="false"/>
                  <v:stroke color="#3465a4" joinstyle="round" endcap="flat"/>
                </v:rect>
                <v:rect id="shape_0" stroked="f" style="position:absolute;left:3134;top:5209;width:3036;height:60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Bachelor’s degree, master’s degree of meer</w:t>
                        </w:r>
                      </w:p>
                    </w:txbxContent>
                  </v:textbox>
                  <w10:wrap type="square"/>
                  <v:fill o:detectmouseclick="t" on="false"/>
                  <v:stroke color="#3465a4" joinstyle="round" endcap="flat"/>
                </v:rect>
                <v:rect id="shape_0" stroked="f" style="position:absolute;left:6371;top:2662;width:1326;height:693">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Noord-West</w:t>
                        </w:r>
                      </w:p>
                    </w:txbxContent>
                  </v:textbox>
                  <w10:wrap type="square"/>
                  <v:fill o:detectmouseclick="t" on="false"/>
                  <v:stroke color="#3465a4" joinstyle="round" endcap="flat"/>
                </v:rect>
                <v:rect id="shape_0" stroked="f" style="position:absolute;left:6505;top:2032;width:2637;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Gebied van verblijf</w:t>
                        </w:r>
                      </w:p>
                    </w:txbxContent>
                  </v:textbox>
                  <w10:wrap type="square"/>
                  <v:fill o:detectmouseclick="t" on="false"/>
                  <v:stroke color="#3465a4" joinstyle="round" endcap="flat"/>
                </v:rect>
                <v:rect id="shape_0" stroked="f" style="position:absolute;left:8217;top:3198;width:1324;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centrum</w:t>
                        </w:r>
                      </w:p>
                    </w:txbxContent>
                  </v:textbox>
                  <w10:wrap type="square"/>
                  <v:fill o:detectmouseclick="t" on="false"/>
                  <v:stroke color="#3465a4" joinstyle="round" endcap="flat"/>
                </v:rect>
                <v:rect id="shape_0" stroked="f" style="position:absolute;left:6359;top:4686;width:1616;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Zuid- en eilanden</w:t>
                        </w:r>
                      </w:p>
                    </w:txbxContent>
                  </v:textbox>
                  <w10:wrap type="square"/>
                  <v:fill o:detectmouseclick="t" on="false"/>
                  <v:stroke color="#3465a4" joinstyle="round" endcap="flat"/>
                </v:rect>
              </v:group>
            </w:pict>
          </mc:Fallback>
        </mc:AlternateContent>
      </w:r>
    </w:p>
    <w:p>
      <w:pPr>
        <w:pStyle w:val="Normal"/>
        <w:widowControl w:val="false"/>
        <w:spacing w:lineRule="auto" w:line="240"/>
        <w:ind w:left="0" w:right="0" w:hanging="0"/>
        <w:jc w:val="left"/>
        <w:rPr/>
      </w:pPr>
      <w:r>
        <w:rPr>
          <w:color w:val="000000"/>
        </w:rPr>
        <w:t xml:space="preserve">Zodra de 70 kandidaten werden geselecteerd, kregen ze op de ochtend van het evenement een telefoontje om hun deelname te bevestigen. Deze oproepen zijn gedaan door het </w:t>
      </w:r>
      <w:r>
        <w:rPr>
          <w:color w:val="ED7D31"/>
        </w:rPr>
        <w:t>SWG</w:t>
      </w:r>
      <w:r>
        <w:rPr/>
        <w:t>-contactcentrum</w:t>
      </w:r>
      <w:r>
        <w:rPr>
          <w:color w:val="000000"/>
        </w:rPr>
        <w:t xml:space="preserve"> volgens de CATI-methode (Computer Assisted Telephone Survey). Aan het einde van deze fase bevestigden in totaal 59 personen hun deelname en werden geregistreerd. </w:t>
      </w:r>
      <w:r>
        <w:rPr>
          <w:b/>
          <w:color w:val="BD1271"/>
        </w:rPr>
        <w:t>Daarvan namen 55 actief deel aan het panel.</w:t>
      </w:r>
      <w:r>
        <w:rPr/>
        <w:t xml:space="preserve"> </w:t>
      </w:r>
      <w:r>
        <w:br w:type="page"/>
      </w:r>
    </w:p>
    <w:p>
      <w:pPr>
        <w:pStyle w:val="Normal"/>
        <w:widowControl w:val="false"/>
        <w:spacing w:lineRule="auto" w:line="240"/>
        <w:ind w:left="0" w:right="0" w:hanging="0"/>
        <w:jc w:val="left"/>
        <w:rPr>
          <w:rFonts w:ascii="Arial" w:hAnsi="Arial"/>
          <w:b/>
          <w:b/>
          <w:color w:val="BD1271"/>
          <w:sz w:val="22"/>
        </w:rPr>
      </w:pPr>
      <w:r>
        <w:rPr>
          <w:b/>
          <w:color w:val="BD1271"/>
          <w:sz w:val="22"/>
        </w:rPr>
      </w:r>
    </w:p>
    <w:p>
      <w:pPr>
        <w:pStyle w:val="P68B1DB1Normal76"/>
        <w:widowControl w:val="false"/>
        <w:spacing w:lineRule="auto" w:line="240" w:before="64" w:after="0"/>
        <w:ind w:left="0" w:right="0" w:hanging="0"/>
        <w:jc w:val="left"/>
        <w:rPr>
          <w:rFonts w:ascii="Arial" w:hAnsi="Arial"/>
          <w:color w:val="000000"/>
          <w:sz w:val="22"/>
        </w:rPr>
      </w:pPr>
      <w:r>
        <w:rPr/>
        <w:t xml:space="preserve">De sociale en leeftijdsverdeling van de panelleden was als volgt: </w:t>
      </w:r>
    </w:p>
    <w:p>
      <w:pPr>
        <w:pStyle w:val="P68B1DB1Normal76"/>
        <w:widowControl w:val="false"/>
        <w:spacing w:lineRule="auto" w:line="240" w:before="5705" w:after="0"/>
        <w:ind w:left="0" w:right="0" w:hanging="0"/>
        <w:jc w:val="left"/>
        <w:rPr>
          <w:rFonts w:ascii="Arial" w:hAnsi="Arial"/>
          <w:color w:val="000000"/>
          <w:sz w:val="22"/>
        </w:rPr>
      </w:pPr>
      <w:r>
        <w:rPr>
          <w:color w:val="000000"/>
          <w:sz w:val="22"/>
        </w:rPr>
        <mc:AlternateContent>
          <mc:Choice Requires="wpg">
            <w:drawing>
              <wp:anchor behindDoc="0" distT="0" distB="0" distL="0" distR="0" simplePos="0" locked="0" layoutInCell="1" allowOverlap="1" relativeHeight="57">
                <wp:simplePos x="0" y="0"/>
                <wp:positionH relativeFrom="column">
                  <wp:posOffset>635</wp:posOffset>
                </wp:positionH>
                <wp:positionV relativeFrom="paragraph">
                  <wp:posOffset>41275</wp:posOffset>
                </wp:positionV>
                <wp:extent cx="6157595" cy="3623310"/>
                <wp:effectExtent l="0" t="0" r="0" b="0"/>
                <wp:wrapTopAndBottom/>
                <wp:docPr id="103" name="Formulier5"/>
                <a:graphic xmlns:a="http://schemas.openxmlformats.org/drawingml/2006/main">
                  <a:graphicData uri="http://schemas.microsoft.com/office/word/2010/wordprocessingGroup">
                    <wpg:wgp>
                      <wpg:cNvGrpSpPr/>
                      <wpg:grpSpPr>
                        <a:xfrm>
                          <a:off x="0" y="0"/>
                          <a:ext cx="6157080" cy="3622680"/>
                        </a:xfrm>
                      </wpg:grpSpPr>
                      <pic:pic xmlns:pic="http://schemas.openxmlformats.org/drawingml/2006/picture">
                        <pic:nvPicPr>
                          <pic:cNvPr id="7" name="" descr=""/>
                          <pic:cNvPicPr/>
                        </pic:nvPicPr>
                        <pic:blipFill>
                          <a:blip r:embed="rId106"/>
                          <a:stretch/>
                        </pic:blipFill>
                        <pic:spPr>
                          <a:xfrm>
                            <a:off x="0" y="458640"/>
                            <a:ext cx="6061680" cy="3164040"/>
                          </a:xfrm>
                          <a:prstGeom prst="rect">
                            <a:avLst/>
                          </a:prstGeom>
                          <a:ln>
                            <a:noFill/>
                          </a:ln>
                        </pic:spPr>
                      </pic:pic>
                      <wps:wsp>
                        <wps:cNvSpPr/>
                        <wps:spPr>
                          <a:xfrm>
                            <a:off x="1477800" y="0"/>
                            <a:ext cx="3937680" cy="42048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Verdeling van actieve deelnemers</w:t>
                              </w:r>
                            </w:p>
                          </w:txbxContent>
                        </wps:txbx>
                        <wps:bodyPr lIns="90000" rIns="90000" tIns="45000" bIns="45000">
                          <a:noAutofit/>
                        </wps:bodyPr>
                      </wps:wsp>
                      <wps:wsp>
                        <wps:cNvSpPr/>
                        <wps:spPr>
                          <a:xfrm>
                            <a:off x="523080" y="1010880"/>
                            <a:ext cx="109080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geslacht</w:t>
                              </w:r>
                            </w:p>
                          </w:txbxContent>
                        </wps:txbx>
                        <wps:bodyPr lIns="90000" rIns="90000" tIns="45000" bIns="45000">
                          <a:noAutofit/>
                        </wps:bodyPr>
                      </wps:wsp>
                      <wps:wsp>
                        <wps:cNvSpPr/>
                        <wps:spPr>
                          <a:xfrm>
                            <a:off x="361440" y="1887840"/>
                            <a:ext cx="109044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leeftijdscategorie</w:t>
                              </w:r>
                            </w:p>
                          </w:txbxContent>
                        </wps:txbx>
                        <wps:bodyPr lIns="90000" rIns="90000" tIns="45000" bIns="45000">
                          <a:noAutofit/>
                        </wps:bodyPr>
                      </wps:wsp>
                      <wps:wsp>
                        <wps:cNvSpPr/>
                        <wps:spPr>
                          <a:xfrm>
                            <a:off x="1059840" y="2207160"/>
                            <a:ext cx="852120" cy="4406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18-34 jaar oud</w:t>
                              </w:r>
                            </w:p>
                          </w:txbxContent>
                        </wps:txbx>
                        <wps:bodyPr lIns="90000" rIns="90000" tIns="45000" bIns="45000">
                          <a:noAutofit/>
                        </wps:bodyPr>
                      </wps:wsp>
                      <wps:wsp>
                        <wps:cNvSpPr/>
                        <wps:spPr>
                          <a:xfrm>
                            <a:off x="1026720" y="2586240"/>
                            <a:ext cx="851400" cy="4413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35-64 jaar</w:t>
                              </w:r>
                            </w:p>
                          </w:txbxContent>
                        </wps:txbx>
                        <wps:bodyPr lIns="90000" rIns="90000" tIns="45000" bIns="45000">
                          <a:noAutofit/>
                        </wps:bodyPr>
                      </wps:wsp>
                      <wps:wsp>
                        <wps:cNvSpPr/>
                        <wps:spPr>
                          <a:xfrm>
                            <a:off x="1035000" y="2907000"/>
                            <a:ext cx="851400" cy="4406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65-75 jaar oud</w:t>
                              </w:r>
                            </w:p>
                          </w:txbxContent>
                        </wps:txbx>
                        <wps:bodyPr lIns="90000" rIns="90000" tIns="45000" bIns="45000">
                          <a:noAutofit/>
                        </wps:bodyPr>
                      </wps:wsp>
                      <wps:wsp>
                        <wps:cNvSpPr/>
                        <wps:spPr>
                          <a:xfrm>
                            <a:off x="2160360" y="1019160"/>
                            <a:ext cx="168588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Opleidingsniveau</w:t>
                              </w:r>
                            </w:p>
                          </w:txbxContent>
                        </wps:txbx>
                        <wps:bodyPr lIns="90000" rIns="90000" tIns="45000" bIns="45000">
                          <a:noAutofit/>
                        </wps:bodyPr>
                      </wps:wsp>
                      <wps:wsp>
                        <wps:cNvSpPr/>
                        <wps:spPr>
                          <a:xfrm>
                            <a:off x="2808000" y="1339920"/>
                            <a:ext cx="85104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Laag</w:t>
                              </w:r>
                            </w:p>
                          </w:txbxContent>
                        </wps:txbx>
                        <wps:bodyPr lIns="90000" rIns="90000" tIns="45000" bIns="45000">
                          <a:noAutofit/>
                        </wps:bodyPr>
                      </wps:wsp>
                      <wps:wsp>
                        <wps:cNvSpPr/>
                        <wps:spPr>
                          <a:xfrm>
                            <a:off x="5177880" y="1196280"/>
                            <a:ext cx="85104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Noordoostelijk</w:t>
                              </w:r>
                            </w:p>
                          </w:txbxContent>
                        </wps:txbx>
                        <wps:bodyPr lIns="90000" rIns="90000" tIns="45000" bIns="45000">
                          <a:noAutofit/>
                        </wps:bodyPr>
                      </wps:wsp>
                      <wps:wsp>
                        <wps:cNvSpPr/>
                        <wps:spPr>
                          <a:xfrm>
                            <a:off x="2075040" y="1592640"/>
                            <a:ext cx="1797120" cy="4406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College, beroepsonderwijs</w:t>
                              </w:r>
                            </w:p>
                          </w:txbxContent>
                        </wps:txbx>
                        <wps:bodyPr lIns="90000" rIns="90000" tIns="45000" bIns="45000">
                          <a:noAutofit/>
                        </wps:bodyPr>
                      </wps:wsp>
                      <wps:wsp>
                        <wps:cNvSpPr/>
                        <wps:spPr>
                          <a:xfrm>
                            <a:off x="2859480" y="2013480"/>
                            <a:ext cx="85140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Gemiddeld</w:t>
                              </w:r>
                            </w:p>
                          </w:txbxContent>
                        </wps:txbx>
                        <wps:bodyPr lIns="90000" rIns="90000" tIns="45000" bIns="45000">
                          <a:noAutofit/>
                        </wps:bodyPr>
                      </wps:wsp>
                      <wps:wsp>
                        <wps:cNvSpPr/>
                        <wps:spPr>
                          <a:xfrm>
                            <a:off x="2220120" y="2300040"/>
                            <a:ext cx="149868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Middelbare school</w:t>
                              </w:r>
                            </w:p>
                          </w:txbxContent>
                        </wps:txbx>
                        <wps:bodyPr lIns="90000" rIns="90000" tIns="45000" bIns="45000">
                          <a:noAutofit/>
                        </wps:bodyPr>
                      </wps:wsp>
                      <wps:wsp>
                        <wps:cNvSpPr/>
                        <wps:spPr>
                          <a:xfrm>
                            <a:off x="2876400" y="2789640"/>
                            <a:ext cx="85104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Opgevoed</w:t>
                              </w:r>
                            </w:p>
                          </w:txbxContent>
                        </wps:txbx>
                        <wps:bodyPr lIns="90000" rIns="90000" tIns="45000" bIns="45000">
                          <a:noAutofit/>
                        </wps:bodyPr>
                      </wps:wsp>
                      <wps:wsp>
                        <wps:cNvSpPr/>
                        <wps:spPr>
                          <a:xfrm>
                            <a:off x="2040840" y="3016800"/>
                            <a:ext cx="1950840" cy="38088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Bachelor’s degree, master’s degree of meer</w:t>
                              </w:r>
                            </w:p>
                          </w:txbxContent>
                        </wps:txbx>
                        <wps:bodyPr lIns="90000" rIns="90000" tIns="45000" bIns="45000">
                          <a:noAutofit/>
                        </wps:bodyPr>
                      </wps:wsp>
                      <wps:wsp>
                        <wps:cNvSpPr/>
                        <wps:spPr>
                          <a:xfrm>
                            <a:off x="4120560" y="1415520"/>
                            <a:ext cx="852120" cy="4406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Noord-West</w:t>
                              </w:r>
                            </w:p>
                          </w:txbxContent>
                        </wps:txbx>
                        <wps:bodyPr lIns="90000" rIns="90000" tIns="45000" bIns="45000">
                          <a:noAutofit/>
                        </wps:bodyPr>
                      </wps:wsp>
                      <wps:wsp>
                        <wps:cNvSpPr/>
                        <wps:spPr>
                          <a:xfrm>
                            <a:off x="4205520" y="1019160"/>
                            <a:ext cx="169560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Gebied van verblijf</w:t>
                              </w:r>
                            </w:p>
                          </w:txbxContent>
                        </wps:txbx>
                        <wps:bodyPr lIns="90000" rIns="90000" tIns="45000" bIns="45000">
                          <a:noAutofit/>
                        </wps:bodyPr>
                      </wps:wsp>
                      <wps:wsp>
                        <wps:cNvSpPr/>
                        <wps:spPr>
                          <a:xfrm>
                            <a:off x="5305320" y="1752480"/>
                            <a:ext cx="85140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centrum</w:t>
                              </w:r>
                            </w:p>
                          </w:txbxContent>
                        </wps:txbx>
                        <wps:bodyPr lIns="90000" rIns="90000" tIns="45000" bIns="45000">
                          <a:noAutofit/>
                        </wps:bodyPr>
                      </wps:wsp>
                      <wps:wsp>
                        <wps:cNvSpPr/>
                        <wps:spPr>
                          <a:xfrm>
                            <a:off x="4112280" y="2687400"/>
                            <a:ext cx="1038960" cy="2660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Zuid- en eilanden</w:t>
                              </w:r>
                            </w:p>
                          </w:txbxContent>
                        </wps:txbx>
                        <wps:bodyPr lIns="90000" rIns="90000" tIns="45000" bIns="45000">
                          <a:noAutofit/>
                        </wps:bodyPr>
                      </wps:wsp>
                    </wpg:wgp>
                  </a:graphicData>
                </a:graphic>
              </wp:anchor>
            </w:drawing>
          </mc:Choice>
          <mc:Fallback>
            <w:pict>
              <v:group id="shape_0" alt="Formulier5" style="position:absolute;margin-left:0.05pt;margin-top:3.25pt;width:484.8pt;height:285.3pt" coordorigin="1,65" coordsize="9696,5706">
                <v:shape id="shape_0" stroked="f" style="position:absolute;left:1;top:787;width:9545;height:4982" type="shapetype_75">
                  <v:imagedata r:id="rId106" o:detectmouseclick="t"/>
                  <w10:wrap type="none"/>
                  <v:stroke color="#3465a4" joinstyle="round" endcap="flat"/>
                </v:shape>
                <v:rect id="shape_0" stroked="f" style="position:absolute;left:2328;top:65;width:6200;height:661">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Verdeling van actieve deelnemers</w:t>
                        </w:r>
                      </w:p>
                    </w:txbxContent>
                  </v:textbox>
                  <w10:wrap type="square"/>
                  <v:fill o:detectmouseclick="t" on="false"/>
                  <v:stroke color="#3465a4" joinstyle="round" endcap="flat"/>
                </v:rect>
                <v:rect id="shape_0" stroked="f" style="position:absolute;left:825;top:1657;width:1717;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geslacht</w:t>
                        </w:r>
                      </w:p>
                    </w:txbxContent>
                  </v:textbox>
                  <w10:wrap type="square"/>
                  <v:fill o:detectmouseclick="t" on="false"/>
                  <v:stroke color="#3465a4" joinstyle="round" endcap="flat"/>
                </v:rect>
                <v:rect id="shape_0" stroked="f" style="position:absolute;left:570;top:3038;width:1716;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leeftijdscategorie</w:t>
                        </w:r>
                      </w:p>
                    </w:txbxContent>
                  </v:textbox>
                  <w10:wrap type="square"/>
                  <v:fill o:detectmouseclick="t" on="false"/>
                  <v:stroke color="#3465a4" joinstyle="round" endcap="flat"/>
                </v:rect>
                <v:rect id="shape_0" stroked="f" style="position:absolute;left:1670;top:3541;width:1341;height:693">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18-34 jaar oud</w:t>
                        </w:r>
                      </w:p>
                    </w:txbxContent>
                  </v:textbox>
                  <w10:wrap type="square"/>
                  <v:fill o:detectmouseclick="t" on="false"/>
                  <v:stroke color="#3465a4" joinstyle="round" endcap="flat"/>
                </v:rect>
                <v:rect id="shape_0" stroked="f" style="position:absolute;left:1618;top:4138;width:1340;height:694">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35-64 jaar</w:t>
                        </w:r>
                      </w:p>
                    </w:txbxContent>
                  </v:textbox>
                  <w10:wrap type="square"/>
                  <v:fill o:detectmouseclick="t" on="false"/>
                  <v:stroke color="#3465a4" joinstyle="round" endcap="flat"/>
                </v:rect>
                <v:rect id="shape_0" stroked="f" style="position:absolute;left:1631;top:4643;width:1340;height:693">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65-75 jaar oud</w:t>
                        </w:r>
                      </w:p>
                    </w:txbxContent>
                  </v:textbox>
                  <w10:wrap type="square"/>
                  <v:fill o:detectmouseclick="t" on="false"/>
                  <v:stroke color="#3465a4" joinstyle="round" endcap="flat"/>
                </v:rect>
                <v:rect id="shape_0" stroked="f" style="position:absolute;left:3403;top:1670;width:2654;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Opleidingsniveau</w:t>
                        </w:r>
                      </w:p>
                    </w:txbxContent>
                  </v:textbox>
                  <w10:wrap type="square"/>
                  <v:fill o:detectmouseclick="t" on="false"/>
                  <v:stroke color="#3465a4" joinstyle="round" endcap="flat"/>
                </v:rect>
                <v:rect id="shape_0" stroked="f" style="position:absolute;left:4423;top:2175;width:1339;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Laag</w:t>
                        </w:r>
                      </w:p>
                    </w:txbxContent>
                  </v:textbox>
                  <w10:wrap type="square"/>
                  <v:fill o:detectmouseclick="t" on="false"/>
                  <v:stroke color="#3465a4" joinstyle="round" endcap="flat"/>
                </v:rect>
                <v:rect id="shape_0" stroked="f" style="position:absolute;left:8155;top:1949;width:1339;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Noordoostelijk</w:t>
                        </w:r>
                      </w:p>
                    </w:txbxContent>
                  </v:textbox>
                  <w10:wrap type="square"/>
                  <v:fill o:detectmouseclick="t" on="false"/>
                  <v:stroke color="#3465a4" joinstyle="round" endcap="flat"/>
                </v:rect>
                <v:rect id="shape_0" stroked="f" style="position:absolute;left:3269;top:2573;width:2829;height:693">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College, beroepsonderwijs</w:t>
                        </w:r>
                      </w:p>
                    </w:txbxContent>
                  </v:textbox>
                  <w10:wrap type="square"/>
                  <v:fill o:detectmouseclick="t" on="false"/>
                  <v:stroke color="#3465a4" joinstyle="round" endcap="flat"/>
                </v:rect>
                <v:rect id="shape_0" stroked="f" style="position:absolute;left:4504;top:3236;width:1340;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Gemiddeld</w:t>
                        </w:r>
                      </w:p>
                    </w:txbxContent>
                  </v:textbox>
                  <w10:wrap type="square"/>
                  <v:fill o:detectmouseclick="t" on="false"/>
                  <v:stroke color="#3465a4" joinstyle="round" endcap="flat"/>
                </v:rect>
                <v:rect id="shape_0" stroked="f" style="position:absolute;left:3497;top:3687;width:2359;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Middelbare school</w:t>
                        </w:r>
                      </w:p>
                    </w:txbxContent>
                  </v:textbox>
                  <w10:wrap type="square"/>
                  <v:fill o:detectmouseclick="t" on="false"/>
                  <v:stroke color="#3465a4" joinstyle="round" endcap="flat"/>
                </v:rect>
                <v:rect id="shape_0" stroked="f" style="position:absolute;left:4531;top:4458;width:1339;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Opgevoed</w:t>
                        </w:r>
                      </w:p>
                    </w:txbxContent>
                  </v:textbox>
                  <w10:wrap type="square"/>
                  <v:fill o:detectmouseclick="t" on="false"/>
                  <v:stroke color="#3465a4" joinstyle="round" endcap="flat"/>
                </v:rect>
                <v:rect id="shape_0" stroked="f" style="position:absolute;left:3215;top:4816;width:3071;height:599">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Bachelor’s degree, master’s degree of meer</w:t>
                        </w:r>
                      </w:p>
                    </w:txbxContent>
                  </v:textbox>
                  <w10:wrap type="square"/>
                  <v:fill o:detectmouseclick="t" on="false"/>
                  <v:stroke color="#3465a4" joinstyle="round" endcap="flat"/>
                </v:rect>
                <v:rect id="shape_0" stroked="f" style="position:absolute;left:6490;top:2294;width:1341;height:693">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Noord-West</w:t>
                        </w:r>
                      </w:p>
                    </w:txbxContent>
                  </v:textbox>
                  <w10:wrap type="square"/>
                  <v:fill o:detectmouseclick="t" on="false"/>
                  <v:stroke color="#3465a4" joinstyle="round" endcap="flat"/>
                </v:rect>
                <v:rect id="shape_0" stroked="f" style="position:absolute;left:6624;top:1670;width:2669;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Gebied van verblijf</w:t>
                        </w:r>
                      </w:p>
                    </w:txbxContent>
                  </v:textbox>
                  <w10:wrap type="square"/>
                  <v:fill o:detectmouseclick="t" on="false"/>
                  <v:stroke color="#3465a4" joinstyle="round" endcap="flat"/>
                </v:rect>
                <v:rect id="shape_0" stroked="f" style="position:absolute;left:8356;top:2825;width:1340;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centrum</w:t>
                        </w:r>
                      </w:p>
                    </w:txbxContent>
                  </v:textbox>
                  <w10:wrap type="square"/>
                  <v:fill o:detectmouseclick="t" on="false"/>
                  <v:stroke color="#3465a4" joinstyle="round" endcap="flat"/>
                </v:rect>
                <v:rect id="shape_0" stroked="f" style="position:absolute;left:6477;top:4297;width:1635;height:418">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Zuid- en eilanden</w:t>
                        </w:r>
                      </w:p>
                    </w:txbxContent>
                  </v:textbox>
                  <w10:wrap type="square"/>
                  <v:fill o:detectmouseclick="t" on="false"/>
                  <v:stroke color="#3465a4" joinstyle="round" endcap="flat"/>
                </v:rect>
              </v:group>
            </w:pict>
          </mc:Fallback>
        </mc:AlternateContent>
      </w:r>
    </w:p>
    <w:p>
      <w:pPr>
        <w:pStyle w:val="P68B1DB1Normal24"/>
        <w:widowControl w:val="false"/>
        <w:spacing w:lineRule="exact" w:line="362" w:before="198" w:after="0"/>
        <w:ind w:left="0" w:right="0" w:hanging="0"/>
        <w:jc w:val="left"/>
        <w:rPr>
          <w:rFonts w:ascii="Times New Roman" w:hAnsi="Times New Roman"/>
          <w:color w:val="000000"/>
          <w:sz w:val="22"/>
        </w:rPr>
      </w:pPr>
      <w:r>
        <w:rPr/>
        <w:t xml:space="preserve">Hier zijn de resultaten van de selectieprocesstappen: </w:t>
      </w:r>
    </w:p>
    <w:p>
      <w:pPr>
        <w:pStyle w:val="Normal"/>
        <w:widowControl w:val="false"/>
        <w:spacing w:lineRule="exact" w:line="393"/>
        <w:ind w:left="0" w:right="0" w:hanging="0"/>
        <w:jc w:val="left"/>
        <w:rPr>
          <w:rFonts w:ascii="Times New Roman" w:hAnsi="Times New Roman"/>
          <w:color w:val="000000"/>
          <w:sz w:val="24"/>
        </w:rPr>
      </w:pPr>
      <w:r>
        <w:rPr>
          <w:rFonts w:ascii="Times New Roman" w:hAnsi="Times New Roman"/>
          <w:color w:val="000000"/>
          <w:sz w:val="24"/>
        </w:rPr>
        <mc:AlternateContent>
          <mc:Choice Requires="wpg">
            <w:drawing>
              <wp:anchor behindDoc="0" distT="0" distB="0" distL="0" distR="0" simplePos="0" locked="0" layoutInCell="1" allowOverlap="1" relativeHeight="58">
                <wp:simplePos x="0" y="0"/>
                <wp:positionH relativeFrom="column">
                  <wp:posOffset>10160</wp:posOffset>
                </wp:positionH>
                <wp:positionV relativeFrom="paragraph">
                  <wp:posOffset>144780</wp:posOffset>
                </wp:positionV>
                <wp:extent cx="6047740" cy="3640455"/>
                <wp:effectExtent l="0" t="0" r="0" b="0"/>
                <wp:wrapNone/>
                <wp:docPr id="104" name="Formulier6"/>
                <a:graphic xmlns:a="http://schemas.openxmlformats.org/drawingml/2006/main">
                  <a:graphicData uri="http://schemas.microsoft.com/office/word/2010/wordprocessingGroup">
                    <wpg:wgp>
                      <wpg:cNvGrpSpPr/>
                      <wpg:grpSpPr>
                        <a:xfrm>
                          <a:off x="0" y="0"/>
                          <a:ext cx="6047280" cy="3639960"/>
                        </a:xfrm>
                      </wpg:grpSpPr>
                      <pic:pic xmlns:pic="http://schemas.openxmlformats.org/drawingml/2006/picture">
                        <pic:nvPicPr>
                          <pic:cNvPr id="8" name="" descr=""/>
                          <pic:cNvPicPr/>
                        </pic:nvPicPr>
                        <pic:blipFill>
                          <a:blip r:embed="rId107"/>
                          <a:stretch/>
                        </pic:blipFill>
                        <pic:spPr>
                          <a:xfrm>
                            <a:off x="1520280" y="457920"/>
                            <a:ext cx="2903400" cy="3182040"/>
                          </a:xfrm>
                          <a:prstGeom prst="rect">
                            <a:avLst/>
                          </a:prstGeom>
                          <a:ln>
                            <a:noFill/>
                          </a:ln>
                        </pic:spPr>
                      </pic:pic>
                      <wps:wsp>
                        <wps:cNvSpPr/>
                        <wps:spPr>
                          <a:xfrm>
                            <a:off x="693360" y="0"/>
                            <a:ext cx="4645800" cy="4057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Het sollicitatieproces</w:t>
                              </w:r>
                            </w:p>
                          </w:txbxContent>
                        </wps:txbx>
                        <wps:bodyPr lIns="90000" rIns="90000" tIns="45000" bIns="45000">
                          <a:noAutofit/>
                        </wps:bodyPr>
                      </wps:wsp>
                      <wps:wsp>
                        <wps:cNvSpPr/>
                        <wps:spPr>
                          <a:xfrm>
                            <a:off x="0" y="675720"/>
                            <a:ext cx="1599480" cy="4413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Toegang tot het aanvraagformulier</w:t>
                              </w:r>
                            </w:p>
                          </w:txbxContent>
                        </wps:txbx>
                        <wps:bodyPr lIns="90000" rIns="90000" tIns="45000" bIns="45000">
                          <a:noAutofit/>
                        </wps:bodyPr>
                      </wps:wsp>
                      <wps:wsp>
                        <wps:cNvSpPr/>
                        <wps:spPr>
                          <a:xfrm>
                            <a:off x="0" y="1099080"/>
                            <a:ext cx="1599480" cy="4406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Volledige toepassingen</w:t>
                              </w:r>
                            </w:p>
                          </w:txbxContent>
                        </wps:txbx>
                        <wps:bodyPr lIns="90000" rIns="90000" tIns="45000" bIns="45000">
                          <a:noAutofit/>
                        </wps:bodyPr>
                      </wps:wsp>
                      <wps:wsp>
                        <wps:cNvSpPr/>
                        <wps:spPr>
                          <a:xfrm>
                            <a:off x="0" y="1497240"/>
                            <a:ext cx="1599480" cy="4406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In aanmerking komende kandidaten</w:t>
                              </w:r>
                            </w:p>
                          </w:txbxContent>
                        </wps:txbx>
                        <wps:bodyPr lIns="90000" rIns="90000" tIns="45000" bIns="45000">
                          <a:noAutofit/>
                        </wps:bodyPr>
                      </wps:wsp>
                      <wps:wsp>
                        <wps:cNvSpPr/>
                        <wps:spPr>
                          <a:xfrm>
                            <a:off x="0" y="1920240"/>
                            <a:ext cx="1599480" cy="3085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Toegelaten tot het panel</w:t>
                              </w:r>
                            </w:p>
                          </w:txbxContent>
                        </wps:txbx>
                        <wps:bodyPr lIns="90000" rIns="90000" tIns="45000" bIns="45000">
                          <a:noAutofit/>
                        </wps:bodyPr>
                      </wps:wsp>
                      <wps:wsp>
                        <wps:cNvSpPr/>
                        <wps:spPr>
                          <a:xfrm>
                            <a:off x="0" y="2343240"/>
                            <a:ext cx="1599480" cy="3085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Actieve deelnemers</w:t>
                              </w:r>
                            </w:p>
                          </w:txbxContent>
                        </wps:txbx>
                        <wps:bodyPr lIns="90000" rIns="90000" tIns="45000" bIns="45000">
                          <a:noAutofit/>
                        </wps:bodyPr>
                      </wps:wsp>
                      <wps:wsp>
                        <wps:cNvSpPr/>
                        <wps:spPr>
                          <a:xfrm>
                            <a:off x="4430520" y="594360"/>
                            <a:ext cx="1599480" cy="3085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8-10 maart 2022</w:t>
                              </w:r>
                            </w:p>
                          </w:txbxContent>
                        </wps:txbx>
                        <wps:bodyPr lIns="90000" rIns="90000" tIns="45000" bIns="45000">
                          <a:noAutofit/>
                        </wps:bodyPr>
                      </wps:wsp>
                      <wps:wsp>
                        <wps:cNvSpPr/>
                        <wps:spPr>
                          <a:xfrm>
                            <a:off x="4447440" y="1099800"/>
                            <a:ext cx="1599480" cy="30780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10 maart 2022</w:t>
                              </w:r>
                            </w:p>
                          </w:txbxContent>
                        </wps:txbx>
                        <wps:bodyPr lIns="90000" rIns="90000" tIns="45000" bIns="45000">
                          <a:noAutofit/>
                        </wps:bodyPr>
                      </wps:wsp>
                      <wps:wsp>
                        <wps:cNvSpPr/>
                        <wps:spPr>
                          <a:xfrm>
                            <a:off x="4430520" y="595080"/>
                            <a:ext cx="1599480" cy="30780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8-10 maart 2022</w:t>
                              </w:r>
                            </w:p>
                          </w:txbxContent>
                        </wps:txbx>
                        <wps:bodyPr lIns="90000" rIns="90000" tIns="45000" bIns="45000">
                          <a:noAutofit/>
                        </wps:bodyPr>
                      </wps:wsp>
                      <wps:wsp>
                        <wps:cNvSpPr/>
                        <wps:spPr>
                          <a:xfrm>
                            <a:off x="4439160" y="1514520"/>
                            <a:ext cx="1598760" cy="3085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10 maart 2022</w:t>
                              </w:r>
                            </w:p>
                          </w:txbxContent>
                        </wps:txbx>
                        <wps:bodyPr lIns="90000" rIns="90000" tIns="45000" bIns="45000">
                          <a:noAutofit/>
                        </wps:bodyPr>
                      </wps:wsp>
                      <wps:wsp>
                        <wps:cNvSpPr/>
                        <wps:spPr>
                          <a:xfrm>
                            <a:off x="4430520" y="1913400"/>
                            <a:ext cx="1599480" cy="30780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11 maart 2022</w:t>
                              </w:r>
                            </w:p>
                          </w:txbxContent>
                        </wps:txbx>
                        <wps:bodyPr lIns="90000" rIns="90000" tIns="45000" bIns="45000">
                          <a:noAutofit/>
                        </wps:bodyPr>
                      </wps:wsp>
                      <wps:wsp>
                        <wps:cNvSpPr/>
                        <wps:spPr>
                          <a:xfrm>
                            <a:off x="4404240" y="2279160"/>
                            <a:ext cx="1599480" cy="3085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11-12 maart 2022</w:t>
                              </w:r>
                            </w:p>
                          </w:txbxContent>
                        </wps:txbx>
                        <wps:bodyPr lIns="90000" rIns="90000" tIns="45000" bIns="45000">
                          <a:noAutofit/>
                        </wps:bodyPr>
                      </wps:wsp>
                    </wpg:wgp>
                  </a:graphicData>
                </a:graphic>
              </wp:anchor>
            </w:drawing>
          </mc:Choice>
          <mc:Fallback>
            <w:pict>
              <v:group id="shape_0" alt="Formulier6" style="position:absolute;margin-left:0.8pt;margin-top:11.4pt;width:476.1pt;height:286.6pt" coordorigin="16,228" coordsize="9522,5732">
                <v:shape id="shape_0" stroked="f" style="position:absolute;left:2410;top:949;width:4571;height:5010" type="shapetype_75">
                  <v:imagedata r:id="rId107" o:detectmouseclick="t"/>
                  <w10:wrap type="none"/>
                  <v:stroke color="#3465a4" joinstyle="round" endcap="flat"/>
                </v:shape>
                <v:rect id="shape_0" stroked="f" style="position:absolute;left:1108;top:228;width:7315;height:638">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Het sollicitatieproces</w:t>
                        </w:r>
                      </w:p>
                    </w:txbxContent>
                  </v:textbox>
                  <w10:wrap type="square"/>
                  <v:fill o:detectmouseclick="t" on="false"/>
                  <v:stroke color="#3465a4" joinstyle="round" endcap="flat"/>
                </v:rect>
                <v:rect id="shape_0" stroked="f" style="position:absolute;left:16;top:1292;width:2518;height:694">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Toegang tot het aanvraagformulier</w:t>
                        </w:r>
                      </w:p>
                    </w:txbxContent>
                  </v:textbox>
                  <w10:wrap type="square"/>
                  <v:fill o:detectmouseclick="t" on="false"/>
                  <v:stroke color="#3465a4" joinstyle="round" endcap="flat"/>
                </v:rect>
                <v:rect id="shape_0" stroked="f" style="position:absolute;left:16;top:1959;width:2518;height:693">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Volledige toepassingen</w:t>
                        </w:r>
                      </w:p>
                    </w:txbxContent>
                  </v:textbox>
                  <w10:wrap type="square"/>
                  <v:fill o:detectmouseclick="t" on="false"/>
                  <v:stroke color="#3465a4" joinstyle="round" endcap="flat"/>
                </v:rect>
                <v:rect id="shape_0" stroked="f" style="position:absolute;left:16;top:2586;width:2518;height:693">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In aanmerking komende kandidaten</w:t>
                        </w:r>
                      </w:p>
                    </w:txbxContent>
                  </v:textbox>
                  <w10:wrap type="square"/>
                  <v:fill o:detectmouseclick="t" on="false"/>
                  <v:stroke color="#3465a4" joinstyle="round" endcap="flat"/>
                </v:rect>
                <v:rect id="shape_0" stroked="f" style="position:absolute;left:16;top:3252;width:2518;height:48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Toegelaten tot het panel</w:t>
                        </w:r>
                      </w:p>
                    </w:txbxContent>
                  </v:textbox>
                  <w10:wrap type="square"/>
                  <v:fill o:detectmouseclick="t" on="false"/>
                  <v:stroke color="#3465a4" joinstyle="round" endcap="flat"/>
                </v:rect>
                <v:rect id="shape_0" stroked="f" style="position:absolute;left:16;top:3918;width:2518;height:48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Actieve deelnemers</w:t>
                        </w:r>
                      </w:p>
                    </w:txbxContent>
                  </v:textbox>
                  <w10:wrap type="square"/>
                  <v:fill o:detectmouseclick="t" on="false"/>
                  <v:stroke color="#3465a4" joinstyle="round" endcap="flat"/>
                </v:rect>
                <v:rect id="shape_0" stroked="f" style="position:absolute;left:6993;top:1164;width:2518;height:48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8-10 maart 2022</w:t>
                        </w:r>
                      </w:p>
                    </w:txbxContent>
                  </v:textbox>
                  <w10:wrap type="square"/>
                  <v:fill o:detectmouseclick="t" on="false"/>
                  <v:stroke color="#3465a4" joinstyle="round" endcap="flat"/>
                </v:rect>
                <v:rect id="shape_0" stroked="f" style="position:absolute;left:7020;top:1960;width:2518;height:484">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10 maart 2022</w:t>
                        </w:r>
                      </w:p>
                    </w:txbxContent>
                  </v:textbox>
                  <w10:wrap type="square"/>
                  <v:fill o:detectmouseclick="t" on="false"/>
                  <v:stroke color="#3465a4" joinstyle="round" endcap="flat"/>
                </v:rect>
                <v:rect id="shape_0" stroked="f" style="position:absolute;left:6993;top:1165;width:2518;height:484">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8-10 maart 2022</w:t>
                        </w:r>
                      </w:p>
                    </w:txbxContent>
                  </v:textbox>
                  <w10:wrap type="square"/>
                  <v:fill o:detectmouseclick="t" on="false"/>
                  <v:stroke color="#3465a4" joinstyle="round" endcap="flat"/>
                </v:rect>
                <v:rect id="shape_0" stroked="f" style="position:absolute;left:7007;top:2613;width:2517;height:48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10 maart 2022</w:t>
                        </w:r>
                      </w:p>
                    </w:txbxContent>
                  </v:textbox>
                  <w10:wrap type="square"/>
                  <v:fill o:detectmouseclick="t" on="false"/>
                  <v:stroke color="#3465a4" joinstyle="round" endcap="flat"/>
                </v:rect>
                <v:rect id="shape_0" stroked="f" style="position:absolute;left:6993;top:3241;width:2518;height:484">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11 maart 2022</w:t>
                        </w:r>
                      </w:p>
                    </w:txbxContent>
                  </v:textbox>
                  <w10:wrap type="square"/>
                  <v:fill o:detectmouseclick="t" on="false"/>
                  <v:stroke color="#3465a4" joinstyle="round" endcap="flat"/>
                </v:rect>
                <v:rect id="shape_0" stroked="f" style="position:absolute;left:6952;top:3817;width:2518;height:48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11-12 maart 2022</w:t>
                        </w:r>
                      </w:p>
                    </w:txbxContent>
                  </v:textbox>
                  <w10:wrap type="square"/>
                  <v:fill o:detectmouseclick="t" on="false"/>
                  <v:stroke color="#3465a4" joinstyle="round" endcap="flat"/>
                </v:rect>
              </v:group>
            </w:pict>
          </mc:Fallback>
        </mc:AlternateContent>
      </w:r>
      <w:r>
        <w:br w:type="page"/>
      </w:r>
    </w:p>
    <w:p>
      <w:pPr>
        <w:pStyle w:val="P68B1DB1Normal74"/>
        <w:widowControl w:val="false"/>
        <w:spacing w:lineRule="exact" w:line="393"/>
        <w:ind w:left="0" w:right="0" w:hanging="0"/>
        <w:jc w:val="left"/>
        <w:rPr>
          <w:rFonts w:ascii="Arial" w:hAnsi="Arial"/>
          <w:color w:val="2E74B5"/>
          <w:sz w:val="22"/>
        </w:rPr>
      </w:pPr>
      <w:r>
        <w:rPr/>
        <w:t xml:space="preserve">Communicatieapparatuur </w:t>
      </w:r>
    </w:p>
    <w:p>
      <w:pPr>
        <w:pStyle w:val="P68B1DB1Normal76"/>
        <w:widowControl w:val="false"/>
        <w:spacing w:lineRule="exact" w:line="379" w:before="200" w:after="0"/>
        <w:ind w:left="0" w:right="2" w:hanging="0"/>
        <w:jc w:val="left"/>
        <w:rPr/>
      </w:pPr>
      <w:r>
        <w:rPr/>
        <w:t xml:space="preserve">Om van meet af aan een hoog niveau van motivatie en participatie te waarborgen, werden de volgende documenten ter beschikking gesteld van alle deelnemers: </w:t>
      </w:r>
    </w:p>
    <w:p>
      <w:pPr>
        <w:pStyle w:val="P68B1DB1Normal76"/>
        <w:widowControl w:val="false"/>
        <w:spacing w:lineRule="exact" w:line="252" w:before="192" w:after="0"/>
        <w:ind w:left="720" w:right="0" w:hanging="0"/>
        <w:jc w:val="left"/>
        <w:rPr/>
      </w:pPr>
      <w:r>
        <w:rPr/>
        <w:t xml:space="preserve">• </w:t>
      </w:r>
      <w:r>
        <w:rPr>
          <w:b/>
        </w:rPr>
        <w:t xml:space="preserve">de presentatiebladen van de Conferentie over de toekomst van Europa en de nationale panels; </w:t>
      </w:r>
    </w:p>
    <w:p>
      <w:pPr>
        <w:pStyle w:val="P68B1DB1Normal76"/>
        <w:widowControl w:val="false"/>
        <w:spacing w:lineRule="exact" w:line="379"/>
        <w:ind w:left="720" w:right="0" w:hanging="0"/>
        <w:jc w:val="left"/>
        <w:rPr/>
      </w:pPr>
      <w:r>
        <w:rPr/>
        <w:t xml:space="preserve">• </w:t>
      </w:r>
      <w:r>
        <w:rPr>
          <w:b/>
        </w:rPr>
        <w:t xml:space="preserve">het Handvest van de Conferentie over de toekomst van Europa; </w:t>
      </w:r>
    </w:p>
    <w:p>
      <w:pPr>
        <w:pStyle w:val="P68B1DB1Normal76"/>
        <w:widowControl w:val="false"/>
        <w:spacing w:lineRule="exact" w:line="379"/>
        <w:ind w:left="720" w:right="0" w:hanging="0"/>
        <w:jc w:val="left"/>
        <w:rPr/>
      </w:pPr>
      <w:r>
        <w:rPr/>
        <w:t xml:space="preserve">• </w:t>
      </w:r>
      <w:r>
        <w:rPr>
          <w:b/>
        </w:rPr>
        <w:t xml:space="preserve">de onderwerpen die tijdens de panels moeten worden besproken; </w:t>
      </w:r>
    </w:p>
    <w:p>
      <w:pPr>
        <w:pStyle w:val="P68B1DB1Normal76"/>
        <w:widowControl w:val="false"/>
        <w:spacing w:lineRule="exact" w:line="379"/>
        <w:ind w:left="721" w:right="0" w:hanging="0"/>
        <w:jc w:val="left"/>
        <w:rPr/>
      </w:pPr>
      <w:r>
        <w:rPr/>
        <w:t xml:space="preserve">• </w:t>
      </w:r>
      <w:r>
        <w:rPr>
          <w:b/>
        </w:rPr>
        <w:t xml:space="preserve">technische en organisatorische informatie die nodig is voor deelname. </w:t>
      </w:r>
    </w:p>
    <w:p>
      <w:pPr>
        <w:pStyle w:val="P68B1DB1Titre277"/>
        <w:numPr>
          <w:ilvl w:val="0"/>
          <w:numId w:val="2"/>
        </w:numPr>
        <w:rPr>
          <w:color w:val="BD1271"/>
        </w:rPr>
      </w:pPr>
      <w:bookmarkStart w:id="218" w:name="__RefHeading___Toc300312_1346298689"/>
      <w:bookmarkEnd w:id="218"/>
      <w:r>
        <w:rPr/>
        <w:t xml:space="preserve">3. Organisatie van het panel </w:t>
      </w:r>
    </w:p>
    <w:p>
      <w:pPr>
        <w:pStyle w:val="P68B1DB1Normal76"/>
        <w:widowControl w:val="false"/>
        <w:spacing w:lineRule="exact" w:line="272" w:before="231" w:after="0"/>
        <w:ind w:left="0" w:right="0" w:hanging="0"/>
        <w:jc w:val="both"/>
        <w:rPr/>
      </w:pPr>
      <w:r>
        <w:rPr/>
        <w:t xml:space="preserve">Om maximale deelname mogelijk te maken, met inbegrip van personen met professionele verplichtingen, werd het panel georganiseerd over twee opeenvolgende halve dagen, waarvan één in het weekend, volgens het volgende tijdschema: </w:t>
      </w:r>
    </w:p>
    <w:p>
      <w:pPr>
        <w:pStyle w:val="P68B1DB1Normal76"/>
        <w:widowControl w:val="false"/>
        <w:spacing w:lineRule="exact" w:line="288" w:before="101" w:after="0"/>
        <w:ind w:left="359" w:right="0" w:hanging="0"/>
        <w:jc w:val="left"/>
        <w:rPr/>
      </w:pPr>
      <w:r>
        <w:rPr>
          <w:rFonts w:ascii="Symbol" w:hAnsi="Symbol"/>
        </w:rPr>
        <w:t>•</w:t>
      </w:r>
      <w:r>
        <w:rPr/>
        <w:t xml:space="preserve"> </w:t>
      </w:r>
      <w:r>
        <w:rPr>
          <w:b/>
        </w:rPr>
        <w:t xml:space="preserve">Vrijdag 11 maart van 16 tot 20 uur </w:t>
      </w:r>
    </w:p>
    <w:p>
      <w:pPr>
        <w:pStyle w:val="P68B1DB1Normal76"/>
        <w:widowControl w:val="false"/>
        <w:spacing w:lineRule="exact" w:line="288" w:before="101" w:after="0"/>
        <w:ind w:left="359" w:right="0" w:hanging="0"/>
        <w:jc w:val="left"/>
        <w:rPr/>
      </w:pPr>
      <w:r>
        <w:rPr>
          <w:rFonts w:ascii="Symbol" w:hAnsi="Symbol"/>
        </w:rPr>
        <w:t>•</w:t>
      </w:r>
      <w:r>
        <w:rPr/>
        <w:t xml:space="preserve"> </w:t>
      </w:r>
      <w:r>
        <w:rPr>
          <w:b/>
        </w:rPr>
        <w:t xml:space="preserve">Zaterdag 12 maart van 10 tot 12.00 uur </w:t>
      </w:r>
    </w:p>
    <w:p>
      <w:pPr>
        <w:pStyle w:val="Normal"/>
        <w:widowControl w:val="false"/>
        <w:spacing w:lineRule="exact" w:line="286" w:before="83" w:after="0"/>
        <w:ind w:left="0" w:right="1" w:hanging="0"/>
        <w:jc w:val="both"/>
        <w:rPr/>
      </w:pPr>
      <w:r>
        <w:rPr>
          <w:color w:val="000000"/>
        </w:rPr>
        <w:t xml:space="preserve">Deze keuze was enerzijds bedoeld om de deelname van werknemers aan het initiatief te vergemakkelijken en anderzijds om de aanwezigheidstijd te verdelen om meer aandacht en participatie aan te moedigen, en om verder na te denken over de ingediende thema’s en voorstellen. Paneldeelnemers verbonden aan de twee werksessies met behulp van het GoToMeeting-platform en werden verdeeld in vier groepen (twee voor elk thematisch gebied), onder leiding van een </w:t>
      </w:r>
      <w:r>
        <w:rPr>
          <w:color w:val="ED7D31"/>
        </w:rPr>
        <w:t>SWG</w:t>
      </w:r>
      <w:r>
        <w:rPr>
          <w:color w:val="000000"/>
        </w:rPr>
        <w:t xml:space="preserve"> -moderator en assistenten van een persoon die verantwoordelijk is voor het schrijven van de procedure. De moderators vergemakkelijkten de groepen via twee verschillende discussiemogelijkheden (één voor elk thematisch gebied), met als doel alle geselecteerde personen zoveel mogelijk te betrekken en te zorgen voor een aanpak op basis van maximale inclusie en neutraliteit. </w:t>
      </w:r>
    </w:p>
    <w:p>
      <w:pPr>
        <w:pStyle w:val="Titre2"/>
        <w:numPr>
          <w:ilvl w:val="1"/>
          <w:numId w:val="2"/>
        </w:numPr>
        <w:rPr/>
      </w:pPr>
      <w:bookmarkStart w:id="219" w:name="__RefHeading___Toc300314_1346298689"/>
      <w:bookmarkEnd w:id="219"/>
      <w:r>
        <w:rPr>
          <w:color w:val="BD1271"/>
        </w:rPr>
        <w:t>4. Werkprogramma</w:t>
      </w:r>
      <w:r>
        <w:rPr/>
        <w:t xml:space="preserve"> </w:t>
      </w:r>
    </w:p>
    <w:p>
      <w:pPr>
        <w:pStyle w:val="P68B1DB1Normal80"/>
        <w:widowControl w:val="false"/>
        <w:spacing w:lineRule="exact" w:line="393" w:before="85" w:after="0"/>
        <w:ind w:left="0" w:right="0" w:hanging="0"/>
        <w:jc w:val="left"/>
        <w:rPr>
          <w:rFonts w:ascii="Arial" w:hAnsi="Arial"/>
          <w:color w:val="116E9A"/>
          <w:sz w:val="24"/>
        </w:rPr>
      </w:pPr>
      <w:r>
        <w:rPr/>
        <w:t xml:space="preserve">Eerste zitting (vrijdag 11 maart 2022) </w:t>
      </w:r>
    </w:p>
    <w:p>
      <w:pPr>
        <w:pStyle w:val="P68B1DB1Normal76"/>
        <w:widowControl w:val="false"/>
        <w:spacing w:lineRule="exact" w:line="362" w:before="208" w:after="0"/>
        <w:ind w:left="360" w:right="0" w:hanging="0"/>
        <w:jc w:val="left"/>
        <w:rPr/>
      </w:pPr>
      <w:r>
        <w:rPr/>
        <w:t xml:space="preserve">• </w:t>
      </w:r>
      <w:r>
        <w:rPr/>
        <w:t xml:space="preserve">00 uur — Opening van de virtuele ruimte en de mogelijkheid voor deelnemers om verbinding te maken met het platform om de goede werking van hun audio- en videosystemen te controleren. </w:t>
      </w:r>
    </w:p>
    <w:p>
      <w:pPr>
        <w:pStyle w:val="P68B1DB1Normal76"/>
        <w:widowControl w:val="false"/>
        <w:spacing w:lineRule="exact" w:line="362"/>
        <w:ind w:left="360" w:right="0" w:hanging="0"/>
        <w:jc w:val="left"/>
        <w:rPr/>
      </w:pPr>
      <w:r>
        <w:rPr/>
        <w:t xml:space="preserve">• </w:t>
      </w:r>
      <w:r>
        <w:rPr/>
        <w:t xml:space="preserve">16:00 — Inleiding door moderator: uitleg van de redenen achter het initiatief en beschrijving van de structuur van het werk. </w:t>
      </w:r>
    </w:p>
    <w:p>
      <w:pPr>
        <w:pStyle w:val="P68B1DB1Normal76"/>
        <w:widowControl w:val="false"/>
        <w:spacing w:lineRule="exact" w:line="362"/>
        <w:ind w:left="360" w:right="0" w:hanging="0"/>
        <w:jc w:val="left"/>
        <w:rPr>
          <w:rFonts w:ascii="Arial" w:hAnsi="Arial"/>
          <w:color w:val="000000"/>
          <w:sz w:val="22"/>
        </w:rPr>
      </w:pPr>
      <w:r>
        <w:rPr/>
        <w:t xml:space="preserve">• </w:t>
      </w:r>
      <w:r>
        <w:rPr/>
        <w:t xml:space="preserve">15 uur — Distributie van deelnemers in groepen op basis van de voorkeuren die tijdens de aanvraagfase zijn aangegeven. </w:t>
      </w:r>
    </w:p>
    <w:p>
      <w:pPr>
        <w:pStyle w:val="P68B1DB1Normal76"/>
        <w:widowControl w:val="false"/>
        <w:spacing w:lineRule="exact" w:line="362"/>
        <w:ind w:left="360" w:right="0" w:hanging="0"/>
        <w:jc w:val="left"/>
        <w:rPr>
          <w:rFonts w:ascii="Arial" w:hAnsi="Arial"/>
          <w:color w:val="000000"/>
          <w:sz w:val="22"/>
        </w:rPr>
      </w:pPr>
      <w:r>
        <w:rPr/>
        <w:t xml:space="preserve">• </w:t>
      </w:r>
      <w:r>
        <w:rPr/>
        <w:t xml:space="preserve">16:20 — Begin van de groepsdiscussie. </w:t>
      </w:r>
    </w:p>
    <w:p>
      <w:pPr>
        <w:pStyle w:val="P68B1DB1Normal76"/>
        <w:widowControl w:val="false"/>
        <w:spacing w:lineRule="exact" w:line="362"/>
        <w:ind w:left="360" w:right="0" w:hanging="0"/>
        <w:jc w:val="left"/>
        <w:rPr>
          <w:rFonts w:ascii="Arial" w:hAnsi="Arial"/>
          <w:color w:val="000000"/>
          <w:sz w:val="22"/>
        </w:rPr>
      </w:pPr>
      <w:r>
        <w:rPr/>
        <w:t xml:space="preserve">• </w:t>
      </w:r>
      <w:r>
        <w:rPr/>
        <w:t xml:space="preserve">20.00 uur — Einde van de zitting. </w:t>
      </w:r>
    </w:p>
    <w:p>
      <w:pPr>
        <w:pStyle w:val="P68B1DB1Normal80"/>
        <w:widowControl w:val="false"/>
        <w:spacing w:lineRule="exact" w:line="393" w:before="248" w:after="0"/>
        <w:ind w:left="0" w:right="0" w:hanging="0"/>
        <w:jc w:val="left"/>
        <w:rPr>
          <w:rFonts w:ascii="Arial" w:hAnsi="Arial"/>
          <w:color w:val="116E9A"/>
          <w:sz w:val="24"/>
        </w:rPr>
      </w:pPr>
      <w:r>
        <w:rPr/>
        <w:t xml:space="preserve">Tweede zitting (zaterdag 12 maart 2022) </w:t>
      </w:r>
    </w:p>
    <w:p>
      <w:pPr>
        <w:pStyle w:val="P68B1DB1Normal76"/>
        <w:widowControl w:val="false"/>
        <w:spacing w:lineRule="exact" w:line="362" w:before="208" w:after="0"/>
        <w:ind w:left="360" w:right="0" w:hanging="0"/>
        <w:jc w:val="left"/>
        <w:rPr>
          <w:rFonts w:ascii="Arial" w:hAnsi="Arial"/>
          <w:color w:val="000000"/>
          <w:sz w:val="22"/>
        </w:rPr>
      </w:pPr>
      <w:r>
        <w:rPr/>
        <w:t xml:space="preserve">• </w:t>
      </w:r>
      <w:r>
        <w:rPr/>
        <w:t xml:space="preserve">10 uur — Hervatting van het werk door het lezen van de resultaten van het werk van de eerste dag. </w:t>
      </w:r>
    </w:p>
    <w:p>
      <w:pPr>
        <w:pStyle w:val="P68B1DB1Normal76"/>
        <w:widowControl w:val="false"/>
        <w:spacing w:lineRule="exact" w:line="254"/>
        <w:ind w:left="360" w:right="140" w:hanging="0"/>
        <w:jc w:val="left"/>
        <w:rPr/>
      </w:pPr>
      <w:r>
        <w:rPr/>
        <w:t xml:space="preserve">• </w:t>
      </w:r>
      <w:r>
        <w:rPr/>
        <w:t xml:space="preserve">10.15 uur — Doorlopende discussie, diepgaande discussies en opmerkingen van deelnemers. </w:t>
      </w:r>
    </w:p>
    <w:p>
      <w:pPr>
        <w:pStyle w:val="Normal"/>
        <w:widowControl w:val="false"/>
        <w:spacing w:lineRule="exact" w:line="362"/>
        <w:ind w:left="360" w:right="0" w:hanging="0"/>
        <w:jc w:val="left"/>
        <w:rPr/>
      </w:pPr>
      <w:r>
        <w:rPr>
          <w:color w:val="000000"/>
        </w:rPr>
        <w:t xml:space="preserve">• </w:t>
      </w:r>
      <w:r>
        <w:rPr>
          <w:color w:val="000000"/>
        </w:rPr>
        <w:t>12.00 uur — Conclusie van het werk</w:t>
      </w:r>
      <w:r>
        <w:rPr>
          <w:color w:val="FF0000"/>
        </w:rPr>
        <w:t>.</w:t>
      </w:r>
      <w:r>
        <w:rPr>
          <w:color w:val="000000"/>
        </w:rPr>
        <w:t xml:space="preserve"> </w:t>
      </w:r>
    </w:p>
    <w:p>
      <w:pPr>
        <w:pStyle w:val="P68B1DB1Normal34"/>
        <w:widowControl w:val="false"/>
        <w:spacing w:lineRule="exact" w:line="393"/>
        <w:ind w:left="360" w:right="0" w:hanging="0"/>
        <w:jc w:val="left"/>
        <w:rPr>
          <w:rFonts w:ascii="Arial" w:hAnsi="Arial"/>
          <w:color w:val="000000"/>
          <w:sz w:val="24"/>
        </w:rPr>
      </w:pPr>
      <w:r>
        <w:rPr/>
        <w:t xml:space="preserve"> </w:t>
      </w:r>
    </w:p>
    <w:p>
      <w:pPr>
        <w:pStyle w:val="Normal"/>
        <w:spacing w:lineRule="auto" w:line="240" w:before="5420" w:after="57"/>
        <w:rPr/>
      </w:pPr>
      <w:r>
        <w:rPr/>
        <w:drawing>
          <wp:anchor behindDoc="0" distT="0" distB="0" distL="0" distR="0" simplePos="0" locked="0" layoutInCell="1" allowOverlap="1" relativeHeight="61">
            <wp:simplePos x="0" y="0"/>
            <wp:positionH relativeFrom="column">
              <wp:align>center</wp:align>
            </wp:positionH>
            <wp:positionV relativeFrom="paragraph">
              <wp:posOffset>635</wp:posOffset>
            </wp:positionV>
            <wp:extent cx="6120130" cy="3441700"/>
            <wp:effectExtent l="0" t="0" r="0" b="0"/>
            <wp:wrapTopAndBottom/>
            <wp:docPr id="105" name="Afbeelding 4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Afbeelding 45" descr=""/>
                    <pic:cNvPicPr>
                      <a:picLocks noChangeAspect="1" noChangeArrowheads="1"/>
                    </pic:cNvPicPr>
                  </pic:nvPicPr>
                  <pic:blipFill>
                    <a:blip r:embed="rId108"/>
                    <a:stretch>
                      <a:fillRect/>
                    </a:stretch>
                  </pic:blipFill>
                  <pic:spPr bwMode="auto">
                    <a:xfrm>
                      <a:off x="0" y="0"/>
                      <a:ext cx="6120130" cy="3441700"/>
                    </a:xfrm>
                    <a:prstGeom prst="rect">
                      <a:avLst/>
                    </a:prstGeom>
                  </pic:spPr>
                </pic:pic>
              </a:graphicData>
            </a:graphic>
          </wp:anchor>
        </w:drawing>
      </w:r>
    </w:p>
    <w:p>
      <w:pPr>
        <w:pStyle w:val="Normal"/>
        <w:spacing w:lineRule="auto" w:line="240"/>
        <w:rPr/>
      </w:pPr>
      <w:r>
        <w:rPr/>
      </w:r>
      <w:r>
        <w:br w:type="page"/>
      </w:r>
    </w:p>
    <w:p>
      <w:pPr>
        <w:pStyle w:val="P68B1DB1Titre277"/>
        <w:numPr>
          <w:ilvl w:val="0"/>
          <w:numId w:val="2"/>
        </w:numPr>
        <w:rPr>
          <w:color w:val="BD1271"/>
        </w:rPr>
      </w:pPr>
      <w:bookmarkStart w:id="220" w:name="__RefHeading___Toc300316_1346298689"/>
      <w:bookmarkEnd w:id="220"/>
      <w:r>
        <w:rPr/>
        <w:t xml:space="preserve">5. Aanbevelingen gedaan </w:t>
      </w:r>
    </w:p>
    <w:p>
      <w:pPr>
        <w:pStyle w:val="Titre3"/>
        <w:numPr>
          <w:ilvl w:val="2"/>
          <w:numId w:val="2"/>
        </w:numPr>
        <w:rPr/>
      </w:pPr>
      <w:bookmarkStart w:id="221" w:name="__RefHeading___Toc300318_1346298689"/>
      <w:bookmarkEnd w:id="221"/>
      <w:r>
        <w:rPr>
          <w:color w:val="FFFFFF"/>
          <w:shd w:fill="0066B3" w:val="clear"/>
        </w:rPr>
        <w:t>Een sterkere economie, sociale rechtvaardigheid en werkgelegenheid</w:t>
      </w:r>
      <w:r>
        <w:rPr/>
        <w:t xml:space="preserve"> </w:t>
      </w:r>
    </w:p>
    <w:p>
      <w:pPr>
        <w:pStyle w:val="P68B1DB1Normal19"/>
        <w:widowControl w:val="false"/>
        <w:spacing w:lineRule="auto" w:line="240" w:before="106" w:after="0"/>
        <w:ind w:left="0" w:right="0" w:hanging="0"/>
        <w:jc w:val="left"/>
        <w:rPr>
          <w:rFonts w:ascii="Times New Roman" w:hAnsi="Times New Roman"/>
          <w:color w:val="000000"/>
          <w:sz w:val="24"/>
        </w:rPr>
      </w:pPr>
      <w:r>
        <w:rPr/>
        <w:t xml:space="preserve"> </w:t>
      </w:r>
    </w:p>
    <w:p>
      <w:pPr>
        <w:pStyle w:val="P68B1DB1Titre481"/>
        <w:numPr>
          <w:ilvl w:val="0"/>
          <w:numId w:val="2"/>
        </w:numPr>
        <w:rPr>
          <w:color w:val="0066B3"/>
        </w:rPr>
      </w:pPr>
      <w:bookmarkStart w:id="222" w:name="__RefHeading___Toc300428_1346298689"/>
      <w:bookmarkEnd w:id="222"/>
      <w:r>
        <w:rPr/>
        <w:t xml:space="preserve">1. Het overwinnen van het productiemodel van de afgelopen eeuw </w:t>
      </w:r>
    </w:p>
    <w:p>
      <w:pPr>
        <w:pStyle w:val="P68B1DB1Normal76"/>
        <w:widowControl w:val="false"/>
        <w:spacing w:lineRule="auto" w:line="240" w:before="80" w:after="0"/>
        <w:ind w:left="0" w:right="1" w:hanging="0"/>
        <w:jc w:val="both"/>
        <w:rPr/>
      </w:pPr>
      <w:r>
        <w:rPr/>
        <w:t xml:space="preserve">Deelnemers aan het panel waren van mening dat de meest recente wereldwijde gebeurtenissen (de COVID-19-pandemie en het conflict tussen Rusland en Oekraïne) ogenschijnlijk de beperkingen van het huidige Europese productiemodel hebben aangetoond en benadrukten dat een aanpak die velen beschrijven als „behorend tot de afgelopen eeuw”, opnieuw moet worden bekeken. </w:t>
      </w:r>
    </w:p>
    <w:p>
      <w:pPr>
        <w:pStyle w:val="P68B1DB1Normal76"/>
        <w:widowControl w:val="false"/>
        <w:spacing w:lineRule="auto" w:line="240"/>
        <w:ind w:left="0" w:right="0" w:hanging="0"/>
        <w:jc w:val="left"/>
        <w:rPr>
          <w:rFonts w:ascii="Arial" w:hAnsi="Arial"/>
          <w:color w:val="000000"/>
          <w:sz w:val="22"/>
        </w:rPr>
      </w:pPr>
      <w:r>
        <w:rPr/>
        <w:t xml:space="preserve"> </w:t>
      </w:r>
    </w:p>
    <w:p>
      <w:pPr>
        <w:pStyle w:val="P68B1DB1Normal76"/>
        <w:widowControl w:val="false"/>
        <w:spacing w:lineRule="auto" w:line="240"/>
        <w:ind w:left="0" w:right="2" w:hanging="0"/>
        <w:jc w:val="both"/>
        <w:rPr/>
      </w:pPr>
      <w:r>
        <w:rPr/>
        <w:t xml:space="preserve">Het bewijs dat Europa afhankelijk is van de invoer van energie en voedsel uit landen buiten de Europese Unie, evenals de ontdekking (tijdens de pandemie) dat we niet alleen in staat zijn om de hoeveelheid medische hulpmiddelen en vaccins te produceren die nodig zijn om de verspreiding van het virus te bestrijden, heeft de indruk wekt dat ons economisch systeem te lijden heeft onder structurele zwakte als gevolg van een gebrek aan zelfvoorziening. </w:t>
      </w:r>
    </w:p>
    <w:p>
      <w:pPr>
        <w:pStyle w:val="P68B1DB1Normal76"/>
        <w:widowControl w:val="false"/>
        <w:spacing w:lineRule="auto" w:line="240"/>
        <w:ind w:left="0" w:right="0" w:hanging="0"/>
        <w:jc w:val="left"/>
        <w:rPr>
          <w:rFonts w:ascii="Arial" w:hAnsi="Arial"/>
          <w:color w:val="000000"/>
          <w:sz w:val="22"/>
        </w:rPr>
      </w:pPr>
      <w:r>
        <w:rPr/>
        <w:t xml:space="preserve"> </w:t>
      </w:r>
    </w:p>
    <w:p>
      <w:pPr>
        <w:pStyle w:val="P68B1DB1Normal76"/>
        <w:widowControl w:val="false"/>
        <w:spacing w:lineRule="auto" w:line="240"/>
        <w:ind w:left="0" w:right="3" w:hanging="0"/>
        <w:jc w:val="both"/>
        <w:rPr/>
      </w:pPr>
      <w:r>
        <w:rPr/>
        <w:t xml:space="preserve">Tegelijkertijd zijn de deelnemers duidelijk van mening dat een sterkere economie, die in staat is banen te scheppen in een context van sociale rechtvaardigheid, belangrijke technologische troeven moet kunnen verwerven. Om dit te doen, is het essentieel om een onderwijssysteem te ondersteunen met steeds meer aandacht voor STEM-gerelateerde vakken. </w:t>
      </w:r>
    </w:p>
    <w:p>
      <w:pPr>
        <w:pStyle w:val="P68B1DB1Normal76"/>
        <w:widowControl w:val="false"/>
        <w:spacing w:lineRule="auto" w:line="240"/>
        <w:ind w:left="0" w:right="0" w:hanging="0"/>
        <w:jc w:val="left"/>
        <w:rPr>
          <w:rFonts w:ascii="Arial" w:hAnsi="Arial"/>
          <w:color w:val="000000"/>
          <w:sz w:val="22"/>
        </w:rPr>
      </w:pPr>
      <w:r>
        <w:rPr/>
        <w:t xml:space="preserve"> </w:t>
      </w:r>
    </w:p>
    <w:p>
      <w:pPr>
        <w:pStyle w:val="P68B1DB1Normal76"/>
        <w:widowControl w:val="false"/>
        <w:spacing w:lineRule="auto" w:line="240"/>
        <w:ind w:left="0" w:right="0" w:hanging="0"/>
        <w:jc w:val="both"/>
        <w:rPr/>
      </w:pPr>
      <w:r>
        <w:rPr>
          <w:b/>
        </w:rPr>
        <w:t>Technologische innovatie, duurzame energie, maar ook toerisme en cultuur</w:t>
      </w:r>
      <w:r>
        <w:rPr/>
        <w:t xml:space="preserve"> lijken drie fundamentele assen te zijn voor de ontwikkeling van de Europese economie van morgen, met bijzondere nadruk op het behoud van de basisproductie om het risico van buitensporige afhankelijkheid van derde landen van de levering van essentiële producten en grondstoffen te voorkomen. </w:t>
      </w:r>
    </w:p>
    <w:p>
      <w:pPr>
        <w:pStyle w:val="P68B1DB1Normal82"/>
        <w:widowControl w:val="false"/>
        <w:spacing w:lineRule="auto" w:line="240"/>
        <w:ind w:left="4819" w:right="0" w:hanging="0"/>
        <w:jc w:val="left"/>
        <w:rPr>
          <w:rFonts w:ascii="Arial" w:hAnsi="Arial"/>
          <w:color w:val="2E74B5"/>
          <w:sz w:val="24"/>
        </w:rPr>
      </w:pPr>
      <w:r>
        <w:rPr/>
        <w:t xml:space="preserve"> </w:t>
      </w:r>
    </w:p>
    <w:p>
      <w:pPr>
        <w:pStyle w:val="P68B1DB1Normal83"/>
        <w:widowControl w:val="false"/>
        <w:spacing w:lineRule="auto" w:line="240" w:before="84" w:after="0"/>
        <w:ind w:left="3000" w:right="0" w:hanging="0"/>
        <w:jc w:val="left"/>
        <w:rPr>
          <w:rFonts w:ascii="Arial" w:hAnsi="Arial"/>
          <w:b/>
          <w:b/>
          <w:color w:val="2E74B5"/>
          <w:sz w:val="24"/>
        </w:rPr>
      </w:pPr>
      <w:r>
        <w:rPr/>
        <w:t xml:space="preserve">AANBEVELINGEN IN HET KORT </w:t>
      </w:r>
    </w:p>
    <w:p>
      <w:pPr>
        <w:pStyle w:val="P68B1DB1Normal84"/>
        <w:widowControl w:val="false"/>
        <w:spacing w:lineRule="auto" w:line="240" w:before="69" w:after="0"/>
        <w:ind w:left="283" w:right="0" w:hanging="0"/>
        <w:jc w:val="left"/>
        <w:rPr/>
      </w:pPr>
      <w:r>
        <w:rPr>
          <w:color w:val="BD1271"/>
        </w:rPr>
        <w:t xml:space="preserve">1. </w:t>
      </w:r>
      <w:r>
        <w:rPr>
          <w:color w:val="000000"/>
        </w:rPr>
        <w:t>Effectieve actie ondernemen tegen klimaatverandering en alternatieve energie.</w:t>
      </w:r>
    </w:p>
    <w:p>
      <w:pPr>
        <w:pStyle w:val="P68B1DB1Normal84"/>
        <w:widowControl w:val="false"/>
        <w:spacing w:lineRule="auto" w:line="240"/>
        <w:ind w:left="283" w:right="0" w:hanging="0"/>
        <w:jc w:val="left"/>
        <w:rPr/>
      </w:pPr>
      <w:r>
        <w:rPr>
          <w:color w:val="BD1271"/>
        </w:rPr>
        <w:t xml:space="preserve">2. </w:t>
      </w:r>
      <w:r>
        <w:rPr>
          <w:color w:val="000000"/>
        </w:rPr>
        <w:t>Investeer in de toeristische en culturele economie en waardeert ook de vele kleine bestemmingen in Europa.</w:t>
      </w:r>
    </w:p>
    <w:p>
      <w:pPr>
        <w:pStyle w:val="P68B1DB1Normal84"/>
        <w:widowControl w:val="false"/>
        <w:spacing w:lineRule="auto" w:line="240"/>
        <w:ind w:left="283" w:right="0" w:hanging="0"/>
        <w:jc w:val="left"/>
        <w:rPr/>
      </w:pPr>
      <w:r>
        <w:rPr>
          <w:color w:val="BD1271"/>
        </w:rPr>
        <w:t xml:space="preserve">3. </w:t>
      </w:r>
      <w:r>
        <w:rPr>
          <w:color w:val="000000"/>
        </w:rPr>
        <w:t>Focus op technologie en innovatie als aanjagers van groei.</w:t>
      </w:r>
    </w:p>
    <w:p>
      <w:pPr>
        <w:pStyle w:val="P68B1DB1Normal84"/>
        <w:widowControl w:val="false"/>
        <w:spacing w:lineRule="auto" w:line="240"/>
        <w:ind w:left="283" w:right="0" w:hanging="0"/>
        <w:jc w:val="left"/>
        <w:rPr/>
      </w:pPr>
      <w:r>
        <w:rPr>
          <w:color w:val="BD1271"/>
        </w:rPr>
        <w:t xml:space="preserve">4. </w:t>
      </w:r>
      <w:r>
        <w:rPr>
          <w:color w:val="000000"/>
        </w:rPr>
        <w:t>De afhankelijkheid van andere landen van grondstoffen, energiebronnen en landbouw verminderen.</w:t>
      </w:r>
    </w:p>
    <w:p>
      <w:pPr>
        <w:pStyle w:val="P68B1DB1Normal84"/>
        <w:widowControl w:val="false"/>
        <w:spacing w:lineRule="auto" w:line="240"/>
        <w:ind w:left="283" w:right="0" w:hanging="0"/>
        <w:jc w:val="left"/>
        <w:rPr/>
      </w:pPr>
      <w:r>
        <w:rPr>
          <w:color w:val="BD1271"/>
        </w:rPr>
        <w:t xml:space="preserve">5. </w:t>
      </w:r>
      <w:r>
        <w:rPr>
          <w:color w:val="000000"/>
        </w:rPr>
        <w:t>Jongeren aanmoedigen om wetenschappelijke onderwerpen te bestuderen.</w:t>
      </w:r>
    </w:p>
    <w:p>
      <w:pPr>
        <w:pStyle w:val="P68B1DB1Normal85"/>
        <w:widowControl w:val="false"/>
        <w:spacing w:lineRule="exact" w:line="460"/>
        <w:ind w:left="0" w:right="0" w:hanging="0"/>
        <w:jc w:val="left"/>
        <w:rPr>
          <w:rFonts w:ascii="Arial" w:hAnsi="Arial"/>
          <w:color w:val="FFFFFF"/>
          <w:sz w:val="28"/>
        </w:rPr>
      </w:pPr>
      <w:r>
        <w:rPr/>
        <w:t xml:space="preserve"> </w:t>
      </w:r>
    </w:p>
    <w:p>
      <w:pPr>
        <w:pStyle w:val="P68B1DB1Titre481"/>
        <w:numPr>
          <w:ilvl w:val="0"/>
          <w:numId w:val="2"/>
        </w:numPr>
        <w:rPr>
          <w:color w:val="0066B3"/>
        </w:rPr>
      </w:pPr>
      <w:bookmarkStart w:id="223" w:name="__RefHeading___Toc300430_1346298689"/>
      <w:bookmarkEnd w:id="223"/>
      <w:r>
        <w:rPr/>
        <w:t xml:space="preserve">2. Generatieve en inclusieve productievoorschriften </w:t>
      </w:r>
    </w:p>
    <w:p>
      <w:pPr>
        <w:pStyle w:val="P68B1DB1Normal76"/>
        <w:widowControl w:val="false"/>
        <w:spacing w:lineRule="auto" w:line="240" w:before="91" w:after="0"/>
        <w:ind w:left="0" w:right="2" w:hanging="0"/>
        <w:jc w:val="both"/>
        <w:rPr/>
      </w:pPr>
      <w:r>
        <w:rPr/>
        <w:t xml:space="preserve">Om de economische logica van de afgelopen eeuw te overwinnen, is het ook noodzakelijk om de regels en procedures die van toepassing zijn op bedrijfsactiviteiten te herzien. Er zijn vier aanbevelingen in deze zin, die allemaal beantwoorden aan een gemeenschappelijke logica: enerzijds de vereenvoudiging van de regels en anderzijds de handhaving van een hoge mate van waakzaamheid tegen wangedrag (met name op het gebied van namaak en oneerlijke concurrentie). </w:t>
      </w:r>
    </w:p>
    <w:p>
      <w:pPr>
        <w:pStyle w:val="P68B1DB1Normal76"/>
        <w:widowControl w:val="false"/>
        <w:spacing w:lineRule="auto" w:line="240" w:before="15" w:after="0"/>
        <w:ind w:left="0" w:right="2" w:hanging="0"/>
        <w:jc w:val="both"/>
        <w:rPr/>
      </w:pPr>
      <w:r>
        <w:rPr/>
        <w:t xml:space="preserve">Er wordt veel aandacht besteed aan de noodzaak van economische regels die in de eerste plaats generatief zijn, waardoor de keuzen die standaardisatie van productieprocessen vereisen (bedreigende specifieke lokale producties met diepe culturele wortels) zoveel mogelijk worden beperkt, maar ook de vernietiging van landbouwproducten als gevolg van de noodzaak om vooraf bepaalde productiehoeveelheden te handhaven. </w:t>
      </w:r>
    </w:p>
    <w:p>
      <w:pPr>
        <w:pStyle w:val="P68B1DB1Normal83"/>
        <w:widowControl w:val="false"/>
        <w:spacing w:lineRule="auto" w:line="240" w:before="6" w:after="0"/>
        <w:ind w:left="4819" w:right="0" w:hanging="0"/>
        <w:jc w:val="left"/>
        <w:rPr>
          <w:rFonts w:ascii="Arial" w:hAnsi="Arial"/>
          <w:b/>
          <w:b/>
          <w:color w:val="2E74B5"/>
          <w:sz w:val="24"/>
        </w:rPr>
      </w:pPr>
      <w:r>
        <w:rPr/>
        <w:t xml:space="preserve"> </w:t>
      </w:r>
    </w:p>
    <w:p>
      <w:pPr>
        <w:pStyle w:val="P68B1DB1Normal83"/>
        <w:widowControl w:val="false"/>
        <w:spacing w:lineRule="auto" w:line="240" w:before="72" w:after="0"/>
        <w:ind w:left="3000" w:right="0" w:hanging="0"/>
        <w:jc w:val="left"/>
        <w:rPr>
          <w:rFonts w:ascii="Arial" w:hAnsi="Arial"/>
          <w:b/>
          <w:b/>
          <w:color w:val="2E74B5"/>
          <w:sz w:val="24"/>
        </w:rPr>
      </w:pPr>
      <w:r>
        <w:rPr/>
        <w:t xml:space="preserve">AANBEVELINGEN IN HET KORT </w:t>
      </w:r>
    </w:p>
    <w:p>
      <w:pPr>
        <w:pStyle w:val="P68B1DB1Normal84"/>
        <w:widowControl w:val="false"/>
        <w:spacing w:lineRule="auto" w:line="240" w:before="72" w:after="0"/>
        <w:ind w:left="142" w:right="0" w:hanging="0"/>
        <w:jc w:val="left"/>
        <w:rPr/>
      </w:pPr>
      <w:r>
        <w:rPr>
          <w:color w:val="BD1271"/>
        </w:rPr>
        <w:t xml:space="preserve">1. </w:t>
      </w:r>
      <w:r>
        <w:rPr>
          <w:color w:val="000000"/>
        </w:rPr>
        <w:t>Bureaucratie verminderen (vergunningen, certificeringen).</w:t>
      </w:r>
    </w:p>
    <w:p>
      <w:pPr>
        <w:pStyle w:val="P68B1DB1Normal84"/>
        <w:widowControl w:val="false"/>
        <w:spacing w:lineRule="auto" w:line="240"/>
        <w:ind w:left="142" w:right="0" w:hanging="0"/>
        <w:jc w:val="left"/>
        <w:rPr/>
      </w:pPr>
      <w:r>
        <w:rPr>
          <w:color w:val="BD1271"/>
        </w:rPr>
        <w:t xml:space="preserve">2. </w:t>
      </w:r>
      <w:r>
        <w:rPr>
          <w:color w:val="000000"/>
        </w:rPr>
        <w:t>Vermindering van de normalisatie van producten en erkenning van lokale en regionale kenmerken op het gebied van cultuur en productie (eerbiediging van productietradities).</w:t>
      </w:r>
    </w:p>
    <w:p>
      <w:pPr>
        <w:pStyle w:val="P68B1DB1Normal84"/>
        <w:widowControl w:val="false"/>
        <w:spacing w:lineRule="auto" w:line="240"/>
        <w:ind w:left="142" w:right="417" w:hanging="0"/>
        <w:jc w:val="left"/>
        <w:rPr/>
      </w:pPr>
      <w:r>
        <w:rPr>
          <w:color w:val="BD1271"/>
        </w:rPr>
        <w:t xml:space="preserve">3. </w:t>
      </w:r>
      <w:r>
        <w:rPr>
          <w:color w:val="000000"/>
        </w:rPr>
        <w:t>Overschrijding van de logica van de quota voor de landbouwproductie en de daaruit voortvloeiende vernietiging van de overtollige productie.</w:t>
      </w:r>
    </w:p>
    <w:p>
      <w:pPr>
        <w:pStyle w:val="P68B1DB1Normal84"/>
        <w:widowControl w:val="false"/>
        <w:spacing w:lineRule="auto" w:line="240"/>
        <w:ind w:left="142" w:right="0" w:hanging="0"/>
        <w:jc w:val="left"/>
        <w:rPr/>
      </w:pPr>
      <w:r>
        <w:rPr>
          <w:color w:val="BD1271"/>
        </w:rPr>
        <w:t xml:space="preserve">4. </w:t>
      </w:r>
      <w:r>
        <w:rPr>
          <w:color w:val="000000"/>
        </w:rPr>
        <w:t>Bestrijding van namaak en oneerlijke concurrentie.</w:t>
      </w:r>
    </w:p>
    <w:p>
      <w:pPr>
        <w:pStyle w:val="P68B1DB1Normal86"/>
        <w:widowControl w:val="false"/>
        <w:spacing w:lineRule="auto" w:line="240"/>
        <w:ind w:left="0" w:right="0" w:hanging="0"/>
        <w:jc w:val="left"/>
        <w:rPr>
          <w:rFonts w:ascii="Arial" w:hAnsi="Arial"/>
          <w:color w:val="2E74B5"/>
          <w:sz w:val="28"/>
        </w:rPr>
      </w:pPr>
      <w:r>
        <w:rPr/>
        <w:t xml:space="preserve"> </w:t>
      </w:r>
    </w:p>
    <w:p>
      <w:pPr>
        <w:pStyle w:val="P68B1DB1Titre487"/>
        <w:numPr>
          <w:ilvl w:val="0"/>
          <w:numId w:val="2"/>
        </w:numPr>
        <w:rPr>
          <w:sz w:val="24"/>
        </w:rPr>
      </w:pPr>
      <w:bookmarkStart w:id="224" w:name="__RefHeading___Toc300432_1346298689"/>
      <w:bookmarkEnd w:id="224"/>
      <w:r>
        <w:rPr/>
        <w:t xml:space="preserve">3. Het meten van groei tegen geluk in de bevolking in plaats van de hoeveelheid producten </w:t>
      </w:r>
    </w:p>
    <w:p>
      <w:pPr>
        <w:pStyle w:val="P68B1DB1Normal76"/>
        <w:widowControl w:val="false"/>
        <w:spacing w:lineRule="auto" w:line="240" w:before="88" w:after="0"/>
        <w:ind w:left="0" w:right="0" w:hanging="0"/>
        <w:jc w:val="both"/>
        <w:rPr/>
      </w:pPr>
      <w:r>
        <w:rPr/>
        <w:t xml:space="preserve">Verder gaan dan het productiemodel van de afgelopen eeuw betekent niet alleen het veranderen van productiemethoden, maar ook het ontwikkelen van een nieuwe cultuur waarin groeiindicatoren niet alleen gericht zijn op de hoeveelheid geproduceerde goederen, maar ook op het vermogen om burgers een doel van geluk te garanderen. In deze nieuwe economie kunnen goederen niet het middelpunt zijn van overwegingen op het gebied van impact en investeringen, maar deze plaats moet terugkeren naar mensen. Hierbij gaat het om de overgang van een systeem van indicatoren op basis van de hoeveelheid geproduceerde goederen (bbp) naar een systeem dat het welzijn van mensen kan meten (BIB — bruto huiselijk geluk). </w:t>
      </w:r>
    </w:p>
    <w:p>
      <w:pPr>
        <w:pStyle w:val="P68B1DB1Normal83"/>
        <w:widowControl w:val="false"/>
        <w:spacing w:lineRule="auto" w:line="240" w:before="8" w:after="0"/>
        <w:ind w:left="4819" w:right="0" w:hanging="0"/>
        <w:jc w:val="left"/>
        <w:rPr>
          <w:rFonts w:ascii="Arial" w:hAnsi="Arial"/>
          <w:b/>
          <w:b/>
          <w:color w:val="2E74B5"/>
          <w:sz w:val="24"/>
        </w:rPr>
      </w:pPr>
      <w:r>
        <w:rPr/>
        <w:t xml:space="preserve"> </w:t>
      </w:r>
    </w:p>
    <w:p>
      <w:pPr>
        <w:pStyle w:val="P68B1DB1Normal83"/>
        <w:widowControl w:val="false"/>
        <w:spacing w:lineRule="auto" w:line="240" w:before="69" w:after="0"/>
        <w:ind w:left="3079" w:right="0" w:hanging="0"/>
        <w:jc w:val="left"/>
        <w:rPr>
          <w:rFonts w:ascii="Arial" w:hAnsi="Arial"/>
          <w:b/>
          <w:b/>
          <w:color w:val="2E74B5"/>
          <w:sz w:val="24"/>
        </w:rPr>
      </w:pPr>
      <w:r>
        <w:rPr/>
        <w:t xml:space="preserve">AANBEVELING IN HET KORT </w:t>
      </w:r>
    </w:p>
    <w:p>
      <w:pPr>
        <w:pStyle w:val="P68B1DB1Normal84"/>
        <w:widowControl w:val="false"/>
        <w:spacing w:lineRule="auto" w:line="240" w:before="69" w:after="0"/>
        <w:ind w:left="142" w:right="0" w:hanging="0"/>
        <w:jc w:val="left"/>
        <w:rPr/>
      </w:pPr>
      <w:r>
        <w:rPr>
          <w:color w:val="BD1271"/>
        </w:rPr>
        <w:t xml:space="preserve">1. </w:t>
      </w:r>
      <w:r>
        <w:rPr>
          <w:color w:val="000000"/>
        </w:rPr>
        <w:t>Een economie ontwikkelen die meer gericht is op de productie van geluk (bruto binnenlandse geluk) dan op goederen (bruto binnenlands product).</w:t>
      </w:r>
    </w:p>
    <w:p>
      <w:pPr>
        <w:pStyle w:val="Normal"/>
        <w:widowControl w:val="false"/>
        <w:spacing w:lineRule="exact" w:line="460"/>
        <w:ind w:left="0" w:right="0" w:hanging="0"/>
        <w:jc w:val="left"/>
        <w:rPr>
          <w:rFonts w:ascii="Arial" w:hAnsi="Arial"/>
          <w:color w:val="000000"/>
          <w:sz w:val="28"/>
        </w:rPr>
      </w:pPr>
      <w:r>
        <w:rPr>
          <w:color w:val="000000"/>
          <w:sz w:val="28"/>
        </w:rPr>
      </w:r>
      <w:r>
        <w:br w:type="page"/>
      </w:r>
    </w:p>
    <w:p>
      <w:pPr>
        <w:pStyle w:val="P68B1DB1Titre481"/>
        <w:numPr>
          <w:ilvl w:val="0"/>
          <w:numId w:val="2"/>
        </w:numPr>
        <w:rPr>
          <w:color w:val="0066B3"/>
        </w:rPr>
      </w:pPr>
      <w:bookmarkStart w:id="225" w:name="__RefHeading___Toc300434_1346298689"/>
      <w:bookmarkEnd w:id="225"/>
      <w:r>
        <w:rPr/>
        <w:t xml:space="preserve">4. Grotere integratie tussen staten </w:t>
      </w:r>
    </w:p>
    <w:p>
      <w:pPr>
        <w:pStyle w:val="P68B1DB1Normal76"/>
        <w:widowControl w:val="false"/>
        <w:spacing w:lineRule="auto" w:line="240" w:before="49" w:after="0"/>
        <w:ind w:left="0" w:right="0" w:hanging="0"/>
        <w:jc w:val="both"/>
        <w:rPr/>
      </w:pPr>
      <w:r>
        <w:rPr/>
        <w:t xml:space="preserve">Wat voor iedereen duidelijk is, zelfs onder degenen die minder tevreden zijn met de huidige organisatie en de resultaten die de Europese Unie tot nu toe heeft bereikt, is dat een monetaire unie niet voldoende is en dat Europa zich met toenemende kracht moet kunnen ontwikkelen als een coherente politieke entiteit die in staat is om met één stem buiten te onderhandelen en intern met meer solidariteit te handelen. Een sterkere unie is een essentieel aspect van de versterking van de politieke, handels- en productiekracht van de Europese Unie: de homogeniteit van fundamentele wetten en een geïntegreerd en samenhangend belastingstelsel voor bedrijven en burgers, waarin lonen en diensten aan burgers op elkaar zijn afgestemd. Alleen op deze manier zullen we een Europa hebben dat sociale verschillen kan verkleinen en de kwaliteit van leven kan bevorderen. </w:t>
      </w:r>
    </w:p>
    <w:p>
      <w:pPr>
        <w:pStyle w:val="P68B1DB1Normal76"/>
        <w:widowControl w:val="false"/>
        <w:spacing w:lineRule="auto" w:line="240" w:before="1" w:after="0"/>
        <w:ind w:left="0" w:right="2" w:hanging="0"/>
        <w:jc w:val="both"/>
        <w:rPr/>
      </w:pPr>
      <w:r>
        <w:rPr/>
        <w:t xml:space="preserve">Dit betekent niet teruggaan op de prestaties van de afgelopen jaren en het concept van de verzorgingsstaat behouden, dat paneldeelnemers hebben geïdentificeerd als de meest geavanceerde ter wereld en de meest bezorgde over het waarborgen van gelijke kansen en sociale rechtvaardigheid voor haar burgers. </w:t>
      </w:r>
    </w:p>
    <w:p>
      <w:pPr>
        <w:pStyle w:val="P68B1DB1Normal83"/>
        <w:widowControl w:val="false"/>
        <w:spacing w:lineRule="auto" w:line="240" w:before="72" w:after="0"/>
        <w:ind w:left="3000" w:right="0" w:hanging="0"/>
        <w:jc w:val="left"/>
        <w:rPr>
          <w:rFonts w:ascii="Arial" w:hAnsi="Arial"/>
          <w:b/>
          <w:b/>
          <w:color w:val="2E74B5"/>
          <w:sz w:val="24"/>
        </w:rPr>
      </w:pPr>
      <w:r>
        <w:rPr/>
        <w:t xml:space="preserve">AANBEVELINGEN IN HET KORT </w:t>
      </w:r>
    </w:p>
    <w:p>
      <w:pPr>
        <w:pStyle w:val="P68B1DB1Normal84"/>
        <w:widowControl w:val="false"/>
        <w:spacing w:lineRule="auto" w:line="240" w:before="69" w:after="0"/>
        <w:ind w:left="283" w:right="0" w:hanging="0"/>
        <w:jc w:val="left"/>
        <w:rPr/>
      </w:pPr>
      <w:r>
        <w:rPr>
          <w:color w:val="BD1271"/>
        </w:rPr>
        <w:t xml:space="preserve">1. </w:t>
      </w:r>
      <w:r>
        <w:rPr>
          <w:color w:val="000000"/>
        </w:rPr>
        <w:t>Geen compromissen sluiten met betrekking tot sociale rechten (volksgezondheid, openbaar onderwijs, arbeidsbeleid).</w:t>
      </w:r>
    </w:p>
    <w:p>
      <w:pPr>
        <w:pStyle w:val="P68B1DB1Normal84"/>
        <w:widowControl w:val="false"/>
        <w:spacing w:lineRule="auto" w:line="240"/>
        <w:ind w:left="283" w:right="0" w:hanging="0"/>
        <w:jc w:val="left"/>
        <w:rPr/>
      </w:pPr>
      <w:r>
        <w:rPr>
          <w:color w:val="BD1271"/>
        </w:rPr>
        <w:t xml:space="preserve">2. </w:t>
      </w:r>
      <w:r>
        <w:rPr>
          <w:color w:val="000000"/>
        </w:rPr>
        <w:t>Consolideren wat er is gedaan met betrekking tot de eenheidsmunt en de onderlinge koppeling van betalingssystemen en telecommunicatie.</w:t>
      </w:r>
    </w:p>
    <w:p>
      <w:pPr>
        <w:pStyle w:val="P68B1DB1Normal88"/>
        <w:widowControl w:val="false"/>
        <w:spacing w:lineRule="auto" w:line="240"/>
        <w:ind w:left="0" w:right="0" w:hanging="0"/>
        <w:jc w:val="left"/>
        <w:rPr>
          <w:rFonts w:ascii="Arial" w:hAnsi="Arial"/>
          <w:color w:val="000000"/>
          <w:sz w:val="18"/>
        </w:rPr>
      </w:pPr>
      <w:r>
        <w:rPr/>
        <w:t xml:space="preserve"> </w:t>
      </w:r>
    </w:p>
    <w:p>
      <w:pPr>
        <w:pStyle w:val="P68B1DB1Normal76"/>
        <w:widowControl w:val="false"/>
        <w:spacing w:lineRule="auto" w:line="240" w:before="57" w:after="0"/>
        <w:ind w:left="0" w:right="0" w:hanging="0"/>
        <w:jc w:val="both"/>
        <w:rPr/>
      </w:pPr>
      <w:r>
        <w:rPr/>
        <w:t xml:space="preserve">Vandaag lijkt alles wat in het verleden is gedaan echter niet langer voldoende en het Europa van de toekomst moet een beslissende sprong voorwaarts maken op het gebied van integratie tussen de lidstaten, volgens een interne visie die niet langer gebaseerd is op concurrentie, maar op samenwerking, zodat elke Europese burger dezelfde systemen van garanties en kansen kan hebben in alle lidstaten van de Unie. </w:t>
      </w:r>
    </w:p>
    <w:p>
      <w:pPr>
        <w:pStyle w:val="P68B1DB1Normal34"/>
        <w:widowControl w:val="false"/>
        <w:spacing w:lineRule="auto" w:line="240" w:before="3" w:after="0"/>
        <w:ind w:left="0" w:right="0" w:hanging="0"/>
        <w:jc w:val="left"/>
        <w:rPr>
          <w:rFonts w:ascii="Arial" w:hAnsi="Arial"/>
          <w:color w:val="000000"/>
          <w:sz w:val="24"/>
        </w:rPr>
      </w:pPr>
      <w:r>
        <w:rPr/>
        <w:t xml:space="preserve"> </w:t>
      </w:r>
    </w:p>
    <w:p>
      <w:pPr>
        <w:pStyle w:val="P68B1DB1Normal83"/>
        <w:widowControl w:val="false"/>
        <w:spacing w:lineRule="auto" w:line="240" w:before="81" w:after="0"/>
        <w:ind w:left="3000" w:right="0" w:hanging="0"/>
        <w:jc w:val="left"/>
        <w:rPr>
          <w:rFonts w:ascii="Arial" w:hAnsi="Arial"/>
          <w:b/>
          <w:b/>
          <w:color w:val="2E74B5"/>
          <w:sz w:val="24"/>
        </w:rPr>
      </w:pPr>
      <w:r>
        <w:rPr/>
        <w:t xml:space="preserve">AANBEVELINGEN IN HET KORT </w:t>
      </w:r>
    </w:p>
    <w:p>
      <w:pPr>
        <w:pStyle w:val="P68B1DB1Normal84"/>
        <w:widowControl w:val="false"/>
        <w:spacing w:lineRule="auto" w:line="240" w:before="72" w:after="0"/>
        <w:ind w:left="283" w:right="0" w:hanging="0"/>
        <w:jc w:val="left"/>
        <w:rPr/>
      </w:pPr>
      <w:r>
        <w:rPr>
          <w:color w:val="BD1271"/>
        </w:rPr>
        <w:t xml:space="preserve">1. </w:t>
      </w:r>
      <w:r>
        <w:rPr>
          <w:color w:val="000000"/>
        </w:rPr>
        <w:t>Ga verder dan het egoïsme van staten en de neiging om individuele voordelen te zoeken ten koste van anderen.</w:t>
      </w:r>
    </w:p>
    <w:p>
      <w:pPr>
        <w:pStyle w:val="P68B1DB1Normal84"/>
        <w:widowControl w:val="false"/>
        <w:spacing w:lineRule="auto" w:line="240"/>
        <w:ind w:left="283" w:right="0" w:hanging="0"/>
        <w:jc w:val="left"/>
        <w:rPr/>
      </w:pPr>
      <w:r>
        <w:rPr>
          <w:color w:val="BD1271"/>
        </w:rPr>
        <w:t xml:space="preserve">2. </w:t>
      </w:r>
      <w:r>
        <w:rPr>
          <w:color w:val="000000"/>
        </w:rPr>
        <w:t>Een systeem opzetten met dezelfde wetten, belastingstelsels, rechten en plichten in alle landen.</w:t>
      </w:r>
    </w:p>
    <w:p>
      <w:pPr>
        <w:pStyle w:val="P68B1DB1Normal84"/>
        <w:widowControl w:val="false"/>
        <w:spacing w:lineRule="auto" w:line="240"/>
        <w:ind w:left="283" w:right="0" w:hanging="0"/>
        <w:jc w:val="left"/>
        <w:rPr/>
      </w:pPr>
      <w:r>
        <w:rPr>
          <w:color w:val="BD1271"/>
        </w:rPr>
        <w:t xml:space="preserve">3. </w:t>
      </w:r>
      <w:r>
        <w:rPr>
          <w:color w:val="000000"/>
        </w:rPr>
        <w:t>Gecoördineerde belastingregelingen tussen verschillende staten, met name met betrekking tot ondernemingen (geen vrije zones of lage belastingen).</w:t>
      </w:r>
    </w:p>
    <w:p>
      <w:pPr>
        <w:pStyle w:val="P68B1DB1Normal84"/>
        <w:widowControl w:val="false"/>
        <w:spacing w:lineRule="auto" w:line="240"/>
        <w:ind w:left="283" w:right="416" w:hanging="0"/>
        <w:jc w:val="left"/>
        <w:rPr/>
      </w:pPr>
      <w:r>
        <w:rPr>
          <w:color w:val="BD1271"/>
        </w:rPr>
        <w:t xml:space="preserve">4. </w:t>
      </w:r>
      <w:r>
        <w:rPr>
          <w:color w:val="000000"/>
        </w:rPr>
        <w:t>Consistente prijzen voor producten en de garantie van gelijke koopkracht tussen de verschillende staten.</w:t>
      </w:r>
    </w:p>
    <w:p>
      <w:pPr>
        <w:pStyle w:val="P68B1DB1Normal84"/>
        <w:widowControl w:val="false"/>
        <w:spacing w:lineRule="auto" w:line="240"/>
        <w:ind w:left="283" w:right="416" w:hanging="0"/>
        <w:jc w:val="left"/>
        <w:rPr/>
      </w:pPr>
      <w:r>
        <w:rPr>
          <w:color w:val="BD1271"/>
        </w:rPr>
        <w:t xml:space="preserve">5. </w:t>
      </w:r>
      <w:r>
        <w:rPr>
          <w:color w:val="000000"/>
        </w:rPr>
        <w:t>Verklein de loonverschillen tussen de verschillende staten en geografische regio’s binnen hetzelfde land.</w:t>
      </w:r>
    </w:p>
    <w:p>
      <w:pPr>
        <w:pStyle w:val="P68B1DB1Normal84"/>
        <w:widowControl w:val="false"/>
        <w:spacing w:lineRule="auto" w:line="240"/>
        <w:ind w:left="283" w:right="416" w:hanging="0"/>
        <w:jc w:val="left"/>
        <w:rPr/>
      </w:pPr>
      <w:r>
        <w:rPr>
          <w:color w:val="BD1271"/>
        </w:rPr>
        <w:t xml:space="preserve">6. </w:t>
      </w:r>
      <w:r>
        <w:rPr>
          <w:color w:val="000000"/>
        </w:rPr>
        <w:t>De overheidsschuld van verschillende lidstaten tot een gemeenschappelijke verantwoordelijkheid maken.</w:t>
      </w:r>
    </w:p>
    <w:p>
      <w:pPr>
        <w:pStyle w:val="Normal"/>
        <w:widowControl w:val="false"/>
        <w:spacing w:lineRule="auto" w:line="240"/>
        <w:ind w:left="0" w:right="0" w:hanging="0"/>
        <w:jc w:val="left"/>
        <w:rPr>
          <w:rFonts w:ascii="Times New Roman" w:hAnsi="Times New Roman"/>
          <w:color w:val="000000"/>
          <w:sz w:val="24"/>
        </w:rPr>
      </w:pPr>
      <w:r>
        <w:rPr>
          <w:rFonts w:ascii="Times New Roman" w:hAnsi="Times New Roman"/>
          <w:color w:val="000000"/>
          <w:sz w:val="24"/>
        </w:rPr>
      </w:r>
      <w:r>
        <w:br w:type="page"/>
      </w:r>
    </w:p>
    <w:p>
      <w:pPr>
        <w:pStyle w:val="P68B1DB1Titre481"/>
        <w:numPr>
          <w:ilvl w:val="0"/>
          <w:numId w:val="2"/>
        </w:numPr>
        <w:rPr>
          <w:color w:val="0066B3"/>
        </w:rPr>
      </w:pPr>
      <w:bookmarkStart w:id="226" w:name="__RefHeading___Toc300436_1346298689"/>
      <w:bookmarkEnd w:id="226"/>
      <w:r>
        <w:rPr/>
        <w:t xml:space="preserve">5. Inclusiebeleid </w:t>
      </w:r>
    </w:p>
    <w:p>
      <w:pPr>
        <w:pStyle w:val="P68B1DB1Normal76"/>
        <w:widowControl w:val="false"/>
        <w:spacing w:lineRule="auto" w:line="240" w:before="88" w:after="0"/>
        <w:ind w:left="0" w:right="0" w:hanging="0"/>
        <w:jc w:val="both"/>
        <w:rPr/>
      </w:pPr>
      <w:r>
        <w:rPr/>
        <w:t xml:space="preserve">Een rechtvaardig Europa dat in staat is zijn burgers geluk te bieden, is een inclusief Europa, dat altijd veel aandacht besteedt aan de strijd tegen ongelijkheid. De aanbevelingen zetten de weg voorwaarts om al lang bestaande doelen te bereiken (zoals gendergelijkheid) en bevatten nieuwe vereisten met betrekking tot de culturele transformaties van hedendaagse samenlevingen (digitale ongelijkheid en het recht om in een gezonde omgeving te leven). </w:t>
      </w:r>
    </w:p>
    <w:p>
      <w:pPr>
        <w:pStyle w:val="P68B1DB1Normal89"/>
        <w:widowControl w:val="false"/>
        <w:spacing w:lineRule="auto" w:line="240" w:before="74" w:after="0"/>
        <w:ind w:left="4819" w:right="0" w:hanging="0"/>
        <w:jc w:val="left"/>
        <w:rPr>
          <w:rFonts w:ascii="Arial" w:hAnsi="Arial"/>
          <w:b/>
          <w:b/>
          <w:color w:val="BD1271"/>
          <w:sz w:val="24"/>
        </w:rPr>
      </w:pPr>
      <w:r>
        <w:rPr/>
        <w:t xml:space="preserve"> </w:t>
      </w:r>
    </w:p>
    <w:p>
      <w:pPr>
        <w:pStyle w:val="P68B1DB1Normal83"/>
        <w:widowControl w:val="false"/>
        <w:spacing w:lineRule="auto" w:line="240" w:before="72" w:after="0"/>
        <w:ind w:left="3000" w:right="0" w:hanging="0"/>
        <w:jc w:val="left"/>
        <w:rPr>
          <w:rFonts w:ascii="Arial" w:hAnsi="Arial"/>
          <w:b/>
          <w:b/>
          <w:color w:val="2E74B5"/>
          <w:sz w:val="24"/>
        </w:rPr>
      </w:pPr>
      <w:r>
        <w:rPr/>
        <w:t xml:space="preserve">AANBEVELINGEN IN HET KORT </w:t>
      </w:r>
    </w:p>
    <w:p>
      <w:pPr>
        <w:pStyle w:val="P68B1DB1Normal84"/>
        <w:widowControl w:val="false"/>
        <w:spacing w:lineRule="auto" w:line="240" w:before="69" w:after="0"/>
        <w:ind w:left="283" w:right="0" w:hanging="0"/>
        <w:jc w:val="left"/>
        <w:rPr/>
      </w:pPr>
      <w:r>
        <w:rPr>
          <w:color w:val="BD1271"/>
        </w:rPr>
        <w:t xml:space="preserve">1. </w:t>
      </w:r>
      <w:r>
        <w:rPr>
          <w:color w:val="000000"/>
        </w:rPr>
        <w:t>Volledige gendergelijkheid tot stand brengen, onder meer door de voorzieningen voor ouderschapsverlof en kinderopvang te versterken.</w:t>
      </w:r>
    </w:p>
    <w:p>
      <w:pPr>
        <w:pStyle w:val="P68B1DB1Normal84"/>
        <w:widowControl w:val="false"/>
        <w:spacing w:lineRule="auto" w:line="240"/>
        <w:ind w:left="283" w:right="0" w:hanging="0"/>
        <w:jc w:val="left"/>
        <w:rPr/>
      </w:pPr>
      <w:r>
        <w:rPr>
          <w:color w:val="BD1271"/>
        </w:rPr>
        <w:t xml:space="preserve">2. </w:t>
      </w:r>
      <w:r>
        <w:rPr>
          <w:color w:val="000000"/>
        </w:rPr>
        <w:t>Het aanpakken van digitale ongelijkheden.</w:t>
      </w:r>
    </w:p>
    <w:p>
      <w:pPr>
        <w:pStyle w:val="P68B1DB1Normal84"/>
        <w:widowControl w:val="false"/>
        <w:spacing w:lineRule="auto" w:line="240"/>
        <w:ind w:left="283" w:right="0" w:hanging="0"/>
        <w:jc w:val="left"/>
        <w:rPr/>
      </w:pPr>
      <w:r>
        <w:rPr>
          <w:color w:val="BD1271"/>
        </w:rPr>
        <w:t xml:space="preserve">3. </w:t>
      </w:r>
      <w:r>
        <w:rPr>
          <w:color w:val="000000"/>
        </w:rPr>
        <w:t>Ervoor zorgen dat alle Europese burgers in een gezonde en duurzame omgeving kunnen leven.</w:t>
      </w:r>
    </w:p>
    <w:p>
      <w:pPr>
        <w:pStyle w:val="P68B1DB1Normal84"/>
        <w:widowControl w:val="false"/>
        <w:spacing w:lineRule="auto" w:line="240"/>
        <w:ind w:left="283" w:right="0" w:hanging="0"/>
        <w:jc w:val="left"/>
        <w:rPr/>
      </w:pPr>
      <w:r>
        <w:rPr>
          <w:color w:val="BD1271"/>
        </w:rPr>
        <w:t xml:space="preserve">4. </w:t>
      </w:r>
      <w:r>
        <w:rPr>
          <w:color w:val="000000"/>
        </w:rPr>
        <w:t>Zorgen voor mogelijkheden voor sociale mobiliteit en dus alle mogelijkheden hebben voor persoonlijke ontwikkeling en zelfbeschikking</w:t>
      </w:r>
      <w:r>
        <w:rPr>
          <w:color w:val="FF0000"/>
        </w:rPr>
        <w:t>.</w:t>
      </w:r>
      <w:r>
        <w:rPr>
          <w:color w:val="000000"/>
        </w:rPr>
        <w:t xml:space="preserve"> </w:t>
      </w:r>
    </w:p>
    <w:p>
      <w:pPr>
        <w:pStyle w:val="P68B1DB1Normal84"/>
        <w:widowControl w:val="false"/>
        <w:spacing w:lineRule="auto" w:line="240"/>
        <w:ind w:left="283" w:right="0" w:hanging="0"/>
        <w:jc w:val="left"/>
        <w:rPr/>
      </w:pPr>
      <w:r>
        <w:rPr>
          <w:color w:val="BD1271"/>
        </w:rPr>
        <w:t xml:space="preserve">5. </w:t>
      </w:r>
      <w:r>
        <w:rPr>
          <w:color w:val="000000"/>
        </w:rPr>
        <w:t>Bevordering van de vernieuwing van generaties op alle niveaus</w:t>
      </w:r>
      <w:r>
        <w:rPr>
          <w:color w:val="FF0000"/>
        </w:rPr>
        <w:t>.</w:t>
      </w:r>
      <w:r>
        <w:rPr>
          <w:color w:val="000000"/>
        </w:rPr>
        <w:t xml:space="preserve"> </w:t>
      </w:r>
    </w:p>
    <w:p>
      <w:pPr>
        <w:pStyle w:val="P68B1DB1Normal84"/>
        <w:widowControl w:val="false"/>
        <w:spacing w:lineRule="auto" w:line="240"/>
        <w:ind w:left="283" w:right="0" w:hanging="0"/>
        <w:jc w:val="left"/>
        <w:rPr/>
      </w:pPr>
      <w:r>
        <w:rPr>
          <w:color w:val="BD1271"/>
        </w:rPr>
        <w:t xml:space="preserve">6. </w:t>
      </w:r>
      <w:r>
        <w:rPr>
          <w:color w:val="000000"/>
        </w:rPr>
        <w:t>De opvang van vluchtelingen en migranten op evenwichtige wijze tussen de verschillende staten te beheren.</w:t>
      </w:r>
    </w:p>
    <w:p>
      <w:pPr>
        <w:pStyle w:val="P68B1DB1Normal76"/>
        <w:widowControl w:val="false"/>
        <w:spacing w:lineRule="auto" w:line="240" w:before="106" w:after="0"/>
        <w:ind w:left="0" w:right="0" w:hanging="0"/>
        <w:jc w:val="both"/>
        <w:rPr/>
      </w:pPr>
      <w:r>
        <w:rPr/>
        <w:t xml:space="preserve">Opnieuw lijkt de rol van scholen en onderwijsbeleid centraal te staan, niet alleen om jongeren de vaardigheden te bieden die ze nodig hebben om de arbeidsmarkt te betreden, maar ook om een Europese cultuur op te bouwen. Na de opbouw van een Europa van instellingen is het van essentieel belang een Europa van de volkeren op te bouwen. In dit verband wordt de nadruk gelegd op de centrale plaats van een gemeenschappelijke taal om de dialoog tussen burgers van verschillende landen en gelijke toegang tot diensten mogelijk te maken. Toen Esperanto’s droom instortte, riep het vertrek van het Verenigd Koninkrijk uit de Europese Unie twijfels op over de mogelijkheid om Engels als gemeenschappelijke taal, een belangrijke taal van de internationale betrekkingen en binnen het wetenschappelijke en economische systeem aan te nemen. </w:t>
      </w:r>
    </w:p>
    <w:p>
      <w:pPr>
        <w:pStyle w:val="P68B1DB1Normal90"/>
        <w:widowControl w:val="false"/>
        <w:spacing w:lineRule="auto" w:line="240" w:before="86" w:after="0"/>
        <w:ind w:left="0" w:right="0" w:hanging="0"/>
        <w:jc w:val="left"/>
        <w:rPr>
          <w:rFonts w:ascii="Arial" w:hAnsi="Arial"/>
          <w:color w:val="000000"/>
          <w:sz w:val="16"/>
        </w:rPr>
      </w:pPr>
      <w:r>
        <w:rPr/>
        <w:t xml:space="preserve"> </w:t>
      </w:r>
    </w:p>
    <w:p>
      <w:pPr>
        <w:pStyle w:val="P68B1DB1Normal83"/>
        <w:widowControl w:val="false"/>
        <w:spacing w:lineRule="auto" w:line="240" w:before="45" w:after="0"/>
        <w:ind w:left="3142" w:right="0" w:hanging="0"/>
        <w:jc w:val="left"/>
        <w:rPr>
          <w:rFonts w:ascii="Arial" w:hAnsi="Arial"/>
          <w:b/>
          <w:b/>
          <w:color w:val="2E74B5"/>
          <w:sz w:val="24"/>
        </w:rPr>
      </w:pPr>
      <w:r>
        <w:rPr/>
        <w:t xml:space="preserve">AANBEVELINGEN IN HET KORT </w:t>
      </w:r>
    </w:p>
    <w:p>
      <w:pPr>
        <w:pStyle w:val="P68B1DB1Normal84"/>
        <w:widowControl w:val="false"/>
        <w:spacing w:lineRule="auto" w:line="240" w:before="72" w:after="0"/>
        <w:ind w:left="283" w:right="0" w:hanging="0"/>
        <w:jc w:val="left"/>
        <w:rPr/>
      </w:pPr>
      <w:r>
        <w:rPr>
          <w:color w:val="BD1271"/>
        </w:rPr>
        <w:t xml:space="preserve">1. </w:t>
      </w:r>
      <w:r>
        <w:rPr>
          <w:color w:val="000000"/>
        </w:rPr>
        <w:t>Bevordering van de invoering van een gemeenschappelijke taal.</w:t>
      </w:r>
    </w:p>
    <w:p>
      <w:pPr>
        <w:pStyle w:val="P68B1DB1Normal84"/>
        <w:widowControl w:val="false"/>
        <w:spacing w:lineRule="auto" w:line="240"/>
        <w:ind w:left="283" w:right="0" w:hanging="0"/>
        <w:jc w:val="left"/>
        <w:rPr/>
      </w:pPr>
      <w:r>
        <w:rPr>
          <w:color w:val="BD1271"/>
        </w:rPr>
        <w:t xml:space="preserve">2. </w:t>
      </w:r>
      <w:r>
        <w:rPr>
          <w:color w:val="000000"/>
        </w:rPr>
        <w:t>Investeer in de scholen en het onderwijs van de Europese geschiedenis in plaats van in elke natie, evenals in het onderwijs van de politieke economie en het maatschappelijke onderwijs.</w:t>
      </w:r>
    </w:p>
    <w:p>
      <w:pPr>
        <w:pStyle w:val="P68B1DB1Normal84"/>
        <w:widowControl w:val="false"/>
        <w:spacing w:lineRule="auto" w:line="240"/>
        <w:ind w:left="283" w:right="417" w:hanging="0"/>
        <w:jc w:val="left"/>
        <w:rPr/>
      </w:pPr>
      <w:r>
        <w:rPr>
          <w:color w:val="BD1271"/>
        </w:rPr>
        <w:t xml:space="preserve">3. </w:t>
      </w:r>
      <w:r>
        <w:rPr>
          <w:color w:val="000000"/>
        </w:rPr>
        <w:t>Toegang tot cultuur, onderwijs en uitwisselingen tussen studenten en burgers uit verschillende lidstaten.</w:t>
      </w:r>
    </w:p>
    <w:p>
      <w:pPr>
        <w:pStyle w:val="P68B1DB1Normal19"/>
        <w:widowControl w:val="false"/>
        <w:spacing w:lineRule="auto" w:line="240"/>
        <w:ind w:left="0" w:right="0" w:hanging="0"/>
        <w:jc w:val="left"/>
        <w:rPr>
          <w:rFonts w:ascii="Times New Roman" w:hAnsi="Times New Roman"/>
          <w:color w:val="000000"/>
          <w:sz w:val="24"/>
        </w:rPr>
      </w:pPr>
      <w:r>
        <w:rPr/>
        <w:t xml:space="preserve"> </w:t>
      </w:r>
    </w:p>
    <w:p>
      <w:pPr>
        <w:pStyle w:val="Normal"/>
        <w:widowControl w:val="false"/>
        <w:spacing w:lineRule="auto" w:line="240"/>
        <w:ind w:left="0" w:right="0" w:hanging="0"/>
        <w:jc w:val="left"/>
        <w:rPr>
          <w:rFonts w:ascii="Times New Roman" w:hAnsi="Times New Roman"/>
          <w:color w:val="000000"/>
          <w:sz w:val="24"/>
        </w:rPr>
      </w:pPr>
      <w:r>
        <w:rPr>
          <w:rFonts w:ascii="Times New Roman" w:hAnsi="Times New Roman"/>
          <w:color w:val="000000"/>
          <w:sz w:val="24"/>
        </w:rPr>
      </w:r>
      <w:r>
        <w:br w:type="page"/>
      </w:r>
    </w:p>
    <w:p>
      <w:pPr>
        <w:pStyle w:val="P68B1DB1Normal76"/>
        <w:widowControl w:val="false"/>
        <w:spacing w:lineRule="auto" w:line="240" w:before="109" w:after="0"/>
        <w:ind w:left="0" w:right="0" w:hanging="0"/>
        <w:jc w:val="both"/>
        <w:rPr/>
      </w:pPr>
      <w:r>
        <w:rPr/>
        <w:t xml:space="preserve">Inclusiebeleid speelt een sleutelrol bij het waarborgen van de toegang van burgers tot kansen. In dit verband benadrukten de deelnemers van het panel dat Italië vaak niet in staat was de daarvoor ter beschikking gestelde EU-middelen te gebruiken. Inclusie en toegankelijkheid betekenen dat de Europese instellingen dichter bij hun burgers moeten staan en dat deze concepten hand in hand gaan met meer informatie en meer bewustzijn over de rechten die de Europese burgers als zodanig genieten. Vanuit dit oogpunt is het belang van een rechtstreekse relatie tussen de EU-instellingen en de burgers naar voren gekomen, zonder noodzakelijkerwijs door de lidstaten te hoeven worden bemiddeld. </w:t>
      </w:r>
    </w:p>
    <w:p>
      <w:pPr>
        <w:pStyle w:val="P68B1DB1Normal34"/>
        <w:widowControl w:val="false"/>
        <w:spacing w:lineRule="auto" w:line="240" w:before="78" w:after="0"/>
        <w:ind w:left="0" w:right="0" w:hanging="0"/>
        <w:jc w:val="left"/>
        <w:rPr>
          <w:rFonts w:ascii="Arial" w:hAnsi="Arial"/>
          <w:color w:val="000000"/>
          <w:sz w:val="24"/>
        </w:rPr>
      </w:pPr>
      <w:r>
        <w:rPr/>
        <w:t xml:space="preserve"> </w:t>
      </w:r>
    </w:p>
    <w:p>
      <w:pPr>
        <w:pStyle w:val="P68B1DB1Normal74"/>
        <w:widowControl w:val="false"/>
        <w:spacing w:lineRule="auto" w:line="240" w:before="43" w:after="0"/>
        <w:ind w:left="3000" w:right="0" w:hanging="0"/>
        <w:jc w:val="left"/>
        <w:rPr/>
      </w:pPr>
      <w:r>
        <w:rPr>
          <w:b/>
          <w:sz w:val="24"/>
        </w:rPr>
        <w:t>AANBEVELINGEN IN HET KORT</w:t>
      </w:r>
      <w:r>
        <w:rPr>
          <w:sz w:val="28"/>
        </w:rPr>
        <w:t xml:space="preserve"> </w:t>
      </w:r>
    </w:p>
    <w:p>
      <w:pPr>
        <w:pStyle w:val="P68B1DB1Normal84"/>
        <w:widowControl w:val="false"/>
        <w:spacing w:lineRule="auto" w:line="240" w:before="71" w:after="0"/>
        <w:ind w:left="283" w:right="0" w:hanging="0"/>
        <w:jc w:val="left"/>
        <w:rPr/>
      </w:pPr>
      <w:r>
        <w:rPr>
          <w:color w:val="BD1271"/>
        </w:rPr>
        <w:t xml:space="preserve">1. </w:t>
      </w:r>
      <w:r>
        <w:rPr>
          <w:color w:val="000000"/>
        </w:rPr>
        <w:t>Het gebruik van EU-middelen te bevorderen om ongelijkheden te verminderen</w:t>
      </w:r>
      <w:r>
        <w:rPr>
          <w:color w:val="FF0000"/>
        </w:rPr>
        <w:t>.</w:t>
      </w:r>
      <w:r>
        <w:rPr>
          <w:color w:val="000000"/>
        </w:rPr>
        <w:t xml:space="preserve"> </w:t>
      </w:r>
    </w:p>
    <w:p>
      <w:pPr>
        <w:pStyle w:val="P68B1DB1Normal84"/>
        <w:widowControl w:val="false"/>
        <w:spacing w:lineRule="auto" w:line="240"/>
        <w:ind w:left="283" w:right="416" w:hanging="0"/>
        <w:jc w:val="left"/>
        <w:rPr/>
      </w:pPr>
      <w:r>
        <w:rPr>
          <w:color w:val="BD1271"/>
        </w:rPr>
        <w:t xml:space="preserve">2. </w:t>
      </w:r>
      <w:r>
        <w:rPr>
          <w:color w:val="000000"/>
        </w:rPr>
        <w:t>Toegankelijkheid en nabijheid van de Europese instellingen tot de burgers.</w:t>
      </w:r>
    </w:p>
    <w:p>
      <w:pPr>
        <w:pStyle w:val="P68B1DB1Normal84"/>
        <w:widowControl w:val="false"/>
        <w:spacing w:lineRule="auto" w:line="240"/>
        <w:ind w:left="283" w:right="416" w:hanging="0"/>
        <w:jc w:val="left"/>
        <w:rPr/>
      </w:pPr>
      <w:r>
        <w:rPr>
          <w:color w:val="BD1271"/>
        </w:rPr>
        <w:t xml:space="preserve">3. </w:t>
      </w:r>
      <w:r>
        <w:rPr>
          <w:color w:val="000000"/>
        </w:rPr>
        <w:t>Duidelijk communiceren met de burgers over hun rechten en kansen en de directe toegang van burgers tot hen bevorderen.</w:t>
      </w:r>
    </w:p>
    <w:p>
      <w:pPr>
        <w:pStyle w:val="P68B1DB1Normal91"/>
        <w:widowControl w:val="false"/>
        <w:spacing w:lineRule="auto" w:line="240"/>
        <w:ind w:left="0" w:right="0" w:hanging="0"/>
        <w:jc w:val="left"/>
        <w:rPr>
          <w:rFonts w:ascii="Arial" w:hAnsi="Arial"/>
          <w:color w:val="000000"/>
          <w:sz w:val="28"/>
        </w:rPr>
      </w:pPr>
      <w:r>
        <w:rPr/>
        <w:t xml:space="preserve"> </w:t>
      </w:r>
    </w:p>
    <w:p>
      <w:pPr>
        <w:pStyle w:val="P68B1DB1Titre481"/>
        <w:numPr>
          <w:ilvl w:val="0"/>
          <w:numId w:val="2"/>
        </w:numPr>
        <w:rPr>
          <w:color w:val="0066B3"/>
        </w:rPr>
      </w:pPr>
      <w:bookmarkStart w:id="227" w:name="__RefHeading___Toc300438_1346298689"/>
      <w:bookmarkEnd w:id="227"/>
      <w:r>
        <w:rPr/>
        <w:t xml:space="preserve">6. Werkgelegenheid </w:t>
      </w:r>
    </w:p>
    <w:p>
      <w:pPr>
        <w:pStyle w:val="Normal"/>
        <w:widowControl w:val="false"/>
        <w:spacing w:lineRule="auto" w:line="240" w:before="97" w:after="0"/>
        <w:ind w:left="0" w:right="1" w:hanging="0"/>
        <w:jc w:val="both"/>
        <w:rPr/>
      </w:pPr>
      <w:r>
        <w:rPr>
          <w:color w:val="000000"/>
        </w:rPr>
        <w:t xml:space="preserve">De kwestie van de werkgelegenheid is voortdurend naar voren gekomen als een transversaal element en een rechtstreeks effect van het vermogen van de Europese Unie om op haar aanbevelingen te reageren. Tijdens het debat </w:t>
      </w:r>
      <w:r>
        <w:rPr>
          <w:color w:val="FF0000"/>
        </w:rPr>
        <w:t>tussen</w:t>
      </w:r>
      <w:r>
        <w:rPr>
          <w:color w:val="000000"/>
        </w:rPr>
        <w:t xml:space="preserve"> de deelnemers was het duidelijk dat de kwestie van de werkgelegenheid centraal staat in het leven van de burgers, maar dat het hand in hand gaat met de versterking van economische en sociale rechtvaardigheidskwesties. Er wordt lang geanticipeerd op een Europese Unie waarin actief arbeidsbeleid centraal blijft en steeds meer gecoördineerd wordt. </w:t>
      </w:r>
    </w:p>
    <w:p>
      <w:pPr>
        <w:pStyle w:val="P68B1DB1Normal34"/>
        <w:widowControl w:val="false"/>
        <w:spacing w:lineRule="auto" w:line="240" w:before="77" w:after="0"/>
        <w:ind w:left="0" w:right="0" w:hanging="0"/>
        <w:jc w:val="left"/>
        <w:rPr>
          <w:rFonts w:ascii="Arial" w:hAnsi="Arial"/>
          <w:color w:val="000000"/>
          <w:sz w:val="24"/>
        </w:rPr>
      </w:pPr>
      <w:r>
        <w:rPr/>
        <w:t xml:space="preserve"> </w:t>
      </w:r>
    </w:p>
    <w:p>
      <w:pPr>
        <w:pStyle w:val="P68B1DB1Normal74"/>
        <w:widowControl w:val="false"/>
        <w:spacing w:lineRule="auto" w:line="240" w:before="43" w:after="0"/>
        <w:ind w:left="3000" w:right="0" w:hanging="0"/>
        <w:jc w:val="left"/>
        <w:rPr/>
      </w:pPr>
      <w:r>
        <w:rPr>
          <w:b/>
          <w:sz w:val="24"/>
        </w:rPr>
        <w:t>AANBEVELINGEN IN HET KORT</w:t>
      </w:r>
      <w:r>
        <w:rPr>
          <w:sz w:val="28"/>
        </w:rPr>
        <w:t xml:space="preserve"> </w:t>
      </w:r>
    </w:p>
    <w:p>
      <w:pPr>
        <w:pStyle w:val="P68B1DB1Normal84"/>
        <w:widowControl w:val="false"/>
        <w:spacing w:lineRule="auto" w:line="240" w:before="71" w:after="0"/>
        <w:ind w:left="283" w:right="0" w:hanging="0"/>
        <w:jc w:val="left"/>
        <w:rPr/>
      </w:pPr>
      <w:r>
        <w:rPr>
          <w:color w:val="BD1271"/>
        </w:rPr>
        <w:t xml:space="preserve">1. </w:t>
      </w:r>
      <w:r>
        <w:rPr>
          <w:color w:val="000000"/>
        </w:rPr>
        <w:t>Bevordering van de handel tussen werknemers in Europa via een Europees Werkgelegenheidscentrum.</w:t>
      </w:r>
    </w:p>
    <w:p>
      <w:pPr>
        <w:pStyle w:val="P68B1DB1Normal84"/>
        <w:widowControl w:val="false"/>
        <w:spacing w:lineRule="auto" w:line="240"/>
        <w:ind w:left="283" w:right="0" w:hanging="0"/>
        <w:jc w:val="left"/>
        <w:rPr/>
      </w:pPr>
      <w:r>
        <w:rPr>
          <w:color w:val="BD1271"/>
        </w:rPr>
        <w:t xml:space="preserve">2. </w:t>
      </w:r>
      <w:r>
        <w:rPr>
          <w:color w:val="000000"/>
        </w:rPr>
        <w:t>Een geïntegreerd werkgelegenheidsbeleid op EU-niveau hebben.</w:t>
      </w:r>
    </w:p>
    <w:p>
      <w:pPr>
        <w:pStyle w:val="P68B1DB1Normal84"/>
        <w:widowControl w:val="false"/>
        <w:spacing w:lineRule="auto" w:line="240"/>
        <w:ind w:left="283" w:right="0" w:hanging="0"/>
        <w:jc w:val="left"/>
        <w:rPr/>
      </w:pPr>
      <w:r>
        <w:rPr>
          <w:color w:val="BD1271"/>
        </w:rPr>
        <w:t xml:space="preserve">3. </w:t>
      </w:r>
      <w:r>
        <w:rPr>
          <w:color w:val="000000"/>
        </w:rPr>
        <w:t>Prikkels bieden aan bedrijven die banen bieden.</w:t>
      </w:r>
    </w:p>
    <w:p>
      <w:pPr>
        <w:pStyle w:val="Normal"/>
        <w:widowControl w:val="false"/>
        <w:spacing w:lineRule="auto" w:line="240"/>
        <w:ind w:left="994" w:right="0" w:hanging="0"/>
        <w:jc w:val="left"/>
        <w:rPr>
          <w:rFonts w:ascii="Arial" w:hAnsi="Arial"/>
          <w:color w:val="000000"/>
          <w:sz w:val="28"/>
        </w:rPr>
      </w:pPr>
      <w:r>
        <w:rPr>
          <w:color w:val="000000"/>
          <w:sz w:val="28"/>
        </w:rPr>
      </w:r>
      <w:r>
        <w:br w:type="page"/>
      </w:r>
    </w:p>
    <w:p>
      <w:pPr>
        <w:pStyle w:val="P68B1DB1Titre392"/>
        <w:numPr>
          <w:ilvl w:val="0"/>
          <w:numId w:val="2"/>
        </w:numPr>
        <w:rPr>
          <w:color w:val="FFFFFF"/>
          <w:highlight w:val="darkCyan"/>
        </w:rPr>
      </w:pPr>
      <w:bookmarkStart w:id="228" w:name="__RefHeading___Toc300320_1346298689"/>
      <w:bookmarkEnd w:id="228"/>
      <w:r>
        <w:rPr/>
        <w:t xml:space="preserve"> </w:t>
      </w:r>
      <w:r>
        <w:rPr/>
        <w:t xml:space="preserve">Europa in de wereld </w:t>
      </w:r>
    </w:p>
    <w:p>
      <w:pPr>
        <w:pStyle w:val="P68B1DB1Normal76"/>
        <w:widowControl w:val="false"/>
        <w:spacing w:lineRule="exact" w:line="380" w:before="143" w:after="0"/>
        <w:ind w:left="74" w:right="0" w:hanging="0"/>
        <w:jc w:val="both"/>
        <w:rPr/>
      </w:pPr>
      <w:r>
        <w:rPr/>
        <w:t xml:space="preserve">De recente internationale gebeurtenissen en met name de oorlog tussen Rusland en Oekraïne hebben een grote invloed gehad op de perceptie van de rol die Europa op internationaal niveau zal moeten spelen. De verzamelde aanbevelingen waren vooral gericht op versterking van de EU (zowel qua identiteit als economische macht) en positionering ervan als referentie- en herstelmodel in haar betrekkingen met andere landen. </w:t>
      </w:r>
    </w:p>
    <w:p>
      <w:pPr>
        <w:pStyle w:val="P68B1DB1Normal34"/>
        <w:widowControl w:val="false"/>
        <w:spacing w:lineRule="exact" w:line="393" w:before="1424" w:after="0"/>
        <w:ind w:left="74" w:right="0" w:hanging="0"/>
        <w:jc w:val="left"/>
        <w:rPr>
          <w:rFonts w:ascii="Arial" w:hAnsi="Arial"/>
          <w:color w:val="000000"/>
          <w:sz w:val="24"/>
        </w:rPr>
      </w:pPr>
      <w:r>
        <w:rPr>
          <w:color w:val="000000"/>
          <w:sz w:val="24"/>
        </w:rPr>
        <mc:AlternateContent>
          <mc:Choice Requires="wpg">
            <w:drawing>
              <wp:anchor behindDoc="0" distT="0" distB="0" distL="0" distR="0" simplePos="0" locked="0" layoutInCell="1" allowOverlap="1" relativeHeight="59">
                <wp:simplePos x="0" y="0"/>
                <wp:positionH relativeFrom="column">
                  <wp:posOffset>-166370</wp:posOffset>
                </wp:positionH>
                <wp:positionV relativeFrom="paragraph">
                  <wp:posOffset>67945</wp:posOffset>
                </wp:positionV>
                <wp:extent cx="6453505" cy="904875"/>
                <wp:effectExtent l="0" t="0" r="0" b="0"/>
                <wp:wrapTopAndBottom/>
                <wp:docPr id="106" name="Formulier7"/>
                <a:graphic xmlns:a="http://schemas.openxmlformats.org/drawingml/2006/main">
                  <a:graphicData uri="http://schemas.microsoft.com/office/word/2010/wordprocessingGroup">
                    <wpg:wgp>
                      <wpg:cNvGrpSpPr/>
                      <wpg:grpSpPr>
                        <a:xfrm>
                          <a:off x="0" y="0"/>
                          <a:ext cx="6453000" cy="904320"/>
                        </a:xfrm>
                      </wpg:grpSpPr>
                      <pic:pic xmlns:pic="http://schemas.openxmlformats.org/drawingml/2006/picture">
                        <pic:nvPicPr>
                          <pic:cNvPr id="9" name="" descr=""/>
                          <pic:cNvPicPr/>
                        </pic:nvPicPr>
                        <pic:blipFill>
                          <a:blip r:embed="rId109"/>
                          <a:stretch/>
                        </pic:blipFill>
                        <pic:spPr>
                          <a:xfrm rot="10800000">
                            <a:off x="444600" y="207000"/>
                            <a:ext cx="5524560" cy="348480"/>
                          </a:xfrm>
                          <a:prstGeom prst="rect">
                            <a:avLst/>
                          </a:prstGeom>
                          <a:ln>
                            <a:noFill/>
                          </a:ln>
                        </pic:spPr>
                      </pic:pic>
                      <wps:wsp>
                        <wps:cNvSpPr/>
                        <wps:spPr>
                          <a:xfrm>
                            <a:off x="0" y="118080"/>
                            <a:ext cx="1533600" cy="470520"/>
                          </a:xfrm>
                          <a:prstGeom prst="rect">
                            <a:avLst/>
                          </a:prstGeom>
                          <a:noFill/>
                          <a:ln>
                            <a:noFill/>
                          </a:ln>
                        </wps:spPr>
                        <wps:style>
                          <a:lnRef idx="0"/>
                          <a:fillRef idx="0"/>
                          <a:effectRef idx="0"/>
                          <a:fontRef idx="minor"/>
                        </wps:style>
                        <wps:txb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Versterking van de Europese identiteit</w:t>
                              </w:r>
                            </w:p>
                          </w:txbxContent>
                        </wps:txbx>
                        <wps:bodyPr lIns="90000" rIns="90000" tIns="45000" bIns="45000">
                          <a:noAutofit/>
                        </wps:bodyPr>
                      </wps:wsp>
                      <wps:wsp>
                        <wps:cNvSpPr/>
                        <wps:spPr>
                          <a:xfrm>
                            <a:off x="1477800" y="84600"/>
                            <a:ext cx="1636560" cy="470520"/>
                          </a:xfrm>
                          <a:prstGeom prst="rect">
                            <a:avLst/>
                          </a:prstGeom>
                          <a:noFill/>
                          <a:ln>
                            <a:noFill/>
                          </a:ln>
                        </wps:spPr>
                        <wps:style>
                          <a:lnRef idx="0"/>
                          <a:fillRef idx="0"/>
                          <a:effectRef idx="0"/>
                          <a:fontRef idx="minor"/>
                        </wps:style>
                        <wps:txb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Versterking van de economie en instellingen</w:t>
                              </w:r>
                            </w:p>
                          </w:txbxContent>
                        </wps:txbx>
                        <wps:bodyPr lIns="90000" rIns="90000" tIns="45000" bIns="45000">
                          <a:noAutofit/>
                        </wps:bodyPr>
                      </wps:wsp>
                      <wps:wsp>
                        <wps:cNvSpPr/>
                        <wps:spPr>
                          <a:xfrm>
                            <a:off x="3385080" y="0"/>
                            <a:ext cx="1589400" cy="470520"/>
                          </a:xfrm>
                          <a:prstGeom prst="rect">
                            <a:avLst/>
                          </a:prstGeom>
                          <a:noFill/>
                          <a:ln>
                            <a:noFill/>
                          </a:ln>
                        </wps:spPr>
                        <wps:style>
                          <a:lnRef idx="0"/>
                          <a:fillRef idx="0"/>
                          <a:effectRef idx="0"/>
                          <a:fontRef idx="minor"/>
                        </wps:style>
                        <wps:txb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Samenwerking en partnerschappen</w:t>
                              </w:r>
                            </w:p>
                          </w:txbxContent>
                        </wps:txbx>
                        <wps:bodyPr lIns="90000" rIns="90000" tIns="45000" bIns="45000">
                          <a:noAutofit/>
                        </wps:bodyPr>
                      </wps:wsp>
                      <wps:wsp>
                        <wps:cNvSpPr/>
                        <wps:spPr>
                          <a:xfrm>
                            <a:off x="4845600" y="8280"/>
                            <a:ext cx="1607040" cy="591840"/>
                          </a:xfrm>
                          <a:prstGeom prst="rect">
                            <a:avLst/>
                          </a:prstGeom>
                          <a:noFill/>
                          <a:ln>
                            <a:noFill/>
                          </a:ln>
                        </wps:spPr>
                        <wps:style>
                          <a:lnRef idx="0"/>
                          <a:fillRef idx="0"/>
                          <a:effectRef idx="0"/>
                          <a:fontRef idx="minor"/>
                        </wps:style>
                        <wps:txb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Politiek en cultureel referentiepunt</w:t>
                              </w:r>
                            </w:p>
                          </w:txbxContent>
                        </wps:txbx>
                        <wps:bodyPr lIns="90000" rIns="90000" tIns="45000" bIns="45000">
                          <a:noAutofit/>
                        </wps:bodyPr>
                      </wps:wsp>
                    </wpg:wgp>
                  </a:graphicData>
                </a:graphic>
              </wp:anchor>
            </w:drawing>
          </mc:Choice>
          <mc:Fallback>
            <w:pict>
              <v:group id="shape_0" alt="Formulier7" style="position:absolute;margin-left:-13.1pt;margin-top:5.35pt;width:508.1pt;height:71.15pt" coordorigin="-262,107" coordsize="10162,1423">
                <v:shape id="shape_0" stroked="f" style="position:absolute;left:438;top:982;width:8699;height:548;rotation:180" type="shapetype_75">
                  <v:imagedata r:id="rId110" o:detectmouseclick="t"/>
                  <w10:wrap type="none"/>
                  <v:stroke color="#3465a4" joinstyle="round" endcap="flat"/>
                </v:shape>
                <v:rect id="shape_0" stroked="f" style="position:absolute;left:-262;top:293;width:2414;height:740">
                  <v:textbo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Versterking van de Europese identiteit</w:t>
                        </w:r>
                      </w:p>
                    </w:txbxContent>
                  </v:textbox>
                  <w10:wrap type="square"/>
                  <v:fill o:detectmouseclick="t" on="false"/>
                  <v:stroke color="#3465a4" joinstyle="round" endcap="flat"/>
                </v:rect>
                <v:rect id="shape_0" stroked="f" style="position:absolute;left:2065;top:240;width:2576;height:740">
                  <v:textbo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Versterking van de economie en instellingen</w:t>
                        </w:r>
                      </w:p>
                    </w:txbxContent>
                  </v:textbox>
                  <w10:wrap type="square"/>
                  <v:fill o:detectmouseclick="t" on="false"/>
                  <v:stroke color="#3465a4" joinstyle="round" endcap="flat"/>
                </v:rect>
                <v:rect id="shape_0" stroked="f" style="position:absolute;left:5069;top:107;width:2502;height:740">
                  <v:textbo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Samenwerking en partnerschappen</w:t>
                        </w:r>
                      </w:p>
                    </w:txbxContent>
                  </v:textbox>
                  <w10:wrap type="square"/>
                  <v:fill o:detectmouseclick="t" on="false"/>
                  <v:stroke color="#3465a4" joinstyle="round" endcap="flat"/>
                </v:rect>
                <v:rect id="shape_0" stroked="f" style="position:absolute;left:7369;top:120;width:2530;height:931">
                  <v:textbo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Politiek en cultureel referentiepunt</w:t>
                        </w:r>
                      </w:p>
                    </w:txbxContent>
                  </v:textbox>
                  <w10:wrap type="square"/>
                  <v:fill o:detectmouseclick="t" on="false"/>
                  <v:stroke color="#3465a4" joinstyle="round" endcap="flat"/>
                </v:rect>
              </v:group>
            </w:pict>
          </mc:Fallback>
        </mc:AlternateContent>
      </w:r>
    </w:p>
    <w:p>
      <w:pPr>
        <w:pStyle w:val="P68B1DB1Titre481"/>
        <w:numPr>
          <w:ilvl w:val="0"/>
          <w:numId w:val="2"/>
        </w:numPr>
        <w:rPr>
          <w:color w:val="0066B3"/>
        </w:rPr>
      </w:pPr>
      <w:bookmarkStart w:id="229" w:name="__RefHeading___Toc300440_1346298689"/>
      <w:bookmarkEnd w:id="229"/>
      <w:r>
        <w:rPr/>
        <w:t>1. Versterking van de Europese identiteit</w:t>
      </w:r>
    </w:p>
    <w:p>
      <w:pPr>
        <w:pStyle w:val="P68B1DB1Normal76"/>
        <w:widowControl w:val="false"/>
        <w:spacing w:lineRule="auto" w:line="240" w:before="106" w:after="0"/>
        <w:ind w:left="74" w:right="0" w:hanging="0"/>
        <w:jc w:val="both"/>
        <w:rPr/>
      </w:pPr>
      <w:r>
        <w:rPr/>
        <w:t xml:space="preserve">Om buiten haar grenzen te worden erkend, moet de Europese Unie eerst intern, niet alleen economisch en financieel, maar ook op het gebied van identiteit en waarden blijk geven van cohesie. Een identiteit die niet wordt gecreëerd door goedkeuring, maar door de valorisatie van lokale specificiteiten binnen een kader van gedeelde essentiële waarden. </w:t>
      </w:r>
    </w:p>
    <w:p>
      <w:pPr>
        <w:pStyle w:val="P68B1DB1Normal76"/>
        <w:widowControl w:val="false"/>
        <w:spacing w:lineRule="auto" w:line="240" w:before="78" w:after="0"/>
        <w:ind w:left="74" w:right="1" w:hanging="0"/>
        <w:jc w:val="both"/>
        <w:rPr/>
      </w:pPr>
      <w:r>
        <w:rPr/>
        <w:t xml:space="preserve">In dit verband werd ook nagedacht over een mogelijke uitbreiding van het toepassingsgebied van de Unie: volgens sommige paneldeelnemers moet het niet op een ongedifferentieerde manier plaatsvinden, maar eerder gericht zijn op de wederzijdse erkenning van cultuur en waarden in plaats van op economische normen. </w:t>
      </w:r>
    </w:p>
    <w:p>
      <w:pPr>
        <w:pStyle w:val="P68B1DB1Normal83"/>
        <w:widowControl w:val="false"/>
        <w:spacing w:lineRule="auto" w:line="240" w:before="74" w:after="0"/>
        <w:ind w:left="4894" w:right="0" w:hanging="0"/>
        <w:jc w:val="left"/>
        <w:rPr>
          <w:rFonts w:ascii="Arial" w:hAnsi="Arial"/>
          <w:b/>
          <w:b/>
          <w:color w:val="2E74B5"/>
          <w:sz w:val="24"/>
        </w:rPr>
      </w:pPr>
      <w:r>
        <w:rPr/>
        <w:t xml:space="preserve"> </w:t>
      </w:r>
    </w:p>
    <w:p>
      <w:pPr>
        <w:pStyle w:val="P68B1DB1Normal74"/>
        <w:widowControl w:val="false"/>
        <w:spacing w:lineRule="auto" w:line="240" w:before="33" w:after="0"/>
        <w:ind w:left="3074" w:right="0" w:hanging="0"/>
        <w:jc w:val="left"/>
        <w:rPr/>
      </w:pPr>
      <w:r>
        <w:rPr>
          <w:b/>
          <w:sz w:val="24"/>
        </w:rPr>
        <w:t>AANBEVELINGEN IN HET KORT</w:t>
      </w:r>
      <w:r>
        <w:rPr>
          <w:sz w:val="28"/>
        </w:rPr>
        <w:t xml:space="preserve"> </w:t>
      </w:r>
    </w:p>
    <w:p>
      <w:pPr>
        <w:pStyle w:val="P68B1DB1Normal84"/>
        <w:widowControl w:val="false"/>
        <w:spacing w:lineRule="auto" w:line="240" w:before="147" w:after="0"/>
        <w:ind w:left="358" w:right="0" w:hanging="0"/>
        <w:jc w:val="left"/>
        <w:rPr/>
      </w:pPr>
      <w:r>
        <w:rPr>
          <w:color w:val="BD1271"/>
        </w:rPr>
        <w:t xml:space="preserve">1. </w:t>
      </w:r>
      <w:r>
        <w:rPr>
          <w:color w:val="000000"/>
        </w:rPr>
        <w:t>Versterking van de Europese culturele waarden en kenmerken, alsmede regionale specifieke kenmerken.</w:t>
      </w:r>
    </w:p>
    <w:p>
      <w:pPr>
        <w:pStyle w:val="P68B1DB1Normal84"/>
        <w:widowControl w:val="false"/>
        <w:spacing w:lineRule="auto" w:line="240"/>
        <w:ind w:left="358" w:right="0" w:hanging="0"/>
        <w:jc w:val="left"/>
        <w:rPr/>
      </w:pPr>
      <w:r>
        <w:rPr>
          <w:color w:val="BD1271"/>
        </w:rPr>
        <w:t xml:space="preserve">2. </w:t>
      </w:r>
      <w:r>
        <w:rPr>
          <w:color w:val="000000"/>
        </w:rPr>
        <w:t>Oprichting van een instituut voor Europese cultuur ter bevordering van een cultuur van respect en wederzijdse verrijking tussen burgers van verschillende staten.</w:t>
      </w:r>
    </w:p>
    <w:p>
      <w:pPr>
        <w:pStyle w:val="P68B1DB1Normal84"/>
        <w:widowControl w:val="false"/>
        <w:spacing w:lineRule="auto" w:line="240"/>
        <w:ind w:left="418" w:right="418" w:hanging="0"/>
        <w:jc w:val="both"/>
        <w:rPr/>
      </w:pPr>
      <w:r>
        <w:rPr>
          <w:color w:val="BD1271"/>
        </w:rPr>
        <w:t xml:space="preserve">3. </w:t>
      </w:r>
      <w:r>
        <w:rPr>
          <w:color w:val="000000"/>
        </w:rPr>
        <w:t>Herdefiniëring van de beginselen van lidmaatschap van de nieuwe kandidaat-lidstaten, met een versterking van factoren zoals culturele identiteit en waarden.</w:t>
      </w:r>
    </w:p>
    <w:p>
      <w:pPr>
        <w:pStyle w:val="P68B1DB1Normal34"/>
        <w:widowControl w:val="false"/>
        <w:spacing w:lineRule="auto" w:line="240"/>
        <w:ind w:left="74" w:right="0" w:hanging="0"/>
        <w:jc w:val="left"/>
        <w:rPr>
          <w:rFonts w:ascii="Arial" w:hAnsi="Arial"/>
          <w:color w:val="000000"/>
          <w:sz w:val="24"/>
        </w:rPr>
      </w:pPr>
      <w:r>
        <w:rPr/>
        <w:t xml:space="preserve"> </w:t>
      </w:r>
    </w:p>
    <w:p>
      <w:pPr>
        <w:pStyle w:val="P68B1DB1Titre481"/>
        <w:numPr>
          <w:ilvl w:val="0"/>
          <w:numId w:val="2"/>
        </w:numPr>
        <w:rPr>
          <w:color w:val="0066B3"/>
        </w:rPr>
      </w:pPr>
      <w:bookmarkStart w:id="230" w:name="__RefHeading___Toc300442_1346298689"/>
      <w:bookmarkEnd w:id="230"/>
      <w:r>
        <w:rPr/>
        <w:t xml:space="preserve">2. Versterking van de economie en instellingen </w:t>
      </w:r>
    </w:p>
    <w:p>
      <w:pPr>
        <w:pStyle w:val="P68B1DB1Normal76"/>
        <w:widowControl w:val="false"/>
        <w:spacing w:lineRule="auto" w:line="240" w:before="109" w:after="0"/>
        <w:ind w:left="0" w:right="0" w:hanging="0"/>
        <w:jc w:val="both"/>
        <w:rPr/>
      </w:pPr>
      <w:r>
        <w:rPr/>
        <w:t xml:space="preserve">Het Europa van morgen zal naar verwachting een leidende rol spelen op internationaal niveau, dat alleen kan worden aangenomen met een sterke en onafhankelijke Unie uit andere landen. Algemeen wordt erkend dat de EU-landen arm zijn aan grondstoffen, maar het lijkt van essentieel belang dat de EU in staat is te zorgen voor een grotere onafhankelijkheid op het gebied van energievoorziening, landbouw en technologische producten. </w:t>
      </w:r>
    </w:p>
    <w:p>
      <w:pPr>
        <w:pStyle w:val="P68B1DB1Normal76"/>
        <w:widowControl w:val="false"/>
        <w:spacing w:lineRule="auto" w:line="240" w:before="78" w:after="0"/>
        <w:ind w:left="0" w:right="1" w:hanging="0"/>
        <w:jc w:val="both"/>
        <w:rPr/>
      </w:pPr>
      <w:r>
        <w:rPr/>
        <w:t xml:space="preserve">Dit vereist specifieke investeringen om in te halen op gebieden als technologie (waar de Europese Unie op dit moment geen leidende rol lijkt te spelen), maar ook in de voedings- en energiesector. </w:t>
      </w:r>
    </w:p>
    <w:p>
      <w:pPr>
        <w:pStyle w:val="P68B1DB1Normal76"/>
        <w:widowControl w:val="false"/>
        <w:spacing w:lineRule="auto" w:line="240" w:before="78" w:after="0"/>
        <w:ind w:left="0" w:right="2" w:hanging="0"/>
        <w:jc w:val="both"/>
        <w:rPr/>
      </w:pPr>
      <w:r>
        <w:rPr/>
        <w:t xml:space="preserve">De oorlog tussen Rusland en Oekraïne heeft ook het belang van een geïntegreerd Europees defensiebeleid, met een specifieke identiteit en een grotere autonomie van de NAVO, centraal gesteld, zonder zijn lidmaatschap in twijfel te trekken. </w:t>
      </w:r>
    </w:p>
    <w:p>
      <w:pPr>
        <w:pStyle w:val="P68B1DB1Normal76"/>
        <w:widowControl w:val="false"/>
        <w:spacing w:lineRule="auto" w:line="240" w:before="78" w:after="0"/>
        <w:ind w:left="0" w:right="1" w:hanging="0"/>
        <w:jc w:val="left"/>
        <w:rPr/>
      </w:pPr>
      <w:r>
        <w:rPr/>
        <w:t xml:space="preserve">Ten slotte impliceert dit duidelijke keuzes voor de toekomst, samen met een aanzienlijke investering in wetenschap en onderzoek om de vaardigheden van jonge Europeanen te vergroten. </w:t>
      </w:r>
    </w:p>
    <w:p>
      <w:pPr>
        <w:pStyle w:val="P68B1DB1Normal34"/>
        <w:widowControl w:val="false"/>
        <w:spacing w:lineRule="auto" w:line="240" w:before="78" w:after="0"/>
        <w:ind w:left="0" w:right="0" w:hanging="0"/>
        <w:jc w:val="left"/>
        <w:rPr>
          <w:rFonts w:ascii="Arial" w:hAnsi="Arial"/>
          <w:color w:val="000000"/>
          <w:sz w:val="24"/>
        </w:rPr>
      </w:pPr>
      <w:r>
        <w:rPr/>
        <w:t xml:space="preserve"> </w:t>
      </w:r>
    </w:p>
    <w:p>
      <w:pPr>
        <w:pStyle w:val="P68B1DB1Normal74"/>
        <w:widowControl w:val="false"/>
        <w:spacing w:lineRule="auto" w:line="240" w:before="43" w:after="0"/>
        <w:ind w:left="3000" w:right="0" w:hanging="0"/>
        <w:jc w:val="left"/>
        <w:rPr/>
      </w:pPr>
      <w:r>
        <w:rPr>
          <w:b/>
          <w:sz w:val="24"/>
        </w:rPr>
        <w:t>AANBEVELINGEN IN HET KORT</w:t>
      </w:r>
      <w:r>
        <w:rPr>
          <w:sz w:val="28"/>
        </w:rPr>
        <w:t xml:space="preserve"> </w:t>
      </w:r>
    </w:p>
    <w:p>
      <w:pPr>
        <w:pStyle w:val="P68B1DB1Normal84"/>
        <w:widowControl w:val="false"/>
        <w:spacing w:lineRule="auto" w:line="240" w:before="70" w:after="0"/>
        <w:ind w:left="283" w:right="0" w:hanging="0"/>
        <w:jc w:val="left"/>
        <w:rPr/>
      </w:pPr>
      <w:r>
        <w:rPr>
          <w:color w:val="BD1271"/>
        </w:rPr>
        <w:t xml:space="preserve">1. </w:t>
      </w:r>
      <w:r>
        <w:rPr>
          <w:color w:val="000000"/>
        </w:rPr>
        <w:t xml:space="preserve">Versterking van de interne productiecapaciteit: voedselketen (vooral tarwe) en technologie (microprocessors). </w:t>
      </w:r>
    </w:p>
    <w:p>
      <w:pPr>
        <w:pStyle w:val="P68B1DB1Normal84"/>
        <w:widowControl w:val="false"/>
        <w:spacing w:lineRule="auto" w:line="240"/>
        <w:ind w:left="283" w:right="0" w:hanging="0"/>
        <w:jc w:val="left"/>
        <w:rPr/>
      </w:pPr>
      <w:r>
        <w:rPr>
          <w:color w:val="BD1271"/>
        </w:rPr>
        <w:t xml:space="preserve">2. </w:t>
      </w:r>
      <w:r>
        <w:rPr>
          <w:color w:val="000000"/>
        </w:rPr>
        <w:t>Het bevorderen van typische regionale en Europese producties.</w:t>
      </w:r>
    </w:p>
    <w:p>
      <w:pPr>
        <w:pStyle w:val="P68B1DB1Normal84"/>
        <w:widowControl w:val="false"/>
        <w:spacing w:lineRule="auto" w:line="240"/>
        <w:ind w:left="283" w:right="0" w:hanging="0"/>
        <w:jc w:val="left"/>
        <w:rPr/>
      </w:pPr>
      <w:r>
        <w:rPr>
          <w:color w:val="BD1271"/>
        </w:rPr>
        <w:t xml:space="preserve">3. </w:t>
      </w:r>
      <w:r>
        <w:rPr>
          <w:color w:val="000000"/>
        </w:rPr>
        <w:t>Versterking van de Europese industriële clusters (bv. staal).</w:t>
      </w:r>
    </w:p>
    <w:p>
      <w:pPr>
        <w:pStyle w:val="P68B1DB1Normal84"/>
        <w:widowControl w:val="false"/>
        <w:spacing w:lineRule="auto" w:line="240"/>
        <w:ind w:left="283" w:right="0" w:hanging="0"/>
        <w:jc w:val="left"/>
        <w:rPr/>
      </w:pPr>
      <w:r>
        <w:rPr>
          <w:color w:val="BD1271"/>
        </w:rPr>
        <w:t xml:space="preserve">4. </w:t>
      </w:r>
      <w:r>
        <w:rPr>
          <w:color w:val="000000"/>
        </w:rPr>
        <w:t>Versterk de lokale energieproductie vanuit ecologisch perspectief (gas, zonne-energie, wind).</w:t>
      </w:r>
    </w:p>
    <w:p>
      <w:pPr>
        <w:pStyle w:val="P68B1DB1Normal84"/>
        <w:widowControl w:val="false"/>
        <w:spacing w:lineRule="auto" w:line="240"/>
        <w:ind w:left="283" w:right="0" w:hanging="0"/>
        <w:jc w:val="left"/>
        <w:rPr/>
      </w:pPr>
      <w:r>
        <w:rPr>
          <w:color w:val="BD1271"/>
        </w:rPr>
        <w:t xml:space="preserve">5. </w:t>
      </w:r>
      <w:r>
        <w:rPr>
          <w:color w:val="000000"/>
        </w:rPr>
        <w:t>Ontwikkelen van lucht- en ruimtevaarttechnologieën.</w:t>
      </w:r>
    </w:p>
    <w:p>
      <w:pPr>
        <w:pStyle w:val="P68B1DB1Normal84"/>
        <w:widowControl w:val="false"/>
        <w:spacing w:lineRule="auto" w:line="240"/>
        <w:ind w:left="283" w:right="417" w:hanging="0"/>
        <w:jc w:val="left"/>
        <w:rPr/>
      </w:pPr>
      <w:r>
        <w:rPr>
          <w:color w:val="BD1271"/>
        </w:rPr>
        <w:t xml:space="preserve">6. </w:t>
      </w:r>
      <w:r>
        <w:rPr>
          <w:color w:val="000000"/>
        </w:rPr>
        <w:t>Oprichting van Europese wetenschappelijke laboratoria (Europese virusbank).</w:t>
      </w:r>
    </w:p>
    <w:p>
      <w:pPr>
        <w:pStyle w:val="P68B1DB1Normal84"/>
        <w:widowControl w:val="false"/>
        <w:spacing w:lineRule="auto" w:line="240"/>
        <w:ind w:left="283" w:right="417" w:hanging="0"/>
        <w:jc w:val="left"/>
        <w:rPr/>
      </w:pPr>
      <w:r>
        <w:rPr>
          <w:color w:val="BD1271"/>
        </w:rPr>
        <w:t xml:space="preserve">7. </w:t>
      </w:r>
      <w:r>
        <w:rPr>
          <w:color w:val="000000"/>
        </w:rPr>
        <w:t>Een gemeenschappelijk Europees leger creëren dat in het kader van de NAVO optreedt, maar ook helpt om verder te gaan.</w:t>
      </w:r>
    </w:p>
    <w:p>
      <w:pPr>
        <w:pStyle w:val="P68B1DB1Normal84"/>
        <w:widowControl w:val="false"/>
        <w:spacing w:lineRule="auto" w:line="240"/>
        <w:ind w:left="283" w:right="417" w:hanging="0"/>
        <w:jc w:val="left"/>
        <w:rPr/>
      </w:pPr>
      <w:r>
        <w:rPr>
          <w:color w:val="BD1271"/>
        </w:rPr>
        <w:t xml:space="preserve">8. </w:t>
      </w:r>
      <w:r>
        <w:rPr>
          <w:color w:val="000000"/>
        </w:rPr>
        <w:t>Investeren in de opleiding van opleiders (Europese uitwisselingen van leerkrachten, Erasmus voor leerkrachten).</w:t>
      </w:r>
    </w:p>
    <w:p>
      <w:pPr>
        <w:pStyle w:val="P68B1DB1Normal84"/>
        <w:widowControl w:val="false"/>
        <w:spacing w:lineRule="auto" w:line="240"/>
        <w:ind w:left="283" w:right="416" w:hanging="0"/>
        <w:jc w:val="left"/>
        <w:rPr/>
      </w:pPr>
      <w:r>
        <w:rPr>
          <w:color w:val="BD1271"/>
        </w:rPr>
        <w:t xml:space="preserve">9. </w:t>
      </w:r>
      <w:r>
        <w:rPr>
          <w:color w:val="000000"/>
        </w:rPr>
        <w:t>De mobiliteit van Europese onderzoekers vergroten door nieuwe Europese wetenschappelijke instellingen te ontwikkelen</w:t>
      </w:r>
      <w:r>
        <w:rPr>
          <w:color w:val="FF0000"/>
        </w:rPr>
        <w:t>.</w:t>
      </w:r>
      <w:r>
        <w:rPr>
          <w:color w:val="000000"/>
        </w:rPr>
        <w:t xml:space="preserve"> </w:t>
      </w:r>
    </w:p>
    <w:p>
      <w:pPr>
        <w:pStyle w:val="P68B1DB1Normal84"/>
        <w:widowControl w:val="false"/>
        <w:spacing w:lineRule="auto" w:line="240"/>
        <w:ind w:left="283" w:right="0" w:hanging="0"/>
        <w:jc w:val="left"/>
        <w:rPr/>
      </w:pPr>
      <w:r>
        <w:rPr>
          <w:color w:val="BD1271"/>
        </w:rPr>
        <w:t xml:space="preserve">10. </w:t>
      </w:r>
      <w:r>
        <w:rPr>
          <w:color w:val="000000"/>
        </w:rPr>
        <w:t>Het bevorderen van de opkomst van innovatieve start-ups.</w:t>
      </w:r>
    </w:p>
    <w:p>
      <w:pPr>
        <w:pStyle w:val="P68B1DB1Normal19"/>
        <w:widowControl w:val="false"/>
        <w:spacing w:lineRule="auto" w:line="240"/>
        <w:ind w:left="0" w:right="0" w:hanging="0"/>
        <w:jc w:val="left"/>
        <w:rPr>
          <w:rFonts w:ascii="Times New Roman" w:hAnsi="Times New Roman"/>
          <w:color w:val="000000"/>
          <w:sz w:val="24"/>
        </w:rPr>
      </w:pPr>
      <w:r>
        <w:rPr/>
        <w:t xml:space="preserve"> </w:t>
      </w:r>
    </w:p>
    <w:p>
      <w:pPr>
        <w:pStyle w:val="P68B1DB1Titre481"/>
        <w:numPr>
          <w:ilvl w:val="0"/>
          <w:numId w:val="2"/>
        </w:numPr>
        <w:rPr>
          <w:color w:val="0066B3"/>
        </w:rPr>
      </w:pPr>
      <w:bookmarkStart w:id="231" w:name="__RefHeading___Toc300444_1346298689"/>
      <w:bookmarkEnd w:id="231"/>
      <w:r>
        <w:rPr/>
        <w:t xml:space="preserve">3. Samenwerking en partnerschappen </w:t>
      </w:r>
    </w:p>
    <w:p>
      <w:pPr>
        <w:pStyle w:val="P68B1DB1Normal76"/>
        <w:widowControl w:val="false"/>
        <w:spacing w:lineRule="auto" w:line="240" w:before="109" w:after="0"/>
        <w:ind w:left="0" w:right="2" w:hanging="0"/>
        <w:jc w:val="both"/>
        <w:rPr/>
      </w:pPr>
      <w:r>
        <w:rPr/>
        <w:t xml:space="preserve">De visie van het Europa van morgen is niet die van een fort dat zijn rijkdom verdedigt, maar van een protagonist op het internationale toneel die in staat is tot dialoog met alle landen van de wereld. Een dialoog die uitgaat van een handelsmacht en gericht moet zijn op economisch leiderschap, en die kan worden geconsolideerd door de oprichting van grootschalige internationale partnerschappen en projecten. </w:t>
      </w:r>
    </w:p>
    <w:p>
      <w:pPr>
        <w:pStyle w:val="P68B1DB1Normal76"/>
        <w:widowControl w:val="false"/>
        <w:spacing w:lineRule="auto" w:line="240" w:before="78" w:after="0"/>
        <w:ind w:left="0" w:right="0" w:hanging="0"/>
        <w:jc w:val="both"/>
        <w:rPr/>
      </w:pPr>
      <w:r>
        <w:rPr/>
        <w:t xml:space="preserve">Dit alles met het oog op samenwerking en aandacht voor de meest kwetsbare regio’s van de wereld, met ad-hocprojecten die gericht zijn op het benadrukken van de armste landen, evenals culturele en economische uitwisselingen met de oostelijke landen. </w:t>
      </w:r>
    </w:p>
    <w:p>
      <w:pPr>
        <w:pStyle w:val="P68B1DB1Normal76"/>
        <w:widowControl w:val="false"/>
        <w:spacing w:lineRule="auto" w:line="240" w:before="78" w:after="0"/>
        <w:ind w:left="0" w:right="3" w:hanging="0"/>
        <w:jc w:val="both"/>
        <w:rPr/>
      </w:pPr>
      <w:r>
        <w:rPr/>
        <w:t xml:space="preserve">Er wordt ook bijzondere aandacht besteed aan het thema migratie, met een betere coördinatie tussen landen en het gebruik van gemeenschappelijke procedures voor het beheer van aanvragen en personen. </w:t>
      </w:r>
    </w:p>
    <w:p>
      <w:pPr>
        <w:pStyle w:val="P68B1DB1Normal34"/>
        <w:widowControl w:val="false"/>
        <w:spacing w:lineRule="auto" w:line="240" w:before="78" w:after="0"/>
        <w:ind w:left="0" w:right="0" w:hanging="0"/>
        <w:jc w:val="left"/>
        <w:rPr>
          <w:rFonts w:ascii="Arial" w:hAnsi="Arial"/>
          <w:color w:val="000000"/>
          <w:sz w:val="24"/>
        </w:rPr>
      </w:pPr>
      <w:r>
        <w:rPr/>
        <w:t xml:space="preserve"> </w:t>
      </w:r>
    </w:p>
    <w:p>
      <w:pPr>
        <w:pStyle w:val="P68B1DB1Normal74"/>
        <w:widowControl w:val="false"/>
        <w:spacing w:lineRule="auto" w:line="240" w:before="43" w:after="0"/>
        <w:ind w:left="3000" w:right="0" w:hanging="0"/>
        <w:jc w:val="left"/>
        <w:rPr/>
      </w:pPr>
      <w:r>
        <w:rPr>
          <w:b/>
          <w:sz w:val="24"/>
        </w:rPr>
        <w:t>AANBEVELINGEN IN HET KORT</w:t>
      </w:r>
      <w:r>
        <w:rPr>
          <w:sz w:val="28"/>
        </w:rPr>
        <w:t xml:space="preserve"> </w:t>
      </w:r>
    </w:p>
    <w:p>
      <w:pPr>
        <w:pStyle w:val="P68B1DB1Normal84"/>
        <w:widowControl w:val="false"/>
        <w:spacing w:lineRule="auto" w:line="240" w:before="71" w:after="0"/>
        <w:ind w:left="283" w:right="0" w:hanging="0"/>
        <w:jc w:val="left"/>
        <w:rPr/>
      </w:pPr>
      <w:r>
        <w:rPr>
          <w:color w:val="BD1271"/>
        </w:rPr>
        <w:t xml:space="preserve">1. </w:t>
      </w:r>
      <w:r>
        <w:rPr>
          <w:color w:val="000000"/>
        </w:rPr>
        <w:t>Het stimuleren van de export.</w:t>
      </w:r>
    </w:p>
    <w:p>
      <w:pPr>
        <w:pStyle w:val="P68B1DB1Normal84"/>
        <w:widowControl w:val="false"/>
        <w:spacing w:lineRule="auto" w:line="240"/>
        <w:ind w:left="283" w:right="0" w:hanging="0"/>
        <w:jc w:val="left"/>
        <w:rPr/>
      </w:pPr>
      <w:r>
        <w:rPr>
          <w:color w:val="BD1271"/>
        </w:rPr>
        <w:t xml:space="preserve">2. </w:t>
      </w:r>
      <w:r>
        <w:rPr>
          <w:color w:val="000000"/>
        </w:rPr>
        <w:t>Bevordering van transnationale Europese toeristische routes.</w:t>
      </w:r>
    </w:p>
    <w:p>
      <w:pPr>
        <w:pStyle w:val="P68B1DB1Normal84"/>
        <w:widowControl w:val="false"/>
        <w:spacing w:lineRule="auto" w:line="240"/>
        <w:ind w:left="283" w:right="0" w:hanging="0"/>
        <w:jc w:val="left"/>
        <w:rPr/>
      </w:pPr>
      <w:r>
        <w:rPr>
          <w:color w:val="BD1271"/>
        </w:rPr>
        <w:t xml:space="preserve">3. </w:t>
      </w:r>
      <w:r>
        <w:rPr>
          <w:color w:val="000000"/>
        </w:rPr>
        <w:t>Ontwikkelen van een handelssysteem voor onderhandelingen op Europees niveau (niet individueel als staten of ondernemingen, maar als Unie) om meer onderhandelingsmacht te hebben, maar met beperkingen in verband met de eerbiediging van de mensenrechten.</w:t>
      </w:r>
    </w:p>
    <w:p>
      <w:pPr>
        <w:pStyle w:val="P68B1DB1Normal84"/>
        <w:widowControl w:val="false"/>
        <w:spacing w:lineRule="auto" w:line="240"/>
        <w:ind w:left="283" w:right="417" w:hanging="0"/>
        <w:jc w:val="left"/>
        <w:rPr/>
      </w:pPr>
      <w:r>
        <w:rPr>
          <w:color w:val="BD1271"/>
        </w:rPr>
        <w:t xml:space="preserve">4. </w:t>
      </w:r>
      <w:r>
        <w:rPr>
          <w:color w:val="000000"/>
        </w:rPr>
        <w:t>Leiding geven aan grote internationale projecten zoals het International Space Station.</w:t>
      </w:r>
    </w:p>
    <w:p>
      <w:pPr>
        <w:pStyle w:val="P68B1DB1Normal84"/>
        <w:widowControl w:val="false"/>
        <w:spacing w:lineRule="auto" w:line="240"/>
        <w:ind w:left="283" w:right="417" w:hanging="0"/>
        <w:jc w:val="left"/>
        <w:rPr/>
      </w:pPr>
      <w:r>
        <w:rPr>
          <w:color w:val="BD1271"/>
        </w:rPr>
        <w:t xml:space="preserve">5. </w:t>
      </w:r>
      <w:r>
        <w:rPr>
          <w:color w:val="000000"/>
        </w:rPr>
        <w:t>Financier projecten in Afrika om scholen en ziekenhuizen te bouwen, zonder een koloniale houding aan te nemen, maar gericht op het respecteren van Europese waarden en rechten.</w:t>
      </w:r>
    </w:p>
    <w:p>
      <w:pPr>
        <w:pStyle w:val="P68B1DB1Normal84"/>
        <w:widowControl w:val="false"/>
        <w:spacing w:lineRule="auto" w:line="240"/>
        <w:ind w:left="283" w:right="417" w:hanging="0"/>
        <w:jc w:val="left"/>
        <w:rPr/>
      </w:pPr>
      <w:r>
        <w:rPr>
          <w:color w:val="BD1271"/>
        </w:rPr>
        <w:t xml:space="preserve">6. </w:t>
      </w:r>
      <w:r>
        <w:rPr>
          <w:color w:val="000000"/>
        </w:rPr>
        <w:t>Investeer in on-site training (vooral voor vrouwen) in de armste landen.</w:t>
      </w:r>
    </w:p>
    <w:p>
      <w:pPr>
        <w:pStyle w:val="P68B1DB1Normal84"/>
        <w:widowControl w:val="false"/>
        <w:spacing w:lineRule="auto" w:line="240"/>
        <w:ind w:left="283" w:right="0" w:hanging="0"/>
        <w:jc w:val="left"/>
        <w:rPr/>
      </w:pPr>
      <w:r>
        <w:rPr>
          <w:color w:val="BD1271"/>
        </w:rPr>
        <w:t xml:space="preserve">7. </w:t>
      </w:r>
      <w:r>
        <w:rPr>
          <w:color w:val="000000"/>
        </w:rPr>
        <w:t>Bevordering van de uitwisseling van technici en opleiders.</w:t>
      </w:r>
    </w:p>
    <w:p>
      <w:pPr>
        <w:pStyle w:val="P68B1DB1Normal84"/>
        <w:widowControl w:val="false"/>
        <w:spacing w:lineRule="auto" w:line="240"/>
        <w:ind w:left="283" w:right="0" w:hanging="0"/>
        <w:jc w:val="left"/>
        <w:rPr/>
      </w:pPr>
      <w:r>
        <w:rPr>
          <w:color w:val="BD1271"/>
        </w:rPr>
        <w:t xml:space="preserve">8. </w:t>
      </w:r>
      <w:r>
        <w:rPr>
          <w:color w:val="000000"/>
        </w:rPr>
        <w:t>Het opzetten van een systeem van gemeenschappelijke regels voor de toegang van migranten, met verschillende processen tussen humanitaire en economische migratie, met een billijke verdeling tussen de verschillende staten, maar met gemeenschappelijke regels (telling en controle van gedrag en werkgelegenheid).</w:t>
      </w:r>
    </w:p>
    <w:p>
      <w:pPr>
        <w:pStyle w:val="P68B1DB1Normal19"/>
        <w:widowControl w:val="false"/>
        <w:spacing w:lineRule="auto" w:line="240"/>
        <w:ind w:left="0" w:right="0" w:hanging="0"/>
        <w:jc w:val="left"/>
        <w:rPr>
          <w:rFonts w:ascii="Times New Roman" w:hAnsi="Times New Roman"/>
          <w:color w:val="000000"/>
          <w:sz w:val="24"/>
        </w:rPr>
      </w:pPr>
      <w:r>
        <w:rPr/>
        <w:t xml:space="preserve"> </w:t>
      </w:r>
    </w:p>
    <w:p>
      <w:pPr>
        <w:pStyle w:val="P68B1DB1Titre481"/>
        <w:numPr>
          <w:ilvl w:val="0"/>
          <w:numId w:val="2"/>
        </w:numPr>
        <w:rPr>
          <w:color w:val="0066B3"/>
        </w:rPr>
      </w:pPr>
      <w:bookmarkStart w:id="232" w:name="__RefHeading___Toc300446_1346298689"/>
      <w:bookmarkEnd w:id="232"/>
      <w:r>
        <w:rPr/>
        <w:t xml:space="preserve">4. Politieke en culturele referentie </w:t>
      </w:r>
    </w:p>
    <w:p>
      <w:pPr>
        <w:pStyle w:val="P68B1DB1Normal76"/>
        <w:widowControl w:val="false"/>
        <w:spacing w:lineRule="auto" w:line="240" w:before="106" w:after="0"/>
        <w:ind w:left="0" w:right="145" w:hanging="0"/>
        <w:jc w:val="both"/>
        <w:rPr/>
      </w:pPr>
      <w:r>
        <w:rPr/>
        <w:t xml:space="preserve">In het hierboven beschreven scenario zal Europa naar verwachting een duidelijke politieke en culturele referentie op mondiaal niveau bieden vanuit het oogpunt van rechten en ethiek, en een voorbeeld geven door middel van besluitvorming om een gezond milieu, eerbiediging van de rechten van de mens en de dialoog tussen Oost en West te waarborgen. </w:t>
      </w:r>
    </w:p>
    <w:p>
      <w:pPr>
        <w:pStyle w:val="P68B1DB1Normal83"/>
        <w:widowControl w:val="false"/>
        <w:spacing w:lineRule="auto" w:line="240" w:before="73" w:after="0"/>
        <w:ind w:left="4819" w:right="0" w:hanging="0"/>
        <w:jc w:val="left"/>
        <w:rPr>
          <w:rFonts w:ascii="Arial" w:hAnsi="Arial"/>
          <w:b/>
          <w:b/>
          <w:color w:val="2E74B5"/>
          <w:sz w:val="24"/>
        </w:rPr>
      </w:pPr>
      <w:r>
        <w:rPr/>
        <w:t xml:space="preserve"> </w:t>
      </w:r>
    </w:p>
    <w:p>
      <w:pPr>
        <w:pStyle w:val="P68B1DB1Normal75"/>
        <w:widowControl w:val="false"/>
        <w:spacing w:lineRule="auto" w:line="240" w:before="72" w:after="0"/>
        <w:ind w:left="3000" w:right="0" w:hanging="0"/>
        <w:jc w:val="left"/>
        <w:rPr/>
      </w:pPr>
      <w:r>
        <w:rPr>
          <w:b/>
          <w:color w:val="2E74B5"/>
        </w:rPr>
        <w:t>AANBEVELINGEN IN HET KORT</w:t>
      </w:r>
      <w:r>
        <w:rPr>
          <w:color w:val="000000"/>
        </w:rPr>
        <w:t xml:space="preserve"> </w:t>
      </w:r>
    </w:p>
    <w:p>
      <w:pPr>
        <w:pStyle w:val="P68B1DB1Normal84"/>
        <w:widowControl w:val="false"/>
        <w:spacing w:lineRule="auto" w:line="240" w:before="69" w:after="0"/>
        <w:ind w:left="283" w:right="0" w:hanging="0"/>
        <w:jc w:val="left"/>
        <w:rPr/>
      </w:pPr>
      <w:r>
        <w:rPr>
          <w:color w:val="BD1271"/>
        </w:rPr>
        <w:t xml:space="preserve">1. </w:t>
      </w:r>
      <w:r>
        <w:rPr>
          <w:color w:val="000000"/>
        </w:rPr>
        <w:t>Leid de weg als groen continent, bereik nul uitstoot voor anderen en verhoging van de productie van schone energie (wind en zonne-energie).</w:t>
      </w:r>
    </w:p>
    <w:p>
      <w:pPr>
        <w:pStyle w:val="P68B1DB1Normal84"/>
        <w:widowControl w:val="false"/>
        <w:spacing w:lineRule="auto" w:line="240"/>
        <w:ind w:left="283" w:right="0" w:hanging="0"/>
        <w:jc w:val="left"/>
        <w:rPr/>
      </w:pPr>
      <w:r>
        <w:rPr>
          <w:color w:val="BD1271"/>
        </w:rPr>
        <w:t xml:space="preserve">2. </w:t>
      </w:r>
      <w:r>
        <w:rPr>
          <w:color w:val="000000"/>
        </w:rPr>
        <w:t>Export technologieën om zero-impact goederen te produceren.</w:t>
      </w:r>
    </w:p>
    <w:p>
      <w:pPr>
        <w:pStyle w:val="P68B1DB1Normal84"/>
        <w:widowControl w:val="false"/>
        <w:spacing w:lineRule="auto" w:line="240"/>
        <w:ind w:left="283" w:right="0" w:hanging="0"/>
        <w:jc w:val="left"/>
        <w:rPr/>
      </w:pPr>
      <w:r>
        <w:rPr>
          <w:color w:val="BD1271"/>
        </w:rPr>
        <w:t xml:space="preserve">3. </w:t>
      </w:r>
      <w:r>
        <w:rPr>
          <w:color w:val="000000"/>
        </w:rPr>
        <w:t>Fungeren als een samenvloeiing (openbare plaats, agora) tussen Oost en West, het bevorderen van culturele uitwisselingen en gezamenlijke culturele initiatieven (zoals World Art Days, die op hun beurt worden georganiseerd in de verschillende Europese hoofdsteden, met een artistiek programma met westerse en oosterse kunstenaars).</w:t>
      </w:r>
    </w:p>
    <w:p>
      <w:pPr>
        <w:pStyle w:val="P68B1DB1Normal84"/>
        <w:widowControl w:val="false"/>
        <w:spacing w:lineRule="auto" w:line="240"/>
        <w:ind w:left="283" w:right="560" w:hanging="0"/>
        <w:jc w:val="left"/>
        <w:rPr/>
      </w:pPr>
      <w:r>
        <w:rPr>
          <w:color w:val="BD1271"/>
        </w:rPr>
        <w:t xml:space="preserve">4. </w:t>
      </w:r>
      <w:r>
        <w:rPr>
          <w:color w:val="000000"/>
        </w:rPr>
        <w:t>Een Europees ethisch model creëren voor het beheer van migratieprocessen die internationaal kunnen worden gedeeld.</w:t>
      </w:r>
    </w:p>
    <w:p>
      <w:pPr>
        <w:pStyle w:val="P68B1DB1Normal32"/>
        <w:widowControl w:val="false"/>
        <w:spacing w:lineRule="auto" w:line="240"/>
        <w:ind w:left="283" w:right="0" w:hanging="0"/>
        <w:jc w:val="left"/>
        <w:rPr>
          <w:rFonts w:ascii="Arial" w:hAnsi="Arial"/>
          <w:b/>
          <w:b/>
          <w:color w:val="000000"/>
          <w:sz w:val="24"/>
        </w:rPr>
      </w:pPr>
      <w:r>
        <w:rPr/>
        <w:t xml:space="preserve"> </w:t>
      </w:r>
    </w:p>
    <w:p>
      <w:pPr>
        <w:pStyle w:val="Titre2"/>
        <w:numPr>
          <w:ilvl w:val="1"/>
          <w:numId w:val="2"/>
        </w:numPr>
        <w:rPr/>
      </w:pPr>
      <w:bookmarkStart w:id="233" w:name="__RefHeading___Toc300322_1346298689"/>
      <w:bookmarkEnd w:id="233"/>
      <w:r>
        <w:rPr/>
        <w:t xml:space="preserve">6. Eindevaluatie door deelnemers </w:t>
      </w:r>
    </w:p>
    <w:p>
      <w:pPr>
        <w:pStyle w:val="P68B1DB1Normal76"/>
        <w:widowControl w:val="false"/>
        <w:spacing w:lineRule="auto" w:line="240" w:before="106" w:after="0"/>
        <w:ind w:left="0" w:right="0" w:hanging="0"/>
        <w:jc w:val="both"/>
        <w:rPr/>
      </w:pPr>
      <w:r>
        <w:rPr/>
        <w:t xml:space="preserve">Aan het einde van de twee werkdagen werd alle deelnemers gevraagd een korte vragenlijst in te vullen om hun ervaring te beoordelen. De evaluatievragenlijst werd twee dagen na het einde van het panel verzonden om alle deelnemers de tijd te geven om een stap terug te zetten uit de ervaring en om objectiefer te kunnen reageren. </w:t>
      </w:r>
    </w:p>
    <w:p>
      <w:pPr>
        <w:pStyle w:val="Normal"/>
        <w:widowControl w:val="false"/>
        <w:spacing w:lineRule="auto" w:line="240" w:before="78" w:after="0"/>
        <w:ind w:left="0" w:right="2" w:hanging="0"/>
        <w:jc w:val="left"/>
        <w:rPr/>
      </w:pPr>
      <w:r>
        <w:rPr>
          <w:color w:val="000000"/>
        </w:rPr>
        <w:t xml:space="preserve">De verzamelde resultaten tonen een bijzonder hoge mate van tevredenheid, zowel wat betreft interesse en gemak van deelname en een gevoel van luisteren en inclusie. </w:t>
      </w:r>
      <w:r>
        <w:br w:type="page"/>
      </w:r>
    </w:p>
    <w:p>
      <w:pPr>
        <w:pStyle w:val="Normal"/>
        <w:widowControl w:val="false"/>
        <w:spacing w:lineRule="auto" w:line="240" w:before="4764" w:after="0"/>
        <w:ind w:left="0" w:right="2" w:hanging="0"/>
        <w:jc w:val="left"/>
        <w:rPr>
          <w:rFonts w:ascii="Arial" w:hAnsi="Arial"/>
          <w:color w:val="000000"/>
          <w:sz w:val="24"/>
        </w:rPr>
      </w:pPr>
      <w:r>
        <w:rPr>
          <w:color w:val="000000"/>
          <w:sz w:val="24"/>
        </w:rPr>
        <mc:AlternateContent>
          <mc:Choice Requires="wpg">
            <w:drawing>
              <wp:anchor behindDoc="0" distT="0" distB="0" distL="0" distR="0" simplePos="0" locked="0" layoutInCell="1" allowOverlap="1" relativeHeight="60">
                <wp:simplePos x="0" y="0"/>
                <wp:positionH relativeFrom="column">
                  <wp:posOffset>635</wp:posOffset>
                </wp:positionH>
                <wp:positionV relativeFrom="paragraph">
                  <wp:posOffset>50165</wp:posOffset>
                </wp:positionV>
                <wp:extent cx="5996305" cy="3025775"/>
                <wp:effectExtent l="0" t="0" r="0" b="0"/>
                <wp:wrapTopAndBottom/>
                <wp:docPr id="107" name="Formulier8"/>
                <a:graphic xmlns:a="http://schemas.openxmlformats.org/drawingml/2006/main">
                  <a:graphicData uri="http://schemas.microsoft.com/office/word/2010/wordprocessingGroup">
                    <wpg:wgp>
                      <wpg:cNvGrpSpPr/>
                      <wpg:grpSpPr>
                        <a:xfrm>
                          <a:off x="0" y="0"/>
                          <a:ext cx="5995800" cy="3025080"/>
                        </a:xfrm>
                      </wpg:grpSpPr>
                      <pic:pic xmlns:pic="http://schemas.openxmlformats.org/drawingml/2006/picture">
                        <pic:nvPicPr>
                          <pic:cNvPr id="10" name="" descr=""/>
                          <pic:cNvPicPr/>
                        </pic:nvPicPr>
                        <pic:blipFill>
                          <a:blip r:embed="rId111"/>
                          <a:stretch/>
                        </pic:blipFill>
                        <pic:spPr>
                          <a:xfrm>
                            <a:off x="2533680" y="487080"/>
                            <a:ext cx="3379320" cy="2538000"/>
                          </a:xfrm>
                          <a:prstGeom prst="rect">
                            <a:avLst/>
                          </a:prstGeom>
                          <a:ln>
                            <a:noFill/>
                          </a:ln>
                        </pic:spPr>
                      </pic:pic>
                      <wps:wsp>
                        <wps:cNvSpPr/>
                        <wps:spPr>
                          <a:xfrm>
                            <a:off x="210240" y="0"/>
                            <a:ext cx="5785560" cy="353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 xml:space="preserve">Tevredenheid over deelname aan het panel </w:t>
                              </w:r>
                            </w:p>
                          </w:txbxContent>
                        </wps:txbx>
                        <wps:bodyPr lIns="90000" rIns="90000" tIns="45000" bIns="45000">
                          <a:noAutofit/>
                        </wps:bodyPr>
                      </wps:wsp>
                      <wps:wsp>
                        <wps:cNvSpPr/>
                        <wps:spPr>
                          <a:xfrm>
                            <a:off x="60480" y="640800"/>
                            <a:ext cx="2477880" cy="3751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Algemene tevredenheid over de ervaring</w:t>
                              </w:r>
                            </w:p>
                          </w:txbxContent>
                        </wps:txbx>
                        <wps:bodyPr lIns="90000" rIns="90000" tIns="45000" bIns="45000">
                          <a:noAutofit/>
                        </wps:bodyPr>
                      </wps:wsp>
                      <wps:wsp>
                        <wps:cNvSpPr/>
                        <wps:spPr>
                          <a:xfrm>
                            <a:off x="69120" y="1184400"/>
                            <a:ext cx="2478240" cy="382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Kwaliteit van de bijdragen van de deelnemers</w:t>
                              </w:r>
                            </w:p>
                          </w:txbxContent>
                        </wps:txbx>
                        <wps:bodyPr lIns="90000" rIns="90000" tIns="45000" bIns="45000">
                          <a:noAutofit/>
                        </wps:bodyPr>
                      </wps:wsp>
                      <wps:wsp>
                        <wps:cNvSpPr/>
                        <wps:spPr>
                          <a:xfrm>
                            <a:off x="60840" y="1469520"/>
                            <a:ext cx="2478240" cy="382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Samenhang tussen de gedane aanbevelingen en het debat</w:t>
                              </w:r>
                            </w:p>
                          </w:txbxContent>
                        </wps:txbx>
                        <wps:bodyPr lIns="90000" rIns="90000" tIns="45000" bIns="45000">
                          <a:noAutofit/>
                        </wps:bodyPr>
                      </wps:wsp>
                      <wps:wsp>
                        <wps:cNvSpPr/>
                        <wps:spPr>
                          <a:xfrm>
                            <a:off x="61560" y="1861200"/>
                            <a:ext cx="2478240" cy="236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Gebruiksgemak van het platform</w:t>
                              </w:r>
                            </w:p>
                          </w:txbxContent>
                        </wps:txbx>
                        <wps:bodyPr lIns="90000" rIns="90000" tIns="45000" bIns="45000">
                          <a:noAutofit/>
                        </wps:bodyPr>
                      </wps:wsp>
                      <wps:wsp>
                        <wps:cNvSpPr/>
                        <wps:spPr>
                          <a:xfrm>
                            <a:off x="0" y="2128680"/>
                            <a:ext cx="2478240" cy="23688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Respect voor de diversiteit van meningen</w:t>
                              </w:r>
                            </w:p>
                          </w:txbxContent>
                        </wps:txbx>
                        <wps:bodyPr lIns="90000" rIns="90000" tIns="45000" bIns="45000">
                          <a:noAutofit/>
                        </wps:bodyPr>
                      </wps:wsp>
                      <wps:wsp>
                        <wps:cNvSpPr/>
                        <wps:spPr>
                          <a:xfrm>
                            <a:off x="44280" y="2343240"/>
                            <a:ext cx="2477880" cy="52848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Het vermogen van moderators om deelnemers een stem te geven en naar hun interventies te luisteren</w:t>
                              </w:r>
                            </w:p>
                          </w:txbxContent>
                        </wps:txbx>
                        <wps:bodyPr lIns="90000" rIns="90000" tIns="45000" bIns="45000">
                          <a:noAutofit/>
                        </wps:bodyPr>
                      </wps:wsp>
                      <wps:wsp>
                        <wps:cNvSpPr/>
                        <wps:spPr>
                          <a:xfrm>
                            <a:off x="27360" y="2788200"/>
                            <a:ext cx="2477880" cy="236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Interesse in de behandelde onderwerpen</w:t>
                              </w:r>
                            </w:p>
                          </w:txbxContent>
                        </wps:txbx>
                        <wps:bodyPr lIns="90000" rIns="90000" tIns="45000" bIns="45000">
                          <a:noAutofit/>
                        </wps:bodyPr>
                      </wps:wsp>
                    </wpg:wgp>
                  </a:graphicData>
                </a:graphic>
              </wp:anchor>
            </w:drawing>
          </mc:Choice>
          <mc:Fallback>
            <w:pict>
              <v:group id="shape_0" alt="Formulier8" style="position:absolute;margin-left:0.05pt;margin-top:3.95pt;width:472.1pt;height:238.2pt" coordorigin="1,79" coordsize="9442,4764">
                <v:shape id="shape_0" stroked="f" style="position:absolute;left:3991;top:846;width:5321;height:3996" type="shapetype_75">
                  <v:imagedata r:id="rId111" o:detectmouseclick="t"/>
                  <w10:wrap type="none"/>
                  <v:stroke color="#3465a4" joinstyle="round" endcap="flat"/>
                </v:shape>
                <v:rect id="shape_0" stroked="f" style="position:absolute;left:332;top:79;width:9110;height:55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 xml:space="preserve">Tevredenheid over deelname aan het panel </w:t>
                        </w:r>
                      </w:p>
                    </w:txbxContent>
                  </v:textbox>
                  <w10:wrap type="square"/>
                  <v:fill o:detectmouseclick="t" on="false"/>
                  <v:stroke color="#3465a4" joinstyle="round" endcap="flat"/>
                </v:rect>
                <v:rect id="shape_0" stroked="f" style="position:absolute;left:96;top:1088;width:3901;height:590">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Algemene tevredenheid over de ervaring</w:t>
                        </w:r>
                      </w:p>
                    </w:txbxContent>
                  </v:textbox>
                  <w10:wrap type="square"/>
                  <v:fill o:detectmouseclick="t" on="false"/>
                  <v:stroke color="#3465a4" joinstyle="round" endcap="flat"/>
                </v:rect>
                <v:rect id="shape_0" stroked="f" style="position:absolute;left:110;top:1944;width:3902;height:601">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Kwaliteit van de bijdragen van de deelnemers</w:t>
                        </w:r>
                      </w:p>
                    </w:txbxContent>
                  </v:textbox>
                  <w10:wrap type="square"/>
                  <v:fill o:detectmouseclick="t" on="false"/>
                  <v:stroke color="#3465a4" joinstyle="round" endcap="flat"/>
                </v:rect>
                <v:rect id="shape_0" stroked="f" style="position:absolute;left:97;top:2393;width:3902;height:601">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Samenhang tussen de gedane aanbevelingen en het debat</w:t>
                        </w:r>
                      </w:p>
                    </w:txbxContent>
                  </v:textbox>
                  <w10:wrap type="square"/>
                  <v:fill o:detectmouseclick="t" on="false"/>
                  <v:stroke color="#3465a4" joinstyle="round" endcap="flat"/>
                </v:rect>
                <v:rect id="shape_0" stroked="f" style="position:absolute;left:98;top:3010;width:3902;height:371">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Gebruiksgemak van het platform</w:t>
                        </w:r>
                      </w:p>
                    </w:txbxContent>
                  </v:textbox>
                  <w10:wrap type="square"/>
                  <v:fill o:detectmouseclick="t" on="false"/>
                  <v:stroke color="#3465a4" joinstyle="round" endcap="flat"/>
                </v:rect>
                <v:rect id="shape_0" stroked="f" style="position:absolute;left:1;top:3431;width:3902;height:372">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Respect voor de diversiteit van meningen</w:t>
                        </w:r>
                      </w:p>
                    </w:txbxContent>
                  </v:textbox>
                  <w10:wrap type="square"/>
                  <v:fill o:detectmouseclick="t" on="false"/>
                  <v:stroke color="#3465a4" joinstyle="round" endcap="flat"/>
                </v:rect>
                <v:rect id="shape_0" stroked="f" style="position:absolute;left:71;top:3769;width:3901;height:831">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Het vermogen van moderators om deelnemers een stem te geven en naar hun interventies te luisteren</w:t>
                        </w:r>
                      </w:p>
                    </w:txbxContent>
                  </v:textbox>
                  <w10:wrap type="square"/>
                  <v:fill o:detectmouseclick="t" on="false"/>
                  <v:stroke color="#3465a4" joinstyle="round" endcap="flat"/>
                </v:rect>
                <v:rect id="shape_0" stroked="f" style="position:absolute;left:44;top:4470;width:3901;height:371">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Interesse in de behandelde onderwerpen</w:t>
                        </w:r>
                      </w:p>
                    </w:txbxContent>
                  </v:textbox>
                  <w10:wrap type="square"/>
                  <v:fill o:detectmouseclick="t" on="false"/>
                  <v:stroke color="#3465a4" joinstyle="round" endcap="flat"/>
                </v:rect>
              </v:group>
            </w:pict>
          </mc:Fallback>
        </mc:AlternateContent>
      </w:r>
    </w:p>
    <w:p>
      <w:pPr>
        <w:pStyle w:val="P68B1DB1Normal76"/>
        <w:widowControl w:val="false"/>
        <w:spacing w:lineRule="auto" w:line="240" w:before="48" w:after="0"/>
        <w:ind w:left="0" w:right="1" w:hanging="0"/>
        <w:jc w:val="both"/>
        <w:rPr/>
      </w:pPr>
      <w:r>
        <w:rPr/>
        <w:t xml:space="preserve">Hoewel ze aanvankelijk verschillende ervaringen, vaardigheden en motivaties hadden, voelden de deelnemers zich sterk betrokken: 98 % van de respondenten van de evaluatievragenlijst was van mening dat zij actief hadden deelgenomen en positief hebben bijgedragen aan het debat. </w:t>
      </w:r>
    </w:p>
    <w:p>
      <w:pPr>
        <w:pStyle w:val="P68B1DB1Normal76"/>
        <w:widowControl w:val="false"/>
        <w:spacing w:lineRule="auto" w:line="240"/>
        <w:ind w:left="0" w:right="0" w:hanging="0"/>
        <w:jc w:val="left"/>
        <w:rPr>
          <w:rFonts w:ascii="Arial" w:hAnsi="Arial"/>
          <w:color w:val="000000"/>
          <w:sz w:val="22"/>
        </w:rPr>
      </w:pPr>
      <w:r>
        <w:rPr/>
        <w:t xml:space="preserve"> </w:t>
      </w:r>
    </w:p>
    <w:p>
      <w:pPr>
        <w:pStyle w:val="P68B1DB1Normal76"/>
        <w:widowControl w:val="false"/>
        <w:spacing w:lineRule="auto" w:line="240"/>
        <w:ind w:left="0" w:right="0" w:hanging="0"/>
        <w:jc w:val="both"/>
        <w:rPr/>
      </w:pPr>
      <w:r>
        <w:rPr/>
        <w:t xml:space="preserve">Over het algemeen is het nut van deze ervaring, die vooral wordt gezien als een kans om actief deel te nemen en die een gevoel van grotere nabijheid tot de Europese instellingen heeft gegeven, zeer sterk gevoeld. Dit heeft ertoe geleid dat bijna alle respondenten hebben gevraagd om dit soort initiatief in de loop van de tijd te herhalen. </w:t>
      </w:r>
    </w:p>
    <w:p>
      <w:pPr>
        <w:pStyle w:val="Normal"/>
        <w:widowControl w:val="false"/>
        <w:spacing w:lineRule="exact" w:line="202" w:before="4966" w:after="0"/>
        <w:ind w:left="0" w:right="0" w:hanging="0"/>
        <w:jc w:val="both"/>
        <w:rPr/>
      </w:pPr>
      <w:r>
        <mc:AlternateContent>
          <mc:Choice Requires="wpg">
            <w:drawing>
              <wp:anchor behindDoc="0" distT="0" distB="0" distL="0" distR="0" simplePos="0" locked="0" layoutInCell="1" allowOverlap="1" relativeHeight="62">
                <wp:simplePos x="0" y="0"/>
                <wp:positionH relativeFrom="column">
                  <wp:posOffset>0</wp:posOffset>
                </wp:positionH>
                <wp:positionV relativeFrom="paragraph">
                  <wp:posOffset>71120</wp:posOffset>
                </wp:positionV>
                <wp:extent cx="6047740" cy="3154045"/>
                <wp:effectExtent l="0" t="0" r="0" b="0"/>
                <wp:wrapTopAndBottom/>
                <wp:docPr id="108" name="Formulier9"/>
                <a:graphic xmlns:a="http://schemas.openxmlformats.org/drawingml/2006/main">
                  <a:graphicData uri="http://schemas.microsoft.com/office/word/2010/wordprocessingGroup">
                    <wpg:wgp>
                      <wpg:cNvGrpSpPr/>
                      <wpg:grpSpPr>
                        <a:xfrm>
                          <a:off x="0" y="0"/>
                          <a:ext cx="6047280" cy="3153240"/>
                        </a:xfrm>
                      </wpg:grpSpPr>
                      <pic:pic xmlns:pic="http://schemas.openxmlformats.org/drawingml/2006/picture">
                        <pic:nvPicPr>
                          <pic:cNvPr id="11" name="" descr=""/>
                          <pic:cNvPicPr/>
                        </pic:nvPicPr>
                        <pic:blipFill>
                          <a:blip r:embed="rId112"/>
                          <a:stretch/>
                        </pic:blipFill>
                        <pic:spPr>
                          <a:xfrm>
                            <a:off x="272880" y="357480"/>
                            <a:ext cx="5774040" cy="2601000"/>
                          </a:xfrm>
                          <a:prstGeom prst="rect">
                            <a:avLst/>
                          </a:prstGeom>
                          <a:ln>
                            <a:noFill/>
                          </a:ln>
                        </pic:spPr>
                      </pic:pic>
                      <wps:wsp>
                        <wps:cNvSpPr/>
                        <wps:spPr>
                          <a:xfrm>
                            <a:off x="404640" y="0"/>
                            <a:ext cx="5614560" cy="800640"/>
                          </a:xfrm>
                          <a:prstGeom prst="rect">
                            <a:avLst/>
                          </a:prstGeom>
                          <a:noFill/>
                          <a:ln>
                            <a:noFill/>
                          </a:ln>
                        </wps:spPr>
                        <wps:style>
                          <a:lnRef idx="0"/>
                          <a:fillRef idx="0"/>
                          <a:effectRef idx="0"/>
                          <a:fontRef idx="minor"/>
                        </wps:style>
                        <wps:txb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EVALUATIE VAN HET BELANG VAN HET „ITALIAANSE PANEL VOOR DE CONFERENTIE OVER DE TOEKOMST VAN EUROPA”</w:t>
                              </w:r>
                            </w:p>
                          </w:txbxContent>
                        </wps:txbx>
                        <wps:bodyPr lIns="90000" rIns="90000" tIns="45000" bIns="45000">
                          <a:noAutofit/>
                        </wps:bodyPr>
                      </wps:wsp>
                      <wps:wsp>
                        <wps:cNvSpPr/>
                        <wps:spPr>
                          <a:xfrm>
                            <a:off x="47160" y="497160"/>
                            <a:ext cx="2207880" cy="275040"/>
                          </a:xfrm>
                          <a:prstGeom prst="rect">
                            <a:avLst/>
                          </a:prstGeom>
                          <a:noFill/>
                          <a:ln>
                            <a:noFill/>
                          </a:ln>
                        </wps:spPr>
                        <wps:style>
                          <a:lnRef idx="0"/>
                          <a:fillRef idx="0"/>
                          <a:effectRef idx="0"/>
                          <a:fontRef idx="minor"/>
                        </wps:style>
                        <wps:txbx>
                          <w:txbxContent>
                            <w:p>
                              <w:pPr>
                                <w:spacing w:before="0" w:after="0" w:lineRule="auto" w:line="240"/>
                                <w:ind w:hanging="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Zou vaker moeten plaatsvinden</w:t>
                              </w:r>
                            </w:p>
                          </w:txbxContent>
                        </wps:txbx>
                        <wps:bodyPr lIns="90000" rIns="90000" tIns="45000" bIns="45000">
                          <a:noAutofit/>
                        </wps:bodyPr>
                      </wps:wsp>
                      <wps:wsp>
                        <wps:cNvSpPr/>
                        <wps:spPr>
                          <a:xfrm>
                            <a:off x="47160" y="986760"/>
                            <a:ext cx="2207880" cy="484560"/>
                          </a:xfrm>
                          <a:prstGeom prst="rect">
                            <a:avLst/>
                          </a:prstGeom>
                          <a:noFill/>
                          <a:ln>
                            <a:noFill/>
                          </a:ln>
                        </wps:spPr>
                        <wps:style>
                          <a:lnRef idx="0"/>
                          <a:fillRef idx="0"/>
                          <a:effectRef idx="0"/>
                          <a:fontRef idx="minor"/>
                        </wps:style>
                        <wps:txbx>
                          <w:txbxContent>
                            <w:p>
                              <w:pPr>
                                <w:spacing w:before="0" w:after="0" w:lineRule="auto" w:line="240"/>
                                <w:ind w:hanging="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Is nuttig om de stem van de burgers in de Europese instellingen te laten horen</w:t>
                              </w:r>
                            </w:p>
                          </w:txbxContent>
                        </wps:txbx>
                        <wps:bodyPr lIns="90000" rIns="90000" tIns="45000" bIns="45000">
                          <a:noAutofit/>
                        </wps:bodyPr>
                      </wps:wsp>
                      <wps:wsp>
                        <wps:cNvSpPr/>
                        <wps:spPr>
                          <a:xfrm>
                            <a:off x="47160" y="1492920"/>
                            <a:ext cx="2207880" cy="353160"/>
                          </a:xfrm>
                          <a:prstGeom prst="rect">
                            <a:avLst/>
                          </a:prstGeom>
                          <a:noFill/>
                          <a:ln>
                            <a:noFill/>
                          </a:ln>
                        </wps:spPr>
                        <wps:style>
                          <a:lnRef idx="0"/>
                          <a:fillRef idx="0"/>
                          <a:effectRef idx="0"/>
                          <a:fontRef idx="minor"/>
                        </wps:style>
                        <wps:txbx>
                          <w:txbxContent>
                            <w:p>
                              <w:pPr>
                                <w:spacing w:before="0" w:after="0" w:lineRule="auto" w:line="240"/>
                                <w:ind w:hanging="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Kan een positieve bijdrage leveren aan de verbetering van de toekomst van Europa</w:t>
                              </w:r>
                            </w:p>
                          </w:txbxContent>
                        </wps:txbx>
                        <wps:bodyPr lIns="90000" rIns="90000" tIns="45000" bIns="45000">
                          <a:noAutofit/>
                        </wps:bodyPr>
                      </wps:wsp>
                      <wps:wsp>
                        <wps:cNvSpPr/>
                        <wps:spPr>
                          <a:xfrm>
                            <a:off x="0" y="1972800"/>
                            <a:ext cx="2208600" cy="353160"/>
                          </a:xfrm>
                          <a:prstGeom prst="rect">
                            <a:avLst/>
                          </a:prstGeom>
                          <a:noFill/>
                          <a:ln>
                            <a:noFill/>
                          </a:ln>
                        </wps:spPr>
                        <wps:style>
                          <a:lnRef idx="0"/>
                          <a:fillRef idx="0"/>
                          <a:effectRef idx="0"/>
                          <a:fontRef idx="minor"/>
                        </wps:style>
                        <wps:txbx>
                          <w:txbxContent>
                            <w:p>
                              <w:pPr>
                                <w:spacing w:before="0" w:after="0" w:lineRule="auto" w:line="240"/>
                                <w:ind w:hanging="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De Europese instellingen dichter bij de burgers brengen</w:t>
                              </w:r>
                            </w:p>
                          </w:txbxContent>
                        </wps:txbx>
                        <wps:bodyPr lIns="90000" rIns="90000" tIns="45000" bIns="45000">
                          <a:noAutofit/>
                        </wps:bodyPr>
                      </wps:wsp>
                      <wps:wsp>
                        <wps:cNvSpPr/>
                        <wps:spPr>
                          <a:xfrm>
                            <a:off x="0" y="2409120"/>
                            <a:ext cx="2208600" cy="736560"/>
                          </a:xfrm>
                          <a:prstGeom prst="rect">
                            <a:avLst/>
                          </a:prstGeom>
                          <a:noFill/>
                          <a:ln>
                            <a:noFill/>
                          </a:ln>
                        </wps:spPr>
                        <wps:style>
                          <a:lnRef idx="0"/>
                          <a:fillRef idx="0"/>
                          <a:effectRef idx="0"/>
                          <a:fontRef idx="minor"/>
                        </wps:style>
                        <wps:txbx>
                          <w:txbxContent>
                            <w:p>
                              <w:pPr>
                                <w:spacing w:before="0" w:after="0" w:lineRule="auto" w:line="240"/>
                                <w:ind w:hanging="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Was een verspilling van tijd</w:t>
                              </w:r>
                            </w:p>
                          </w:txbxContent>
                        </wps:txbx>
                        <wps:bodyPr lIns="90000" rIns="90000" tIns="45000" bIns="45000">
                          <a:noAutofit/>
                        </wps:bodyPr>
                      </wps:wsp>
                      <wps:wsp>
                        <wps:cNvSpPr/>
                        <wps:spPr>
                          <a:xfrm>
                            <a:off x="527760" y="2738160"/>
                            <a:ext cx="859680" cy="353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Helemaal mee eens</w:t>
                              </w:r>
                            </w:p>
                          </w:txbxContent>
                        </wps:txbx>
                        <wps:bodyPr lIns="90000" rIns="90000" tIns="45000" bIns="45000">
                          <a:noAutofit/>
                        </wps:bodyPr>
                      </wps:wsp>
                      <wps:wsp>
                        <wps:cNvSpPr/>
                        <wps:spPr>
                          <a:xfrm>
                            <a:off x="1548000" y="2711520"/>
                            <a:ext cx="778680" cy="353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Ik ben het er liever mee eens.</w:t>
                              </w:r>
                            </w:p>
                          </w:txbxContent>
                        </wps:txbx>
                        <wps:bodyPr lIns="90000" rIns="90000" tIns="45000" bIns="45000">
                          <a:noAutofit/>
                        </wps:bodyPr>
                      </wps:wsp>
                      <wps:wsp>
                        <wps:cNvSpPr/>
                        <wps:spPr>
                          <a:xfrm>
                            <a:off x="2504520" y="2755800"/>
                            <a:ext cx="1288440" cy="353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Geen overeenkomst en geen overeenkomst</w:t>
                              </w:r>
                            </w:p>
                          </w:txbxContent>
                        </wps:txbx>
                        <wps:bodyPr lIns="90000" rIns="90000" tIns="45000" bIns="45000">
                          <a:noAutofit/>
                        </wps:bodyPr>
                      </wps:wsp>
                      <wps:wsp>
                        <wps:cNvSpPr/>
                        <wps:spPr>
                          <a:xfrm>
                            <a:off x="3935160" y="2729880"/>
                            <a:ext cx="859680" cy="353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Ik ben het er niet mee eens.</w:t>
                              </w:r>
                            </w:p>
                          </w:txbxContent>
                        </wps:txbx>
                        <wps:bodyPr lIns="90000" rIns="90000" tIns="45000" bIns="45000">
                          <a:noAutofit/>
                        </wps:bodyPr>
                      </wps:wsp>
                      <wps:wsp>
                        <wps:cNvSpPr/>
                        <wps:spPr>
                          <a:xfrm>
                            <a:off x="5044320" y="2800440"/>
                            <a:ext cx="859680" cy="353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Ik ben het er helemaal niet mee eens.</w:t>
                              </w:r>
                            </w:p>
                          </w:txbxContent>
                        </wps:txbx>
                        <wps:bodyPr lIns="90000" rIns="90000" tIns="45000" bIns="45000">
                          <a:noAutofit/>
                        </wps:bodyPr>
                      </wps:wsp>
                    </wpg:wgp>
                  </a:graphicData>
                </a:graphic>
              </wp:anchor>
            </w:drawing>
          </mc:Choice>
          <mc:Fallback>
            <w:pict>
              <v:group id="shape_0" alt="Formulier9" style="position:absolute;margin-left:0pt;margin-top:5.6pt;width:476.15pt;height:248.3pt" coordorigin="0,112" coordsize="9523,4966">
                <v:shape id="shape_0" stroked="f" style="position:absolute;left:430;top:675;width:9092;height:4095" type="shapetype_75">
                  <v:imagedata r:id="rId112" o:detectmouseclick="t"/>
                  <w10:wrap type="none"/>
                  <v:stroke color="#3465a4" joinstyle="round" endcap="flat"/>
                </v:shape>
                <v:rect id="shape_0" stroked="f" style="position:absolute;left:637;top:112;width:8841;height:1260">
                  <v:textbo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EVALUATIE VAN HET BELANG VAN HET „ITALIAANSE PANEL VOOR DE CONFERENTIE OVER DE TOEKOMST VAN EUROPA”</w:t>
                        </w:r>
                      </w:p>
                    </w:txbxContent>
                  </v:textbox>
                  <w10:wrap type="square"/>
                  <v:fill o:detectmouseclick="t" on="false"/>
                  <v:stroke color="#3465a4" joinstyle="round" endcap="flat"/>
                </v:rect>
                <v:rect id="shape_0" stroked="f" style="position:absolute;left:74;top:895;width:3476;height:432">
                  <v:textbox>
                    <w:txbxContent>
                      <w:p>
                        <w:pPr>
                          <w:spacing w:before="0" w:after="0" w:lineRule="auto" w:line="240"/>
                          <w:ind w:hanging="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Zou vaker moeten plaatsvinden</w:t>
                        </w:r>
                      </w:p>
                    </w:txbxContent>
                  </v:textbox>
                  <w10:wrap type="square"/>
                  <v:fill o:detectmouseclick="t" on="false"/>
                  <v:stroke color="#3465a4" joinstyle="round" endcap="flat"/>
                </v:rect>
                <v:rect id="shape_0" stroked="f" style="position:absolute;left:74;top:1666;width:3476;height:762">
                  <v:textbox>
                    <w:txbxContent>
                      <w:p>
                        <w:pPr>
                          <w:spacing w:before="0" w:after="0" w:lineRule="auto" w:line="240"/>
                          <w:ind w:hanging="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Is nuttig om de stem van de burgers in de Europese instellingen te laten horen</w:t>
                        </w:r>
                      </w:p>
                    </w:txbxContent>
                  </v:textbox>
                  <w10:wrap type="square"/>
                  <v:fill o:detectmouseclick="t" on="false"/>
                  <v:stroke color="#3465a4" joinstyle="round" endcap="flat"/>
                </v:rect>
                <v:rect id="shape_0" stroked="f" style="position:absolute;left:74;top:2463;width:3476;height:555">
                  <v:textbox>
                    <w:txbxContent>
                      <w:p>
                        <w:pPr>
                          <w:spacing w:before="0" w:after="0" w:lineRule="auto" w:line="240"/>
                          <w:ind w:hanging="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Kan een positieve bijdrage leveren aan de verbetering van de toekomst van Europa</w:t>
                        </w:r>
                      </w:p>
                    </w:txbxContent>
                  </v:textbox>
                  <w10:wrap type="square"/>
                  <v:fill o:detectmouseclick="t" on="false"/>
                  <v:stroke color="#3465a4" joinstyle="round" endcap="flat"/>
                </v:rect>
                <v:rect id="shape_0" stroked="f" style="position:absolute;left:0;top:3219;width:3477;height:555">
                  <v:textbox>
                    <w:txbxContent>
                      <w:p>
                        <w:pPr>
                          <w:spacing w:before="0" w:after="0" w:lineRule="auto" w:line="240"/>
                          <w:ind w:hanging="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De Europese instellingen dichter bij de burgers brengen</w:t>
                        </w:r>
                      </w:p>
                    </w:txbxContent>
                  </v:textbox>
                  <w10:wrap type="square"/>
                  <v:fill o:detectmouseclick="t" on="false"/>
                  <v:stroke color="#3465a4" joinstyle="round" endcap="flat"/>
                </v:rect>
                <v:rect id="shape_0" stroked="f" style="position:absolute;left:0;top:3906;width:3477;height:1159">
                  <v:textbox>
                    <w:txbxContent>
                      <w:p>
                        <w:pPr>
                          <w:spacing w:before="0" w:after="0" w:lineRule="auto" w:line="240"/>
                          <w:ind w:hanging="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Was een verspilling van tijd</w:t>
                        </w:r>
                      </w:p>
                    </w:txbxContent>
                  </v:textbox>
                  <w10:wrap type="square"/>
                  <v:fill o:detectmouseclick="t" on="false"/>
                  <v:stroke color="#3465a4" joinstyle="round" endcap="flat"/>
                </v:rect>
                <v:rect id="shape_0" stroked="f" style="position:absolute;left:831;top:4424;width:1353;height:55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Helemaal mee eens</w:t>
                        </w:r>
                      </w:p>
                    </w:txbxContent>
                  </v:textbox>
                  <w10:wrap type="square"/>
                  <v:fill o:detectmouseclick="t" on="false"/>
                  <v:stroke color="#3465a4" joinstyle="round" endcap="flat"/>
                </v:rect>
                <v:rect id="shape_0" stroked="f" style="position:absolute;left:2438;top:4382;width:1225;height:55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Ik ben het er liever mee eens.</w:t>
                        </w:r>
                      </w:p>
                    </w:txbxContent>
                  </v:textbox>
                  <w10:wrap type="square"/>
                  <v:fill o:detectmouseclick="t" on="false"/>
                  <v:stroke color="#3465a4" joinstyle="round" endcap="flat"/>
                </v:rect>
                <v:rect id="shape_0" stroked="f" style="position:absolute;left:3944;top:4452;width:2028;height:55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Geen overeenkomst en geen overeenkomst</w:t>
                        </w:r>
                      </w:p>
                    </w:txbxContent>
                  </v:textbox>
                  <w10:wrap type="square"/>
                  <v:fill o:detectmouseclick="t" on="false"/>
                  <v:stroke color="#3465a4" joinstyle="round" endcap="flat"/>
                </v:rect>
                <v:rect id="shape_0" stroked="f" style="position:absolute;left:6197;top:4411;width:1353;height:55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Ik ben het er niet mee eens.</w:t>
                        </w:r>
                      </w:p>
                    </w:txbxContent>
                  </v:textbox>
                  <w10:wrap type="square"/>
                  <v:fill o:detectmouseclick="t" on="false"/>
                  <v:stroke color="#3465a4" joinstyle="round" endcap="flat"/>
                </v:rect>
                <v:rect id="shape_0" stroked="f" style="position:absolute;left:7944;top:4522;width:1353;height:55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Ik ben het er helemaal niet mee eens.</w:t>
                        </w:r>
                      </w:p>
                    </w:txbxContent>
                  </v:textbox>
                  <w10:wrap type="square"/>
                  <v:fill o:detectmouseclick="t" on="false"/>
                  <v:stroke color="#3465a4" joinstyle="round" endcap="flat"/>
                </v:rect>
              </v:group>
            </w:pict>
          </mc:Fallback>
        </mc:AlternateContent>
      </w:r>
      <w:r>
        <w:rPr>
          <w:color w:val="000000"/>
        </w:rPr>
        <w:t>Alle deelnemers gaven aan dat als een dergelijk initiatief opnieuw zou worden georganiseerd, ze niet alleen bereid zouden zijn om deel te nemen, maar ook hun vrienden zouden aanbevelen om deel te nemen.</w:t>
      </w:r>
    </w:p>
    <w:p>
      <w:pPr>
        <w:pStyle w:val="Normal"/>
        <w:widowControl w:val="false"/>
        <w:spacing w:lineRule="exact" w:line="393"/>
        <w:ind w:left="0" w:right="0" w:hanging="0"/>
        <w:jc w:val="left"/>
        <w:rPr>
          <w:rFonts w:ascii="Arial" w:hAnsi="Arial"/>
          <w:color w:val="000000"/>
          <w:sz w:val="24"/>
        </w:rPr>
      </w:pPr>
      <w:r>
        <w:rPr>
          <w:color w:val="000000"/>
          <w:sz w:val="24"/>
        </w:rPr>
      </w:r>
      <w:r>
        <w:br w:type="page"/>
      </w:r>
    </w:p>
    <w:p>
      <w:pPr>
        <w:pStyle w:val="Titre1"/>
        <w:numPr>
          <w:ilvl w:val="0"/>
          <w:numId w:val="2"/>
        </w:numPr>
        <w:rPr/>
      </w:pPr>
      <w:bookmarkStart w:id="234" w:name="__RefHeading___Toc298382_1346298689"/>
      <w:bookmarkEnd w:id="234"/>
      <w:r>
        <w:rPr/>
        <w:t>II E nationale panels: Litouwen</w:t>
      </w:r>
    </w:p>
    <w:p>
      <w:pPr>
        <w:pStyle w:val="P68B1DB1Normal95"/>
        <w:widowControl w:val="false"/>
        <w:spacing w:lineRule="exact" w:line="393"/>
        <w:ind w:left="0" w:right="0" w:hanging="0"/>
        <w:jc w:val="left"/>
        <w:rPr>
          <w:rFonts w:ascii="Arial" w:hAnsi="Arial"/>
          <w:color w:val="5A5A5A"/>
          <w:sz w:val="28"/>
        </w:rPr>
      </w:pPr>
      <w:r>
        <w:rPr/>
        <w:t xml:space="preserve">Litouws burgerpanel over de toekomst van Europa </w:t>
      </w:r>
    </w:p>
    <w:p>
      <w:pPr>
        <w:pStyle w:val="P68B1DB1Normal95"/>
        <w:widowControl w:val="false"/>
        <w:spacing w:lineRule="exact" w:line="460"/>
        <w:ind w:left="4320" w:right="0" w:hanging="0"/>
        <w:jc w:val="left"/>
        <w:rPr>
          <w:rFonts w:ascii="Arial" w:hAnsi="Arial"/>
          <w:color w:val="5A5A5A"/>
          <w:sz w:val="28"/>
        </w:rPr>
      </w:pPr>
      <w:r>
        <w:rPr/>
        <w:t xml:space="preserve">Verslag </w:t>
      </w:r>
    </w:p>
    <w:p>
      <w:pPr>
        <w:pStyle w:val="P68B1DB1Normal76"/>
        <w:widowControl w:val="false"/>
        <w:spacing w:lineRule="exact" w:line="227" w:before="87" w:after="0"/>
        <w:ind w:left="0" w:right="2" w:hanging="0"/>
        <w:jc w:val="both"/>
        <w:rPr/>
      </w:pPr>
      <w:r>
        <w:rPr/>
        <w:t xml:space="preserve">Dit verslag bestaat uit vier delen. De eerste geeft een kort overzicht van de voortgang van het evenement. De tweede schetst de aanbevelingen van de deelnemers aan het burgerpanel voor het EU- en Litouwse beleid. De derde geeft een korte analyse van de discussies in de groepen en de belangrijkste resultaten van het forum. De vierde vergelijkt de resultaten van het burgerpanel met die van Litouwse burgerenquêtes over de staat en de toekomst van Europa. </w:t>
      </w:r>
    </w:p>
    <w:p>
      <w:pPr>
        <w:pStyle w:val="P68B1DB1Normal96"/>
        <w:widowControl w:val="false"/>
        <w:spacing w:lineRule="exact" w:line="517" w:before="188" w:after="0"/>
        <w:ind w:left="0" w:right="0" w:hanging="0"/>
        <w:jc w:val="left"/>
        <w:rPr/>
      </w:pPr>
      <w:r>
        <w:rPr>
          <w:rFonts w:ascii="Calibri" w:hAnsi="Calibri"/>
        </w:rPr>
        <w:t>1.</w:t>
      </w:r>
      <w:r>
        <w:rPr/>
        <w:t xml:space="preserve"> </w:t>
      </w:r>
      <w:r>
        <w:rPr>
          <w:rFonts w:ascii="Calibri" w:hAnsi="Calibri"/>
        </w:rPr>
        <w:t>Gedrag van het Nationaal Burgerpanel</w:t>
      </w:r>
    </w:p>
    <w:p>
      <w:pPr>
        <w:pStyle w:val="Normal"/>
        <w:widowControl w:val="false"/>
        <w:spacing w:lineRule="exact" w:line="253" w:before="95" w:after="0"/>
        <w:ind w:left="0" w:right="0" w:hanging="0"/>
        <w:jc w:val="both"/>
        <w:rPr/>
      </w:pPr>
      <w:r>
        <w:rPr>
          <w:color w:val="000000"/>
        </w:rPr>
        <w:t>Overeenkomstig de richtsnoeren voor de organisatie van nationale burgerpanels in het kader van de conferentie over de toekomst van Europa heeft het onderzoeksinstituut Kantar TNS LT in december 2021 op verzoek van het ministerie van Buitenlandse Zaken (MAE) een gestratificeerde steekproef van een representatieve steekproef van de Litouwse bevolking ontwikkeld, op basis waarvan Kantar TNS 25 Litouwse burgers van 18 tot 65 jaar heeft geselecteerd die verschillende sociaal-economische groepen en alle geografische regio’s van Litouwen vertegenwoordigen</w:t>
      </w:r>
      <w:r>
        <w:rPr>
          <w:rStyle w:val="Ancredenotedebasdepage"/>
          <w:rStyle w:val="Ancredenotedebasdepage"/>
          <w:color w:val="000000"/>
          <w:sz w:val="14"/>
        </w:rPr>
        <w:footnoteReference w:id="16"/>
      </w:r>
      <w:r>
        <w:rPr>
          <w:color w:val="000000"/>
        </w:rPr>
        <w:t xml:space="preserve">. </w:t>
      </w:r>
    </w:p>
    <w:p>
      <w:pPr>
        <w:pStyle w:val="P68B1DB1Normal76"/>
        <w:widowControl w:val="false"/>
        <w:spacing w:lineRule="exact" w:line="253"/>
        <w:ind w:left="0" w:right="1" w:hanging="0"/>
        <w:jc w:val="both"/>
        <w:rPr/>
      </w:pPr>
      <w:r>
        <w:rPr/>
        <w:t xml:space="preserve">Op 4 januari werden de geselecteerde burgers uitgenodigd voor een virtuele introductiesessie waarin het idee van het nationale burgerpanel werd gepresenteerd en er uitwisselingen werden gehouden over de onderwerpen die het meest relevant zijn voor de toekomst van Europa. Aan het einde van het evenement ontvingen de deelnemers een achtergrondnota met een gedetailleerde beschrijving van de besproken onderwerpen en informatiebronnen. </w:t>
      </w:r>
    </w:p>
    <w:p>
      <w:pPr>
        <w:pStyle w:val="P68B1DB1Normal76"/>
        <w:widowControl w:val="false"/>
        <w:spacing w:lineRule="exact" w:line="253"/>
        <w:ind w:left="0" w:right="2" w:hanging="0"/>
        <w:jc w:val="both"/>
        <w:rPr/>
      </w:pPr>
      <w:r>
        <w:rPr/>
        <w:t xml:space="preserve">Op 15 januari werd een panel van nationale burgers over de toekomst van Europa gehouden in het EAB, georganiseerd door het EAB Oost-Europa Studiecentrum (RESC) en het Kantar TNS LT-peilinginstituut, waaraan 25 geselecteerde burgers rechtstreeks deelnamen. </w:t>
      </w:r>
    </w:p>
    <w:p>
      <w:pPr>
        <w:pStyle w:val="P68B1DB1Normal76"/>
        <w:widowControl w:val="false"/>
        <w:spacing w:lineRule="exact" w:line="362"/>
        <w:ind w:left="0" w:right="0" w:hanging="0"/>
        <w:jc w:val="left"/>
        <w:rPr>
          <w:rFonts w:ascii="Arial" w:hAnsi="Arial"/>
          <w:color w:val="000000"/>
          <w:sz w:val="22"/>
        </w:rPr>
      </w:pPr>
      <w:r>
        <w:rPr/>
        <w:t xml:space="preserve"> </w:t>
      </w:r>
    </w:p>
    <w:p>
      <w:pPr>
        <w:pStyle w:val="P68B1DB1Normal76"/>
        <w:widowControl w:val="false"/>
        <w:spacing w:lineRule="exact" w:line="253"/>
        <w:ind w:left="0" w:right="0" w:hanging="0"/>
        <w:jc w:val="both"/>
        <w:rPr/>
      </w:pPr>
      <w:r>
        <w:rPr/>
        <w:t xml:space="preserve">De deelnemers bespraken twee kwesties in verband met het EU-beleid: </w:t>
      </w:r>
      <w:r>
        <w:rPr>
          <w:b/>
        </w:rPr>
        <w:t>de rol en bevoegdheden van de EU op het gebied van het buitenlands beleid</w:t>
      </w:r>
      <w:r>
        <w:rPr/>
        <w:t xml:space="preserve"> en </w:t>
      </w:r>
      <w:r>
        <w:rPr>
          <w:b/>
        </w:rPr>
        <w:t>de economische rol van de EU</w:t>
      </w:r>
      <w:r>
        <w:rPr/>
        <w:t>.</w:t>
      </w:r>
      <w:r>
        <w:rPr>
          <w:b/>
        </w:rPr>
        <w:t xml:space="preserve"> </w:t>
      </w:r>
      <w:r>
        <w:rPr/>
        <w:t xml:space="preserve">Tijdens dit evenement was elk van deze kwesties het onderwerp van een afzonderlijke sessie aan het begin waarvan de EU-beleidsdeskundigen Linas Kojala (RESC) en Ramūnas Vilpišauskas (professor aan de universiteit van Vilnius) burgers kort kennis hebben genomen met de actualiteit en kwesties van het onderwerp van de zitting. Tijdens de discussie konden burgers vragen stellen en hun standpunten delen. Na de presentaties van deskundigen werden de deelnemers verdeeld in drie kleinere representatieve groepen om na te denken over een ander onderwerp met betrekking tot het thema van de sessie. De besproken kwesties op het gebied van buitenlands beleid waren als volgt: </w:t>
      </w:r>
    </w:p>
    <w:p>
      <w:pPr>
        <w:pStyle w:val="P68B1DB1Normal76"/>
        <w:widowControl w:val="false"/>
        <w:spacing w:lineRule="exact" w:line="253"/>
        <w:ind w:left="720" w:right="1" w:hanging="0"/>
        <w:jc w:val="left"/>
        <w:rPr/>
      </w:pPr>
      <w:r>
        <w:rPr>
          <w:b/>
        </w:rPr>
        <w:t>1.1.</w:t>
      </w:r>
      <w:r>
        <w:rPr/>
        <w:t xml:space="preserve"> Is er behoefte aan een autonoom defensie- en buitenlands beleid van de EU?</w:t>
      </w:r>
    </w:p>
    <w:p>
      <w:pPr>
        <w:pStyle w:val="P68B1DB1Normal76"/>
        <w:widowControl w:val="false"/>
        <w:spacing w:lineRule="exact" w:line="253"/>
        <w:ind w:left="720" w:right="1" w:hanging="0"/>
        <w:jc w:val="left"/>
        <w:rPr/>
      </w:pPr>
      <w:r>
        <w:rPr>
          <w:b/>
        </w:rPr>
        <w:t>1.2.</w:t>
      </w:r>
      <w:r>
        <w:rPr/>
        <w:t xml:space="preserve"> Wat moeten de betrekkingen van de EU zijn met haar Oost-Europese buurlanden, Noord-Afrika en Turkije? </w:t>
      </w:r>
    </w:p>
    <w:p>
      <w:pPr>
        <w:pStyle w:val="P68B1DB1Normal76"/>
        <w:widowControl w:val="false"/>
        <w:spacing w:lineRule="exact" w:line="379"/>
        <w:ind w:left="720" w:right="0" w:hanging="0"/>
        <w:jc w:val="left"/>
        <w:rPr/>
      </w:pPr>
      <w:r>
        <w:rPr>
          <w:b/>
        </w:rPr>
        <w:t>1.3.</w:t>
      </w:r>
      <w:r>
        <w:rPr/>
        <w:t xml:space="preserve"> Wat moet het migratiebeleid van de EU zijn? </w:t>
      </w:r>
    </w:p>
    <w:p>
      <w:pPr>
        <w:pStyle w:val="P68B1DB1Normal76"/>
        <w:widowControl w:val="false"/>
        <w:spacing w:lineRule="exact" w:line="254"/>
        <w:ind w:left="0" w:right="0" w:hanging="0"/>
        <w:jc w:val="left"/>
        <w:rPr/>
      </w:pPr>
      <w:r>
        <w:rPr/>
        <w:t xml:space="preserve">De zitting over de economische rol van de EU heeft aanleiding gegeven tot reflectie over de volgende kwesties: </w:t>
      </w:r>
    </w:p>
    <w:p>
      <w:pPr>
        <w:pStyle w:val="P68B1DB1Normal76"/>
        <w:widowControl w:val="false"/>
        <w:spacing w:lineRule="exact" w:line="254"/>
        <w:ind w:left="720" w:right="0" w:hanging="0"/>
        <w:jc w:val="left"/>
        <w:rPr/>
      </w:pPr>
      <w:r>
        <w:rPr>
          <w:b/>
        </w:rPr>
        <w:t xml:space="preserve">2.1. </w:t>
      </w:r>
      <w:r>
        <w:rPr/>
        <w:t xml:space="preserve">Is er behoefte aan een grotere herverdeling van middelen uit de EU-begroting, uit de gemeenschappelijke schuld van de EU? </w:t>
      </w:r>
    </w:p>
    <w:p>
      <w:pPr>
        <w:pStyle w:val="P68B1DB1Normal76"/>
        <w:widowControl w:val="false"/>
        <w:spacing w:lineRule="exact" w:line="379"/>
        <w:ind w:left="720" w:right="0" w:hanging="0"/>
        <w:jc w:val="left"/>
        <w:rPr/>
      </w:pPr>
      <w:r>
        <w:rPr>
          <w:b/>
        </w:rPr>
        <w:t xml:space="preserve">2.2. </w:t>
      </w:r>
      <w:r>
        <w:rPr/>
        <w:t>Moeten sociale normen op EU-niveau worden gereguleerd?</w:t>
      </w:r>
      <w:r>
        <w:rPr>
          <w:b/>
        </w:rPr>
        <w:t xml:space="preserve"> </w:t>
      </w:r>
    </w:p>
    <w:p>
      <w:pPr>
        <w:pStyle w:val="P68B1DB1Normal76"/>
        <w:widowControl w:val="false"/>
        <w:spacing w:lineRule="exact" w:line="379"/>
        <w:ind w:left="720" w:right="0" w:hanging="0"/>
        <w:jc w:val="left"/>
        <w:rPr/>
      </w:pPr>
      <w:r>
        <w:rPr>
          <w:b/>
        </w:rPr>
        <w:t>2.3.</w:t>
      </w:r>
      <w:r>
        <w:rPr/>
        <w:t xml:space="preserve"> Hoe kan de EU-economie worden versterkt? </w:t>
      </w:r>
    </w:p>
    <w:p>
      <w:pPr>
        <w:pStyle w:val="P68B1DB1Normal76"/>
        <w:widowControl w:val="false"/>
        <w:spacing w:lineRule="auto" w:line="240"/>
        <w:ind w:left="0" w:right="0" w:hanging="0"/>
        <w:jc w:val="both"/>
        <w:rPr/>
      </w:pPr>
      <w:r>
        <w:rPr/>
        <w:t xml:space="preserve">Aan het einde van de zitting moest elke groep de belangrijkste conclusies van de discussie formuleren, principiële verklaringen of concrete voorstellen doen over EU-beleidskwesties. Tijdens de discussie met het hele panel presenteerde de vertegenwoordiger van elke groep deze bevindingen aan de andere deelnemers. Degenen die in andere groepen waren geweest, waren in staat om vragen te stellen en de voorstellen af te ronden met hun ideeën. Na de presentaties en debatten stemden de burgers elk twee van deze conclusies, met een stem voor het belangrijkste voorstel of de verklaring voor de rol van Litouwen bij de versterking van de EU en het succes van de EU, zelfs in heel Europa; en de andere stemmen voor de verklaring of het voorstel dat ze op persoonlijke titel het belangrijkst lijken, in hun belang als inwoner van de EU. Na deze stemming vond in het panel een debat plaats en werden de belangrijkste ideeën uit de discussies besproken. </w:t>
      </w:r>
    </w:p>
    <w:p>
      <w:pPr>
        <w:pStyle w:val="P68B1DB1Normal76"/>
        <w:widowControl w:val="false"/>
        <w:spacing w:lineRule="auto" w:line="240"/>
        <w:ind w:left="0" w:right="0" w:hanging="0"/>
        <w:jc w:val="both"/>
        <w:rPr/>
      </w:pPr>
      <w:r>
        <w:rPr/>
        <w:t xml:space="preserve">In de week na het evenement hebben deskundigen de inhoud van de discussies onderzocht en de essentie van de door de burgers voorgestelde ideeën aan het licht gebracht. Op 25 januari werd een virtuele samenvatting gehouden en werden aanbevelingen uit de inhoud van hun discussies gedeeld met burgers. De burgers kregen de gelegenheid te zeggen of zij de aanbevelingen goedkeurden, deze inhoud aan te vullen en te evalueren. Alle deelnemers kregen deze kans een week na de samenvatting opnieuw en stuurden hun meningen en opmerkingen schriftelijk naar de organisatoren van het panel. </w:t>
      </w:r>
    </w:p>
    <w:p>
      <w:pPr>
        <w:pStyle w:val="P68B1DB1Normal97"/>
        <w:widowControl w:val="false"/>
        <w:spacing w:lineRule="auto" w:line="240"/>
        <w:ind w:left="0" w:right="0" w:hanging="0"/>
        <w:jc w:val="left"/>
        <w:rPr>
          <w:rFonts w:ascii="Garamond" w:hAnsi="Garamond"/>
          <w:color w:val="000000"/>
          <w:sz w:val="22"/>
        </w:rPr>
      </w:pPr>
      <w:r>
        <w:rPr/>
        <w:t xml:space="preserve"> </w:t>
      </w:r>
    </w:p>
    <w:p>
      <w:pPr>
        <w:pStyle w:val="P68B1DB1Normal98"/>
        <w:widowControl w:val="false"/>
        <w:spacing w:lineRule="auto" w:line="240" w:before="82" w:after="0"/>
        <w:ind w:left="0" w:right="0" w:hanging="0"/>
        <w:jc w:val="left"/>
        <w:rPr/>
      </w:pPr>
      <w:r>
        <w:rPr/>
        <w:t xml:space="preserve">2. </w:t>
      </w:r>
      <w:r>
        <w:rPr>
          <w:i/>
        </w:rPr>
        <w:t>Resultaten van het Nationaal Burgerpanel</w:t>
      </w:r>
      <w:r>
        <w:rPr/>
        <w:t xml:space="preserve"> </w:t>
      </w:r>
    </w:p>
    <w:p>
      <w:pPr>
        <w:pStyle w:val="P68B1DB1Normal76"/>
        <w:widowControl w:val="false"/>
        <w:spacing w:lineRule="auto" w:line="240" w:before="70" w:after="0"/>
        <w:ind w:left="0" w:right="1" w:hanging="0"/>
        <w:jc w:val="both"/>
        <w:rPr/>
      </w:pPr>
      <w:r>
        <w:rPr/>
        <w:t xml:space="preserve">Dit deel van het verslag toont de resultaten van het burgerpanel, met de aanbevelingen van de deelnemers aan de werkgroepen en hun standpunten over de rol van de EU in het buitenlands beleid en de economie. </w:t>
      </w:r>
    </w:p>
    <w:p>
      <w:pPr>
        <w:pStyle w:val="P68B1DB1Normal76"/>
        <w:widowControl w:val="false"/>
        <w:spacing w:lineRule="auto" w:line="240"/>
        <w:ind w:left="0" w:right="0" w:hanging="0"/>
        <w:jc w:val="left"/>
        <w:rPr>
          <w:rFonts w:ascii="Arial" w:hAnsi="Arial"/>
          <w:color w:val="000000"/>
          <w:sz w:val="22"/>
        </w:rPr>
      </w:pPr>
      <w:r>
        <w:rPr/>
        <w:t xml:space="preserve"> </w:t>
      </w:r>
    </w:p>
    <w:p>
      <w:pPr>
        <w:pStyle w:val="P68B1DB1Normal76"/>
        <w:widowControl w:val="false"/>
        <w:spacing w:lineRule="auto" w:line="240"/>
        <w:ind w:left="0" w:right="0" w:hanging="0"/>
        <w:jc w:val="left"/>
        <w:rPr/>
      </w:pPr>
      <w:r>
        <w:rPr>
          <w:b/>
        </w:rPr>
        <w:t>Eerste sessie:</w:t>
      </w:r>
      <w:r>
        <w:rPr/>
        <w:t xml:space="preserve"> </w:t>
      </w:r>
      <w:r>
        <w:rPr>
          <w:b/>
        </w:rPr>
        <w:t>rol en bevoegdheden van de EU in het buitenlands beleid</w:t>
      </w:r>
    </w:p>
    <w:p>
      <w:pPr>
        <w:pStyle w:val="P68B1DB1Normal99"/>
        <w:widowControl w:val="false"/>
        <w:spacing w:lineRule="auto" w:line="240" w:before="39" w:after="0"/>
        <w:ind w:left="468" w:right="0" w:hanging="0"/>
        <w:jc w:val="left"/>
        <w:rPr/>
      </w:pPr>
      <w:r>
        <w:rPr/>
        <w:t xml:space="preserve">1. Wij roepen de EU op een doeltreffender beleid ten aanzien van China te ontwikkelen. Litouwen moet resoluuter worden gesteund, maar het moet zijn standpunt ook beter afstemmen op dat van de partners van de EU. Om ervoor te zorgen dat de belangen binnen de EU beter kunnen worden gebalanceerd en dat er slechts één beleid ten aanzien van China en andere kwesties op het gebied van buitenlands beleid bestaat, raden wij aan na te gaan of er een EU-minister van Buitenlandse Zaken kan worden opgericht. </w:t>
      </w:r>
    </w:p>
    <w:p>
      <w:pPr>
        <w:pStyle w:val="P68B1DB1Normal99"/>
        <w:widowControl w:val="false"/>
        <w:spacing w:lineRule="auto" w:line="240" w:before="78" w:after="0"/>
        <w:ind w:left="468" w:right="341" w:hanging="0"/>
        <w:jc w:val="left"/>
        <w:rPr/>
      </w:pPr>
      <w:r>
        <w:rPr/>
        <w:t xml:space="preserve">2. Wij raden aan de kwestie van migrantenquota op EU-niveau op de agenda te plaatsen. </w:t>
      </w:r>
    </w:p>
    <w:p>
      <w:pPr>
        <w:pStyle w:val="P68B1DB1Normal99"/>
        <w:widowControl w:val="false"/>
        <w:spacing w:lineRule="auto" w:line="240" w:before="78" w:after="0"/>
        <w:ind w:left="468" w:right="0" w:hanging="0"/>
        <w:jc w:val="left"/>
        <w:rPr/>
      </w:pPr>
      <w:r>
        <w:rPr/>
        <w:t>3. Wij raden aan op EU-niveau een speciaal comité op te richten om migratiekwesties aan te pakken, die een snellere respons op migratiecrises en het recht van de lidstaten om hun nationale belangen uit te leggen en verdedigen, en gemeenschappelijke richtsnoeren voor migratiebeheer zou ontwikkelen en uitvoeren.</w:t>
      </w:r>
    </w:p>
    <w:p>
      <w:pPr>
        <w:pStyle w:val="P68B1DB1Normal99"/>
        <w:widowControl w:val="false"/>
        <w:spacing w:lineRule="auto" w:line="240" w:before="78" w:after="0"/>
        <w:ind w:left="468" w:right="0" w:hanging="0"/>
        <w:jc w:val="left"/>
        <w:rPr/>
      </w:pPr>
      <w:r>
        <w:rPr/>
        <w:t xml:space="preserve">4. Wij raden aan de economische en humanitaire banden met de landen van Noord-Afrika te versterken, zonder de politieke realiteit uit het oog te verliezen, met name om de invloed van China, Rusland en andere staten in de regio te verminderen. </w:t>
      </w:r>
    </w:p>
    <w:p>
      <w:pPr>
        <w:pStyle w:val="P68B1DB1Normal99"/>
        <w:widowControl w:val="false"/>
        <w:spacing w:lineRule="auto" w:line="240" w:before="78" w:after="0"/>
        <w:ind w:left="468" w:right="466" w:hanging="0"/>
        <w:jc w:val="left"/>
        <w:rPr/>
      </w:pPr>
      <w:r>
        <w:rPr/>
        <w:t xml:space="preserve">5. Wij raden aan de banden met Oost-Europa te versterken en economische maatregelen op persoonlijk niveau aan te moedigen. </w:t>
      </w:r>
    </w:p>
    <w:p>
      <w:pPr>
        <w:pStyle w:val="P68B1DB1Normal99"/>
        <w:widowControl w:val="false"/>
        <w:spacing w:lineRule="auto" w:line="240" w:before="78" w:after="0"/>
        <w:ind w:left="468" w:right="286" w:hanging="0"/>
        <w:jc w:val="left"/>
        <w:rPr/>
      </w:pPr>
      <w:r>
        <w:rPr/>
        <w:t xml:space="preserve">6. Wij dringen erop aan dat de sancties die door de EU aan buitenlandse actoren worden opgelegd, strenger en doelgerichter zijn en betrekking hebben op belangrijke figuren van de gesanctioneerde staat (bv. politieke leiders). </w:t>
      </w:r>
    </w:p>
    <w:p>
      <w:pPr>
        <w:pStyle w:val="P68B1DB1Normal99"/>
        <w:widowControl w:val="false"/>
        <w:spacing w:lineRule="auto" w:line="240" w:before="78" w:after="0"/>
        <w:ind w:left="466" w:right="295" w:hanging="0"/>
        <w:jc w:val="left"/>
        <w:rPr/>
      </w:pPr>
      <w:r>
        <w:rPr/>
        <w:t>7. Wij dringen erop aan dat het gemeenschappelijk buitenlands en veiligheidsbeleid van de EU gebaseerd is op het fundamentele beginsel van solidariteit tussen de verschillende EU-lidstaten en de verschillende Europese regio’s en samenlevingen.</w:t>
      </w:r>
    </w:p>
    <w:p>
      <w:pPr>
        <w:pStyle w:val="P68B1DB1Normal99"/>
        <w:widowControl w:val="false"/>
        <w:spacing w:lineRule="auto" w:line="240" w:before="78" w:after="0"/>
        <w:ind w:left="466" w:right="295" w:hanging="0"/>
        <w:jc w:val="left"/>
        <w:rPr/>
      </w:pPr>
      <w:r>
        <w:rPr/>
        <w:t xml:space="preserve">8. Wij raden de EU aan om het beleid van openheid inzake migratie, dat veiligheidsproblemen, een toename van criminaliteit en de oprichting van het communitarisme in de samenleving veroorzaakt, te herzien. </w:t>
      </w:r>
    </w:p>
    <w:p>
      <w:pPr>
        <w:pStyle w:val="P68B1DB1Normal99"/>
        <w:widowControl w:val="false"/>
        <w:spacing w:lineRule="auto" w:line="240" w:before="78" w:after="0"/>
        <w:ind w:left="468" w:right="0" w:hanging="0"/>
        <w:jc w:val="left"/>
        <w:rPr/>
      </w:pPr>
      <w:r>
        <w:rPr/>
        <w:t xml:space="preserve">9. We nodigen Litouwen uit actiever te spreken over migratiebeleidskwesties en discussies over migratiegerelateerde kwesties op gang te brengen. </w:t>
      </w:r>
    </w:p>
    <w:p>
      <w:pPr>
        <w:pStyle w:val="P68B1DB1Normal99"/>
        <w:widowControl w:val="false"/>
        <w:spacing w:lineRule="auto" w:line="240" w:before="78" w:after="0"/>
        <w:ind w:left="468" w:right="0" w:hanging="0"/>
        <w:jc w:val="left"/>
        <w:rPr>
          <w:rFonts w:ascii="Arial" w:hAnsi="Arial"/>
          <w:color w:val="000000"/>
          <w:sz w:val="20"/>
        </w:rPr>
      </w:pPr>
      <w:r>
        <w:rPr/>
        <w:t xml:space="preserve">10. Wij raden de EU aan een actief en rigoureus beleid te voeren ten aanzien van staten die migratiestromen als wapen gebruiken bij hybride aanvallen: enerzijds door strengere sancties toe te passen en anderzijds door een dialoog met hen met het oog op de escalatie. </w:t>
      </w:r>
    </w:p>
    <w:p>
      <w:pPr>
        <w:pStyle w:val="P68B1DB1Normal100"/>
        <w:widowControl w:val="false"/>
        <w:spacing w:lineRule="auto" w:line="240" w:before="111" w:after="0"/>
        <w:ind w:left="0" w:right="0" w:hanging="0"/>
        <w:jc w:val="left"/>
        <w:rPr>
          <w:rFonts w:ascii="Arial" w:hAnsi="Arial"/>
          <w:b/>
          <w:b/>
          <w:i/>
          <w:i/>
          <w:color w:val="000000"/>
          <w:sz w:val="22"/>
        </w:rPr>
      </w:pPr>
      <w:r>
        <w:rPr/>
        <w:t xml:space="preserve"> </w:t>
      </w:r>
    </w:p>
    <w:p>
      <w:pPr>
        <w:pStyle w:val="P68B1DB1Normal100"/>
        <w:widowControl w:val="false"/>
        <w:spacing w:lineRule="auto" w:line="240"/>
        <w:ind w:left="0" w:right="0" w:hanging="0"/>
        <w:jc w:val="left"/>
        <w:rPr>
          <w:rFonts w:ascii="Arial" w:hAnsi="Arial"/>
          <w:b/>
          <w:b/>
          <w:i/>
          <w:i/>
          <w:color w:val="000000"/>
          <w:sz w:val="22"/>
        </w:rPr>
      </w:pPr>
      <w:r>
        <w:rPr/>
        <w:t xml:space="preserve">Tweede zitting: de economische rol van de EU </w:t>
      </w:r>
    </w:p>
    <w:p>
      <w:pPr>
        <w:pStyle w:val="P68B1DB1Normal99"/>
        <w:widowControl w:val="false"/>
        <w:spacing w:lineRule="auto" w:line="240"/>
        <w:ind w:left="828" w:right="142" w:hanging="359"/>
        <w:jc w:val="both"/>
        <w:rPr/>
      </w:pPr>
      <w:r>
        <w:rPr/>
        <w:t xml:space="preserve">1. Wij raden de EU aan de voorzieningszekerheid van essentiële goederen op verschillende manieren te versterken: prioriteit geven aan de interne handel van de EU, de productie van geavanceerde technologieën bevorderen en de invoerbronnen verder diversifiëren. We raden ook aan om nieuwe exportmarkten te verkennen. </w:t>
      </w:r>
    </w:p>
    <w:p>
      <w:pPr>
        <w:pStyle w:val="P68B1DB1Normal99"/>
        <w:widowControl w:val="false"/>
        <w:spacing w:lineRule="auto" w:line="240" w:before="83" w:after="0"/>
        <w:ind w:left="828" w:right="143" w:hanging="359"/>
        <w:jc w:val="both"/>
        <w:rPr/>
      </w:pPr>
      <w:r>
        <w:rPr/>
        <w:t xml:space="preserve">2. Wij raden aan de onderhandelingspraktijken van aardgascontracten te herzien, met het oog op zowel korte- als langetermijncontracten. Wij raden verdere diversificatie van de energievoorziening aan. </w:t>
      </w:r>
    </w:p>
    <w:p>
      <w:pPr>
        <w:pStyle w:val="P68B1DB1Normal99"/>
        <w:widowControl w:val="false"/>
        <w:spacing w:lineRule="auto" w:line="240" w:before="83" w:after="0"/>
        <w:ind w:left="828" w:right="143" w:hanging="359"/>
        <w:jc w:val="both"/>
        <w:rPr/>
      </w:pPr>
      <w:r>
        <w:rPr/>
        <w:t xml:space="preserve">3. Wij bevelen aan de Green Deal-maatregelen en de uitvoering ervan te beoordelen, rekening houdend met de mogelijke negatieve sociaal-economische gevolgen. Om de doelstellingen van de Green Deal te verwezenlijken, raden wij aan om naast het gebruik van hernieuwbare energiebronnen ook kernenergie en aardgas te gebruiken. </w:t>
      </w:r>
    </w:p>
    <w:p>
      <w:pPr>
        <w:pStyle w:val="P68B1DB1Normal99"/>
        <w:widowControl w:val="false"/>
        <w:spacing w:lineRule="auto" w:line="240" w:before="83" w:after="0"/>
        <w:ind w:left="828" w:right="143" w:hanging="359"/>
        <w:jc w:val="both"/>
        <w:rPr/>
      </w:pPr>
      <w:r>
        <w:rPr/>
        <w:t xml:space="preserve">4. Wij benadrukken dat het bijzonder belangrijk is dat alle lidstaten het beginsel van voorrang van het EU-recht eerbiedigen. Wij vragen bij wijze van voorbeeld dat Litouwen een duidelijk principieel standpunt over deze kwestie heeft. </w:t>
      </w:r>
    </w:p>
    <w:p>
      <w:pPr>
        <w:pStyle w:val="P68B1DB1Normal99"/>
        <w:widowControl w:val="false"/>
        <w:spacing w:lineRule="auto" w:line="240" w:before="83" w:after="0"/>
        <w:ind w:left="828" w:right="142" w:hanging="359"/>
        <w:jc w:val="both"/>
        <w:rPr/>
      </w:pPr>
      <w:r>
        <w:rPr/>
        <w:t>5. Wij raden Litouwen aan actiever gebruik te maken van goede praktijken uit EU-landen met het oog op hogere sociale normen, economische expansie en evenwichtige en duurzame ontwikkeling.</w:t>
      </w:r>
    </w:p>
    <w:p>
      <w:pPr>
        <w:pStyle w:val="P68B1DB1Normal99"/>
        <w:widowControl w:val="false"/>
        <w:spacing w:lineRule="auto" w:line="240" w:before="83" w:after="0"/>
        <w:ind w:left="828" w:right="142" w:hanging="359"/>
        <w:jc w:val="both"/>
        <w:rPr/>
      </w:pPr>
      <w:r>
        <w:rPr/>
        <w:t xml:space="preserve">6. We raden aan om meer aandacht te besteden aan het versterken van cyberbeveiliging, evenals de bescherming van gegevens en infrastructuur. </w:t>
      </w:r>
    </w:p>
    <w:p>
      <w:pPr>
        <w:pStyle w:val="P68B1DB1Normal99"/>
        <w:widowControl w:val="false"/>
        <w:spacing w:lineRule="auto" w:line="240" w:before="83" w:after="0"/>
        <w:ind w:left="821" w:right="143" w:hanging="354"/>
        <w:jc w:val="both"/>
        <w:rPr/>
      </w:pPr>
      <w:r>
        <w:rPr/>
        <w:t xml:space="preserve">7. Wij raden de EU en de lidstaten aan prioriteit te geven aan de ontwikkeling van economische basiskennis onder burgers, onderwijs en informatieverspreiding. </w:t>
      </w:r>
    </w:p>
    <w:p>
      <w:pPr>
        <w:pStyle w:val="P68B1DB1Normal99"/>
        <w:widowControl w:val="false"/>
        <w:spacing w:lineRule="auto" w:line="240" w:before="45" w:after="0"/>
        <w:ind w:left="821" w:right="143" w:hanging="354"/>
        <w:jc w:val="both"/>
        <w:rPr/>
      </w:pPr>
      <w:r>
        <w:rPr/>
        <w:t xml:space="preserve">8. Wij bevelen aan dat in de nieuwe handelsovereenkomsten van de EU ambitieuze sociale, arbeids- en gezondheidsnormen worden opgenomen. Wij raden aan om op EU-niveau richtsnoeren op te stellen over wat wel en niet het recht heeft om socialemediaplatforms te doen die de persoonsgegevens van consumenten en informatie over hen beheren. </w:t>
      </w:r>
    </w:p>
    <w:p>
      <w:pPr>
        <w:pStyle w:val="P68B1DB1Normal99"/>
        <w:widowControl w:val="false"/>
        <w:spacing w:lineRule="auto" w:line="240" w:before="42" w:after="0"/>
        <w:ind w:left="821" w:right="143" w:hanging="354"/>
        <w:jc w:val="both"/>
        <w:rPr/>
      </w:pPr>
      <w:r>
        <w:rPr/>
        <w:t>9. Wij adviseren verder na te denken over de mogelijkheid van gezamenlijke leningen op EU-niveau om de best mogelijke leningsvoorwaarden te verkrijgen. We raden ook aan een financieel verantwoord en verantwoord beleid te ontwikkelen om de behoefte aan schuldenlast voor de lidstaten te verminderen.</w:t>
      </w:r>
    </w:p>
    <w:p>
      <w:pPr>
        <w:pStyle w:val="P68B1DB1Normal99"/>
        <w:widowControl w:val="false"/>
        <w:spacing w:lineRule="auto" w:line="240" w:before="42" w:after="0"/>
        <w:ind w:left="821" w:right="143" w:hanging="354"/>
        <w:jc w:val="both"/>
        <w:rPr/>
      </w:pPr>
      <w:r>
        <w:rPr/>
        <w:t>10. We raden aan het toezicht op de absorptie en het gebruik van EU-middelen te versterken en lokale overheden te helpen een echte praktijk op te zetten om het gebruik van middelen aan te passen. Aangezien de objectieve situatie van begunstigden van EU-middelen kan veranderen, is de koppeling tussen transparantie- en flexibiliteitsvereisten van bijzonder belang.</w:t>
      </w:r>
    </w:p>
    <w:p>
      <w:pPr>
        <w:pStyle w:val="P68B1DB1Normal99"/>
        <w:widowControl w:val="false"/>
        <w:spacing w:lineRule="auto" w:line="240" w:before="42" w:after="0"/>
        <w:ind w:left="821" w:right="143" w:hanging="354"/>
        <w:jc w:val="both"/>
        <w:rPr/>
      </w:pPr>
      <w:r>
        <w:rPr/>
        <w:t xml:space="preserve">11. Wij raden Litouwen aan om de economische ontwikkeling en investeringen in de regio’s van het land actief te blijven bevorderen. </w:t>
      </w:r>
    </w:p>
    <w:p>
      <w:pPr>
        <w:pStyle w:val="P68B1DB1Normal35"/>
        <w:widowControl w:val="false"/>
        <w:spacing w:lineRule="auto" w:line="240" w:before="62" w:after="0"/>
        <w:ind w:left="0" w:right="0" w:hanging="0"/>
        <w:jc w:val="left"/>
        <w:rPr>
          <w:rFonts w:ascii="Arial" w:hAnsi="Arial"/>
          <w:b/>
          <w:b/>
          <w:color w:val="000000"/>
          <w:sz w:val="22"/>
        </w:rPr>
      </w:pPr>
      <w:r>
        <w:rPr/>
        <w:t xml:space="preserve"> </w:t>
      </w:r>
    </w:p>
    <w:p>
      <w:pPr>
        <w:pStyle w:val="P68B1DB1Normal96"/>
        <w:widowControl w:val="false"/>
        <w:spacing w:lineRule="auto" w:line="240" w:before="16" w:after="0"/>
        <w:ind w:left="720" w:right="0" w:hanging="0"/>
        <w:jc w:val="left"/>
        <w:rPr/>
      </w:pPr>
      <w:r>
        <w:rPr/>
        <w:t xml:space="preserve">3. Discussies in het Nationaal Burgerpanel en analyse van de resultaten </w:t>
      </w:r>
    </w:p>
    <w:p>
      <w:pPr>
        <w:pStyle w:val="P68B1DB1Normal76"/>
        <w:widowControl w:val="false"/>
        <w:spacing w:lineRule="auto" w:line="240" w:before="46" w:after="0"/>
        <w:ind w:left="0" w:right="29" w:hanging="0"/>
        <w:jc w:val="both"/>
        <w:rPr/>
      </w:pPr>
      <w:r>
        <w:rPr/>
        <w:t xml:space="preserve">De deelnemers aan het nationale burgerpanel bespraken de belangrijkste actuele kwesties voor Litouwen (voornamelijk besproken op nationaal niveau op politiek en mediagebied) en hoe deze aan te pakken. Uit de algemene stemming over de belangrijkste conclusies van het panel bleek dat bijna 45 % van alle stemmen die tijdens de twee zittingen werden uitgebracht, waren gewijd aan voorstellen over twee thema’s: betrekkingen met China en beheersing van migratiestromen (zie onderstaande tabel). Het thema van het energiebeleid heeft ook veel aandacht gekregen. Het was het onderwerp van slechts één voorstel, maar kreeg de stemmen van bijna 10 % van de deelnemers. Het resultaat van deze stemmingen suggereert dat de perceptie van de burgers van de toekomst van Europa beslissend zou kunnen zijn voor de huidige politieke kwesties en nieuws (op nationaal niveau). </w:t>
      </w:r>
    </w:p>
    <w:p>
      <w:pPr>
        <w:pStyle w:val="P68B1DB1Normal76"/>
        <w:widowControl w:val="false"/>
        <w:spacing w:lineRule="auto" w:line="240"/>
        <w:ind w:left="0" w:right="0" w:hanging="0"/>
        <w:jc w:val="left"/>
        <w:rPr>
          <w:rFonts w:ascii="Arial" w:hAnsi="Arial"/>
          <w:color w:val="000000"/>
          <w:sz w:val="22"/>
        </w:rPr>
      </w:pPr>
      <w:r>
        <w:rPr/>
        <w:t xml:space="preserve"> </w:t>
      </w:r>
    </w:p>
    <w:tbl>
      <w:tblPr>
        <w:tblW w:w="9638"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175"/>
        <w:gridCol w:w="7779"/>
        <w:gridCol w:w="374"/>
        <w:gridCol w:w="1310"/>
      </w:tblGrid>
      <w:tr>
        <w:trPr>
          <w:trHeight w:val="236" w:hRule="atLeast"/>
        </w:trPr>
        <w:tc>
          <w:tcPr>
            <w:tcW w:w="79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1"/>
              <w:spacing w:before="57" w:after="57"/>
              <w:jc w:val="left"/>
              <w:rPr>
                <w:rFonts w:ascii="Garamond" w:hAnsi="Garamond"/>
                <w:b/>
                <w:b/>
                <w:color w:val="000000"/>
              </w:rPr>
            </w:pPr>
            <w:r>
              <w:rPr/>
              <w:t>Aanbeveling</w:t>
            </w:r>
          </w:p>
        </w:tc>
        <w:tc>
          <w:tcPr>
            <w:tcW w:w="16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1"/>
              <w:spacing w:before="57" w:after="57"/>
              <w:jc w:val="left"/>
              <w:rPr>
                <w:rFonts w:ascii="Garamond" w:hAnsi="Garamond"/>
                <w:b/>
                <w:b/>
                <w:color w:val="000000"/>
              </w:rPr>
            </w:pPr>
            <w:r>
              <w:rPr/>
              <w:t>Stem</w:t>
            </w:r>
          </w:p>
        </w:tc>
      </w:tr>
      <w:tr>
        <w:trPr>
          <w:trHeight w:val="251" w:hRule="atLeast"/>
        </w:trPr>
        <w:tc>
          <w:tcPr>
            <w:tcW w:w="175" w:type="dxa"/>
            <w:tcBorders>
              <w:top w:val="single" w:sz="2" w:space="0" w:color="000001"/>
              <w:left w:val="single" w:sz="2" w:space="0" w:color="000001"/>
              <w:bottom w:val="single" w:sz="2" w:space="0" w:color="000001"/>
              <w:insideH w:val="single" w:sz="2" w:space="0" w:color="000001"/>
            </w:tcBorders>
            <w:shd w:fill="C0C0C0" w:val="clear"/>
            <w:tcMar>
              <w:right w:w="0" w:type="dxa"/>
            </w:tcMar>
            <w:vAlign w:val="center"/>
          </w:tcPr>
          <w:p>
            <w:pPr>
              <w:pStyle w:val="Contenudetableau"/>
              <w:spacing w:before="57" w:after="57"/>
              <w:rPr>
                <w:color w:val="000000"/>
              </w:rPr>
            </w:pPr>
            <w:r>
              <w:rPr>
                <w:color w:val="000000"/>
              </w:rPr>
            </w:r>
          </w:p>
        </w:tc>
        <w:tc>
          <w:tcPr>
            <w:tcW w:w="8153" w:type="dxa"/>
            <w:gridSpan w:val="2"/>
            <w:tcBorders>
              <w:top w:val="single" w:sz="2" w:space="0" w:color="000001"/>
              <w:bottom w:val="single" w:sz="2" w:space="0" w:color="000001"/>
              <w:insideH w:val="single" w:sz="2" w:space="0" w:color="000001"/>
            </w:tcBorders>
            <w:shd w:fill="C0C0C0" w:val="clear"/>
            <w:tcMar>
              <w:left w:w="0" w:type="dxa"/>
              <w:right w:w="0" w:type="dxa"/>
            </w:tcMar>
            <w:vAlign w:val="center"/>
          </w:tcPr>
          <w:p>
            <w:pPr>
              <w:pStyle w:val="P68B1DB1Contenudetableau101"/>
              <w:spacing w:before="57" w:after="57"/>
              <w:jc w:val="left"/>
              <w:rPr>
                <w:rFonts w:ascii="Garamond" w:hAnsi="Garamond"/>
                <w:b/>
                <w:b/>
                <w:color w:val="000000"/>
              </w:rPr>
            </w:pPr>
            <w:r>
              <w:rPr/>
              <w:t>Eerste sessie: rol en bevoegdheden van de EU in het buitenlands beleid</w:t>
            </w:r>
          </w:p>
        </w:tc>
        <w:tc>
          <w:tcPr>
            <w:tcW w:w="1310" w:type="dxa"/>
            <w:tcBorders>
              <w:top w:val="single" w:sz="2" w:space="0" w:color="000001"/>
              <w:bottom w:val="single" w:sz="2" w:space="0" w:color="000001"/>
              <w:right w:val="single" w:sz="2" w:space="0" w:color="000001"/>
              <w:insideH w:val="single" w:sz="2" w:space="0" w:color="000001"/>
              <w:insideV w:val="single" w:sz="2" w:space="0" w:color="000001"/>
            </w:tcBorders>
            <w:shd w:fill="C0C0C0" w:val="clear"/>
            <w:tcMar>
              <w:left w:w="0" w:type="dxa"/>
            </w:tcMar>
            <w:vAlign w:val="center"/>
          </w:tcPr>
          <w:p>
            <w:pPr>
              <w:pStyle w:val="Contenudetableau"/>
              <w:spacing w:before="57" w:after="57"/>
              <w:rPr>
                <w:color w:val="000000"/>
              </w:rPr>
            </w:pPr>
            <w:r>
              <w:rPr>
                <w:color w:val="000000"/>
              </w:rPr>
            </w:r>
          </w:p>
        </w:tc>
      </w:tr>
      <w:tr>
        <w:trPr>
          <w:trHeight w:val="1541" w:hRule="atLeast"/>
        </w:trPr>
        <w:tc>
          <w:tcPr>
            <w:tcW w:w="79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t xml:space="preserve">1. Wij roepen de EU op een doeltreffender beleid ten aanzien van China te ontwikkelen. De huidige steun voor Litouwen is niet voldoende, maar Litouwen heeft zijn standpunt ook onvoldoende afgestemd op dat van de EU-partners. Om ervoor te zorgen dat de belangen binnen de EU beter kunnen worden gebalanceerd en dat er slechts één beleid ten aanzien van China en andere kwesties op het gebied van buitenlands beleid bestaat, raden wij aan na te gaan of er een EU-minister van Buitenlandse Zaken kan worden opgericht. </w:t>
            </w:r>
          </w:p>
        </w:tc>
        <w:tc>
          <w:tcPr>
            <w:tcW w:w="16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t>11 (22,9 %) belangrijk voor heel Europa: 8; op persoonlijke titel: 3</w:t>
            </w:r>
          </w:p>
        </w:tc>
      </w:tr>
      <w:tr>
        <w:trPr>
          <w:trHeight w:val="791" w:hRule="atLeast"/>
        </w:trPr>
        <w:tc>
          <w:tcPr>
            <w:tcW w:w="79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t xml:space="preserve">2. Wij raden aan de kwestie van migrantenquota op EU-niveau op de agenda te plaatsen. </w:t>
            </w:r>
          </w:p>
        </w:tc>
        <w:tc>
          <w:tcPr>
            <w:tcW w:w="16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t xml:space="preserve">9 (18,8 %) belangrijk voor heel Europa: 9 </w:t>
            </w:r>
          </w:p>
        </w:tc>
      </w:tr>
      <w:tr>
        <w:trPr/>
        <w:tc>
          <w:tcPr>
            <w:tcW w:w="79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right w:w="0" w:type="dxa"/>
            </w:tcMar>
            <w:vAlign w:val="center"/>
          </w:tcPr>
          <w:p>
            <w:pPr>
              <w:pStyle w:val="P68B1DB1Contenudetableau102"/>
              <w:spacing w:before="57" w:after="57"/>
              <w:jc w:val="left"/>
              <w:rPr>
                <w:rFonts w:ascii="Garamond" w:hAnsi="Garamond"/>
                <w:color w:val="000000"/>
              </w:rPr>
            </w:pPr>
            <w:r>
              <w:rPr/>
              <w:t xml:space="preserve">3. Wij raden aan op EU-niveau een speciaal comité op te richten om migratiekwesties aan te pakken, die een snellere respons op migratiecrises en het recht van de lidstaten om hun nationale belangen uit te leggen en verdedigen, en gemeenschappelijke richtsnoeren voor migratiebeheer te ontwikkelen en uit te voeren. </w:t>
            </w:r>
          </w:p>
        </w:tc>
        <w:tc>
          <w:tcPr>
            <w:tcW w:w="16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t xml:space="preserve">7 (14,6 %) belangrijk voor heel Europa: 3; op persoonlijke titel: 4 </w:t>
            </w:r>
          </w:p>
        </w:tc>
      </w:tr>
      <w:tr>
        <w:trPr>
          <w:trHeight w:val="806" w:hRule="atLeast"/>
        </w:trPr>
        <w:tc>
          <w:tcPr>
            <w:tcW w:w="79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t xml:space="preserve">4. Wij raden aan de economische en humanitaire banden met de landen van Noord-Afrika te versterken, zonder de politieke realiteit uit het oog te verliezen, met name om de invloed van China, Rusland en andere staten in de regio te verminderen. </w:t>
            </w:r>
          </w:p>
        </w:tc>
        <w:tc>
          <w:tcPr>
            <w:tcW w:w="16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t>6 (12,5 %) belangrijk in persoonlijke hoedanigheid: 6</w:t>
            </w:r>
          </w:p>
        </w:tc>
      </w:tr>
      <w:tr>
        <w:trPr>
          <w:trHeight w:val="791" w:hRule="atLeast"/>
        </w:trPr>
        <w:tc>
          <w:tcPr>
            <w:tcW w:w="79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t>5. Wij raden aan de banden met Oost-Europa te versterken en economische maatregelen op het niveau van de bevolking toe te passen.</w:t>
            </w:r>
          </w:p>
        </w:tc>
        <w:tc>
          <w:tcPr>
            <w:tcW w:w="16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t>5 (10,4 %) persoonlijk belangrijk: 5</w:t>
            </w:r>
          </w:p>
        </w:tc>
      </w:tr>
      <w:tr>
        <w:trPr>
          <w:trHeight w:val="251" w:hRule="atLeast"/>
        </w:trPr>
        <w:tc>
          <w:tcPr>
            <w:tcW w:w="175" w:type="dxa"/>
            <w:tcBorders>
              <w:top w:val="single" w:sz="2" w:space="0" w:color="000001"/>
              <w:left w:val="single" w:sz="2" w:space="0" w:color="000001"/>
              <w:bottom w:val="single" w:sz="2" w:space="0" w:color="000001"/>
              <w:insideH w:val="single" w:sz="2" w:space="0" w:color="000001"/>
            </w:tcBorders>
            <w:shd w:fill="C0C0C0" w:val="clear"/>
            <w:tcMar>
              <w:right w:w="0" w:type="dxa"/>
            </w:tcMar>
            <w:vAlign w:val="center"/>
          </w:tcPr>
          <w:p>
            <w:pPr>
              <w:pStyle w:val="Contenudetableau"/>
              <w:spacing w:before="57" w:after="57"/>
              <w:rPr>
                <w:color w:val="000000"/>
              </w:rPr>
            </w:pPr>
            <w:r>
              <w:rPr>
                <w:color w:val="000000"/>
              </w:rPr>
            </w:r>
          </w:p>
        </w:tc>
        <w:tc>
          <w:tcPr>
            <w:tcW w:w="8153" w:type="dxa"/>
            <w:gridSpan w:val="2"/>
            <w:tcBorders>
              <w:top w:val="single" w:sz="2" w:space="0" w:color="000001"/>
              <w:bottom w:val="single" w:sz="2" w:space="0" w:color="000001"/>
              <w:insideH w:val="single" w:sz="2" w:space="0" w:color="000001"/>
            </w:tcBorders>
            <w:shd w:fill="C0C0C0" w:val="clear"/>
            <w:tcMar>
              <w:left w:w="0" w:type="dxa"/>
              <w:right w:w="0" w:type="dxa"/>
            </w:tcMar>
            <w:vAlign w:val="center"/>
          </w:tcPr>
          <w:p>
            <w:pPr>
              <w:pStyle w:val="P68B1DB1Contenudetableau101"/>
              <w:spacing w:before="57" w:after="57"/>
              <w:jc w:val="left"/>
              <w:rPr>
                <w:rFonts w:ascii="Garamond" w:hAnsi="Garamond"/>
                <w:b/>
                <w:b/>
                <w:color w:val="000000"/>
              </w:rPr>
            </w:pPr>
            <w:r>
              <w:rPr/>
              <w:t xml:space="preserve">Tweede zitting: de economische rol van de EU </w:t>
            </w:r>
          </w:p>
        </w:tc>
        <w:tc>
          <w:tcPr>
            <w:tcW w:w="1310" w:type="dxa"/>
            <w:tcBorders>
              <w:top w:val="single" w:sz="2" w:space="0" w:color="000001"/>
              <w:bottom w:val="single" w:sz="2" w:space="0" w:color="000001"/>
              <w:right w:val="single" w:sz="2" w:space="0" w:color="000001"/>
              <w:insideH w:val="single" w:sz="2" w:space="0" w:color="000001"/>
              <w:insideV w:val="single" w:sz="2" w:space="0" w:color="000001"/>
            </w:tcBorders>
            <w:shd w:fill="C0C0C0" w:val="clear"/>
            <w:tcMar>
              <w:left w:w="0" w:type="dxa"/>
            </w:tcMar>
            <w:vAlign w:val="center"/>
          </w:tcPr>
          <w:p>
            <w:pPr>
              <w:pStyle w:val="Contenudetableau"/>
              <w:spacing w:before="57" w:after="57"/>
              <w:rPr>
                <w:color w:val="000000"/>
              </w:rPr>
            </w:pPr>
            <w:r>
              <w:rPr>
                <w:color w:val="000000"/>
              </w:rPr>
            </w:r>
          </w:p>
        </w:tc>
      </w:tr>
      <w:tr>
        <w:trPr>
          <w:trHeight w:val="1271" w:hRule="atLeast"/>
        </w:trPr>
        <w:tc>
          <w:tcPr>
            <w:tcW w:w="79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t xml:space="preserve">1. Wij raden de EU aan om verschillende maatregelen te nemen om de voorzieningszekerheid van essentiële goederen te verbeteren: prioriteit geven aan de handel binnen de EU, de productie van geavanceerde technologieën in de EU bevorderen en de invoerbronnen verder diversifiëren. We raden ook aan om nieuwe exportmarkten te verkennen. </w:t>
            </w:r>
          </w:p>
        </w:tc>
        <w:tc>
          <w:tcPr>
            <w:tcW w:w="16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t xml:space="preserve">9 (19,6 %) belangrijk voor heel Europa: 3; persoonlijk: 6 </w:t>
            </w:r>
          </w:p>
        </w:tc>
      </w:tr>
      <w:tr>
        <w:trPr>
          <w:trHeight w:val="911" w:hRule="atLeast"/>
        </w:trPr>
        <w:tc>
          <w:tcPr>
            <w:tcW w:w="79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t xml:space="preserve">2. Wij raden aan de onderhandelingspraktijken van aardgascontracten te herzien, met het oog op zowel korte- als langetermijncontracten. Wij raden verdere diversificatie van de energievoorziening aan. </w:t>
            </w:r>
          </w:p>
        </w:tc>
        <w:tc>
          <w:tcPr>
            <w:tcW w:w="16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t>9 (19,6 %) belangrijk voor heel Europa: 9</w:t>
            </w:r>
          </w:p>
        </w:tc>
      </w:tr>
      <w:tr>
        <w:trPr>
          <w:trHeight w:val="1121" w:hRule="atLeast"/>
        </w:trPr>
        <w:tc>
          <w:tcPr>
            <w:tcW w:w="79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t xml:space="preserve">3. Wij bevelen aan de Green Deal-maatregelen en de uitvoering ervan te beoordelen, rekening houdend met de mogelijke negatieve sociaal-economische gevolgen. Om de doelstellingen van de Green Deal te verwezenlijken, raden wij aan om naast het gebruik van hernieuwbare energiebronnen ook kernenergie en aardgas te gebruiken. </w:t>
            </w:r>
          </w:p>
        </w:tc>
        <w:tc>
          <w:tcPr>
            <w:tcW w:w="16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t>6 (13 %) belangrijk in persoonlijke hoedanigheid: 6</w:t>
            </w:r>
          </w:p>
        </w:tc>
      </w:tr>
      <w:tr>
        <w:trPr>
          <w:trHeight w:val="1016" w:hRule="atLeast"/>
        </w:trPr>
        <w:tc>
          <w:tcPr>
            <w:tcW w:w="79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t xml:space="preserve">4. Wij benadrukken dat het belangrijk is dat alle lidstaten het beginsel van voorrang van het EU-recht eerbiedigen. Wij vragen bij wijze van voorbeeld dat Litouwen een duidelijk principieel standpunt over deze kwestie heeft. </w:t>
            </w:r>
          </w:p>
        </w:tc>
        <w:tc>
          <w:tcPr>
            <w:tcW w:w="16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t>4 (8,7 %) belangrijk voor heel Europa: 2; op persoonlijke titel: 2</w:t>
            </w:r>
          </w:p>
        </w:tc>
      </w:tr>
    </w:tbl>
    <w:p>
      <w:pPr>
        <w:pStyle w:val="P68B1DB1Normal97"/>
        <w:spacing w:lineRule="auto" w:line="240"/>
        <w:rPr>
          <w:rFonts w:ascii="Garamond" w:hAnsi="Garamond"/>
          <w:color w:val="000000"/>
          <w:sz w:val="22"/>
        </w:rPr>
      </w:pPr>
      <w:r>
        <w:rPr/>
        <w:t xml:space="preserve"> </w:t>
      </w:r>
    </w:p>
    <w:p>
      <w:pPr>
        <w:pStyle w:val="P68B1DB1Normal76"/>
        <w:widowControl w:val="false"/>
        <w:spacing w:lineRule="auto" w:line="240" w:before="48" w:after="0"/>
        <w:ind w:left="0" w:right="0" w:hanging="0"/>
        <w:jc w:val="both"/>
        <w:rPr/>
      </w:pPr>
      <w:r>
        <w:rPr/>
        <w:t xml:space="preserve">Daarnaast zijn de belangrijkste kwesties voor burgers, namelijk de betrekkingen met China, migratie of energie, tijdelijk: hun resolutie zal een fundamentele impact hebben op de toekomst van Europa op lange termijn. Daarom is de kans dat burgers aan de toekomst denken prioriteit te geven aan wat nu belangrijk is, niet problematisch. Aangezien de opbouw van de toekomst vandaag begint met een veelheid aan kleine stappen, is de perceptie van de verwachtingen van de burgers op korte termijn een essentiële voorwaarde voor een sterke langetermijnbeheersing van processen en het oplossen van problemen. De onderstaande analyse van de belangrijkste resultaten van het panel van nationale burgers is gebaseerd op deze opmerking. </w:t>
      </w:r>
    </w:p>
    <w:p>
      <w:pPr>
        <w:pStyle w:val="P68B1DB1Normal76"/>
        <w:widowControl w:val="false"/>
        <w:spacing w:lineRule="auto" w:line="240"/>
        <w:ind w:left="0" w:right="0" w:hanging="0"/>
        <w:jc w:val="left"/>
        <w:rPr>
          <w:rFonts w:ascii="Arial" w:hAnsi="Arial"/>
          <w:color w:val="000000"/>
          <w:sz w:val="22"/>
        </w:rPr>
      </w:pPr>
      <w:r>
        <w:rPr/>
        <w:t xml:space="preserve"> </w:t>
      </w:r>
    </w:p>
    <w:p>
      <w:pPr>
        <w:pStyle w:val="P68B1DB1Normal76"/>
        <w:spacing w:lineRule="auto" w:line="240"/>
        <w:rPr/>
      </w:pPr>
      <w:r>
        <w:rPr/>
        <w:t>De resolutie met het hoogste aantal stemmen (11 of bijna 12 %) is dat</w:t>
      </w:r>
      <w:r>
        <w:rPr>
          <w:b/>
        </w:rPr>
        <w:t xml:space="preserve"> de EU een doeltreffender beleid ten aanzien van China nodig</w:t>
      </w:r>
      <w:r>
        <w:rPr/>
        <w:t xml:space="preserve"> heeft. Deze algemene conclusie had betrekking op een aantal concretere verklaringen. Ten eerste benadrukten de deelnemers dat de steun van de EU aan Litouwen in het licht van de economische druk van China in dit stadium onvoldoende was geweest. Ten tweede benadrukten de vertegenwoordigers van de groep die de conclusie hebben meegedeeld dat Litouwen zelf meer inspanningen moet leveren om zijn beleid ten aanzien van China te harmoniseren met dat van de partners van de EU, met name omdat het belangrijk is dat de EU als geheel handel blijft drijven met China. Ten derde stelden de burgers dat de coördinatie van de standpunten en de ontwikkeling van een gemeenschappelijk beleid ten aanzien van met name China doeltreffender zouden kunnen zijn als er een EU-minister van Buitenlandse Zaken zou worden opgericht. Acht deelnemers verklaarden deze conclusie bijzonder belangrijk voor heel Europa, en drie anderen verklaarden het belangrijk voor hen in hun persoonlijke hoedanigheid. </w:t>
      </w:r>
    </w:p>
    <w:p>
      <w:pPr>
        <w:pStyle w:val="P68B1DB1Normal76"/>
        <w:widowControl w:val="false"/>
        <w:spacing w:lineRule="auto" w:line="240"/>
        <w:ind w:left="0" w:right="0" w:hanging="0"/>
        <w:jc w:val="left"/>
        <w:rPr>
          <w:rFonts w:ascii="Arial" w:hAnsi="Arial"/>
          <w:color w:val="000000"/>
          <w:sz w:val="22"/>
        </w:rPr>
      </w:pPr>
      <w:r>
        <w:rPr/>
        <w:t xml:space="preserve"> </w:t>
      </w:r>
    </w:p>
    <w:p>
      <w:pPr>
        <w:pStyle w:val="P68B1DB1Normal76"/>
        <w:widowControl w:val="false"/>
        <w:spacing w:lineRule="auto" w:line="240"/>
        <w:ind w:left="0" w:right="0" w:hanging="0"/>
        <w:jc w:val="both"/>
        <w:rPr/>
      </w:pPr>
      <w:r>
        <w:rPr/>
        <w:t xml:space="preserve">De kwestie van de betrekkingen met China is nauw verbonden met twee andere voorstellen met een groot aantal stemmen van de burgers. Negen deelnemers stemden voor de conclusie die tijdens de tweede zitting werd bereikt dat de </w:t>
      </w:r>
      <w:r>
        <w:rPr>
          <w:b/>
        </w:rPr>
        <w:t>EU de voorzieningszekerheid moet versterken</w:t>
      </w:r>
      <w:r>
        <w:rPr/>
        <w:t xml:space="preserve"> (drie deelnemers gaven aan dat dit bijzonder belangrijk is voor heel Europa, en zes anderen dat dit voor hen persoonlijk is). Deze conclusie omvatte ook verschillende aspecten. Ten eerste benadrukten de burgers dat prioriteit moet worden gegeven aan EU-markten die worden gekenmerkt door betrouwbare leveranciers en producten die aan veeleisende normen voldoen. Ten tweede benadrukten de deelnemers de noodzaak om hightechproductiecapaciteit in Europa zelf aan te moedigen. Ten derde spraken de burgers hun steun uit voor een grotere diversificatie van de invoerbronnen. Bij het formuleren van deze aanbevelingen hebben de deelnemers aan de discussie consequent verwezen naar de factor China: veiligheidsbedreigingen met betrekking tot Chinese goederen, vertrouwen op Chinese grondstoffen die nodig zijn om geavanceerde technologieën te produceren, evenals de praktijken van China om technologieën te kopiëren en te stelen van westerse bedrijven die actief zijn op de markt. Het voorstel om</w:t>
      </w:r>
      <w:r>
        <w:rPr>
          <w:b/>
        </w:rPr>
        <w:t xml:space="preserve"> de economische en humanitaire samenwerking van de EU met de landen van Noord-Afrika te ontwikkelen</w:t>
      </w:r>
      <w:r>
        <w:rPr/>
        <w:t xml:space="preserve">, kreeg ook zes stemmen (belangrijk op persoonlijke titel) op grond van het feit dat het in deze regio belangrijk is om de invloed van China, Rusland en andere vriendschappelijke staten te verminderen. </w:t>
      </w:r>
    </w:p>
    <w:p>
      <w:pPr>
        <w:pStyle w:val="P68B1DB1Normal76"/>
        <w:widowControl w:val="false"/>
        <w:spacing w:lineRule="auto" w:line="240"/>
        <w:ind w:left="0" w:right="0" w:hanging="0"/>
        <w:jc w:val="left"/>
        <w:rPr>
          <w:rFonts w:ascii="Arial" w:hAnsi="Arial"/>
          <w:color w:val="000000"/>
          <w:sz w:val="22"/>
        </w:rPr>
      </w:pPr>
      <w:r>
        <w:rPr/>
        <w:t xml:space="preserve"> </w:t>
      </w:r>
    </w:p>
    <w:p>
      <w:pPr>
        <w:pStyle w:val="P68B1DB1Normal76"/>
        <w:widowControl w:val="false"/>
        <w:spacing w:lineRule="auto" w:line="240"/>
        <w:ind w:left="0" w:right="0" w:hanging="0"/>
        <w:jc w:val="both"/>
        <w:rPr/>
      </w:pPr>
      <w:r>
        <w:rPr/>
        <w:t xml:space="preserve">De uitslag van de stemming weerspiegelde ook de bezorgdheid van de burgers over migratiekwesties. Twee van de drie meest uitgesproken bevindingen in het buitenlands beleid waren gewijd aan migratie. Negen deelnemers stemden voor het voorstel om </w:t>
      </w:r>
      <w:r>
        <w:rPr>
          <w:b/>
        </w:rPr>
        <w:t>de EU terug te keren naar de invoering van een systeem van verplichte opvangquota voor migranten voor de lidstaten</w:t>
      </w:r>
      <w:r>
        <w:rPr/>
        <w:t xml:space="preserve"> (allemaal benadrukten dat dit voorstel van bijzonder belang is voor heel Europa). De deelnemers die deze conclusie hebben getrokken, spraken hun steun uit voor de vaststelling van nationale quota op basis van het aantal inwoners en voor medefinanciering door de EU om tegemoet te komen aan de behoeften van migranten op basis van deze quota. Zeven deelnemers stemden nog steeds voor het voorstel </w:t>
      </w:r>
      <w:r>
        <w:rPr>
          <w:b/>
        </w:rPr>
        <w:t>om op EU-niveau een permanente technische commissie op te richten om migratiekwesties aan te pakken, waarbij vertegenwoordigers van de lidstaten zouden worden gedetacheerd</w:t>
      </w:r>
      <w:r>
        <w:rPr/>
        <w:t xml:space="preserve"> (drie deelnemers achten dit voorstel van bijzonder belang voor Europa als geheel, vier vinden het belangrijk voor hen in hun persoonlijke hoedanigheid). De deelnemers benadrukten dat een dergelijk orgaan de EU in staat zou kunnen stellen sneller te reageren op migratiecrises en tegelijkertijd te zorgen voor een evenwicht tussen adequate eerbiediging van de algemene EU-beginselen en het recht van de lidstaten om hun nationale belangen en veiligheid te verdedigen. </w:t>
      </w:r>
    </w:p>
    <w:p>
      <w:pPr>
        <w:pStyle w:val="P68B1DB1Normal76"/>
        <w:widowControl w:val="false"/>
        <w:spacing w:lineRule="auto" w:line="240"/>
        <w:ind w:left="0" w:right="0" w:hanging="0"/>
        <w:jc w:val="left"/>
        <w:rPr>
          <w:rFonts w:ascii="Arial" w:hAnsi="Arial"/>
          <w:color w:val="000000"/>
          <w:sz w:val="22"/>
        </w:rPr>
      </w:pPr>
      <w:r>
        <w:rPr/>
        <w:t xml:space="preserve"> </w:t>
      </w:r>
    </w:p>
    <w:p>
      <w:pPr>
        <w:pStyle w:val="P68B1DB1Normal76"/>
        <w:widowControl w:val="false"/>
        <w:spacing w:lineRule="auto" w:line="240"/>
        <w:ind w:left="0" w:right="0" w:hanging="0"/>
        <w:jc w:val="both"/>
        <w:rPr/>
      </w:pPr>
      <w:r>
        <w:rPr/>
        <w:t xml:space="preserve">Tijdens het debat over het migratiebeleid bespraken de deelnemers twee verschillende crises in het beheer van migratiestromen: in 2016 de migratiecrisis in de Middellandse Zee en in 2012 de hybride aanval van Belarus op Litouwen, Letland en Polen, waarbij Minsk migranten uit het Midden-Oosten en Afrika gebruikte. Een aantal paneldeelnemers zei dat de crisis in 2016 afstandelijk en irrelevant leek, zowel voor Litouwen als voor hen op persoonlijke titel, en het voorstel om een quotastelsel voor migranten op te zetten leek hen niet passend. Volgens de deelnemers heeft de ervaring met de hybride aanval de migratieproblematiek in Oost-Europa dichter bij elkaar gebracht, en gedwongen quota te benaderen als een aangepast, doeltreffend en solidair migratiebeleidsinstrument. Sommige deelnemers wezen erop dat het in het midden van de crisis van 2021 moeilijk was geworden om onderscheid te maken tussen die op het grondgebied van het land, vluchtelingen, migranten en degenen die een bedreiging vormen. Alle deelnemers aan de discussie waren het erover eens dat in het huidige „open” EU-migratiebeleid onvoldoende rekening wordt gehouden met de bedreigingen van migratie, de nationale belangen van de lidstaten, hun vermogen om migranten te integreren, enz. </w:t>
      </w:r>
    </w:p>
    <w:p>
      <w:pPr>
        <w:pStyle w:val="P68B1DB1Normal76"/>
        <w:widowControl w:val="false"/>
        <w:spacing w:lineRule="auto" w:line="240"/>
        <w:ind w:left="0" w:right="0" w:hanging="0"/>
        <w:jc w:val="left"/>
        <w:rPr>
          <w:rFonts w:ascii="Arial" w:hAnsi="Arial"/>
          <w:color w:val="000000"/>
          <w:sz w:val="22"/>
        </w:rPr>
      </w:pPr>
      <w:r>
        <w:rPr/>
        <w:t xml:space="preserve"> </w:t>
      </w:r>
    </w:p>
    <w:p>
      <w:pPr>
        <w:pStyle w:val="P68B1DB1Normal76"/>
        <w:spacing w:lineRule="auto" w:line="240"/>
        <w:jc w:val="both"/>
        <w:rPr/>
      </w:pPr>
      <w:r>
        <w:rPr/>
        <w:t xml:space="preserve">Samengevat kan worden gesteld dat twee elementen van het heetste nieuws van Litouwen in 2021 — de betrekkingen met China en het beheer van migratiestromen — Litouwse burgers aanmoedigen om te eisen dat de EU meer interveniëren en een doeltreffender gemeenschappelijk beleid voeren. Burgers maken zich zorgen over het Chinese beleid en de toenemende invloed ervan in Europa en het nabuurschap van de EU. De economische invloed van China dwingt Europa om passende en evenwichtige beleidsmaatregelen te zoeken. Volgens de burgers is de belangrijkste oplossing om de instrumenten van het gemeenschappelijk buitenlands beleid van de EU, het industriebeleid en de samenwerking met de buurlanden te versterken. Evenzo waren de burgers van mening dat één enkele actie op EU-niveau, evenals een mogelijk nieuw systeem van migratiequota, waarschijnlijk de meest geschikte manier was om te ontsnappen aan de veiligheidsdreigingen van migratie, en om de migratiestromen naar Europa snel en efficiënt te beheersen. Het panel is van mening dat het beste antwoord op de toenemende druk van China en op de hybride aanval van Belarus zou zijn om een diepgaand en versterkt gemeenschappelijk EU-beleid te voeren. </w:t>
      </w:r>
    </w:p>
    <w:p>
      <w:pPr>
        <w:pStyle w:val="P68B1DB1Normal76"/>
        <w:widowControl w:val="false"/>
        <w:spacing w:lineRule="auto" w:line="240"/>
        <w:ind w:left="0" w:right="0" w:hanging="0"/>
        <w:jc w:val="both"/>
        <w:rPr>
          <w:rFonts w:ascii="Arial" w:hAnsi="Arial"/>
          <w:color w:val="000000"/>
          <w:sz w:val="22"/>
        </w:rPr>
      </w:pPr>
      <w:r>
        <w:rPr/>
        <w:t xml:space="preserve"> </w:t>
      </w:r>
    </w:p>
    <w:p>
      <w:pPr>
        <w:pStyle w:val="P68B1DB1Normal76"/>
        <w:widowControl w:val="false"/>
        <w:spacing w:lineRule="auto" w:line="240"/>
        <w:ind w:left="0" w:right="0" w:hanging="0"/>
        <w:jc w:val="both"/>
        <w:rPr/>
      </w:pPr>
      <w:r>
        <w:rPr/>
        <w:t>Dit advies over de in behandeling zijnde crises kan worden vergeleken met de voorstellen van de paneldeelnemers over energie- en klimaatkwesties. Eind 2021 hadden veel Litouwse burgers direct te maken met stijgende verwarmingsprijzen, en de energieprijscrisis bleek al snel een van het belangrijkste nieuws voor Litouwen. De bezorgdheid over de energieprijzen komt ook tot uiting in de stemming van de deelnemers: negen burgers stemden zelfs voor de conclusie dat deze kwestie het belangrijkste is voor heel Europa. De belangrijkste aanbeveling van de deelnemers was</w:t>
      </w:r>
      <w:r>
        <w:rPr>
          <w:b/>
        </w:rPr>
        <w:t xml:space="preserve"> om de huidige praktijk van de lidstaten te herzien door energieleveringscontracten te sluiten met verschillende leveranciers en door ernaar te streven deze op zowel korte als lange termijn te sluiten.</w:t>
      </w:r>
      <w:r>
        <w:rPr/>
        <w:t xml:space="preserve"> Met andere woorden, de burgers steunden het beleid van diversificatie van de energievoorziening, maar deden geen aanbevelingen over het algemene EU-beleid en pleitten niet voor verdere integratie van het energiebeleid. </w:t>
      </w:r>
    </w:p>
    <w:p>
      <w:pPr>
        <w:pStyle w:val="P68B1DB1Normal76"/>
        <w:widowControl w:val="false"/>
        <w:spacing w:lineRule="auto" w:line="240"/>
        <w:ind w:left="0" w:right="0" w:hanging="0"/>
        <w:jc w:val="both"/>
        <w:rPr>
          <w:rFonts w:ascii="Arial" w:hAnsi="Arial"/>
          <w:color w:val="000000"/>
          <w:sz w:val="22"/>
        </w:rPr>
      </w:pPr>
      <w:r>
        <w:rPr/>
        <w:t xml:space="preserve"> </w:t>
      </w:r>
    </w:p>
    <w:p>
      <w:pPr>
        <w:pStyle w:val="P68B1DB1Normal76"/>
        <w:widowControl w:val="false"/>
        <w:spacing w:lineRule="auto" w:line="240"/>
        <w:ind w:left="0" w:right="0" w:hanging="0"/>
        <w:jc w:val="both"/>
        <w:rPr/>
      </w:pPr>
      <w:r>
        <w:rPr/>
        <w:t xml:space="preserve">Wat het klimaatbeleid betreft, hebben burgers aanbevolen </w:t>
      </w:r>
      <w:r>
        <w:rPr>
          <w:b/>
        </w:rPr>
        <w:t>de Green Deal-maatregelen te beoordelen, rekening houdend met de verwachte sociaal-economische impact en ambitie.</w:t>
      </w:r>
      <w:r>
        <w:rPr/>
        <w:t xml:space="preserve"> Dit voorstel kreeg de stem van zes deelnemers, die het op persoonlijke titel belangrijk vonden. Sommige deelnemers uitten hun bezorgdheid over het te snelle tempo van de zogenaamde „groene transitie” en zeiden dat Litouwen zorgvuldiger zou moeten beoordelen of een dergelijk beleid de belangen van het land en zijn burgers zou ondermijnen. Sommige deelnemers herleven ook de noodzaak om niet alleen hernieuwbare energie te gebruiken, maar ook kernenergie en aardgas. Ter ondersteuning van dit standpunt verwees zij naar het besluit van Duitsland om aardgas te blijven gebruiken, evenals het potentieel van „modulaire” kernreactoren van de nieuwe generatie. Wat het klimaatbeleid betreft, heeft het panel daarom prioriteit gegeven aan het beleid van de lidstaten in overeenstemming met de nationale behoeften, en niet een ambitieus gemeenschappelijk EU-beleid inzake klimaatgovernance. </w:t>
      </w:r>
    </w:p>
    <w:p>
      <w:pPr>
        <w:pStyle w:val="P68B1DB1Normal76"/>
        <w:widowControl w:val="false"/>
        <w:spacing w:lineRule="auto" w:line="240"/>
        <w:ind w:left="0" w:right="0" w:hanging="0"/>
        <w:jc w:val="both"/>
        <w:rPr>
          <w:rFonts w:ascii="Arial" w:hAnsi="Arial"/>
          <w:color w:val="000000"/>
          <w:sz w:val="22"/>
        </w:rPr>
      </w:pPr>
      <w:r>
        <w:rPr/>
        <w:t xml:space="preserve"> </w:t>
      </w:r>
    </w:p>
    <w:p>
      <w:pPr>
        <w:pStyle w:val="P68B1DB1Normal76"/>
        <w:widowControl w:val="false"/>
        <w:spacing w:lineRule="auto" w:line="240"/>
        <w:ind w:left="0" w:right="2" w:hanging="0"/>
        <w:jc w:val="both"/>
        <w:rPr/>
      </w:pPr>
      <w:r>
        <w:rPr/>
        <w:t xml:space="preserve">Gezien het relatief kleine aantal deelnemers aan het panel en de verschillen tussen de reacties van de burgers (meer eenheid van actie of meer flexibiliteit) op de verschillende crises, zou het verkeerd zijn om hier hervattende en breed toepasbare maatregelen te overwegen. Deze dynamiek van het uiten van meningen kan echter leiden tot het voorstellen van onderwerpen die van belang zijn voor toekomstige opiniestudies van Litouwse burgers over EU-integratiekwesties, waarbij rekening moet worden gehouden met wat burgers zeggen over autonoom EU-beleid, veranderingen in institutionele regelingen en verschillen. </w:t>
      </w:r>
    </w:p>
    <w:p>
      <w:pPr>
        <w:pStyle w:val="P68B1DB1Normal76"/>
        <w:widowControl w:val="false"/>
        <w:spacing w:lineRule="auto" w:line="240"/>
        <w:ind w:left="0" w:right="0" w:hanging="0"/>
        <w:jc w:val="both"/>
        <w:rPr>
          <w:rFonts w:ascii="Arial" w:hAnsi="Arial"/>
          <w:color w:val="000000"/>
          <w:sz w:val="22"/>
        </w:rPr>
      </w:pPr>
      <w:r>
        <w:rPr/>
        <w:t xml:space="preserve"> </w:t>
      </w:r>
    </w:p>
    <w:p>
      <w:pPr>
        <w:pStyle w:val="P68B1DB1Normal96"/>
        <w:spacing w:lineRule="auto" w:line="240"/>
        <w:jc w:val="both"/>
        <w:rPr>
          <w:rFonts w:ascii="Arial" w:hAnsi="Arial"/>
          <w:i/>
          <w:i/>
          <w:color w:val="404040"/>
          <w:sz w:val="32"/>
        </w:rPr>
      </w:pPr>
      <w:r>
        <w:rPr/>
        <w:t xml:space="preserve">4. Resultaten van het burgerpanel in de bredere context van de publieke opinie in Litouwen </w:t>
      </w:r>
    </w:p>
    <w:p>
      <w:pPr>
        <w:pStyle w:val="Normal"/>
        <w:widowControl w:val="false"/>
        <w:spacing w:lineRule="auto" w:line="240"/>
        <w:ind w:left="0" w:right="1" w:hanging="0"/>
        <w:jc w:val="both"/>
        <w:rPr/>
      </w:pPr>
      <w:r>
        <w:rPr>
          <w:color w:val="000000"/>
        </w:rPr>
        <w:t xml:space="preserve">Om de resultaten van het nationale burgerpanel te contextualiseren, worden deze in het laatste deel kort vergeleken met de resultaten van twee huidige opiniepeilingen en met de tussentijdse resultaten van andere voorbereidende werkzaamheden voor de conferentie over de toekomst van Europa. Het eerste deel van dit verslag betreft een </w:t>
      </w:r>
      <w:hyperlink r:id="rId113">
        <w:r>
          <w:rPr>
            <w:rStyle w:val="LienInternet"/>
            <w:color w:val="0563C1"/>
          </w:rPr>
          <w:t>EU-obarometer-</w:t>
        </w:r>
      </w:hyperlink>
      <w:hyperlink r:id="rId114">
        <w:r>
          <w:rPr>
            <w:color w:val="000000"/>
          </w:rPr>
          <w:t xml:space="preserve"> </w:t>
        </w:r>
      </w:hyperlink>
      <w:hyperlink r:id="rId115">
        <w:r>
          <w:rPr>
            <w:rStyle w:val="LienInternet"/>
            <w:color w:val="0563C1"/>
          </w:rPr>
          <w:t>enquête</w:t>
        </w:r>
      </w:hyperlink>
      <w:r>
        <w:rPr>
          <w:color w:val="000000"/>
        </w:rPr>
        <w:t xml:space="preserve">van de burgers die in oktober en november 2020 is gehouden over de conferentie over de toekomst van Europa; de tweede over de laatste </w:t>
      </w:r>
      <w:hyperlink r:id="rId116">
        <w:r>
          <w:rPr>
            <w:rStyle w:val="LienInternet"/>
            <w:color w:val="0563C1"/>
          </w:rPr>
          <w:t>standaard Eurobarometer</w:t>
        </w:r>
      </w:hyperlink>
      <w:r>
        <w:rPr>
          <w:color w:val="000000"/>
        </w:rPr>
        <w:t xml:space="preserve"> die in de zomer van 2021 is uitgevoerd. Voor zover sommige vragen in deze studies gericht waren op andere politieke thema’s en de verwachtingen van de burgers van de conferentie zelf, wordt hieronder een vergelijking gemaakt met de kwesties die in het panel echt aan de orde zijn gesteld. De bespreking van de resultaten van de voorbereidende werkzaamheden voor de Conferentie over de toekomst van Europa was gebaseerd op het voorlopige verslag van dit werk dat is opgesteld door het RESC, waarin verklaringen zijn opgenomen van burgers die aan de werkzaamheden over verschillende beleidskwesties van de EU hebben deelgenomen. </w:t>
      </w:r>
    </w:p>
    <w:p>
      <w:pPr>
        <w:pStyle w:val="P68B1DB1Normal76"/>
        <w:widowControl w:val="false"/>
        <w:spacing w:lineRule="auto" w:line="240"/>
        <w:ind w:left="0" w:right="0" w:hanging="0"/>
        <w:jc w:val="left"/>
        <w:rPr>
          <w:rFonts w:ascii="Arial" w:hAnsi="Arial"/>
          <w:color w:val="000000"/>
          <w:sz w:val="22"/>
        </w:rPr>
      </w:pPr>
      <w:r>
        <w:rPr/>
        <w:t xml:space="preserve"> </w:t>
      </w:r>
    </w:p>
    <w:p>
      <w:pPr>
        <w:pStyle w:val="P68B1DB1Normal76"/>
        <w:widowControl w:val="false"/>
        <w:spacing w:lineRule="auto" w:line="240"/>
        <w:ind w:left="0" w:right="0" w:hanging="0"/>
        <w:jc w:val="both"/>
        <w:rPr/>
      </w:pPr>
      <w:r>
        <w:rPr/>
        <w:t xml:space="preserve">Uit de resultaten van de Eurobarometer-enquêtes blijkt dat de discussies en stemmen van de deelnemers aan het burgerpanel vrij goed de heersende standpunten in de Litouwse samenleving weerspiegelen. De aanbevelingen van de paneldeelnemers om het gemeenschappelijk buitenlands en migratiebeleid te versterken door deel te nemen aan de besluiten op EU-niveau, komen overeen met de bevindingen van de bredere opiniepeilingen: </w:t>
      </w:r>
    </w:p>
    <w:p>
      <w:pPr>
        <w:pStyle w:val="P68B1DB1Normal76"/>
        <w:widowControl w:val="false"/>
        <w:spacing w:lineRule="auto" w:line="240"/>
        <w:ind w:left="361" w:right="1" w:hanging="0"/>
        <w:jc w:val="left"/>
        <w:rPr/>
      </w:pPr>
      <w:r>
        <w:rPr>
          <w:rFonts w:ascii="Garamond" w:hAnsi="Garamond"/>
        </w:rPr>
        <w:t>—</w:t>
      </w:r>
      <w:r>
        <w:rPr/>
        <w:t xml:space="preserve"> </w:t>
      </w:r>
      <w:r>
        <w:rPr/>
        <w:t xml:space="preserve">Litouwse burgers steunen het gemeenschappelijk defensiebeleid van de EU meer dan het EU-gemiddelde (90 % tegenover 78 %); </w:t>
      </w:r>
    </w:p>
    <w:p>
      <w:pPr>
        <w:pStyle w:val="P68B1DB1Normal76"/>
        <w:widowControl w:val="false"/>
        <w:spacing w:lineRule="auto" w:line="240"/>
        <w:ind w:left="361" w:right="3" w:hanging="0"/>
        <w:jc w:val="left"/>
        <w:rPr/>
      </w:pPr>
      <w:r>
        <w:rPr>
          <w:rFonts w:ascii="Garamond" w:hAnsi="Garamond"/>
        </w:rPr>
        <w:t>—</w:t>
      </w:r>
      <w:r>
        <w:rPr/>
        <w:t xml:space="preserve"> </w:t>
      </w:r>
      <w:r>
        <w:rPr/>
        <w:t xml:space="preserve">Litouwse burgers steunen het gemeenschappelijk migratiebeleid van de EU meer dan het EU-gemiddelde (76 % tegenover 71 %; dit verschil ligt binnen de foutmarge); </w:t>
      </w:r>
    </w:p>
    <w:p>
      <w:pPr>
        <w:pStyle w:val="P68B1DB1Normal76"/>
        <w:widowControl w:val="false"/>
        <w:spacing w:lineRule="auto" w:line="240"/>
        <w:ind w:left="360" w:right="2" w:hanging="0"/>
        <w:jc w:val="left"/>
        <w:rPr/>
      </w:pPr>
      <w:r>
        <w:rPr>
          <w:rFonts w:ascii="Garamond" w:hAnsi="Garamond"/>
        </w:rPr>
        <w:t>Litouwse</w:t>
      </w:r>
      <w:r>
        <w:rPr/>
        <w:t xml:space="preserve"> burgers beschouwen migratie als een van de twee belangrijkste problemen van de EU; </w:t>
      </w:r>
    </w:p>
    <w:p>
      <w:pPr>
        <w:pStyle w:val="P68B1DB1Normal76"/>
        <w:widowControl w:val="false"/>
        <w:spacing w:lineRule="auto" w:line="240"/>
        <w:ind w:left="360" w:right="3" w:hanging="0"/>
        <w:jc w:val="left"/>
        <w:rPr/>
      </w:pPr>
      <w:r>
        <w:rPr>
          <w:rFonts w:ascii="Garamond" w:hAnsi="Garamond"/>
        </w:rPr>
        <w:t>-</w:t>
      </w:r>
      <w:r>
        <w:rPr/>
        <w:t xml:space="preserve"> Litouwse burgers willen dat meer problemen op EU-niveau worden opgelost (49 % tegenover 42 %). </w:t>
      </w:r>
    </w:p>
    <w:p>
      <w:pPr>
        <w:pStyle w:val="P68B1DB1Normal76"/>
        <w:widowControl w:val="false"/>
        <w:spacing w:lineRule="auto" w:line="240" w:before="83" w:after="0"/>
        <w:ind w:left="0" w:right="3" w:hanging="0"/>
        <w:jc w:val="both"/>
        <w:rPr/>
      </w:pPr>
      <w:r>
        <w:rPr/>
        <w:t xml:space="preserve">Litouwse burgers die hebben deelgenomen aan de voorbereidende evenementen voor de conferentie over de toekomst van Europa, benadrukten ook het belang van samenwerking op het gebied van defensie, en dat het gemeenschappelijk migratiebeleid van de EU en het buitenlands beleid van de EU gebieden zijn waarop Litouwen baat zou hebben bij sterker optreden van de EU. </w:t>
      </w:r>
    </w:p>
    <w:p>
      <w:pPr>
        <w:pStyle w:val="P68B1DB1Normal76"/>
        <w:widowControl w:val="false"/>
        <w:spacing w:lineRule="auto" w:line="240"/>
        <w:ind w:left="0" w:right="0" w:hanging="0"/>
        <w:jc w:val="left"/>
        <w:rPr>
          <w:rFonts w:ascii="Arial" w:hAnsi="Arial"/>
          <w:color w:val="000000"/>
          <w:sz w:val="22"/>
        </w:rPr>
      </w:pPr>
      <w:r>
        <w:rPr/>
        <w:t xml:space="preserve"> </w:t>
      </w:r>
    </w:p>
    <w:p>
      <w:pPr>
        <w:pStyle w:val="P68B1DB1Normal76"/>
        <w:widowControl w:val="false"/>
        <w:spacing w:lineRule="auto" w:line="240"/>
        <w:ind w:left="0" w:right="1" w:hanging="0"/>
        <w:jc w:val="both"/>
        <w:rPr/>
      </w:pPr>
      <w:r>
        <w:rPr/>
        <w:t xml:space="preserve">Eurobarometergegevens kunnen licht werpen op de standpunten van de deelnemers van het panel over de betrekkingen met China en de energieprijzen: Litouwers maken zich meer zorgen dan het EU-gemiddelde over de uitsplitsing van de betrekkingen tussen landen over de hele wereld en de daaruit voortvloeiende toenemende geopolitieke spanningen (33 % tegenover 18 %). De conclusies van het panel over de noodzaak van een ambitieuzer beleid ten aanzien van China overlappen ook met deze gegevens, evenals het bovengenoemde standpunt ten gunste van de besluitvorming op EU-niveau en een gemeenschappelijk defensiebeleid van de EU. Anderzijds kan de bezorgdheid van de deelnemers van het panel over verschillende besluiten om de energieprijzen te verlagen verband houden met het feit dat Litouwers zich veel meer zorgen maken dan het EU-gemiddelde over stijgende inflatie en stijgende prijzen (53 % tegenover 23 %). De gevoeligheid voor stijgende inflatie is te wijten aan het feit dat het beheersen van prijsstijgingen belangrijker lijkt te zijn dan de algemene beleidsvorming van de EU of andere beleidsdoelstellingen. </w:t>
      </w:r>
    </w:p>
    <w:p>
      <w:pPr>
        <w:pStyle w:val="P68B1DB1Normal76"/>
        <w:widowControl w:val="false"/>
        <w:spacing w:lineRule="auto" w:line="240"/>
        <w:ind w:left="0" w:right="0" w:hanging="0"/>
        <w:jc w:val="left"/>
        <w:rPr>
          <w:rFonts w:ascii="Arial" w:hAnsi="Arial"/>
          <w:color w:val="000000"/>
          <w:sz w:val="22"/>
        </w:rPr>
      </w:pPr>
      <w:r>
        <w:rPr/>
        <w:t xml:space="preserve"> </w:t>
      </w:r>
    </w:p>
    <w:p>
      <w:pPr>
        <w:pStyle w:val="P68B1DB1Normal76"/>
        <w:widowControl w:val="false"/>
        <w:spacing w:lineRule="auto" w:line="240"/>
        <w:ind w:left="0" w:right="1" w:hanging="0"/>
        <w:jc w:val="both"/>
        <w:rPr/>
      </w:pPr>
      <w:r>
        <w:rPr/>
        <w:t xml:space="preserve">De Eurobarometergegevens suggereren ook een interessante ontwikkeling van de Litouwse perceptie van de migratiekwestie vanuit een politiek perspectief. In de enquête van 2020 noemden de Litouwers migratie als een belangrijke uitdaging voor de toekomst van de EU (16 % tegenover 27 %) dan het EU-gemiddelde; In de enquête van 2021 beschouwde 32 % van de Litouwse respondenten migratie als een van de belangrijkste problemen in de EU (tegenover gemiddeld 25 % in de EU als geheel). Hoewel deze verandering van mening te wijten kan zijn aan verschillen in de formulering van het probleem, overlapt het met wat de paneldeelnemers zeiden in de discussies over de evolutie van hun standpunten over migratiekwesties. </w:t>
      </w:r>
    </w:p>
    <w:p>
      <w:pPr>
        <w:pStyle w:val="P68B1DB1Normal76"/>
        <w:widowControl w:val="false"/>
        <w:spacing w:lineRule="auto" w:line="240"/>
        <w:ind w:left="0" w:right="0" w:hanging="0"/>
        <w:jc w:val="left"/>
        <w:rPr>
          <w:rFonts w:ascii="Arial" w:hAnsi="Arial"/>
          <w:color w:val="000000"/>
          <w:sz w:val="22"/>
        </w:rPr>
      </w:pPr>
      <w:r>
        <w:rPr/>
        <w:t xml:space="preserve"> </w:t>
      </w:r>
    </w:p>
    <w:p>
      <w:pPr>
        <w:pStyle w:val="P68B1DB1Normal76"/>
        <w:widowControl w:val="false"/>
        <w:spacing w:lineRule="auto" w:line="240" w:before="220" w:after="0"/>
        <w:ind w:left="0" w:right="0" w:hanging="0"/>
        <w:jc w:val="both"/>
        <w:rPr/>
      </w:pPr>
      <w:r>
        <w:rPr/>
        <w:t xml:space="preserve">Bovendien blijkt uit een vergelijking van de resultaten van het burgerpanel met de Eurobarometer-gegevens dat er een kloof bestaat tussen enerzijds een relatief voorzichtig beeld van de deelnemers aan het EU-beleid en anderzijds een bezorgdheid van Litouwse burgers over klimaatverandering. Hoewel de deelnemers van het panel aanmoedigden te beoordelen of de Green Deal niet te ambitieus was en de belangen van Litouwen niet zou schaden, hebben de Litouwers volgens Eurobarometer-studies de klimaatverandering consequent aangemerkt als een van de belangrijkste uitdagingen voor de EU. In de enquête van 2020 vond 47 % van de Litouwse respondenten het klimaat een van de belangrijkste uitdagingen voor de toekomst van Europa (tegenover 45 % in de EU als geheel); In de enquête van 2021 was dit het geval voor 28 % van de Litouwse respondenten (een stijging van gemiddeld 25 % in de EU als geheel). Er zij op gewezen dat burgers die aan de andere voorbereidende evenementen voor de conferentie over de toekomst van Europa hebben deelgenomen, ook klimaatbeleid noemden als een van de gebieden waarop Litouwen het meeste belang zou hebben bij een sterker optreden van de EU. Deze discrepantie kan waarschijnlijk worden verklaard door de motivering van de stemming van de paneldeelnemers: iedereen die voor de aanbeveling heeft gestemd om de Green Deal-maatregelen opnieuw te beoordelen, achtte dit vanuit persoonlijk oogpunt belangrijk voor hen. Met andere woorden, persoonlijke oppositie zou niet in strijd zijn met de vaststelling dat klimaatverandering een van de belangrijkste uitdagingen voor het EU-beleid is. </w:t>
      </w:r>
    </w:p>
    <w:p>
      <w:pPr>
        <w:pStyle w:val="P68B1DB1Normal97"/>
        <w:widowControl w:val="false"/>
        <w:spacing w:lineRule="auto" w:line="240"/>
        <w:ind w:left="0" w:right="0" w:hanging="0"/>
        <w:jc w:val="left"/>
        <w:rPr>
          <w:rFonts w:ascii="Garamond" w:hAnsi="Garamond"/>
          <w:color w:val="000000"/>
          <w:sz w:val="22"/>
        </w:rPr>
      </w:pPr>
      <w:r>
        <w:rPr/>
        <w:t xml:space="preserve"> </w:t>
      </w:r>
    </w:p>
    <w:p>
      <w:pPr>
        <w:pStyle w:val="Normal"/>
        <w:widowControl w:val="false"/>
        <w:spacing w:lineRule="auto" w:line="240" w:before="89" w:after="0"/>
        <w:ind w:left="0" w:right="0" w:hanging="0"/>
        <w:jc w:val="left"/>
        <w:rPr>
          <w:rFonts w:ascii="Garamond" w:hAnsi="Garamond"/>
          <w:color w:val="000000"/>
          <w:sz w:val="22"/>
        </w:rPr>
      </w:pPr>
      <w:r>
        <w:rPr>
          <w:rFonts w:ascii="Garamond" w:hAnsi="Garamond"/>
          <w:color w:val="000000"/>
          <w:sz w:val="22"/>
        </w:rPr>
      </w:r>
      <w:r>
        <w:br w:type="page"/>
      </w:r>
    </w:p>
    <w:p>
      <w:pPr>
        <w:pStyle w:val="Titre1"/>
        <w:numPr>
          <w:ilvl w:val="0"/>
          <w:numId w:val="2"/>
        </w:numPr>
        <w:rPr/>
      </w:pPr>
      <w:bookmarkStart w:id="235" w:name="__RefHeading___Toc297357_1346298689"/>
      <w:bookmarkEnd w:id="235"/>
      <w:r>
        <w:rPr/>
        <w:t>II F Nationale Panelen: Nederland</w:t>
      </w:r>
    </w:p>
    <w:p>
      <w:pPr>
        <w:pStyle w:val="Normal"/>
        <w:widowControl w:val="false"/>
        <w:spacing w:lineRule="auto" w:line="240" w:before="0" w:after="0"/>
        <w:ind w:left="0" w:right="0" w:hanging="0"/>
        <w:jc w:val="left"/>
        <w:rPr>
          <w:rFonts w:ascii="Calibri" w:hAnsi="Calibri"/>
          <w:b/>
          <w:b/>
          <w:i/>
          <w:i/>
          <w:color w:val="000000"/>
          <w:sz w:val="48"/>
        </w:rPr>
      </w:pPr>
      <w:r>
        <w:drawing>
          <wp:anchor behindDoc="0" distT="0" distB="0" distL="0" distR="0" simplePos="0" locked="0" layoutInCell="1" allowOverlap="1" relativeHeight="55">
            <wp:simplePos x="0" y="0"/>
            <wp:positionH relativeFrom="column">
              <wp:align>center</wp:align>
            </wp:positionH>
            <wp:positionV relativeFrom="paragraph">
              <wp:posOffset>635</wp:posOffset>
            </wp:positionV>
            <wp:extent cx="3098800" cy="3129280"/>
            <wp:effectExtent l="0" t="0" r="0" b="0"/>
            <wp:wrapTopAndBottom/>
            <wp:docPr id="109" name="Afbeelding4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Afbeelding46" descr=""/>
                    <pic:cNvPicPr>
                      <a:picLocks noChangeAspect="1" noChangeArrowheads="1"/>
                    </pic:cNvPicPr>
                  </pic:nvPicPr>
                  <pic:blipFill>
                    <a:blip r:embed="rId117"/>
                    <a:stretch>
                      <a:fillRect/>
                    </a:stretch>
                  </pic:blipFill>
                  <pic:spPr bwMode="auto">
                    <a:xfrm>
                      <a:off x="0" y="0"/>
                      <a:ext cx="3098800" cy="3129280"/>
                    </a:xfrm>
                    <a:prstGeom prst="rect">
                      <a:avLst/>
                    </a:prstGeom>
                  </pic:spPr>
                </pic:pic>
              </a:graphicData>
            </a:graphic>
          </wp:anchor>
        </w:drawing>
      </w:r>
      <w:r>
        <w:rPr>
          <w:rFonts w:ascii="Calibri" w:hAnsi="Calibri"/>
          <w:b/>
          <w:i/>
          <w:color w:val="000000"/>
          <w:sz w:val="48"/>
        </w:rPr>
        <w:t>O</w:t>
      </w:r>
      <w:r>
        <w:rPr>
          <w:rFonts w:ascii="Calibri" w:hAnsi="Calibri"/>
          <w:b/>
          <w:i/>
          <w:color w:val="000000"/>
          <w:sz w:val="48"/>
        </w:rPr>
        <w:t>nze visie op Europa</w:t>
      </w:r>
    </w:p>
    <w:p>
      <w:pPr>
        <w:pStyle w:val="P68B1DB1Normal103"/>
        <w:widowControl w:val="false"/>
        <w:spacing w:lineRule="exact" w:line="499" w:before="100" w:after="0"/>
        <w:ind w:left="0" w:right="0" w:hanging="0"/>
        <w:jc w:val="left"/>
        <w:rPr>
          <w:rFonts w:ascii="Calibri" w:hAnsi="Calibri"/>
          <w:i/>
          <w:i/>
          <w:color w:val="000000"/>
          <w:sz w:val="32"/>
        </w:rPr>
      </w:pPr>
      <w:r>
        <w:rPr/>
        <w:t xml:space="preserve">Adviezen, ideeën en aanbevelingen </w:t>
      </w:r>
    </w:p>
    <w:p>
      <w:pPr>
        <w:pStyle w:val="P68B1DB1Normal104"/>
        <w:widowControl w:val="false"/>
        <w:spacing w:lineRule="exact" w:line="339" w:before="101" w:after="0"/>
        <w:ind w:left="0" w:right="0" w:hanging="0"/>
        <w:jc w:val="left"/>
        <w:rPr>
          <w:rFonts w:ascii="Calibri" w:hAnsi="Calibri"/>
          <w:color w:val="000000"/>
          <w:sz w:val="21"/>
        </w:rPr>
      </w:pPr>
      <w:r>
        <w:rPr/>
        <w:t xml:space="preserve">Thema’s </w:t>
      </w:r>
    </w:p>
    <w:p>
      <w:pPr>
        <w:pStyle w:val="P68B1DB1Normal105"/>
        <w:widowControl w:val="false"/>
        <w:spacing w:lineRule="exact" w:line="349" w:before="7" w:after="0"/>
        <w:ind w:left="0" w:right="0" w:hanging="0"/>
        <w:jc w:val="left"/>
        <w:rPr/>
      </w:pPr>
      <w:r>
        <w:rPr>
          <w:rFonts w:ascii="Verdana" w:hAnsi="Verdana"/>
        </w:rPr>
        <w:t>•</w:t>
      </w:r>
      <w:r>
        <w:rPr/>
        <w:t xml:space="preserve"> </w:t>
      </w:r>
      <w:r>
        <w:rPr>
          <w:rFonts w:ascii="Calibri" w:hAnsi="Calibri"/>
        </w:rPr>
        <w:t xml:space="preserve">Waarden en rechten, rechtsstaat en veiligheid </w:t>
      </w:r>
    </w:p>
    <w:p>
      <w:pPr>
        <w:pStyle w:val="P68B1DB1Normal105"/>
        <w:widowControl w:val="false"/>
        <w:spacing w:lineRule="exact" w:line="293" w:before="2" w:after="0"/>
        <w:ind w:left="0" w:right="5110" w:hanging="0"/>
        <w:jc w:val="left"/>
        <w:rPr/>
      </w:pPr>
      <w:r>
        <w:rPr>
          <w:rFonts w:ascii="Verdana" w:hAnsi="Verdana"/>
        </w:rPr>
        <w:t>•</w:t>
      </w:r>
      <w:r>
        <w:rPr/>
        <w:t xml:space="preserve"> </w:t>
      </w:r>
      <w:r>
        <w:rPr>
          <w:rFonts w:ascii="Calibri" w:hAnsi="Calibri"/>
        </w:rPr>
        <w:t xml:space="preserve">Een sterkere economie, sociale rechtvaardigheid en werkgelegenheid </w:t>
      </w:r>
    </w:p>
    <w:p>
      <w:pPr>
        <w:pStyle w:val="P68B1DB1Normal105"/>
        <w:widowControl w:val="false"/>
        <w:spacing w:lineRule="exact" w:line="293" w:before="2" w:after="0"/>
        <w:ind w:left="0" w:right="5110" w:hanging="0"/>
        <w:jc w:val="left"/>
        <w:rPr/>
      </w:pPr>
      <w:r>
        <w:rPr>
          <w:rFonts w:ascii="Verdana" w:hAnsi="Verdana"/>
        </w:rPr>
        <w:t>•</w:t>
      </w:r>
      <w:r>
        <w:rPr/>
        <w:t xml:space="preserve"> </w:t>
      </w:r>
      <w:r>
        <w:rPr>
          <w:rFonts w:ascii="Calibri" w:hAnsi="Calibri"/>
        </w:rPr>
        <w:t xml:space="preserve">Europese democratie </w:t>
      </w:r>
    </w:p>
    <w:p>
      <w:pPr>
        <w:pStyle w:val="P68B1DB1Normal105"/>
        <w:widowControl w:val="false"/>
        <w:spacing w:lineRule="exact" w:line="349" w:before="2" w:after="0"/>
        <w:ind w:left="0" w:right="0" w:hanging="0"/>
        <w:jc w:val="left"/>
        <w:rPr/>
      </w:pPr>
      <w:r>
        <w:rPr>
          <w:rFonts w:ascii="Verdana" w:hAnsi="Verdana"/>
        </w:rPr>
        <w:t>•</w:t>
      </w:r>
      <w:r>
        <w:rPr/>
        <w:t xml:space="preserve"> </w:t>
      </w:r>
      <w:r>
        <w:rPr>
          <w:rFonts w:ascii="Calibri" w:hAnsi="Calibri"/>
        </w:rPr>
        <w:t xml:space="preserve">Digitale transformatie </w:t>
      </w:r>
    </w:p>
    <w:p>
      <w:pPr>
        <w:pStyle w:val="P68B1DB1Normal105"/>
        <w:widowControl w:val="false"/>
        <w:spacing w:lineRule="exact" w:line="349" w:before="2" w:after="0"/>
        <w:ind w:left="0" w:right="0" w:hanging="0"/>
        <w:jc w:val="left"/>
        <w:rPr/>
      </w:pPr>
      <w:r>
        <w:rPr>
          <w:rFonts w:ascii="Verdana" w:hAnsi="Verdana"/>
        </w:rPr>
        <w:t>•</w:t>
      </w:r>
      <w:r>
        <w:rPr/>
        <w:t xml:space="preserve"> </w:t>
      </w:r>
      <w:r>
        <w:rPr>
          <w:rFonts w:ascii="Calibri" w:hAnsi="Calibri"/>
        </w:rPr>
        <w:t xml:space="preserve">Onderwijs, cultuur, jeugd en sport </w:t>
      </w:r>
    </w:p>
    <w:p>
      <w:pPr>
        <w:pStyle w:val="P68B1DB1Normal104"/>
        <w:widowControl w:val="false"/>
        <w:spacing w:lineRule="exact" w:line="339"/>
        <w:ind w:left="0" w:right="0" w:hanging="0"/>
        <w:jc w:val="left"/>
        <w:rPr>
          <w:rFonts w:ascii="Calibri" w:hAnsi="Calibri"/>
          <w:color w:val="000000"/>
          <w:sz w:val="21"/>
        </w:rPr>
      </w:pPr>
      <w:r>
        <w:rPr/>
        <w:t xml:space="preserve"> </w:t>
      </w:r>
    </w:p>
    <w:p>
      <w:pPr>
        <w:pStyle w:val="Titre4"/>
        <w:numPr>
          <w:ilvl w:val="3"/>
          <w:numId w:val="2"/>
        </w:numPr>
        <w:rPr/>
      </w:pPr>
      <w:bookmarkStart w:id="236" w:name="__RefHeading___Toc298384_1346298689"/>
      <w:bookmarkEnd w:id="236"/>
      <w:r>
        <w:rPr/>
        <w:t xml:space="preserve">3 december 2021 </w:t>
      </w:r>
    </w:p>
    <w:p>
      <w:pPr>
        <w:pStyle w:val="Normal"/>
        <w:widowControl w:val="false"/>
        <w:spacing w:lineRule="exact" w:line="282" w:before="1" w:after="0"/>
        <w:ind w:left="0" w:right="37" w:hanging="0"/>
        <w:jc w:val="left"/>
        <w:rPr/>
      </w:pPr>
      <w:r>
        <w:rPr>
          <w:rFonts w:ascii="Calibri" w:hAnsi="Calibri"/>
          <w:color w:val="000000"/>
          <w:sz w:val="21"/>
        </w:rPr>
        <w:t xml:space="preserve">Dit document is een vertaling van het rapport "Eleven kijk op Europa; Meningen, ideeën en Aanbevelingen„(”Onze visie van Europa: adviezen, ideeën en aanbevelingen"), die op 3 december 2021 in het Nederlands is gepubliceerd op www.kijkopeuropa.nl. Deze vertaling is een vereenvoudigde versie van het verslag waarin de oorspronkelijke presentatie (illustraties en andere grafische elementen) is gewijzigd voor vertaaldoeleinden. </w:t>
      </w:r>
      <w:r>
        <w:rPr>
          <w:rFonts w:ascii="Times New Roman" w:hAnsi="Times New Roman"/>
          <w:color w:val="000000"/>
          <w:sz w:val="24"/>
        </w:rPr>
        <w:t xml:space="preserve"> </w:t>
      </w:r>
      <w:r>
        <w:br w:type="page"/>
      </w:r>
    </w:p>
    <w:p>
      <w:pPr>
        <w:pStyle w:val="P68B1DB1Normal106"/>
        <w:rPr>
          <w:rFonts w:ascii="Calibri" w:hAnsi="Calibri"/>
          <w:b/>
          <w:b/>
          <w:i/>
          <w:i/>
          <w:color w:val="000000"/>
          <w:sz w:val="36"/>
        </w:rPr>
      </w:pPr>
      <w:r>
        <w:rPr/>
        <w:t xml:space="preserve">Onze visie op... </w:t>
      </w:r>
    </w:p>
    <w:p>
      <w:pPr>
        <w:pStyle w:val="P68B1DB1Normal107"/>
        <w:widowControl w:val="false"/>
        <w:spacing w:lineRule="exact" w:line="375" w:before="248" w:after="0"/>
        <w:ind w:left="0" w:right="0" w:hanging="0"/>
        <w:jc w:val="left"/>
        <w:rPr>
          <w:rFonts w:ascii="Calibri" w:hAnsi="Calibri"/>
          <w:i/>
          <w:i/>
          <w:color w:val="000000"/>
          <w:sz w:val="24"/>
        </w:rPr>
      </w:pPr>
      <w:r>
        <w:rPr/>
        <w:t xml:space="preserve">Samenvatting van het verslag: alle aanbevelingen in het kort </w:t>
      </w:r>
    </w:p>
    <w:p>
      <w:pPr>
        <w:pStyle w:val="P68B1DB1Normal104"/>
        <w:widowControl w:val="false"/>
        <w:spacing w:lineRule="exact" w:line="282" w:before="185" w:after="0"/>
        <w:ind w:left="0" w:right="25" w:hanging="0"/>
        <w:jc w:val="left"/>
        <w:rPr/>
      </w:pPr>
      <w:r>
        <w:rPr/>
        <w:t xml:space="preserve">Via de burgerdialoog georganiseerd over het thema „Vision of Europe” hebben we de standpunten en ideeën van Nederlandse burgers over de toekomst van Europa verzameld. Dit leidde tot de volgende aanbevelingen aan de Europese Unie voor de eerste vijf thema’s. </w:t>
      </w:r>
    </w:p>
    <w:p>
      <w:pPr>
        <w:pStyle w:val="P68B1DB1Normal108"/>
        <w:widowControl w:val="false"/>
        <w:spacing w:lineRule="exact" w:line="387" w:before="59" w:after="0"/>
        <w:ind w:left="0" w:right="0" w:hanging="0"/>
        <w:jc w:val="left"/>
        <w:rPr>
          <w:rFonts w:ascii="Calibri" w:hAnsi="Calibri"/>
          <w:b/>
          <w:b/>
          <w:i/>
          <w:i/>
          <w:color w:val="000000"/>
          <w:sz w:val="24"/>
        </w:rPr>
      </w:pPr>
      <w:r>
        <w:rPr/>
        <w:t xml:space="preserve">Waarden en rechten, rechtsstaat en veiligheid </w:t>
      </w:r>
    </w:p>
    <w:p>
      <w:pPr>
        <w:pStyle w:val="P68B1DB1Normal104"/>
        <w:widowControl w:val="false"/>
        <w:spacing w:lineRule="exact" w:line="282" w:before="178" w:after="0"/>
        <w:ind w:left="0" w:right="105" w:hanging="0"/>
        <w:jc w:val="left"/>
        <w:rPr/>
      </w:pPr>
      <w:r>
        <w:rPr/>
        <w:t xml:space="preserve">Het is belangrijk dat de EU de rechtsstaat beschermt. Tegelijkertijd vinden de Nederlanders dat aandacht moet worden besteed aan de diversiteit van tradities en culturen die in Europa bestaan. Samenwerking binnen de EU kan vele voordelen in verschillende vormen hebben, maar moet waarde toevoegen aan alle belanghebbenden. Dit geldt ook voor het delen van beveiligingsinformatie. Het delen van alle informatie maakt samenwerking snel ineffectief. </w:t>
      </w:r>
    </w:p>
    <w:p>
      <w:pPr>
        <w:pStyle w:val="P68B1DB1Normal19"/>
        <w:widowControl w:val="false"/>
        <w:spacing w:lineRule="exact" w:line="388" w:before="47" w:after="0"/>
        <w:ind w:left="0" w:right="0" w:hanging="0"/>
        <w:jc w:val="left"/>
        <w:rPr>
          <w:rFonts w:ascii="Times New Roman" w:hAnsi="Times New Roman"/>
          <w:color w:val="000000"/>
          <w:sz w:val="24"/>
        </w:rPr>
      </w:pPr>
      <w:r>
        <w:rPr/>
        <w:t xml:space="preserve"> </w:t>
      </w:r>
    </w:p>
    <w:p>
      <w:pPr>
        <w:pStyle w:val="P68B1DB1Normal105"/>
        <w:widowControl w:val="false"/>
        <w:spacing w:lineRule="exact" w:line="346" w:before="50" w:after="0"/>
        <w:ind w:left="0" w:right="0" w:hanging="0"/>
        <w:jc w:val="left"/>
        <w:rPr/>
      </w:pPr>
      <w:r>
        <w:rPr>
          <w:rFonts w:ascii="Calibri" w:hAnsi="Calibri"/>
        </w:rPr>
        <w:t>1.</w:t>
      </w:r>
      <w:r>
        <w:rPr/>
        <w:t xml:space="preserve"> </w:t>
      </w:r>
      <w:r>
        <w:rPr>
          <w:rFonts w:ascii="Calibri" w:hAnsi="Calibri"/>
        </w:rPr>
        <w:t>Zorg ervoor dat iedereen zich vrij en veilig kan voelen</w:t>
      </w:r>
    </w:p>
    <w:p>
      <w:pPr>
        <w:pStyle w:val="P68B1DB1Normal105"/>
        <w:widowControl w:val="false"/>
        <w:spacing w:lineRule="exact" w:line="346"/>
        <w:ind w:left="0" w:right="0" w:hanging="0"/>
        <w:jc w:val="left"/>
        <w:rPr/>
      </w:pPr>
      <w:r>
        <w:rPr>
          <w:rFonts w:ascii="Calibri" w:hAnsi="Calibri"/>
        </w:rPr>
        <w:t>2.</w:t>
      </w:r>
      <w:r>
        <w:rPr/>
        <w:t xml:space="preserve"> </w:t>
      </w:r>
      <w:r>
        <w:rPr>
          <w:rFonts w:ascii="Calibri" w:hAnsi="Calibri"/>
        </w:rPr>
        <w:t>Uitbreiding van de EU alleen als zij toegevoegde waarde heeft</w:t>
      </w:r>
    </w:p>
    <w:p>
      <w:pPr>
        <w:pStyle w:val="P68B1DB1Normal105"/>
        <w:widowControl w:val="false"/>
        <w:spacing w:lineRule="exact" w:line="346"/>
        <w:ind w:left="0" w:right="0" w:hanging="0"/>
        <w:jc w:val="left"/>
        <w:rPr/>
      </w:pPr>
      <w:r>
        <w:rPr>
          <w:rFonts w:ascii="Calibri" w:hAnsi="Calibri"/>
        </w:rPr>
        <w:t>3.</w:t>
      </w:r>
      <w:r>
        <w:rPr/>
        <w:t xml:space="preserve"> </w:t>
      </w:r>
      <w:r>
        <w:rPr>
          <w:rFonts w:ascii="Calibri" w:hAnsi="Calibri"/>
        </w:rPr>
        <w:t>Samenwerking met name in de strijd tegen internationale criminaliteit en terrorisme</w:t>
      </w:r>
    </w:p>
    <w:p>
      <w:pPr>
        <w:pStyle w:val="P68B1DB1Normal104"/>
        <w:widowControl w:val="false"/>
        <w:spacing w:lineRule="exact" w:line="339"/>
        <w:ind w:left="283" w:right="0" w:hanging="0"/>
        <w:jc w:val="left"/>
        <w:rPr>
          <w:rFonts w:ascii="Calibri" w:hAnsi="Calibri"/>
          <w:color w:val="000000"/>
          <w:sz w:val="21"/>
        </w:rPr>
      </w:pPr>
      <w:r>
        <w:rPr/>
        <w:t xml:space="preserve"> </w:t>
      </w:r>
    </w:p>
    <w:p>
      <w:pPr>
        <w:pStyle w:val="P68B1DB1Normal108"/>
        <w:widowControl w:val="false"/>
        <w:spacing w:lineRule="exact" w:line="387" w:before="59" w:after="0"/>
        <w:ind w:left="0" w:right="0" w:hanging="0"/>
        <w:jc w:val="left"/>
        <w:rPr>
          <w:rFonts w:ascii="Calibri" w:hAnsi="Calibri"/>
          <w:b/>
          <w:b/>
          <w:i/>
          <w:i/>
          <w:color w:val="000000"/>
          <w:sz w:val="24"/>
        </w:rPr>
      </w:pPr>
      <w:r>
        <w:rPr/>
        <w:t xml:space="preserve">Een sterkere economie, sociale rechtvaardigheid en werkgelegenheid </w:t>
      </w:r>
    </w:p>
    <w:p>
      <w:pPr>
        <w:pStyle w:val="P68B1DB1Normal104"/>
        <w:widowControl w:val="false"/>
        <w:spacing w:lineRule="exact" w:line="282" w:before="178" w:after="0"/>
        <w:ind w:left="0" w:right="18" w:hanging="0"/>
        <w:jc w:val="left"/>
        <w:rPr/>
      </w:pPr>
      <w:r>
        <w:rPr/>
        <w:t xml:space="preserve">Nederlanders zijn van mening dat er veel mogelijkheden zijn om de Europese economie te versterken. Landen kunnen echter niet altijd met elkaar vergeleken worden. Met name het belastingstelsel moet eerlijker en duidelijker zijn. En in Europa moeten we ons meer richten op onze sterke punten, zoals kwaliteit en diversiteit. Daarnaast kunnen de EU-landen samenwerken om gelijke kansen op de Europese arbeidsmarkt te waarborgen. </w:t>
      </w:r>
    </w:p>
    <w:p>
      <w:pPr>
        <w:pStyle w:val="P68B1DB1Normal104"/>
        <w:widowControl w:val="false"/>
        <w:spacing w:lineRule="exact" w:line="339" w:before="58" w:after="0"/>
        <w:ind w:left="0" w:right="0" w:hanging="0"/>
        <w:jc w:val="left"/>
        <w:rPr>
          <w:rFonts w:ascii="Calibri" w:hAnsi="Calibri"/>
          <w:color w:val="000000"/>
          <w:sz w:val="21"/>
        </w:rPr>
      </w:pPr>
      <w:r>
        <w:rPr/>
        <w:t xml:space="preserve"> </w:t>
      </w:r>
    </w:p>
    <w:p>
      <w:pPr>
        <w:pStyle w:val="P68B1DB1Normal105"/>
        <w:widowControl w:val="false"/>
        <w:spacing w:lineRule="exact" w:line="281" w:before="58" w:after="0"/>
        <w:ind w:left="0" w:right="4851" w:hanging="0"/>
        <w:jc w:val="left"/>
        <w:rPr/>
      </w:pPr>
      <w:r>
        <w:rPr>
          <w:rFonts w:ascii="Calibri" w:hAnsi="Calibri"/>
        </w:rPr>
        <w:t>4.</w:t>
      </w:r>
      <w:r>
        <w:rPr/>
        <w:t xml:space="preserve"> </w:t>
      </w:r>
      <w:r>
        <w:rPr>
          <w:rFonts w:ascii="Calibri" w:hAnsi="Calibri"/>
        </w:rPr>
        <w:t>Rekening houden met gemeenschappelijkheden en verschillen</w:t>
      </w:r>
    </w:p>
    <w:p>
      <w:pPr>
        <w:pStyle w:val="P68B1DB1Normal105"/>
        <w:widowControl w:val="false"/>
        <w:spacing w:lineRule="exact" w:line="281" w:before="58" w:after="0"/>
        <w:ind w:left="0" w:right="4851" w:hanging="0"/>
        <w:jc w:val="left"/>
        <w:rPr/>
      </w:pPr>
      <w:r>
        <w:rPr>
          <w:rFonts w:ascii="Calibri" w:hAnsi="Calibri"/>
        </w:rPr>
        <w:t>5.</w:t>
      </w:r>
      <w:r>
        <w:rPr/>
        <w:t xml:space="preserve"> </w:t>
      </w:r>
      <w:r>
        <w:rPr>
          <w:rFonts w:ascii="Calibri" w:hAnsi="Calibri"/>
        </w:rPr>
        <w:t>Meer gebruik maken van de sterke punten van Europa</w:t>
      </w:r>
    </w:p>
    <w:p>
      <w:pPr>
        <w:pStyle w:val="P68B1DB1Normal105"/>
        <w:widowControl w:val="false"/>
        <w:spacing w:lineRule="exact" w:line="346"/>
        <w:ind w:left="0" w:right="0" w:hanging="0"/>
        <w:jc w:val="left"/>
        <w:rPr/>
      </w:pPr>
      <w:r>
        <w:rPr>
          <w:rFonts w:ascii="Calibri" w:hAnsi="Calibri"/>
        </w:rPr>
        <w:t>6.</w:t>
      </w:r>
      <w:r>
        <w:rPr/>
        <w:t xml:space="preserve"> </w:t>
      </w:r>
      <w:r>
        <w:rPr>
          <w:rFonts w:ascii="Calibri" w:hAnsi="Calibri"/>
        </w:rPr>
        <w:t>Een eerlijk en duidelijk belastingstelsel ontwikkelen</w:t>
      </w:r>
    </w:p>
    <w:p>
      <w:pPr>
        <w:pStyle w:val="P68B1DB1Normal76"/>
        <w:widowControl w:val="false"/>
        <w:spacing w:lineRule="exact" w:line="374"/>
        <w:ind w:left="0" w:right="5338" w:hanging="0"/>
        <w:jc w:val="left"/>
        <w:rPr/>
      </w:pPr>
      <w:r>
        <w:rPr>
          <w:rFonts w:ascii="Calibri" w:hAnsi="Calibri"/>
          <w:sz w:val="21"/>
        </w:rPr>
        <w:t>7.</w:t>
      </w:r>
      <w:r>
        <w:rPr>
          <w:sz w:val="21"/>
        </w:rPr>
        <w:t xml:space="preserve"> </w:t>
      </w:r>
      <w:r>
        <w:rPr>
          <w:rFonts w:ascii="Calibri" w:hAnsi="Calibri"/>
          <w:sz w:val="21"/>
        </w:rPr>
        <w:t xml:space="preserve">Ervoor zorgen dat iedereen deel kan nemen aan </w:t>
      </w:r>
      <w:r>
        <w:rPr>
          <w:sz w:val="21"/>
        </w:rPr>
        <w:t>de</w:t>
      </w:r>
      <w:r>
        <w:rPr>
          <w:rFonts w:ascii="Calibri" w:hAnsi="Calibri"/>
          <w:b/>
          <w:i/>
          <w:sz w:val="24"/>
        </w:rPr>
        <w:t xml:space="preserve">Europese democratie </w:t>
      </w:r>
    </w:p>
    <w:p>
      <w:pPr>
        <w:pStyle w:val="P68B1DB1Normal104"/>
        <w:widowControl w:val="false"/>
        <w:spacing w:lineRule="exact" w:line="282" w:before="178" w:after="0"/>
        <w:ind w:left="0" w:right="323" w:hanging="0"/>
        <w:jc w:val="both"/>
        <w:rPr/>
      </w:pPr>
      <w:r>
        <w:rPr/>
        <w:t xml:space="preserve">Nederlanders hoeven niet alles over de Europese Unie te weten, maar willen meer transparantie en meer informatie. Het kennen van de standpunten van andere EU-landen kan bijvoorbeeld bijdragen tot een beter overzicht. Daarnaast vinden de Nederlanders dat de EU vaker en bij voorkeur op permanente basis met burgers moet samenwerken. In dit verband is het belangrijk om niet alleen rekening te houden met de verschillende belangen, maar ook om sneller beslissingen te nemen dan nu het geval is. </w:t>
      </w:r>
    </w:p>
    <w:p>
      <w:pPr>
        <w:pStyle w:val="P68B1DB1Normal105"/>
        <w:widowControl w:val="false"/>
        <w:spacing w:lineRule="exact" w:line="346" w:before="58" w:after="0"/>
        <w:ind w:left="0" w:right="0" w:hanging="0"/>
        <w:jc w:val="left"/>
        <w:rPr/>
      </w:pPr>
      <w:r>
        <w:rPr>
          <w:rFonts w:ascii="Calibri" w:hAnsi="Calibri"/>
        </w:rPr>
        <w:t>1.</w:t>
      </w:r>
      <w:r>
        <w:rPr/>
        <w:t xml:space="preserve"> </w:t>
      </w:r>
      <w:r>
        <w:rPr>
          <w:rFonts w:ascii="Calibri" w:hAnsi="Calibri"/>
        </w:rPr>
        <w:t>Een beter overzicht van Europa</w:t>
      </w:r>
    </w:p>
    <w:p>
      <w:pPr>
        <w:pStyle w:val="P68B1DB1Normal105"/>
        <w:widowControl w:val="false"/>
        <w:spacing w:lineRule="exact" w:line="346"/>
        <w:ind w:left="0" w:right="0" w:hanging="0"/>
        <w:jc w:val="left"/>
        <w:rPr/>
      </w:pPr>
      <w:r>
        <w:rPr>
          <w:rFonts w:ascii="Calibri" w:hAnsi="Calibri"/>
        </w:rPr>
        <w:t>2.</w:t>
      </w:r>
      <w:r>
        <w:rPr/>
        <w:t xml:space="preserve"> </w:t>
      </w:r>
      <w:r>
        <w:rPr>
          <w:rFonts w:ascii="Calibri" w:hAnsi="Calibri"/>
        </w:rPr>
        <w:t>Nieuwe manieren vinden om voortdurend naar burgers te luisteren</w:t>
      </w:r>
    </w:p>
    <w:p>
      <w:pPr>
        <w:pStyle w:val="P68B1DB1Normal105"/>
        <w:widowControl w:val="false"/>
        <w:spacing w:lineRule="exact" w:line="281"/>
        <w:ind w:left="0" w:right="1902" w:hanging="0"/>
        <w:jc w:val="left"/>
        <w:rPr/>
      </w:pPr>
      <w:r>
        <w:rPr>
          <w:rFonts w:ascii="Calibri" w:hAnsi="Calibri"/>
        </w:rPr>
        <w:t>3.</w:t>
      </w:r>
      <w:r>
        <w:rPr/>
        <w:t xml:space="preserve"> </w:t>
      </w:r>
      <w:r>
        <w:rPr>
          <w:rFonts w:ascii="Calibri" w:hAnsi="Calibri"/>
        </w:rPr>
        <w:t>Meer transparantie en duidelijkheid over de genomen besluiten</w:t>
      </w:r>
    </w:p>
    <w:p>
      <w:pPr>
        <w:pStyle w:val="P68B1DB1Normal105"/>
        <w:widowControl w:val="false"/>
        <w:spacing w:lineRule="exact" w:line="281"/>
        <w:ind w:left="0" w:right="1902" w:hanging="0"/>
        <w:jc w:val="left"/>
        <w:rPr/>
      </w:pPr>
      <w:r>
        <w:rPr>
          <w:rFonts w:ascii="Calibri" w:hAnsi="Calibri"/>
        </w:rPr>
        <w:t>4.</w:t>
      </w:r>
      <w:r>
        <w:rPr/>
        <w:t xml:space="preserve"> </w:t>
      </w:r>
      <w:r>
        <w:rPr>
          <w:rFonts w:ascii="Calibri" w:hAnsi="Calibri"/>
        </w:rPr>
        <w:t>Zorgen dat doornige problemen sneller kunnen worden opgelost</w:t>
      </w:r>
    </w:p>
    <w:p>
      <w:pPr>
        <w:pStyle w:val="P68B1DB1Normal104"/>
        <w:widowControl w:val="false"/>
        <w:spacing w:lineRule="exact" w:line="339" w:before="60" w:after="0"/>
        <w:ind w:left="0" w:right="0" w:hanging="0"/>
        <w:jc w:val="left"/>
        <w:rPr>
          <w:rFonts w:ascii="Calibri" w:hAnsi="Calibri"/>
          <w:color w:val="000000"/>
          <w:sz w:val="21"/>
        </w:rPr>
      </w:pPr>
      <w:r>
        <w:rPr/>
        <w:t xml:space="preserve"> </w:t>
      </w:r>
    </w:p>
    <w:p>
      <w:pPr>
        <w:pStyle w:val="P68B1DB1Normal108"/>
        <w:widowControl w:val="false"/>
        <w:spacing w:lineRule="exact" w:line="387" w:before="59" w:after="0"/>
        <w:ind w:left="0" w:right="0" w:hanging="0"/>
        <w:jc w:val="left"/>
        <w:rPr>
          <w:rFonts w:ascii="Calibri" w:hAnsi="Calibri"/>
          <w:b/>
          <w:b/>
          <w:i/>
          <w:i/>
          <w:color w:val="000000"/>
          <w:sz w:val="24"/>
        </w:rPr>
      </w:pPr>
      <w:r>
        <w:rPr/>
        <w:t xml:space="preserve">Digitale transformatie </w:t>
      </w:r>
    </w:p>
    <w:p>
      <w:pPr>
        <w:pStyle w:val="P68B1DB1Normal104"/>
        <w:widowControl w:val="false"/>
        <w:spacing w:lineRule="exact" w:line="282" w:before="178" w:after="0"/>
        <w:ind w:left="0" w:right="54" w:hanging="0"/>
        <w:jc w:val="left"/>
        <w:rPr/>
      </w:pPr>
      <w:r>
        <w:rPr/>
        <w:t xml:space="preserve">De samenleving wordt steeds afhankelijker van het internet en grote techbedrijven worden steeds machtiger. Dit maakt de Nederlanders soms veel zorgen. Het is daarom nuttig voor de EU om Europese (privacy)regels en -normen te ontwikkelen. Het is echter belangrijk dat iedereen deze regels en normen kan begrijpen en toepassen. De Nederlanders ontvangen liever steun en informatie van de nationale autoriteiten in hun eigen taal. </w:t>
      </w:r>
    </w:p>
    <w:p>
      <w:pPr>
        <w:pStyle w:val="P68B1DB1Normal104"/>
        <w:widowControl w:val="false"/>
        <w:spacing w:lineRule="exact" w:line="339" w:before="61" w:after="0"/>
        <w:ind w:left="0" w:right="0" w:hanging="0"/>
        <w:jc w:val="left"/>
        <w:rPr>
          <w:rFonts w:ascii="Calibri" w:hAnsi="Calibri"/>
          <w:color w:val="000000"/>
          <w:sz w:val="21"/>
        </w:rPr>
      </w:pPr>
      <w:r>
        <w:rPr/>
        <w:t xml:space="preserve"> </w:t>
      </w:r>
    </w:p>
    <w:p>
      <w:pPr>
        <w:pStyle w:val="P68B1DB1Normal105"/>
        <w:widowControl w:val="false"/>
        <w:spacing w:lineRule="exact" w:line="346"/>
        <w:ind w:left="0" w:right="0" w:hanging="0"/>
        <w:jc w:val="left"/>
        <w:rPr/>
      </w:pPr>
      <w:r>
        <w:rPr>
          <w:rFonts w:ascii="Calibri" w:hAnsi="Calibri"/>
        </w:rPr>
        <w:t>1.</w:t>
      </w:r>
      <w:r>
        <w:rPr/>
        <w:t xml:space="preserve"> </w:t>
      </w:r>
      <w:r>
        <w:rPr>
          <w:rFonts w:ascii="Calibri" w:hAnsi="Calibri"/>
        </w:rPr>
        <w:t>Zorgen voor een snel, veilig en stabiel internet overal</w:t>
      </w:r>
    </w:p>
    <w:p>
      <w:pPr>
        <w:pStyle w:val="P68B1DB1Normal105"/>
        <w:widowControl w:val="false"/>
        <w:spacing w:lineRule="exact" w:line="346"/>
        <w:ind w:left="0" w:right="0" w:hanging="0"/>
        <w:jc w:val="left"/>
        <w:rPr/>
      </w:pPr>
      <w:r>
        <w:rPr>
          <w:rFonts w:ascii="Calibri" w:hAnsi="Calibri"/>
        </w:rPr>
        <w:t>2.</w:t>
      </w:r>
      <w:r>
        <w:rPr/>
        <w:t xml:space="preserve"> </w:t>
      </w:r>
      <w:r>
        <w:rPr>
          <w:rFonts w:ascii="Calibri" w:hAnsi="Calibri"/>
        </w:rPr>
        <w:t>Duidelijke regels en normen voor internetbedrijven vaststellen</w:t>
      </w:r>
    </w:p>
    <w:p>
      <w:pPr>
        <w:pStyle w:val="P68B1DB1Normal105"/>
        <w:widowControl w:val="false"/>
        <w:spacing w:lineRule="exact" w:line="346"/>
        <w:ind w:left="0" w:right="0" w:hanging="0"/>
        <w:jc w:val="left"/>
        <w:rPr/>
      </w:pPr>
      <w:r>
        <w:rPr>
          <w:rFonts w:ascii="Calibri" w:hAnsi="Calibri"/>
        </w:rPr>
        <w:t>3.</w:t>
      </w:r>
      <w:r>
        <w:rPr/>
        <w:t xml:space="preserve"> </w:t>
      </w:r>
      <w:r>
        <w:rPr>
          <w:rFonts w:ascii="Calibri" w:hAnsi="Calibri"/>
        </w:rPr>
        <w:t>Implementatie en praktische uitleg toevoegen aan privacyregels</w:t>
      </w:r>
    </w:p>
    <w:p>
      <w:pPr>
        <w:pStyle w:val="P68B1DB1Normal19"/>
        <w:widowControl w:val="false"/>
        <w:spacing w:lineRule="exact" w:line="388"/>
        <w:ind w:left="284" w:right="0" w:hanging="0"/>
        <w:jc w:val="left"/>
        <w:rPr>
          <w:rFonts w:ascii="Times New Roman" w:hAnsi="Times New Roman"/>
          <w:color w:val="000000"/>
          <w:sz w:val="24"/>
        </w:rPr>
      </w:pPr>
      <w:r>
        <w:rPr/>
        <w:t xml:space="preserve"> </w:t>
      </w:r>
    </w:p>
    <w:p>
      <w:pPr>
        <w:pStyle w:val="P68B1DB1Normal108"/>
        <w:widowControl w:val="false"/>
        <w:spacing w:lineRule="exact" w:line="387" w:before="30" w:after="0"/>
        <w:ind w:left="0" w:right="0" w:hanging="0"/>
        <w:jc w:val="left"/>
        <w:rPr>
          <w:rFonts w:ascii="Calibri" w:hAnsi="Calibri"/>
          <w:b/>
          <w:b/>
          <w:i/>
          <w:i/>
          <w:color w:val="000000"/>
          <w:sz w:val="24"/>
        </w:rPr>
      </w:pPr>
      <w:r>
        <w:rPr/>
        <w:t xml:space="preserve">Onderwijs, cultuur, jeugd en sport </w:t>
      </w:r>
    </w:p>
    <w:p>
      <w:pPr>
        <w:pStyle w:val="P68B1DB1Normal104"/>
        <w:widowControl w:val="false"/>
        <w:spacing w:lineRule="exact" w:line="282" w:before="178" w:after="0"/>
        <w:ind w:left="0" w:right="166" w:hanging="0"/>
        <w:jc w:val="left"/>
        <w:rPr/>
      </w:pPr>
      <w:r>
        <w:rPr/>
        <w:t>Jongeren die in het buitenland studeren, moeten meer van het gastland kunnen leren dan ze nu</w:t>
      </w:r>
      <w:r>
        <w:rPr/>
        <w:commentReference w:id="21"/>
      </w:r>
      <w:r>
        <w:rPr/>
        <w:t xml:space="preserve"> zijn. En landen met een lager kennisniveau mogen niet al hun talenten verliezen, die naar het buitenland gaan. De Nederlanders zijn van mening dat onderwerpen als cultuur en misbruik in de sport veeleer de verantwoordelijkheid van de lidstaten zelf moeten zijn. En ze vinden het erg belangrijk om een eigen nationale taal te hebben. In het algemeen moet iedereen zich in Europa vooral vrij voelen en zichzelf kunnen zijn. </w:t>
      </w:r>
    </w:p>
    <w:p>
      <w:pPr>
        <w:pStyle w:val="P68B1DB1Normal104"/>
        <w:widowControl w:val="false"/>
        <w:spacing w:lineRule="exact" w:line="339" w:before="61" w:after="0"/>
        <w:ind w:left="0" w:right="0" w:hanging="0"/>
        <w:jc w:val="left"/>
        <w:rPr>
          <w:rFonts w:ascii="Calibri" w:hAnsi="Calibri"/>
          <w:color w:val="000000"/>
          <w:sz w:val="21"/>
        </w:rPr>
      </w:pPr>
      <w:r>
        <w:rPr/>
        <w:t xml:space="preserve"> </w:t>
      </w:r>
    </w:p>
    <w:p>
      <w:pPr>
        <w:pStyle w:val="P68B1DB1Normal105"/>
        <w:widowControl w:val="false"/>
        <w:spacing w:lineRule="exact" w:line="346" w:before="55" w:after="0"/>
        <w:ind w:left="0" w:right="0" w:hanging="0"/>
        <w:jc w:val="left"/>
        <w:rPr/>
      </w:pPr>
      <w:r>
        <w:rPr>
          <w:rFonts w:ascii="Calibri" w:hAnsi="Calibri"/>
        </w:rPr>
        <w:t>1.</w:t>
      </w:r>
      <w:r>
        <w:rPr/>
        <w:t xml:space="preserve"> </w:t>
      </w:r>
      <w:r>
        <w:rPr>
          <w:rFonts w:ascii="Calibri" w:hAnsi="Calibri"/>
        </w:rPr>
        <w:t>Studenten aanmoedigen om intelligent in het buitenland te studeren</w:t>
      </w:r>
    </w:p>
    <w:p>
      <w:pPr>
        <w:pStyle w:val="P68B1DB1Normal105"/>
        <w:widowControl w:val="false"/>
        <w:spacing w:lineRule="exact" w:line="346"/>
        <w:ind w:left="0" w:right="0" w:hanging="0"/>
        <w:jc w:val="left"/>
        <w:rPr/>
      </w:pPr>
      <w:r>
        <w:rPr>
          <w:rFonts w:ascii="Calibri" w:hAnsi="Calibri"/>
        </w:rPr>
        <w:t>2.</w:t>
      </w:r>
      <w:r>
        <w:rPr/>
        <w:t xml:space="preserve"> </w:t>
      </w:r>
      <w:r>
        <w:rPr>
          <w:rFonts w:ascii="Calibri" w:hAnsi="Calibri"/>
        </w:rPr>
        <w:t>De lidstaten in staat stellen zich te concentreren op onderwerpen als cultuur en sport</w:t>
      </w:r>
    </w:p>
    <w:p>
      <w:pPr>
        <w:pStyle w:val="Normal"/>
        <w:widowControl w:val="false"/>
        <w:spacing w:lineRule="exact" w:line="346"/>
        <w:ind w:left="1" w:right="0" w:hanging="0"/>
        <w:jc w:val="left"/>
        <w:rPr/>
      </w:pPr>
      <w:r>
        <w:rPr>
          <w:rFonts w:ascii="Calibri" w:hAnsi="Calibri"/>
          <w:color w:val="000000"/>
          <w:sz w:val="21"/>
        </w:rPr>
        <w:t>3.</w:t>
      </w:r>
      <w:r>
        <w:rPr>
          <w:color w:val="000000"/>
          <w:sz w:val="21"/>
        </w:rPr>
        <w:t xml:space="preserve"> </w:t>
      </w:r>
      <w:r>
        <w:rPr>
          <w:rFonts w:ascii="Calibri" w:hAnsi="Calibri"/>
          <w:color w:val="000000"/>
          <w:sz w:val="21"/>
        </w:rPr>
        <w:t>Ervoor zorgen dat Europeanen elkaar beter leren kennen en elkaar respecteren</w:t>
      </w:r>
      <w:r>
        <w:rPr>
          <w:color w:val="000000"/>
          <w:sz w:val="21"/>
        </w:rPr>
        <w:t xml:space="preserve"> </w:t>
      </w:r>
      <w:r>
        <w:br w:type="page"/>
      </w:r>
    </w:p>
    <w:p>
      <w:pPr>
        <w:pStyle w:val="P68B1DB1Normal109"/>
        <w:rPr>
          <w:rFonts w:ascii="Calibri" w:hAnsi="Calibri"/>
          <w:b/>
          <w:b/>
          <w:i/>
          <w:i/>
          <w:color w:val="000000"/>
          <w:sz w:val="32"/>
        </w:rPr>
      </w:pPr>
      <w:r>
        <w:rPr/>
        <w:t xml:space="preserve">Introductie </w:t>
      </w:r>
    </w:p>
    <w:p>
      <w:pPr>
        <w:pStyle w:val="P68B1DB1Normal110"/>
        <w:widowControl w:val="false"/>
        <w:spacing w:lineRule="exact" w:line="274" w:before="31" w:after="0"/>
        <w:ind w:left="0" w:right="113" w:hanging="0"/>
        <w:jc w:val="left"/>
        <w:rPr/>
      </w:pPr>
      <w:r>
        <w:rPr>
          <w:sz w:val="21"/>
        </w:rPr>
        <w:t xml:space="preserve">De burgerdialoog „Vision of Europe”, gehouden van 1 september tot half november, stelde alle Nederlanders in staat hun mening en ideeën over de toekomst van Europa te uiten. Nederland dient bij de Europese Unie (EU) de aanbevelingen waarop de dialoog heeft geleid, alsmede de ideeën en standpunten die naar voren zijn gebracht, voor te leggen. In dit rapport richten we ons op de eerste vijf thema’s. De overige vier onderwerpen zullen begin 2022 in een verslag aan de orde komen. </w:t>
      </w:r>
      <w:r>
        <w:rPr>
          <w:b/>
          <w:i/>
          <w:sz w:val="24"/>
        </w:rPr>
        <w:t>Over de visie van Europa</w:t>
      </w:r>
    </w:p>
    <w:p>
      <w:pPr>
        <w:pStyle w:val="P68B1DB1Normal104"/>
        <w:widowControl w:val="false"/>
        <w:spacing w:lineRule="exact" w:line="257" w:before="34" w:after="0"/>
        <w:ind w:left="0" w:right="200" w:hanging="0"/>
        <w:jc w:val="left"/>
        <w:rPr/>
      </w:pPr>
      <w:r>
        <w:rPr/>
        <w:t xml:space="preserve">De Europese Unie wil dat haar burgers delen wat zij van Europa vinden. Daarom organiseert de EU de conferentie over de toekomst van Europa. De meningen en ideeën van burgers in de hele Europese Unie zullen vervolgens worden meegenomen in de plannen voor de toekomst van Europa. Als onderdeel van de conferentie organiseerde Nederland de burgerdialoog „Vision of Europe” op nationaal niveau. </w:t>
      </w:r>
    </w:p>
    <w:p>
      <w:pPr>
        <w:pStyle w:val="P68B1DB1Normal104"/>
        <w:widowControl w:val="false"/>
        <w:spacing w:lineRule="exact" w:line="339" w:before="34" w:after="0"/>
        <w:ind w:left="0" w:right="0" w:hanging="0"/>
        <w:jc w:val="left"/>
        <w:rPr>
          <w:rFonts w:ascii="Calibri" w:hAnsi="Calibri"/>
          <w:color w:val="000000"/>
          <w:sz w:val="21"/>
        </w:rPr>
      </w:pPr>
      <w:r>
        <w:rPr/>
        <w:t xml:space="preserve"> </w:t>
      </w:r>
    </w:p>
    <w:p>
      <w:pPr>
        <w:pStyle w:val="P68B1DB1Normal104"/>
        <w:widowControl w:val="false"/>
        <w:spacing w:lineRule="exact" w:line="257" w:before="32" w:after="0"/>
        <w:ind w:left="0" w:right="109" w:hanging="0"/>
        <w:jc w:val="left"/>
        <w:rPr/>
      </w:pPr>
      <w:r>
        <w:rPr/>
        <w:t xml:space="preserve">De dialoog over de visie op Europa is op 1 september van start gegaan met de online verzameling van meningen en ideeën via een enquête van een representatief panel. Om de eerste resultaten van de panelenquête te verdiepen en concrete aanbevelingen te doen, organiseerden we thematische onlinedialogen. Iedereen die wil meedoen, kan meedoen. We reisden ook door het land om gesprekken te voeren met jongeren en andere groepen (moeilijk te bereiken). </w:t>
      </w:r>
    </w:p>
    <w:p>
      <w:pPr>
        <w:pStyle w:val="P68B1DB1Normal111"/>
        <w:widowControl w:val="false"/>
        <w:spacing w:lineRule="exact" w:line="269" w:before="28" w:after="0"/>
        <w:ind w:left="0" w:right="113" w:hanging="0"/>
        <w:jc w:val="left"/>
        <w:rPr/>
      </w:pPr>
      <w:r>
        <w:rPr/>
        <w:t xml:space="preserve">Van scholieren, middelbare scholieren en studenten tot minister, boeren en migranten </w:t>
      </w:r>
    </w:p>
    <w:p>
      <w:pPr>
        <w:pStyle w:val="P68B1DB1Normal104"/>
        <w:widowControl w:val="false"/>
        <w:spacing w:lineRule="exact" w:line="257" w:before="26" w:after="0"/>
        <w:ind w:left="0" w:right="44" w:hanging="0"/>
        <w:jc w:val="left"/>
        <w:rPr/>
      </w:pPr>
      <w:r>
        <w:rPr/>
        <w:t xml:space="preserve">In oktober en november vonden in totaal acht online thematische dialogen plaats, met gemiddeld 30 deelnemers per vergadering. We organiseerden ook een online thematische dialoog en zeven on-site thematische dialogen met verschillende groepen Nederlandse burgers. We spraken met de Turkse gemeenschap in Schiedam en werden door vrijwilligers van de Piëzo Foundation uitgenodigd voor Zoetermeer. Bij deze laatste gelegenheid was minister van Buitenlandse Zaken Ben Knapen ook aanwezig aan het einde van de dialoog. De minister had een discussie met de deelnemers over de dialoog en standpunten over de toekomst van Europa. Tot slot organiseerden we zes bijeenkomsten met verschillende groepen jongeren. Zo werden we verwelkomd op een middelbare school in Helmond, een beroepsonderwijs in Doetinchem en de Universiteit Leiden. </w:t>
      </w:r>
    </w:p>
    <w:p>
      <w:pPr>
        <w:pStyle w:val="P68B1DB1Normal112"/>
        <w:widowControl w:val="false"/>
        <w:spacing w:lineRule="exact" w:line="260" w:before="31" w:after="0"/>
        <w:ind w:left="0" w:right="0" w:hanging="0"/>
        <w:jc w:val="left"/>
        <w:rPr>
          <w:rFonts w:ascii="Times New Roman" w:hAnsi="Times New Roman"/>
          <w:color w:val="000000"/>
          <w:sz w:val="16"/>
        </w:rPr>
      </w:pPr>
      <w:r>
        <w:rPr/>
        <w:t xml:space="preserve"> </w:t>
      </w:r>
    </w:p>
    <w:p>
      <w:pPr>
        <w:pStyle w:val="P68B1DB1Normal113"/>
        <w:widowControl w:val="false"/>
        <w:spacing w:lineRule="exact" w:line="319" w:before="28" w:after="0"/>
        <w:ind w:left="883" w:right="888" w:hanging="0"/>
        <w:jc w:val="center"/>
        <w:rPr/>
      </w:pPr>
      <w:r>
        <w:rPr/>
        <w:t xml:space="preserve">Ik vind het altijd leuk om mijn mening te uiten in de voorkant van de koffiemachine. Daarom dacht ik dat ik moest meedoen. </w:t>
      </w:r>
    </w:p>
    <w:p>
      <w:pPr>
        <w:pStyle w:val="P68B1DB1Normal110"/>
        <w:widowControl w:val="false"/>
        <w:spacing w:lineRule="exact" w:line="346" w:before="41" w:after="0"/>
        <w:ind w:left="0" w:right="6639" w:hanging="0"/>
        <w:jc w:val="left"/>
        <w:rPr/>
      </w:pPr>
      <w:r>
        <w:rPr>
          <w:sz w:val="21"/>
        </w:rPr>
        <w:t xml:space="preserve">Deelnemer aan Thematische </w:t>
      </w:r>
      <w:r>
        <w:rPr>
          <w:b/>
          <w:i/>
          <w:sz w:val="24"/>
        </w:rPr>
        <w:t xml:space="preserve">Dialoog Over dit rapport </w:t>
      </w:r>
    </w:p>
    <w:p>
      <w:pPr>
        <w:pStyle w:val="P68B1DB1Normal104"/>
        <w:widowControl w:val="false"/>
        <w:spacing w:lineRule="exact" w:line="257" w:before="178" w:after="0"/>
        <w:ind w:left="0" w:right="56" w:hanging="0"/>
        <w:jc w:val="left"/>
        <w:rPr/>
      </w:pPr>
      <w:r>
        <w:rPr/>
        <w:t xml:space="preserve">Op basis van de ideeën en meningen die we de afgelopen maanden hebben verzameld, hebben we een reeks aanbevelingen opgesteld die Nederlandse burgers doen aan de Europese Unie. Tijdens de discussies tussen Nederlanders vonden interessante gedachtewisselingen plaats en werden innovatieve ideeën naar voren gebracht. Ook via het panel en het openbaar onderzoek werden suggesties gedaan. Sommige van deze ideeën zijn in dit verslag opgenomen. De inhoud van dit rapport is dan ook de stem van Nederland: onze visie op Europa. </w:t>
      </w:r>
    </w:p>
    <w:p>
      <w:pPr>
        <w:pStyle w:val="P68B1DB1Normal104"/>
        <w:widowControl w:val="false"/>
        <w:spacing w:lineRule="exact" w:line="339" w:before="34" w:after="0"/>
        <w:ind w:left="0" w:right="0" w:hanging="0"/>
        <w:jc w:val="left"/>
        <w:rPr>
          <w:rFonts w:ascii="Calibri" w:hAnsi="Calibri"/>
          <w:color w:val="000000"/>
          <w:sz w:val="21"/>
        </w:rPr>
      </w:pPr>
      <w:r>
        <w:rPr/>
        <w:t xml:space="preserve"> </w:t>
      </w:r>
    </w:p>
    <w:p>
      <w:pPr>
        <w:pStyle w:val="Normal"/>
        <w:widowControl w:val="false"/>
        <w:spacing w:lineRule="exact" w:line="256" w:before="32" w:after="0"/>
        <w:ind w:left="0" w:right="16" w:hanging="0"/>
        <w:jc w:val="left"/>
        <w:rPr/>
      </w:pPr>
      <w:r>
        <w:rPr>
          <w:rFonts w:ascii="Calibri" w:hAnsi="Calibri"/>
          <w:color w:val="000000"/>
          <w:sz w:val="21"/>
        </w:rPr>
        <w:t xml:space="preserve">Net zoals er meningsverschillen zijn tussen landen en Europese burgers, zijn we het ook niet altijd met elkaar eens binnen Nederland. Deze meningsverschillen zijn juist waardevol: ze zijn een belangrijk kenmerk van een democratie. De aanbevelingen zijn gebaseerd op de meest geuite ideeën en meningen van de deelnemers aan de Vision of Europe-enquête. We beschrijven ook zorgen, ideeën en gevoelens die misschien minder wijdverbreid zijn, maar die onze aandacht hebben getrokken tijdens dialogen en de online enquête. </w:t>
      </w:r>
      <w:r>
        <w:br w:type="page"/>
      </w:r>
    </w:p>
    <w:p>
      <w:pPr>
        <w:pStyle w:val="P68B1DB1Normal113"/>
        <w:spacing w:lineRule="auto" w:line="240"/>
        <w:rPr/>
      </w:pPr>
      <w:r>
        <w:rPr/>
        <w:t xml:space="preserve">Het was leuk om in kleine groepen met supporters en tegenstanders te kunnen praten. Het is heel anders dan hoe discussies meestal plaatsvinden op sociale media. </w:t>
      </w:r>
    </w:p>
    <w:p>
      <w:pPr>
        <w:pStyle w:val="P68B1DB1Normal76"/>
        <w:widowControl w:val="false"/>
        <w:spacing w:lineRule="auto" w:line="240" w:before="267" w:after="0"/>
        <w:ind w:left="0" w:right="0" w:hanging="0"/>
        <w:jc w:val="left"/>
        <w:rPr/>
      </w:pPr>
      <w:r>
        <w:rPr>
          <w:rFonts w:ascii="Calibri" w:hAnsi="Calibri"/>
          <w:sz w:val="21"/>
        </w:rPr>
        <w:t>Deelnemer aan de thematische dialoog</w:t>
      </w:r>
      <w:r>
        <w:rPr>
          <w:rFonts w:ascii="Times New Roman" w:hAnsi="Times New Roman"/>
          <w:sz w:val="24"/>
        </w:rPr>
        <w:t xml:space="preserve"> </w:t>
      </w:r>
    </w:p>
    <w:p>
      <w:pPr>
        <w:pStyle w:val="P68B1DB1Normal19"/>
        <w:widowControl w:val="false"/>
        <w:spacing w:lineRule="auto" w:line="240"/>
        <w:ind w:left="0" w:right="0" w:hanging="0"/>
        <w:jc w:val="left"/>
        <w:rPr>
          <w:rFonts w:ascii="Times New Roman" w:hAnsi="Times New Roman"/>
          <w:color w:val="000000"/>
          <w:sz w:val="24"/>
        </w:rPr>
      </w:pPr>
      <w:r>
        <w:rPr/>
        <w:t xml:space="preserve"> </w:t>
      </w:r>
    </w:p>
    <w:p>
      <w:pPr>
        <w:pStyle w:val="P68B1DB1Normal104"/>
        <w:widowControl w:val="false"/>
        <w:spacing w:lineRule="auto" w:line="240"/>
        <w:ind w:left="0" w:right="54" w:hanging="0"/>
        <w:jc w:val="left"/>
        <w:rPr/>
      </w:pPr>
      <w:r>
        <w:rPr/>
        <w:t xml:space="preserve">Voor de conferentie over de toekomst van Europa zijn negen thema’s vastgesteld. Deze thema’s vormen ook de kern van de Visie van Europa dialoog met Nederlandse burgers. In oktober publiceerden we een tussentijds rapport met een eerste overzicht van de resultaten en aanvullende vragen op basis van de panelenquête. In dit tweede verslag hebben we de adviezen, ideeën en aanbevelingen over de eerste vijf onderwerpen uiteengezet voor de plenaire vergadering van de Conferentie over de toekomst van Europa in december. Het volgende verslag, dat betrekking heeft op de vier resterende thema’s, zal medio januari worden gepubliceerd. </w:t>
      </w:r>
    </w:p>
    <w:p>
      <w:pPr>
        <w:pStyle w:val="Normal"/>
        <w:rPr/>
      </w:pPr>
      <w:r>
        <w:rPr/>
        <w:t xml:space="preserve">Huidig verslag — december 2021 </w:t>
      </w:r>
    </w:p>
    <w:p>
      <w:pPr>
        <w:pStyle w:val="P68B1DB1Normal105"/>
        <w:widowControl w:val="false"/>
        <w:spacing w:lineRule="auto" w:line="240" w:before="125" w:after="0"/>
        <w:ind w:left="0" w:right="0" w:hanging="0"/>
        <w:jc w:val="left"/>
        <w:rPr/>
      </w:pPr>
      <w:r>
        <w:rPr>
          <w:rFonts w:ascii="Verdana" w:hAnsi="Verdana"/>
        </w:rPr>
        <w:t>•</w:t>
      </w:r>
      <w:r>
        <w:rPr/>
        <w:t xml:space="preserve"> </w:t>
      </w:r>
      <w:r>
        <w:rPr>
          <w:rFonts w:ascii="Calibri" w:hAnsi="Calibri"/>
        </w:rPr>
        <w:t xml:space="preserve">Waarden en rechten, rechtsstaat en veiligheid </w:t>
      </w:r>
    </w:p>
    <w:p>
      <w:pPr>
        <w:pStyle w:val="P68B1DB1Normal105"/>
        <w:widowControl w:val="false"/>
        <w:spacing w:lineRule="auto" w:line="240" w:before="2" w:after="0"/>
        <w:ind w:left="0" w:right="0" w:hanging="0"/>
        <w:jc w:val="left"/>
        <w:rPr/>
      </w:pPr>
      <w:r>
        <w:rPr>
          <w:rFonts w:ascii="Verdana" w:hAnsi="Verdana"/>
        </w:rPr>
        <w:t>•</w:t>
      </w:r>
      <w:r>
        <w:rPr/>
        <w:t xml:space="preserve"> </w:t>
      </w:r>
      <w:r>
        <w:rPr>
          <w:rFonts w:ascii="Calibri" w:hAnsi="Calibri"/>
        </w:rPr>
        <w:t xml:space="preserve">Een sterkere economie, sociale rechtvaardigheid en werkgelegenheid </w:t>
      </w:r>
    </w:p>
    <w:p>
      <w:pPr>
        <w:pStyle w:val="P68B1DB1Normal105"/>
        <w:widowControl w:val="false"/>
        <w:spacing w:lineRule="auto" w:line="240" w:before="2" w:after="0"/>
        <w:ind w:left="0" w:right="0" w:hanging="0"/>
        <w:jc w:val="left"/>
        <w:rPr/>
      </w:pPr>
      <w:r>
        <w:rPr>
          <w:rFonts w:ascii="Verdana" w:hAnsi="Verdana"/>
        </w:rPr>
        <w:t>•</w:t>
      </w:r>
      <w:r>
        <w:rPr/>
        <w:t xml:space="preserve"> </w:t>
      </w:r>
      <w:r>
        <w:rPr>
          <w:rFonts w:ascii="Calibri" w:hAnsi="Calibri"/>
        </w:rPr>
        <w:t xml:space="preserve">Europese democratie </w:t>
      </w:r>
    </w:p>
    <w:p>
      <w:pPr>
        <w:pStyle w:val="P68B1DB1Normal105"/>
        <w:widowControl w:val="false"/>
        <w:spacing w:lineRule="auto" w:line="240" w:before="2" w:after="0"/>
        <w:ind w:left="0" w:right="0" w:hanging="0"/>
        <w:jc w:val="left"/>
        <w:rPr/>
      </w:pPr>
      <w:r>
        <w:rPr>
          <w:rFonts w:ascii="Verdana" w:hAnsi="Verdana"/>
        </w:rPr>
        <w:t>•</w:t>
      </w:r>
      <w:r>
        <w:rPr/>
        <w:t xml:space="preserve"> </w:t>
      </w:r>
      <w:r>
        <w:rPr>
          <w:rFonts w:ascii="Calibri" w:hAnsi="Calibri"/>
        </w:rPr>
        <w:t xml:space="preserve">Digitale transformatie </w:t>
      </w:r>
    </w:p>
    <w:p>
      <w:pPr>
        <w:pStyle w:val="P68B1DB1Normal105"/>
        <w:widowControl w:val="false"/>
        <w:spacing w:lineRule="auto" w:line="240" w:before="5" w:after="0"/>
        <w:ind w:left="0" w:right="0" w:hanging="0"/>
        <w:jc w:val="left"/>
        <w:rPr/>
      </w:pPr>
      <w:r>
        <w:rPr>
          <w:rFonts w:ascii="Verdana" w:hAnsi="Verdana"/>
        </w:rPr>
        <w:t>•</w:t>
      </w:r>
      <w:r>
        <w:rPr/>
        <w:t xml:space="preserve"> </w:t>
      </w:r>
      <w:r>
        <w:rPr>
          <w:rFonts w:ascii="Calibri" w:hAnsi="Calibri"/>
        </w:rPr>
        <w:t xml:space="preserve">Onderwijs, cultuur, jeugd en sport </w:t>
      </w:r>
    </w:p>
    <w:p>
      <w:pPr>
        <w:pStyle w:val="P68B1DB1Normal19"/>
        <w:widowControl w:val="false"/>
        <w:spacing w:lineRule="auto" w:line="240"/>
        <w:ind w:left="0" w:right="0" w:hanging="0"/>
        <w:jc w:val="left"/>
        <w:rPr>
          <w:rFonts w:ascii="Times New Roman" w:hAnsi="Times New Roman"/>
          <w:color w:val="000000"/>
          <w:sz w:val="24"/>
        </w:rPr>
      </w:pPr>
      <w:r>
        <w:rPr/>
        <w:t xml:space="preserve"> </w:t>
      </w:r>
    </w:p>
    <w:p>
      <w:pPr>
        <w:pStyle w:val="P68B1DB1Normal69"/>
        <w:widowControl w:val="false"/>
        <w:spacing w:lineRule="auto" w:line="240"/>
        <w:ind w:left="0" w:right="0" w:hanging="0"/>
        <w:jc w:val="left"/>
        <w:rPr>
          <w:rFonts w:ascii="Calibri" w:hAnsi="Calibri"/>
          <w:b/>
          <w:b/>
          <w:color w:val="000000"/>
          <w:sz w:val="20"/>
        </w:rPr>
      </w:pPr>
      <w:r>
        <w:rPr/>
        <w:t xml:space="preserve">Volgend verslag — januari 2022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Klimaatverandering en milieu </w:t>
      </w:r>
    </w:p>
    <w:p>
      <w:pPr>
        <w:pStyle w:val="P68B1DB1Normal105"/>
        <w:widowControl w:val="false"/>
        <w:spacing w:lineRule="auto" w:line="240" w:before="2" w:after="0"/>
        <w:ind w:left="0" w:right="0" w:hanging="0"/>
        <w:jc w:val="left"/>
        <w:rPr/>
      </w:pPr>
      <w:r>
        <w:rPr>
          <w:rFonts w:ascii="Verdana" w:hAnsi="Verdana"/>
        </w:rPr>
        <w:t>•</w:t>
      </w:r>
      <w:r>
        <w:rPr/>
        <w:t xml:space="preserve"> </w:t>
      </w:r>
      <w:r>
        <w:rPr>
          <w:rFonts w:ascii="Calibri" w:hAnsi="Calibri"/>
        </w:rPr>
        <w:t xml:space="preserve">Migratie </w:t>
      </w:r>
    </w:p>
    <w:p>
      <w:pPr>
        <w:pStyle w:val="P68B1DB1Normal105"/>
        <w:widowControl w:val="false"/>
        <w:spacing w:lineRule="auto" w:line="240" w:before="5" w:after="0"/>
        <w:ind w:left="0" w:right="0" w:hanging="0"/>
        <w:jc w:val="left"/>
        <w:rPr/>
      </w:pPr>
      <w:r>
        <w:rPr>
          <w:rFonts w:ascii="Verdana" w:hAnsi="Verdana"/>
        </w:rPr>
        <w:t>•</w:t>
      </w:r>
      <w:r>
        <w:rPr/>
        <w:t xml:space="preserve"> </w:t>
      </w:r>
      <w:r>
        <w:rPr>
          <w:rFonts w:ascii="Calibri" w:hAnsi="Calibri"/>
        </w:rPr>
        <w:t xml:space="preserve">Gezondheid </w:t>
      </w:r>
    </w:p>
    <w:p>
      <w:pPr>
        <w:pStyle w:val="P68B1DB1Normal105"/>
        <w:widowControl w:val="false"/>
        <w:spacing w:lineRule="auto" w:line="240" w:before="2" w:after="0"/>
        <w:ind w:left="0" w:right="0" w:hanging="0"/>
        <w:jc w:val="left"/>
        <w:rPr/>
      </w:pPr>
      <w:r>
        <w:rPr>
          <w:rFonts w:ascii="Verdana" w:hAnsi="Verdana"/>
        </w:rPr>
        <w:t>•</w:t>
      </w:r>
      <w:r>
        <w:rPr/>
        <w:t xml:space="preserve"> </w:t>
      </w:r>
      <w:r>
        <w:rPr>
          <w:rFonts w:ascii="Calibri" w:hAnsi="Calibri"/>
        </w:rPr>
        <w:t xml:space="preserve">De EU in de wereld </w:t>
      </w:r>
    </w:p>
    <w:p>
      <w:pPr>
        <w:pStyle w:val="P68B1DB1Normal108"/>
        <w:widowControl w:val="false"/>
        <w:spacing w:lineRule="auto" w:line="240" w:before="35" w:after="0"/>
        <w:ind w:left="0" w:right="0" w:hanging="0"/>
        <w:jc w:val="left"/>
        <w:rPr>
          <w:rFonts w:ascii="Calibri" w:hAnsi="Calibri"/>
          <w:b/>
          <w:b/>
          <w:i/>
          <w:i/>
          <w:color w:val="000000"/>
          <w:sz w:val="24"/>
        </w:rPr>
      </w:pPr>
      <w:r>
        <w:rPr/>
        <w:t xml:space="preserve">Volgende stappen </w:t>
      </w:r>
    </w:p>
    <w:p>
      <w:pPr>
        <w:pStyle w:val="P68B1DB1Normal105"/>
        <w:widowControl w:val="false"/>
        <w:spacing w:lineRule="auto" w:line="240" w:before="125" w:after="0"/>
        <w:ind w:left="0" w:right="0" w:hanging="0"/>
        <w:jc w:val="left"/>
        <w:rPr/>
      </w:pPr>
      <w:r>
        <w:rPr>
          <w:rFonts w:ascii="Verdana" w:hAnsi="Verdana"/>
        </w:rPr>
        <w:t>•</w:t>
      </w:r>
      <w:r>
        <w:rPr/>
        <w:t xml:space="preserve"> </w:t>
      </w:r>
      <w:r>
        <w:rPr>
          <w:rFonts w:ascii="Calibri" w:hAnsi="Calibri"/>
        </w:rPr>
        <w:t xml:space="preserve">De conferentie over de toekomst van Europa brengt de ideeën, adviezen en aanbevelingen van alle EU-burgers samen. De vergaderingen zullen niet alleen worden gewijd aan de resultaten van alle burgerdialogen op nationaal niveau, maar ook aan de resultaten van andere initiatieven die in het kader van de conferentie zijn gelanceerd. Zo zijn er ook panels van Europese burgers en hebben alle EU-burgers (inclusief Nederlandse burgers) toegang tot een Europees digitaal platform. </w:t>
      </w:r>
    </w:p>
    <w:p>
      <w:pPr>
        <w:pStyle w:val="P68B1DB1Normal113"/>
        <w:widowControl w:val="false"/>
        <w:spacing w:lineRule="auto" w:line="240" w:before="203" w:after="0"/>
        <w:ind w:left="1080" w:right="1083" w:hanging="0"/>
        <w:jc w:val="center"/>
        <w:rPr/>
      </w:pPr>
      <w:r>
        <w:rPr/>
        <w:t>„</w:t>
      </w:r>
      <w:r>
        <w:rPr/>
        <w:t xml:space="preserve">Het is goed dat de EU dit initiatief neemt. Ik hoop dat er echt rekening wordt gehouden met de resultaten. </w:t>
      </w:r>
    </w:p>
    <w:p>
      <w:pPr>
        <w:pStyle w:val="P68B1DB1Normal104"/>
        <w:widowControl w:val="false"/>
        <w:spacing w:lineRule="auto" w:line="240" w:before="307" w:after="0"/>
        <w:ind w:left="0" w:right="0" w:hanging="0"/>
        <w:jc w:val="left"/>
        <w:rPr>
          <w:rFonts w:ascii="Calibri" w:hAnsi="Calibri"/>
          <w:color w:val="000000"/>
          <w:sz w:val="21"/>
        </w:rPr>
      </w:pPr>
      <w:r>
        <w:rPr/>
        <w:t xml:space="preserve">Deelnemer aan de thematische dialoog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De conferentie eindigt in het voorjaar van 2022. Nederland zal vervolgens een eindverslag opstellen over de burgerdialoog: een compilatie van dit verslag en het volgende verslag (inclusief andere thema’s). Na de conferentie zullen aanbevelingen worden gedaan aan de voorzitter van de Conferentie: de voorzitters van het Europees Parlement, de Raad van Ministers en de Europese Commissie. Zij hebben zich ertoe verbonden na te gaan hoe en hoe de aanbevelingen ten uitvoer kunnen worden gelegd. Voor de Nederlandse regering zijn de resultaten ook een waardevolle bijdrage aan de ontwikkeling van het Europese beleid van Nederland. </w:t>
      </w:r>
    </w:p>
    <w:p>
      <w:pPr>
        <w:pStyle w:val="Normal"/>
        <w:widowControl w:val="false"/>
        <w:spacing w:lineRule="auto" w:line="240"/>
        <w:ind w:left="0" w:right="0" w:hanging="0"/>
        <w:jc w:val="left"/>
        <w:rPr/>
      </w:pPr>
      <w:r>
        <w:rPr>
          <w:rFonts w:ascii="Verdana" w:hAnsi="Verdana"/>
          <w:color w:val="000000"/>
          <w:sz w:val="21"/>
        </w:rPr>
        <w:t>•</w:t>
      </w:r>
      <w:r>
        <w:rPr>
          <w:color w:val="000000"/>
          <w:sz w:val="21"/>
        </w:rPr>
        <w:t xml:space="preserve"> </w:t>
      </w:r>
      <w:r>
        <w:rPr>
          <w:rFonts w:ascii="Calibri" w:hAnsi="Calibri"/>
          <w:color w:val="000000"/>
          <w:sz w:val="21"/>
        </w:rPr>
        <w:t xml:space="preserve">Samengevat zal het proces tot het voorjaar van 2022 als volgt worden georganiseerd: </w:t>
      </w:r>
      <w:r>
        <w:br w:type="page"/>
      </w:r>
    </w:p>
    <w:p>
      <w:pPr>
        <w:pStyle w:val="P68B1DB1Normal107"/>
        <w:spacing w:lineRule="auto" w:line="240"/>
        <w:rPr/>
      </w:pPr>
      <w:r>
        <w:rPr/>
        <w:t xml:space="preserve">Chronologie </w:t>
      </w:r>
    </w:p>
    <w:p>
      <w:pPr>
        <w:pStyle w:val="P68B1DB1Normal114"/>
        <w:spacing w:lineRule="auto" w:line="240"/>
        <w:rPr/>
      </w:pPr>
      <w:r>
        <w:rPr/>
        <w:t xml:space="preserve">Visie van Europa </w:t>
      </w:r>
    </w:p>
    <w:tbl>
      <w:tblPr>
        <w:tblW w:w="9638"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675"/>
        <w:gridCol w:w="1633"/>
        <w:gridCol w:w="39"/>
        <w:gridCol w:w="840"/>
        <w:gridCol w:w="719"/>
        <w:gridCol w:w="1480"/>
        <w:gridCol w:w="411"/>
        <w:gridCol w:w="410"/>
        <w:gridCol w:w="1286"/>
        <w:gridCol w:w="564"/>
        <w:gridCol w:w="1580"/>
      </w:tblGrid>
      <w:tr>
        <w:trPr>
          <w:trHeight w:val="851" w:hRule="atLeast"/>
        </w:trPr>
        <w:tc>
          <w:tcPr>
            <w:tcW w:w="67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De eerste zeven.</w:t>
            </w:r>
          </w:p>
        </w:tc>
        <w:tc>
          <w:tcPr>
            <w:tcW w:w="163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12 oktober</w:t>
            </w:r>
          </w:p>
        </w:tc>
        <w:tc>
          <w:tcPr>
            <w:tcW w:w="879"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22/23 oktober</w:t>
            </w:r>
          </w:p>
        </w:tc>
        <w:tc>
          <w:tcPr>
            <w:tcW w:w="71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15 nov.</w:t>
            </w:r>
          </w:p>
        </w:tc>
        <w:tc>
          <w:tcPr>
            <w:tcW w:w="14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17/18 december</w:t>
            </w:r>
          </w:p>
        </w:tc>
        <w:tc>
          <w:tcPr>
            <w:tcW w:w="821"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21/22 januari</w:t>
            </w:r>
          </w:p>
        </w:tc>
        <w:tc>
          <w:tcPr>
            <w:tcW w:w="128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22/24 april</w:t>
            </w:r>
          </w:p>
        </w:tc>
        <w:tc>
          <w:tcPr>
            <w:tcW w:w="56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5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r>
      <w:tr>
        <w:trPr>
          <w:trHeight w:val="581" w:hRule="atLeast"/>
        </w:trPr>
        <w:tc>
          <w:tcPr>
            <w:tcW w:w="3906" w:type="dxa"/>
            <w:gridSpan w:val="5"/>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Ideeën online verzamelen</w:t>
            </w:r>
          </w:p>
        </w:tc>
        <w:tc>
          <w:tcPr>
            <w:tcW w:w="14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821"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28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56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5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r>
      <w:tr>
        <w:trPr>
          <w:trHeight w:val="566" w:hRule="atLeast"/>
        </w:trPr>
        <w:tc>
          <w:tcPr>
            <w:tcW w:w="67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3231" w:type="dxa"/>
            <w:gridSpan w:val="4"/>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Thematische dialogen</w:t>
            </w:r>
          </w:p>
        </w:tc>
        <w:tc>
          <w:tcPr>
            <w:tcW w:w="14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821"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28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56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5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r>
      <w:tr>
        <w:trPr>
          <w:trHeight w:val="1676" w:hRule="atLeast"/>
        </w:trPr>
        <w:tc>
          <w:tcPr>
            <w:tcW w:w="67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63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879"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Tussentijdse resultaten (tussenrapport)</w:t>
            </w:r>
          </w:p>
        </w:tc>
        <w:tc>
          <w:tcPr>
            <w:tcW w:w="71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4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Tussentijds verslag over „Economie” en „democratie”</w:t>
            </w:r>
          </w:p>
        </w:tc>
        <w:tc>
          <w:tcPr>
            <w:tcW w:w="821"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Tussentijds verslag over „Klimaat” en „De EU in de wereld”</w:t>
            </w:r>
          </w:p>
        </w:tc>
        <w:tc>
          <w:tcPr>
            <w:tcW w:w="128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Eindverslag „Onze visie voor Europa”</w:t>
            </w:r>
          </w:p>
        </w:tc>
        <w:tc>
          <w:tcPr>
            <w:tcW w:w="56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5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r>
      <w:tr>
        <w:trPr>
          <w:trHeight w:val="566" w:hRule="atLeast"/>
        </w:trPr>
        <w:tc>
          <w:tcPr>
            <w:tcW w:w="67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63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879"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6"/>
              <w:spacing w:before="57" w:after="57"/>
              <w:jc w:val="left"/>
              <w:rPr>
                <w:color w:val="000000"/>
                <w:sz w:val="16"/>
              </w:rPr>
            </w:pPr>
            <w:r>
              <w:rPr/>
              <w:t xml:space="preserve">” </w:t>
            </w:r>
          </w:p>
        </w:tc>
        <w:tc>
          <w:tcPr>
            <w:tcW w:w="71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4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6"/>
              <w:spacing w:before="57" w:after="57"/>
              <w:jc w:val="left"/>
              <w:rPr>
                <w:color w:val="000000"/>
                <w:sz w:val="16"/>
              </w:rPr>
            </w:pPr>
            <w:r>
              <w:rPr/>
              <w:t xml:space="preserve">” </w:t>
            </w:r>
          </w:p>
        </w:tc>
        <w:tc>
          <w:tcPr>
            <w:tcW w:w="821"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6"/>
              <w:spacing w:before="57" w:after="57"/>
              <w:jc w:val="left"/>
              <w:rPr>
                <w:color w:val="000000"/>
                <w:sz w:val="16"/>
              </w:rPr>
            </w:pPr>
            <w:r>
              <w:rPr/>
              <w:t xml:space="preserve">” </w:t>
            </w:r>
          </w:p>
        </w:tc>
        <w:tc>
          <w:tcPr>
            <w:tcW w:w="128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6"/>
              <w:spacing w:before="57" w:after="57"/>
              <w:jc w:val="left"/>
              <w:rPr>
                <w:color w:val="000000"/>
                <w:sz w:val="16"/>
              </w:rPr>
            </w:pPr>
            <w:r>
              <w:rPr/>
              <w:t xml:space="preserve">” </w:t>
            </w:r>
          </w:p>
        </w:tc>
        <w:tc>
          <w:tcPr>
            <w:tcW w:w="56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5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r>
      <w:tr>
        <w:trPr>
          <w:trHeight w:val="2096" w:hRule="atLeast"/>
        </w:trPr>
        <w:tc>
          <w:tcPr>
            <w:tcW w:w="67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63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879"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Vergadering van de conferentie</w:t>
            </w:r>
          </w:p>
        </w:tc>
        <w:tc>
          <w:tcPr>
            <w:tcW w:w="71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4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Vergadering van de conferentie</w:t>
            </w:r>
          </w:p>
        </w:tc>
        <w:tc>
          <w:tcPr>
            <w:tcW w:w="821"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Vergadering van de conferentie</w:t>
            </w:r>
          </w:p>
        </w:tc>
        <w:tc>
          <w:tcPr>
            <w:tcW w:w="128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Afsluiting van de conferentie</w:t>
            </w:r>
          </w:p>
        </w:tc>
        <w:tc>
          <w:tcPr>
            <w:tcW w:w="56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6"/>
              <w:spacing w:before="57" w:after="57"/>
              <w:jc w:val="left"/>
              <w:rPr>
                <w:color w:val="000000"/>
                <w:sz w:val="16"/>
              </w:rPr>
            </w:pPr>
            <w:r>
              <w:rPr/>
              <w:t xml:space="preserve">→ </w:t>
            </w:r>
          </w:p>
        </w:tc>
        <w:tc>
          <w:tcPr>
            <w:tcW w:w="15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 xml:space="preserve">Aanbevelingen voor voorzitters </w:t>
              <w:br/>
              <w:t xml:space="preserve">• Europees Parlement </w:t>
              <w:br/>
              <w:t xml:space="preserve">• Europese Commissie </w:t>
              <w:br/>
              <w:t>• Raad van Ministers</w:t>
            </w:r>
          </w:p>
        </w:tc>
      </w:tr>
      <w:tr>
        <w:trPr>
          <w:trHeight w:val="566" w:hRule="atLeast"/>
        </w:trPr>
        <w:tc>
          <w:tcPr>
            <w:tcW w:w="67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63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879"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71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4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6"/>
              <w:spacing w:before="57" w:after="57"/>
              <w:jc w:val="left"/>
              <w:rPr>
                <w:color w:val="000000"/>
                <w:sz w:val="16"/>
              </w:rPr>
            </w:pPr>
            <w:r>
              <w:rPr/>
              <w:t xml:space="preserve">↑ </w:t>
            </w:r>
          </w:p>
        </w:tc>
        <w:tc>
          <w:tcPr>
            <w:tcW w:w="821"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6"/>
              <w:spacing w:before="57" w:after="57"/>
              <w:jc w:val="left"/>
              <w:rPr>
                <w:color w:val="000000"/>
                <w:sz w:val="16"/>
              </w:rPr>
            </w:pPr>
            <w:r>
              <w:rPr/>
              <w:t xml:space="preserve">↑ </w:t>
            </w:r>
          </w:p>
        </w:tc>
        <w:tc>
          <w:tcPr>
            <w:tcW w:w="128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6"/>
              <w:spacing w:before="57" w:after="57"/>
              <w:jc w:val="left"/>
              <w:rPr>
                <w:color w:val="000000"/>
                <w:sz w:val="16"/>
              </w:rPr>
            </w:pPr>
            <w:r>
              <w:rPr/>
              <w:t xml:space="preserve">↑ </w:t>
            </w:r>
          </w:p>
        </w:tc>
        <w:tc>
          <w:tcPr>
            <w:tcW w:w="56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5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r>
      <w:tr>
        <w:trPr>
          <w:trHeight w:val="566" w:hRule="atLeast"/>
        </w:trPr>
        <w:tc>
          <w:tcPr>
            <w:tcW w:w="67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8962" w:type="dxa"/>
            <w:gridSpan w:val="10"/>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Meer meningen en ideeën over de toekomst van Europa:</w:t>
            </w:r>
          </w:p>
        </w:tc>
      </w:tr>
      <w:tr>
        <w:trPr>
          <w:trHeight w:val="851" w:hRule="atLeast"/>
        </w:trPr>
        <w:tc>
          <w:tcPr>
            <w:tcW w:w="2347" w:type="dxa"/>
            <w:gridSpan w:val="3"/>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Dialogen met burgers</w:t>
            </w:r>
          </w:p>
        </w:tc>
        <w:tc>
          <w:tcPr>
            <w:tcW w:w="84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2610" w:type="dxa"/>
            <w:gridSpan w:val="3"/>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Europese burgerpanels</w:t>
            </w:r>
          </w:p>
        </w:tc>
        <w:tc>
          <w:tcPr>
            <w:tcW w:w="3840" w:type="dxa"/>
            <w:gridSpan w:val="4"/>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Europees Digitaal Platform (ook voor Nederlanders)</w:t>
            </w:r>
          </w:p>
        </w:tc>
      </w:tr>
    </w:tbl>
    <w:p>
      <w:pPr>
        <w:pStyle w:val="Normal"/>
        <w:spacing w:lineRule="auto" w:line="240"/>
        <w:rPr/>
      </w:pPr>
      <w:r>
        <w:rPr/>
      </w:r>
    </w:p>
    <w:p>
      <w:pPr>
        <w:pStyle w:val="P68B1DB1Normal107"/>
        <w:spacing w:lineRule="auto" w:line="240"/>
        <w:ind w:left="0" w:right="0" w:hanging="0"/>
        <w:rPr>
          <w:rFonts w:ascii="Calibri" w:hAnsi="Calibri"/>
          <w:i/>
          <w:i/>
          <w:color w:val="000000"/>
          <w:sz w:val="24"/>
        </w:rPr>
      </w:pPr>
      <w:r>
        <w:rPr/>
        <w:t xml:space="preserve">Uitleg om het lezen te vergemakkelijken </w:t>
      </w:r>
    </w:p>
    <w:p>
      <w:pPr>
        <w:pStyle w:val="P68B1DB1Normal104"/>
        <w:widowControl w:val="false"/>
        <w:spacing w:lineRule="auto" w:line="240" w:before="125" w:after="0"/>
        <w:ind w:left="0" w:right="0" w:hanging="0"/>
        <w:jc w:val="left"/>
        <w:rPr/>
      </w:pPr>
      <w:r>
        <w:rPr/>
        <w:t xml:space="preserve">In dit verslag hebben we vijf thema’s besproken. Voor elk thema hebben we achtereenvolgens: </w:t>
      </w:r>
    </w:p>
    <w:p>
      <w:pPr>
        <w:pStyle w:val="P68B1DB1Normal104"/>
        <w:widowControl w:val="false"/>
        <w:spacing w:lineRule="auto" w:line="240"/>
        <w:ind w:left="0" w:right="0" w:hanging="0"/>
        <w:jc w:val="left"/>
        <w:rPr>
          <w:rFonts w:ascii="Calibri" w:hAnsi="Calibri"/>
          <w:color w:val="000000"/>
          <w:sz w:val="21"/>
        </w:rPr>
      </w:pPr>
      <w:r>
        <w:rPr/>
        <w:t xml:space="preserve">aanbevelingen op basis van alle aspecten van de burgerdialoog; </w:t>
      </w:r>
    </w:p>
    <w:p>
      <w:pPr>
        <w:pStyle w:val="P68B1DB1Normal104"/>
        <w:widowControl w:val="false"/>
        <w:spacing w:lineRule="auto" w:line="240" w:before="1" w:after="0"/>
        <w:ind w:left="0" w:right="0" w:hanging="0"/>
        <w:jc w:val="left"/>
        <w:rPr/>
      </w:pPr>
      <w:r>
        <w:rPr/>
        <w:t xml:space="preserve">overzicht van meningen, ideeën en standpunten die zijn uitgewisseld (online en met fysieke aanwezigheid) tijdens thematische dialogen en suggesties uit de online-enquête, in woorden en afbeeldingen.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before="1" w:after="0"/>
        <w:ind w:left="0" w:right="0" w:hanging="0"/>
        <w:jc w:val="left"/>
        <w:rPr>
          <w:rFonts w:ascii="Calibri" w:hAnsi="Calibri"/>
          <w:color w:val="000000"/>
          <w:sz w:val="21"/>
        </w:rPr>
      </w:pPr>
      <w:r>
        <w:rPr/>
        <w:t xml:space="preserve">Een beschrijving van de methodologie die in de enquête wordt gebruikt, is te vinden aan het einde van dit verslag. </w:t>
      </w:r>
    </w:p>
    <w:p>
      <w:pPr>
        <w:pStyle w:val="P68B1DB1Normal19"/>
        <w:widowControl w:val="false"/>
        <w:spacing w:lineRule="exact" w:line="388"/>
        <w:ind w:left="0" w:right="0" w:hanging="0"/>
        <w:jc w:val="left"/>
        <w:rPr>
          <w:rFonts w:ascii="Times New Roman" w:hAnsi="Times New Roman"/>
          <w:color w:val="000000"/>
          <w:sz w:val="24"/>
        </w:rPr>
      </w:pPr>
      <w:r>
        <w:rPr/>
        <w:t xml:space="preserve"> </w:t>
      </w:r>
    </w:p>
    <w:p>
      <w:pPr>
        <w:pStyle w:val="Normal"/>
        <w:spacing w:lineRule="auto" w:line="240"/>
        <w:rPr/>
      </w:pPr>
      <w:r>
        <w:rPr/>
      </w:r>
      <w:r>
        <w:br w:type="page"/>
      </w:r>
    </w:p>
    <w:p>
      <w:pPr>
        <w:pStyle w:val="P68B1DB1Normal117"/>
        <w:spacing w:lineRule="auto" w:line="240"/>
        <w:ind w:left="0" w:right="0" w:hanging="0"/>
        <w:rPr>
          <w:rFonts w:ascii="Calibri" w:hAnsi="Calibri"/>
          <w:b/>
          <w:b/>
          <w:i/>
          <w:i/>
          <w:color w:val="000000"/>
          <w:sz w:val="28"/>
        </w:rPr>
      </w:pPr>
      <w:r>
        <w:rPr/>
        <w:t xml:space="preserve">Waarden en rechten, rechtsstaat en veiligheid </w:t>
      </w:r>
    </w:p>
    <w:p>
      <w:pPr>
        <w:pStyle w:val="P68B1DB1Normal104"/>
        <w:widowControl w:val="false"/>
        <w:spacing w:lineRule="auto" w:line="240" w:before="36" w:after="0"/>
        <w:ind w:left="0" w:right="0" w:hanging="0"/>
        <w:jc w:val="both"/>
        <w:rPr/>
      </w:pPr>
      <w:r>
        <w:rPr/>
        <w:t xml:space="preserve">De EU houdt toezicht op de rechtsstaat in alle EU-landen en probeert de ongelijkheden binnen de EU te verminderen. De EU wil ook alle Europeanen beschermen tegen terrorisme en criminaliteit. Om dit te bereiken, stelt de EU maatregelen en regels in en werken de EU-landen intensief samen. </w:t>
      </w:r>
    </w:p>
    <w:p>
      <w:pPr>
        <w:pStyle w:val="P68B1DB1Normal104"/>
        <w:widowControl w:val="false"/>
        <w:spacing w:lineRule="auto" w:line="240" w:before="32" w:after="0"/>
        <w:ind w:left="0" w:right="0" w:hanging="0"/>
        <w:jc w:val="left"/>
        <w:rPr>
          <w:rFonts w:ascii="Calibri" w:hAnsi="Calibri"/>
          <w:color w:val="000000"/>
          <w:sz w:val="21"/>
        </w:rPr>
      </w:pPr>
      <w:r>
        <w:rPr/>
        <w:t xml:space="preserve"> </w:t>
      </w:r>
      <w:r>
        <w:rPr/>
        <w:t xml:space="preserve">Wat is de visie van Nederland hierop? </w:t>
      </w:r>
    </w:p>
    <w:p>
      <w:pPr>
        <w:pStyle w:val="P68B1DB1Normal19"/>
        <w:widowControl w:val="false"/>
        <w:spacing w:lineRule="auto" w:line="240" w:before="23" w:after="0"/>
        <w:ind w:left="0" w:right="0" w:hanging="0"/>
        <w:jc w:val="left"/>
        <w:rPr>
          <w:rFonts w:ascii="Times New Roman" w:hAnsi="Times New Roman"/>
          <w:color w:val="000000"/>
          <w:sz w:val="24"/>
        </w:rPr>
      </w:pPr>
      <w:r>
        <w:rPr/>
        <w:t xml:space="preserve"> </w:t>
      </w:r>
    </w:p>
    <w:p>
      <w:pPr>
        <w:pStyle w:val="P68B1DB1Normal108"/>
        <w:widowControl w:val="false"/>
        <w:spacing w:lineRule="auto" w:line="240" w:before="18" w:after="0"/>
        <w:ind w:left="0" w:right="0" w:hanging="0"/>
        <w:jc w:val="left"/>
        <w:rPr>
          <w:rFonts w:ascii="Calibri" w:hAnsi="Calibri"/>
          <w:b/>
          <w:b/>
          <w:i/>
          <w:i/>
          <w:color w:val="000000"/>
          <w:sz w:val="24"/>
        </w:rPr>
      </w:pPr>
      <w:r>
        <w:rPr/>
        <w:t xml:space="preserve">Aanbevelingen — Onze visie op veiligheid en de rechtsstaat </w:t>
      </w:r>
    </w:p>
    <w:p>
      <w:pPr>
        <w:pStyle w:val="P68B1DB1Normal69"/>
        <w:widowControl w:val="false"/>
        <w:spacing w:lineRule="auto" w:line="240" w:before="41" w:after="0"/>
        <w:ind w:left="0" w:right="0" w:hanging="0"/>
        <w:jc w:val="left"/>
        <w:rPr/>
      </w:pPr>
      <w:r>
        <w:rPr/>
        <w:t xml:space="preserve">68 % van de Nederlanders is van mening dat veiligheid en de rechtsstaat een belangrijk onderwerp zijn en dat de EU op dit gebied moet ingrijpen. </w:t>
      </w:r>
    </w:p>
    <w:p>
      <w:pPr>
        <w:pStyle w:val="P68B1DB1Normal111"/>
        <w:widowControl w:val="false"/>
        <w:spacing w:lineRule="auto" w:line="240" w:before="16" w:after="0"/>
        <w:ind w:left="0" w:right="0" w:hanging="0"/>
        <w:jc w:val="left"/>
        <w:rPr>
          <w:rFonts w:ascii="Calibri" w:hAnsi="Calibri"/>
          <w:b/>
          <w:b/>
          <w:color w:val="000000"/>
          <w:sz w:val="22"/>
        </w:rPr>
      </w:pPr>
      <w:r>
        <w:rPr/>
        <w:t xml:space="preserve">1. Zorg ervoor dat iedereen zich vrij en veilig kan voelen </w:t>
      </w:r>
    </w:p>
    <w:p>
      <w:pPr>
        <w:pStyle w:val="P68B1DB1Normal104"/>
        <w:widowControl w:val="false"/>
        <w:spacing w:lineRule="auto" w:line="240" w:before="25" w:after="0"/>
        <w:ind w:left="0" w:right="0" w:hanging="0"/>
        <w:jc w:val="left"/>
        <w:rPr/>
      </w:pPr>
      <w:r>
        <w:rPr/>
        <w:t xml:space="preserve">78 % van de Nederlanders vindt het belangrijk dat de EU de rechtsstaat en onze fundamentele rechten en vrijheden beschermt. En we hechten ook belang aan de bescherming van consumentenrechten: de overgrote meerderheid van de burgers is van mening dat het goed is dat de EU fabrikanten verplicht dezelfde informatie op etiketten in alle landen op te nemen. Een groot aantal Nederlanders is echter van mening dat de EU aandacht moet besteden aan verschillen in (governance)tradities en culturen binnen Europa. En dit onder andere omdat het anders moeilijk zou zijn om effectief samen te werken. Wij vinden het vooral belangrijk dat iedereen zich vrij en veilig voelt in Europa. Dit omvat het hebben van een dak boven je hoofd, maar ook onderwijs en zorg. En dit betreft ook het feit dat de producten die in Europese winkels worden gevonden, </w:t>
      </w:r>
    </w:p>
    <w:p>
      <w:pPr>
        <w:pStyle w:val="P68B1DB1Normal104"/>
        <w:widowControl w:val="false"/>
        <w:spacing w:lineRule="auto" w:line="240"/>
        <w:ind w:left="0" w:right="0" w:hanging="0"/>
        <w:jc w:val="left"/>
        <w:rPr>
          <w:rFonts w:ascii="Calibri" w:hAnsi="Calibri"/>
          <w:color w:val="000000"/>
          <w:sz w:val="21"/>
        </w:rPr>
      </w:pPr>
      <w:r>
        <w:rPr/>
        <w:t xml:space="preserve">altijd zeker. </w:t>
      </w:r>
    </w:p>
    <w:p>
      <w:pPr>
        <w:pStyle w:val="P68B1DB1Normal111"/>
        <w:widowControl w:val="false"/>
        <w:spacing w:lineRule="auto" w:line="240" w:before="29" w:after="0"/>
        <w:ind w:left="0" w:right="0" w:hanging="0"/>
        <w:jc w:val="left"/>
        <w:rPr>
          <w:rFonts w:ascii="Calibri" w:hAnsi="Calibri"/>
          <w:b/>
          <w:b/>
          <w:color w:val="000000"/>
          <w:sz w:val="22"/>
        </w:rPr>
      </w:pPr>
      <w:r>
        <w:rPr/>
        <w:t xml:space="preserve">2. Uitbreiding van de EU alleen als zij toegevoegde waarde heeft </w:t>
      </w:r>
    </w:p>
    <w:p>
      <w:pPr>
        <w:pStyle w:val="P68B1DB1Normal104"/>
        <w:widowControl w:val="false"/>
        <w:spacing w:lineRule="auto" w:line="240" w:before="25" w:after="0"/>
        <w:ind w:left="0" w:right="0" w:hanging="0"/>
        <w:jc w:val="left"/>
        <w:rPr/>
      </w:pPr>
      <w:r>
        <w:rPr/>
        <w:t xml:space="preserve">44 % van de Nederlanders vindt niet dat de EU naar meer landen moet uitbreiden. 25 % daarentegen is voorstander van uitbreiding. We merken op dat er al veel discussie is tussen de huidige lidstaten. Veel Nederlanders vinden dat we ons eerst op deze kwestie moeten richten. En als nieuwe landen tot de Unie toetreden, moeten ze echt aan onze voorwaarden kunnen voldoen. Vandaag en in de toekomst. Veel Nederlanders zijn van mening dat de huidige lidstaten ook de toegevoegde waarde van de uitbreiding moeten inzien. We geloven ook dat er andere mogelijkheden zijn om als land samen te werken voor veiligheid en stabiliteit. We maken ons bijvoorbeeld soms zorgen over de invloed van Rusland op de landen aan de oostelijke grens van de EU. Het is belangrijk dat de EU aandacht schenkt. </w:t>
      </w:r>
    </w:p>
    <w:p>
      <w:pPr>
        <w:pStyle w:val="P68B1DB1Normal19"/>
        <w:widowControl w:val="false"/>
        <w:spacing w:lineRule="auto" w:line="240" w:before="21" w:after="0"/>
        <w:ind w:left="0" w:right="0" w:hanging="0"/>
        <w:jc w:val="left"/>
        <w:rPr>
          <w:rFonts w:ascii="Times New Roman" w:hAnsi="Times New Roman"/>
          <w:color w:val="000000"/>
          <w:sz w:val="24"/>
        </w:rPr>
      </w:pPr>
      <w:r>
        <w:rPr/>
        <w:t xml:space="preserve"> </w:t>
      </w:r>
    </w:p>
    <w:p>
      <w:pPr>
        <w:pStyle w:val="P68B1DB1Normal113"/>
        <w:widowControl w:val="false"/>
        <w:spacing w:lineRule="auto" w:line="240" w:before="28" w:after="0"/>
        <w:ind w:left="0" w:right="0" w:hanging="0"/>
        <w:jc w:val="center"/>
        <w:rPr/>
      </w:pPr>
      <w:r>
        <w:rPr/>
        <w:t>„</w:t>
      </w:r>
      <w:r>
        <w:rPr/>
        <w:t xml:space="preserve">Uitbreiding moet niet gericht zijn op kosten en baten, maar op een visie op stabiliteit.” </w:t>
      </w:r>
    </w:p>
    <w:p>
      <w:pPr>
        <w:pStyle w:val="P68B1DB1Normal111"/>
        <w:widowControl w:val="false"/>
        <w:spacing w:lineRule="auto" w:line="240" w:before="40" w:after="0"/>
        <w:ind w:left="0" w:right="0" w:hanging="0"/>
        <w:jc w:val="left"/>
        <w:rPr/>
      </w:pPr>
      <w:r>
        <w:rPr/>
        <w:t xml:space="preserve">3. Samenwerking met name in de strijd tegen internationale criminaliteit en terrorisme </w:t>
      </w:r>
    </w:p>
    <w:p>
      <w:pPr>
        <w:pStyle w:val="P68B1DB1Normal104"/>
        <w:widowControl w:val="false"/>
        <w:spacing w:lineRule="auto" w:line="240" w:before="26" w:after="0"/>
        <w:ind w:left="0" w:right="0" w:hanging="0"/>
        <w:jc w:val="left"/>
        <w:rPr/>
      </w:pPr>
      <w:r>
        <w:rPr/>
        <w:t xml:space="preserve">68 % van de Nederlanders vindt dat EU-beveiligingsdiensten hun informatie moeten delen. Wij zijn echter van mening dat het belangrijk is dat landen ook zelf kunnen blijven beslissen welke informatie zij al dan niet willen verstrekken. Het delen van alle informatie maakt samenwerking snel ineffectief. En de EU is vandaag zo groot dat we kritisch moeten blijven onderzoeken waar gevoelige informatie aankomt of waarschijnlijk zal gebeuren. We willen erop blijven vertrouwen dat onze privacy wordt beschermd. Wij zijn van mening dat het vooral zinvol is om samen te werken in de strijd tegen ernstige internationale criminaliteit, zoals cybercriminaliteit, drugshandel en terrorisme. </w:t>
      </w:r>
    </w:p>
    <w:p>
      <w:pPr>
        <w:pStyle w:val="P68B1DB1Normal113"/>
        <w:widowControl w:val="false"/>
        <w:spacing w:lineRule="auto" w:line="240" w:before="28" w:after="0"/>
        <w:ind w:left="0" w:right="0" w:hanging="0"/>
        <w:jc w:val="center"/>
        <w:rPr/>
      </w:pPr>
      <w:r>
        <w:rPr/>
        <w:t xml:space="preserve">Als je eens een rood licht brandt in Nederland, is er echt geen reden om dat in Spanje te kennen. </w:t>
      </w:r>
    </w:p>
    <w:p>
      <w:pPr>
        <w:pStyle w:val="P68B1DB1Normal19"/>
        <w:widowControl w:val="false"/>
        <w:spacing w:lineRule="auto" w:line="240" w:before="44" w:after="0"/>
        <w:ind w:left="0" w:right="0" w:hanging="0"/>
        <w:jc w:val="left"/>
        <w:rPr>
          <w:rFonts w:ascii="Times New Roman" w:hAnsi="Times New Roman"/>
          <w:color w:val="000000"/>
          <w:sz w:val="24"/>
        </w:rPr>
      </w:pPr>
      <w:r>
        <w:rPr/>
        <w:t xml:space="preserve"> </w:t>
      </w:r>
    </w:p>
    <w:p>
      <w:pPr>
        <w:pStyle w:val="P68B1DB1Normal108"/>
        <w:spacing w:lineRule="auto" w:line="240"/>
        <w:ind w:left="0" w:right="0" w:hanging="0"/>
        <w:rPr>
          <w:rFonts w:ascii="Calibri" w:hAnsi="Calibri"/>
          <w:b/>
          <w:b/>
          <w:i/>
          <w:i/>
          <w:color w:val="000000"/>
          <w:sz w:val="24"/>
        </w:rPr>
      </w:pPr>
      <w:r>
        <w:rPr/>
        <w:t xml:space="preserve">Online en on-site discussies en ideeën </w:t>
      </w:r>
    </w:p>
    <w:p>
      <w:pPr>
        <w:pStyle w:val="P68B1DB1Normal118"/>
        <w:widowControl w:val="false"/>
        <w:spacing w:lineRule="auto" w:line="240" w:before="118" w:after="0"/>
        <w:ind w:left="0" w:right="0" w:hanging="0"/>
        <w:jc w:val="left"/>
        <w:rPr>
          <w:rFonts w:ascii="Calibri" w:hAnsi="Calibri"/>
          <w:i/>
          <w:i/>
          <w:color w:val="000000"/>
          <w:sz w:val="21"/>
        </w:rPr>
      </w:pPr>
      <w:r>
        <w:rPr/>
        <w:t xml:space="preserve">Als je een land straft dat niet aan de regels voldoet, zijn het de armste inwoners van dit land die de eerste slachtoffers zijn. Daarom denk ik dat het beter is om te praten dan sanctie. </w:t>
      </w:r>
    </w:p>
    <w:p>
      <w:pPr>
        <w:pStyle w:val="P68B1DB1Normal118"/>
        <w:widowControl w:val="false"/>
        <w:spacing w:lineRule="auto" w:line="240" w:before="87" w:after="0"/>
        <w:ind w:left="0" w:right="0" w:hanging="0"/>
        <w:jc w:val="left"/>
        <w:rPr>
          <w:rFonts w:ascii="Calibri" w:hAnsi="Calibri"/>
          <w:i/>
          <w:i/>
          <w:color w:val="000000"/>
          <w:sz w:val="21"/>
        </w:rPr>
      </w:pPr>
      <w:r>
        <w:rPr/>
        <w:t xml:space="preserve">We moeten eerst zorgen voor stabiliteit binnen de huidige club. Denk dan alleen maar aan uitbreiding. </w:t>
      </w:r>
    </w:p>
    <w:p>
      <w:pPr>
        <w:pStyle w:val="P68B1DB1Normal118"/>
        <w:widowControl w:val="false"/>
        <w:spacing w:lineRule="auto" w:line="240" w:before="85" w:after="0"/>
        <w:ind w:left="0" w:right="392" w:hanging="0"/>
        <w:jc w:val="left"/>
        <w:rPr/>
      </w:pPr>
      <w:r>
        <w:rPr/>
        <w:t xml:space="preserve">We moeten ook kritisch kijken naar onze eigen rechtsstaat. Er is zeker één of de andere storing. </w:t>
      </w:r>
    </w:p>
    <w:p>
      <w:pPr>
        <w:pStyle w:val="P68B1DB1Normal118"/>
        <w:widowControl w:val="false"/>
        <w:spacing w:lineRule="auto" w:line="240" w:before="85" w:after="0"/>
        <w:ind w:left="0" w:right="244" w:hanging="0"/>
        <w:jc w:val="left"/>
        <w:rPr/>
      </w:pPr>
      <w:r>
        <w:rPr/>
        <w:t xml:space="preserve">IDEE: „Het vaststellen van strikte integriteitsregels voor politici in heel Europa om te voorkomen dat ze te gemakkelijk worden beïnvloed.” </w:t>
      </w:r>
    </w:p>
    <w:p>
      <w:pPr>
        <w:pStyle w:val="P68B1DB1Normal118"/>
        <w:widowControl w:val="false"/>
        <w:spacing w:lineRule="auto" w:line="240" w:before="85" w:after="0"/>
        <w:ind w:left="0" w:right="0" w:hanging="0"/>
        <w:jc w:val="left"/>
        <w:rPr>
          <w:rFonts w:ascii="Calibri" w:hAnsi="Calibri"/>
          <w:i/>
          <w:i/>
          <w:color w:val="000000"/>
          <w:sz w:val="21"/>
        </w:rPr>
      </w:pPr>
      <w:r>
        <w:rPr/>
        <w:t xml:space="preserve">IDEE: „De samenwerking tussen politie en justitie in de EU-landen versterken.” </w:t>
      </w:r>
    </w:p>
    <w:p>
      <w:pPr>
        <w:pStyle w:val="P68B1DB1Normal111"/>
        <w:widowControl w:val="false"/>
        <w:spacing w:lineRule="auto" w:line="240" w:before="84" w:after="0"/>
        <w:ind w:left="0" w:right="67" w:hanging="0"/>
        <w:jc w:val="left"/>
        <w:rPr/>
      </w:pPr>
      <w:r>
        <w:rPr/>
        <w:t xml:space="preserve">Doetinchem Beroeps Middelbare School Studenten: Wie deel wil uitmaken van de EU, moet zich houden aan de regels. </w:t>
      </w:r>
    </w:p>
    <w:p>
      <w:pPr>
        <w:pStyle w:val="P68B1DB1Normal104"/>
        <w:widowControl w:val="false"/>
        <w:spacing w:lineRule="auto" w:line="240" w:before="100" w:after="0"/>
        <w:ind w:left="0" w:right="0" w:hanging="0"/>
        <w:jc w:val="left"/>
        <w:rPr/>
      </w:pPr>
      <w:r>
        <w:rPr/>
        <w:t xml:space="preserve">Aan het Graafschap College in Doetinchem debatteerden ongeveer 20 verpleegkundigen over de vraag wat volgens hen de grootste voordelen van de EU waren: de vrije markt, de euro als gemeenschappelijke munt en het feit dat men zich als Europees gemakkelijk kan vestigen en werken in andere EU-landen. En het feit dat de EU-landen elkaar kunnen steunen. De vakbond is kracht", zei een van de aanwezige studenten. Ook het belang van de regels werd besproken. Als landen ze niet respecteren, is het vaak moeilijk om ze hard te straffen. Volgens de studenten kan het nuttig zijn om dit een beetje makkelijker te maken. Een van hen noemde ook het afschrikkende effect. Als u zware sancties oplegt, zien andere landen wat er kan gebeuren als u zich niet aan de regels houdt. </w:t>
      </w:r>
    </w:p>
    <w:p>
      <w:pPr>
        <w:pStyle w:val="P68B1DB1Normal111"/>
        <w:widowControl w:val="false"/>
        <w:spacing w:lineRule="auto" w:line="240" w:before="88" w:after="0"/>
        <w:ind w:left="0" w:right="0" w:hanging="0"/>
        <w:jc w:val="left"/>
        <w:rPr>
          <w:rFonts w:ascii="Calibri" w:hAnsi="Calibri"/>
          <w:b/>
          <w:b/>
          <w:color w:val="000000"/>
          <w:sz w:val="22"/>
        </w:rPr>
      </w:pPr>
      <w:r>
        <w:rPr/>
        <w:t xml:space="preserve">Hindoetanis van Suriname naar Utrecht: Vertrouwen in de rechtsstaat ontbreekt soms </w:t>
      </w:r>
    </w:p>
    <w:p>
      <w:pPr>
        <w:pStyle w:val="Normal"/>
        <w:widowControl w:val="false"/>
        <w:spacing w:lineRule="auto" w:line="240" w:before="97" w:after="0"/>
        <w:ind w:left="0" w:right="34" w:hanging="0"/>
        <w:jc w:val="left"/>
        <w:rPr/>
      </w:pPr>
      <w:r>
        <w:rPr>
          <w:rFonts w:ascii="Calibri" w:hAnsi="Calibri"/>
          <w:color w:val="000000"/>
          <w:sz w:val="21"/>
        </w:rPr>
        <w:t xml:space="preserve">De Asha Foundation is een organisatie van Hindoestaanse vrijwilligers uit Suriname in de gemeente Utrecht. Deelnemers aan de thematische dialoog bespraken met name het belang van de rechten van de burger: het recht op een dak boven het hoofd, maar ook bijvoorbeeld het recht op non-discriminatie. Volgens de aanwezige vrijwilligers moeten er regels zijn die deze rechten voor alle Europese burgers beschermen. Het is niet altijd bekend wat er momenteel in Nederland wordt gereguleerd en wat momenteel op Europees niveau wordt gereguleerd. Daardoor is het soms moeilijk om vertrouwen in de overheid te hebben. Vooral omdat er soms sprake is van storingen binnen de overheid. „Je kunt zeggen dat de autoriteiten me moeten verdedigen, maar ze slagen er soms in om peddel te zaaien, zoals het geval is geweest met de uitkeringszaak,” zei een van de deelnemers. „De EU moet ervoor zorgen dat de regels daadwerkelijk worden nageleefd”, zei een andere deelnemer. </w:t>
      </w:r>
      <w:r>
        <w:br w:type="page"/>
      </w:r>
    </w:p>
    <w:p>
      <w:pPr>
        <w:pStyle w:val="P68B1DB1Normal117"/>
        <w:spacing w:lineRule="auto" w:line="240"/>
        <w:ind w:left="0" w:right="0" w:hanging="0"/>
        <w:rPr>
          <w:rFonts w:ascii="Calibri" w:hAnsi="Calibri"/>
          <w:b/>
          <w:b/>
          <w:i/>
          <w:i/>
          <w:color w:val="000000"/>
          <w:sz w:val="28"/>
        </w:rPr>
      </w:pPr>
      <w:r>
        <w:rPr/>
        <w:t xml:space="preserve">Een sterkere economie, sociale rechtvaardigheid en werkgelegenheid </w:t>
      </w:r>
    </w:p>
    <w:p>
      <w:pPr>
        <w:pStyle w:val="P68B1DB1Normal104"/>
        <w:widowControl w:val="false"/>
        <w:spacing w:lineRule="auto" w:line="240" w:before="139" w:after="0"/>
        <w:ind w:left="0" w:right="0" w:hanging="0"/>
        <w:jc w:val="left"/>
        <w:rPr/>
      </w:pPr>
      <w:r>
        <w:rPr/>
        <w:t xml:space="preserve">Kleine en middelgrote ondernemingen vormen de ruggengraat van de Europese economie. De EU wil daarom dat de EU-landen samenwerken aan herstelplannen om economisch sterker uit de COVID-19-crisis te komen. Op de lange termijn heeft de EU tot doel de Europese economie gezonder, groener en digitaal te maken. Wat is de visie van Nederland hierop? </w:t>
      </w:r>
    </w:p>
    <w:p>
      <w:pPr>
        <w:pStyle w:val="P68B1DB1Normal19"/>
        <w:widowControl w:val="false"/>
        <w:spacing w:lineRule="auto" w:line="240"/>
        <w:ind w:left="0" w:right="0" w:hanging="0"/>
        <w:jc w:val="left"/>
        <w:rPr>
          <w:rFonts w:ascii="Times New Roman" w:hAnsi="Times New Roman"/>
          <w:color w:val="000000"/>
          <w:sz w:val="24"/>
        </w:rPr>
      </w:pPr>
      <w:r>
        <w:rPr/>
        <w:t xml:space="preserve"> </w:t>
      </w:r>
    </w:p>
    <w:p>
      <w:pPr>
        <w:pStyle w:val="P68B1DB1Normal108"/>
        <w:widowControl w:val="false"/>
        <w:spacing w:lineRule="auto" w:line="240" w:before="18" w:after="0"/>
        <w:ind w:left="0" w:right="0" w:hanging="0"/>
        <w:jc w:val="left"/>
        <w:rPr>
          <w:rFonts w:ascii="Calibri" w:hAnsi="Calibri"/>
          <w:b/>
          <w:b/>
          <w:i/>
          <w:i/>
          <w:color w:val="000000"/>
          <w:sz w:val="24"/>
        </w:rPr>
      </w:pPr>
      <w:r>
        <w:rPr/>
        <w:t xml:space="preserve">Aanbevelingen — Onze visie op economie en werkgelegenheid </w:t>
      </w:r>
    </w:p>
    <w:p>
      <w:pPr>
        <w:pStyle w:val="P68B1DB1Normal35"/>
        <w:widowControl w:val="false"/>
        <w:spacing w:lineRule="auto" w:line="240" w:before="123" w:after="0"/>
        <w:ind w:left="0" w:right="0" w:hanging="0"/>
        <w:jc w:val="left"/>
        <w:rPr/>
      </w:pPr>
      <w:r>
        <w:rPr>
          <w:rFonts w:ascii="Calibri" w:hAnsi="Calibri"/>
          <w:sz w:val="20"/>
        </w:rPr>
        <w:t>61 % van de Nederlanders vindt dat economie en werkgelegenheid een belangrijk thema zijn en dat de EU op dit gebied moet ingrijpen.</w:t>
      </w:r>
      <w:r>
        <w:rPr>
          <w:rFonts w:ascii="Times New Roman" w:hAnsi="Times New Roman"/>
          <w:sz w:val="24"/>
        </w:rPr>
        <w:t xml:space="preserve"> </w:t>
      </w:r>
    </w:p>
    <w:p>
      <w:pPr>
        <w:pStyle w:val="P68B1DB1Normal111"/>
        <w:widowControl w:val="false"/>
        <w:spacing w:lineRule="auto" w:line="240" w:before="6" w:after="0"/>
        <w:ind w:left="0" w:right="0" w:hanging="0"/>
        <w:jc w:val="left"/>
        <w:rPr>
          <w:rFonts w:ascii="Calibri" w:hAnsi="Calibri"/>
          <w:b/>
          <w:b/>
          <w:color w:val="000000"/>
          <w:sz w:val="22"/>
        </w:rPr>
      </w:pPr>
      <w:r>
        <w:rPr/>
        <w:t xml:space="preserve">1. Rekening houden met gemeenschappelijkheden en verschillen </w:t>
      </w:r>
    </w:p>
    <w:p>
      <w:pPr>
        <w:pStyle w:val="P68B1DB1Normal104"/>
        <w:widowControl w:val="false"/>
        <w:spacing w:lineRule="auto" w:line="240" w:before="97" w:after="0"/>
        <w:ind w:left="0" w:right="0" w:hanging="0"/>
        <w:jc w:val="left"/>
        <w:rPr/>
      </w:pPr>
      <w:r>
        <w:rPr/>
        <w:t xml:space="preserve">71 % van de Nederlanders vindt dat de EU ervoor moet zorgen dat bedrijven meer samenwerken en daarmee de Europese economie versterken. Van deze mensen is echter slechts een klein deel van mening dat de EU meer geld moet betalen aan bedrijven. Bovenal zijn wij van mening dat samenwerking doeltreffender kan zijn. Vandaag zien we dat verschillende bedrijven investeren in dezelfde nieuwe technologie, soms zelfs met publieke middelen. Als we een Europese visie op de economie hadden, zouden we dat geld effectiever kunnen gebruiken. Daarbij moet echter bijzondere aandacht worden besteed aan verschillen tussen landen. </w:t>
      </w:r>
    </w:p>
    <w:p>
      <w:pPr>
        <w:pStyle w:val="P68B1DB1Normal113"/>
        <w:widowControl w:val="false"/>
        <w:spacing w:lineRule="auto" w:line="240" w:before="306" w:after="0"/>
        <w:ind w:left="0" w:right="0" w:hanging="0"/>
        <w:jc w:val="center"/>
        <w:rPr/>
      </w:pPr>
      <w:r>
        <w:rPr/>
        <w:t xml:space="preserve">De agrarische sector in Nederland is zo modern. Het is niet altijd mogelijk om het te vergelijken met die van andere landen. </w:t>
      </w:r>
    </w:p>
    <w:p>
      <w:pPr>
        <w:pStyle w:val="P68B1DB1Normal111"/>
        <w:widowControl w:val="false"/>
        <w:spacing w:lineRule="auto" w:line="240" w:before="297" w:after="0"/>
        <w:ind w:left="0" w:right="0" w:hanging="0"/>
        <w:jc w:val="left"/>
        <w:rPr>
          <w:rFonts w:ascii="Calibri" w:hAnsi="Calibri"/>
          <w:b/>
          <w:b/>
          <w:color w:val="000000"/>
          <w:sz w:val="22"/>
        </w:rPr>
      </w:pPr>
      <w:r>
        <w:rPr/>
        <w:t xml:space="preserve">2. Meer gebruik maken van de sterke punten van Europa </w:t>
      </w:r>
    </w:p>
    <w:p>
      <w:pPr>
        <w:pStyle w:val="P68B1DB1Normal104"/>
        <w:widowControl w:val="false"/>
        <w:spacing w:lineRule="auto" w:line="240" w:before="97" w:after="0"/>
        <w:ind w:left="0" w:right="0" w:hanging="0"/>
        <w:jc w:val="left"/>
        <w:rPr/>
      </w:pPr>
      <w:r>
        <w:rPr/>
        <w:t>Nederlanders zijn van mening dat er veel mogelijkheden zijn om de Europese economie te versterken, maar dat keuzes moeten worden gemaakt. Daarom zijn wij van mening dat de EU zich vooral moet richten op haar sterke punten. Wij vinden bijvoorbeeld dat Europa goed is in</w:t>
      </w:r>
    </w:p>
    <w:p>
      <w:pPr>
        <w:pStyle w:val="P68B1DB1Normal104"/>
        <w:widowControl w:val="false"/>
        <w:spacing w:lineRule="auto" w:line="240"/>
        <w:ind w:left="0" w:right="0" w:hanging="0"/>
        <w:jc w:val="left"/>
        <w:rPr/>
      </w:pPr>
      <w:r>
        <w:rPr/>
        <w:t xml:space="preserve"> </w:t>
      </w:r>
      <w:r>
        <w:rPr/>
        <w:t xml:space="preserve">gebieden zoals digitale transitie, duurzaamheid en infrastructuur. En wat misschien belangrijker is: wij verdedigen kwaliteit en diversiteit. Juist de diversiteit van ons continent, met verschillende meningen en ideeën, moeten we veel meer benutten als een economisch voordeel. Hierdoor kan Europa zich bijvoorbeeld onderscheiden van de Chinese economie. </w:t>
      </w:r>
    </w:p>
    <w:p>
      <w:pPr>
        <w:pStyle w:val="P68B1DB1Normal111"/>
        <w:widowControl w:val="false"/>
        <w:spacing w:lineRule="auto" w:line="240" w:before="40" w:after="0"/>
        <w:ind w:left="0" w:right="0" w:hanging="0"/>
        <w:jc w:val="left"/>
        <w:rPr>
          <w:rFonts w:ascii="Calibri" w:hAnsi="Calibri"/>
          <w:b/>
          <w:b/>
          <w:color w:val="000000"/>
          <w:sz w:val="22"/>
        </w:rPr>
      </w:pPr>
      <w:r>
        <w:rPr/>
        <w:t xml:space="preserve">3. Een eerlijk en duidelijk belastingstelsel ontwikkelen </w:t>
      </w:r>
    </w:p>
    <w:p>
      <w:pPr>
        <w:pStyle w:val="P68B1DB1Normal104"/>
        <w:widowControl w:val="false"/>
        <w:spacing w:lineRule="auto" w:line="240" w:before="95" w:after="0"/>
        <w:ind w:left="0" w:right="0" w:hanging="0"/>
        <w:jc w:val="left"/>
        <w:rPr/>
      </w:pPr>
      <w:r>
        <w:rPr/>
        <w:t xml:space="preserve">82 % van de Nederlanders vindt dat EU-landen er collectief voor moeten zorgen dat alle EU-bedrijven eerlijke belastingen betalen. Dit omvat zeer grote bedrijven. Tegenwoordig vestigen ze zich soms in andere landen om de eenvoudige reden dat ze minder belastingen betalen. De EU moet dit fenomeen bestrijden, bijvoorbeeld door voor alle landen een minimumtarief vast te stellen. Aan de andere kant zijn wij van mening dat belastingheffing een bevoegdheid is die behoort tot landen die hun eigen doelstellingen en contexten hebben. We vinden dat belasting over het algemeen een complex probleem is. Juist daarom willen we een beter belastingstelsel, dat eerlijk en duidelijk is voor iedereen in Europa. </w:t>
      </w:r>
    </w:p>
    <w:p>
      <w:pPr>
        <w:pStyle w:val="P68B1DB1Normal113"/>
        <w:widowControl w:val="false"/>
        <w:spacing w:lineRule="auto" w:line="240" w:before="256" w:after="0"/>
        <w:ind w:left="0" w:right="0" w:hanging="0"/>
        <w:jc w:val="center"/>
        <w:rPr/>
      </w:pPr>
      <w:r>
        <w:rPr/>
        <w:t xml:space="preserve">Komkommers moeten overal dezelfde vorm hebben, maar de belastingregels zijn anders. Het is gek, nietwaar? </w:t>
      </w:r>
    </w:p>
    <w:p>
      <w:pPr>
        <w:pStyle w:val="P68B1DB1Normal111"/>
        <w:widowControl w:val="false"/>
        <w:spacing w:lineRule="auto" w:line="240" w:before="297" w:after="0"/>
        <w:ind w:left="0" w:right="0" w:hanging="0"/>
        <w:jc w:val="left"/>
        <w:rPr>
          <w:rFonts w:ascii="Calibri" w:hAnsi="Calibri"/>
          <w:b/>
          <w:b/>
          <w:color w:val="000000"/>
          <w:sz w:val="22"/>
        </w:rPr>
      </w:pPr>
      <w:r>
        <w:rPr/>
        <w:t xml:space="preserve">4. Zorg ervoor dat iedereen kan deelnemen </w:t>
      </w:r>
    </w:p>
    <w:p>
      <w:pPr>
        <w:pStyle w:val="P68B1DB1Normal104"/>
        <w:widowControl w:val="false"/>
        <w:spacing w:lineRule="auto" w:line="240" w:before="97" w:after="0"/>
        <w:ind w:left="0" w:right="0" w:hanging="0"/>
        <w:jc w:val="left"/>
        <w:rPr/>
      </w:pPr>
      <w:r>
        <w:rPr/>
        <w:t xml:space="preserve">71 % van de Nederlanders vindt dat de EU de werkgelegenheid moet helpen stimuleren. In dit verband zijn wij van mening dat bijzondere aandacht moet worden besteed aan bepaalde groepen, zoals jongeren en mensen buiten de arbeidsmarkt. Dit kan worden gedaan door regels of subsidies voor bedrijven, maar ook door specifieke ondersteuning te bieden aan werkgevers en werknemers. We denken bijvoorbeeld aan bewustmakingsactiviteiten of zeer praktische kwesties. Het is mogelijk dat dergelijke steun in sommige gevallen doeltreffender op EU-niveau kan worden georganiseerd en in andere gevallen eerder een taak dan voor de lidstaten zelf kan zijn. De EU-landen moeten uiteindelijk samenwerken om gelijke kansen op de Europese arbeidsmarkt te waarborgen. </w:t>
      </w:r>
    </w:p>
    <w:p>
      <w:pPr>
        <w:pStyle w:val="P68B1DB1Normal108"/>
        <w:widowControl w:val="false"/>
        <w:spacing w:lineRule="auto" w:line="240" w:before="40" w:after="0"/>
        <w:ind w:left="0" w:right="0" w:hanging="0"/>
        <w:jc w:val="left"/>
        <w:rPr>
          <w:rFonts w:ascii="Calibri" w:hAnsi="Calibri"/>
          <w:b/>
          <w:b/>
          <w:i/>
          <w:i/>
          <w:color w:val="000000"/>
          <w:sz w:val="24"/>
        </w:rPr>
      </w:pPr>
      <w:r>
        <w:rPr/>
        <w:t xml:space="preserve">Online en on-site discussies en ideeën </w:t>
      </w:r>
    </w:p>
    <w:p>
      <w:pPr>
        <w:pStyle w:val="P68B1DB1Normal118"/>
        <w:widowControl w:val="false"/>
        <w:spacing w:lineRule="auto" w:line="240" w:before="115" w:after="0"/>
        <w:ind w:left="0" w:right="0" w:hanging="0"/>
        <w:jc w:val="left"/>
        <w:rPr>
          <w:rFonts w:ascii="Calibri" w:hAnsi="Calibri"/>
          <w:i/>
          <w:i/>
          <w:color w:val="000000"/>
          <w:sz w:val="21"/>
        </w:rPr>
      </w:pPr>
      <w:r>
        <w:rPr/>
        <w:t xml:space="preserve">Versnel de automatisering in Europa zodat de goederen die momenteel uit China komen, hier opnieuw worden vervaardigd. </w:t>
      </w:r>
    </w:p>
    <w:p>
      <w:pPr>
        <w:pStyle w:val="P68B1DB1Normal118"/>
        <w:widowControl w:val="false"/>
        <w:spacing w:lineRule="auto" w:line="240" w:before="85" w:after="0"/>
        <w:ind w:left="0" w:right="0" w:hanging="0"/>
        <w:jc w:val="left"/>
        <w:rPr/>
      </w:pPr>
      <w:r>
        <w:rPr/>
        <w:t xml:space="preserve">Neem de revolutie van bitcoins en andere cryptocurrencies serieus. Mensen die hierin geïnteresseerd zijn, worden behandeld als belastingfraudeurs, terwijl dit type blockchain-technologie de toekomst is. </w:t>
      </w:r>
    </w:p>
    <w:p>
      <w:pPr>
        <w:pStyle w:val="P68B1DB1Normal118"/>
        <w:widowControl w:val="false"/>
        <w:spacing w:lineRule="auto" w:line="240" w:before="87" w:after="0"/>
        <w:ind w:left="0" w:right="0" w:hanging="0"/>
        <w:jc w:val="left"/>
        <w:rPr/>
      </w:pPr>
      <w:r>
        <w:rPr/>
        <w:t xml:space="preserve">Aandeelhouders zijn niet de enige spelers in de Europese economie. Niets is mogelijk zonder werknemers.„”Europa moet meer doen voor mensen met een handicap. Het is veel te moeilijk voor hen om vandaag een geschikte baan te vinden. </w:t>
      </w:r>
    </w:p>
    <w:p>
      <w:pPr>
        <w:pStyle w:val="P68B1DB1Normal118"/>
        <w:widowControl w:val="false"/>
        <w:spacing w:lineRule="auto" w:line="240" w:before="85" w:after="0"/>
        <w:ind w:left="0" w:right="0" w:hanging="0"/>
        <w:jc w:val="left"/>
        <w:rPr/>
      </w:pPr>
      <w:r>
        <w:rPr/>
        <w:t xml:space="preserve">Veel Europese regels zijn complex en veranderen regelmatig. Het is dus moeilijk voor bedrijven om te innoveren. </w:t>
      </w:r>
    </w:p>
    <w:p>
      <w:pPr>
        <w:pStyle w:val="P68B1DB1Normal118"/>
        <w:widowControl w:val="false"/>
        <w:spacing w:lineRule="auto" w:line="240" w:before="85" w:after="0"/>
        <w:ind w:left="0" w:right="0" w:hanging="0"/>
        <w:jc w:val="both"/>
        <w:rPr/>
      </w:pPr>
      <w:r>
        <w:rPr/>
        <w:t xml:space="preserve">In het geval van transformatiewerk binnen mijn bedrijf, had mijn lokale aannemer al lang geleden kunnen beginnen. Maar eerst moest ik een Europese aanbesteding uitschrijven. Het is een schande. </w:t>
      </w:r>
    </w:p>
    <w:p>
      <w:pPr>
        <w:pStyle w:val="P68B1DB1Normal111"/>
        <w:widowControl w:val="false"/>
        <w:spacing w:lineRule="auto" w:line="240" w:before="85" w:after="0"/>
        <w:ind w:left="0" w:right="0" w:hanging="0"/>
        <w:jc w:val="both"/>
        <w:rPr>
          <w:rFonts w:ascii="Calibri" w:hAnsi="Calibri"/>
          <w:b/>
          <w:b/>
          <w:color w:val="000000"/>
          <w:sz w:val="22"/>
        </w:rPr>
      </w:pPr>
      <w:r>
        <w:rPr/>
        <w:t xml:space="preserve">Deelnemers aan de online dialoog: „Samen nadenken over de kwestie van grote bedrijven” </w:t>
      </w:r>
    </w:p>
    <w:p>
      <w:pPr>
        <w:pStyle w:val="P68B1DB1Normal104"/>
        <w:widowControl w:val="false"/>
        <w:spacing w:lineRule="auto" w:line="240" w:before="97" w:after="0"/>
        <w:ind w:left="0" w:right="0" w:hanging="0"/>
        <w:jc w:val="left"/>
        <w:rPr/>
      </w:pPr>
      <w:r>
        <w:rPr/>
        <w:t>Tijdens een van de online thematische dialogen ontstond er een debat over de groeiende macht van grote bedrijven. Sommige deelnemers zouden graag zien</w:t>
      </w:r>
      <w:r>
        <w:rPr/>
        <w:commentReference w:id="22"/>
      </w:r>
      <w:r>
        <w:rPr/>
        <w:t xml:space="preserve"> dat de EU in dit opzicht krachtiger actie onderneemt. Inderdaad, sommige bedrijven maken soms aanzienlijke winsten waarop ze weinig belasting betalen dankzij geavanceerde regelingen. Andere deelnemers vroegen om naar de dingen als geheel te kijken: deze bedrijven genereren een hoog niveau van werkgelegenheid en komen ten goede aan de nationale economie. „Je moet ze niet achtervolgen”, zei iemand. Een andere deelnemer vond het in ieder geval belangrijk dat de EU-landen hierover gezamenlijk nadenken. Grote bedrijven kunnen momenteel concurreren tussen landen. Daarom moeten we als EU een meer verenigd front presenteren. </w:t>
      </w:r>
    </w:p>
    <w:p>
      <w:pPr>
        <w:pStyle w:val="P68B1DB1Normal111"/>
        <w:widowControl w:val="false"/>
        <w:spacing w:lineRule="auto" w:line="240" w:before="97" w:after="0"/>
        <w:ind w:left="0" w:right="0" w:hanging="0"/>
        <w:jc w:val="left"/>
        <w:rPr>
          <w:rFonts w:ascii="Calibri" w:hAnsi="Calibri"/>
          <w:b/>
          <w:b/>
          <w:color w:val="000000"/>
          <w:sz w:val="22"/>
        </w:rPr>
      </w:pPr>
      <w:r>
        <w:rPr/>
        <w:t xml:space="preserve">Landbouwers die rekening houden met de natuur: „Streefcijfers instellen in plaats van quota” </w:t>
      </w:r>
    </w:p>
    <w:p>
      <w:pPr>
        <w:pStyle w:val="P68B1DB1Normal104"/>
        <w:widowControl w:val="false"/>
        <w:spacing w:lineRule="auto" w:line="240" w:before="95" w:after="0"/>
        <w:ind w:left="0" w:right="0" w:hanging="0"/>
        <w:jc w:val="left"/>
        <w:rPr/>
      </w:pPr>
      <w:r>
        <w:rPr/>
        <w:t xml:space="preserve">BoerenNatuur is een vereniging van landbouwgroepen. Een kleine groep leden besprak onder andere de EU-regels voor landbouwers. Enerzijds zijn zij van mening dat de EU veel positieve dingen met zich meebrengt, zoals het gemak van de uitvoer naar andere landen. Aan de andere kant denken ze dat beleid vaak nog explicieter kan zijn. „Maar iedereen werkt al steeds meer in dezelfde richting”, zei iemand erover. In het bijzonder zijn verbeteringen in de procedures mogelijk: ze zijn vaak erg administratief en tijdrovend. Volgens één deelnemer moeten de regels niet te gedetailleerd zijn. Geef de voorkeur aan duidelijke doelen, zoals schoon water. We kunnen dan zelf beslissen als gevolg van de breedte van een greppel. </w:t>
      </w:r>
    </w:p>
    <w:p>
      <w:pPr>
        <w:pStyle w:val="P68B1DB1Normal19"/>
        <w:widowControl w:val="false"/>
        <w:spacing w:lineRule="auto" w:line="240"/>
        <w:ind w:left="0" w:right="0" w:hanging="0"/>
        <w:jc w:val="left"/>
        <w:rPr>
          <w:rFonts w:ascii="Times New Roman" w:hAnsi="Times New Roman"/>
          <w:color w:val="000000"/>
          <w:sz w:val="24"/>
        </w:rPr>
      </w:pPr>
      <w:r>
        <w:rPr/>
        <w:t xml:space="preserve"> </w:t>
      </w:r>
    </w:p>
    <w:p>
      <w:pPr>
        <w:pStyle w:val="Normal"/>
        <w:widowControl w:val="false"/>
        <w:spacing w:lineRule="auto" w:line="240"/>
        <w:ind w:left="0" w:right="0" w:hanging="0"/>
        <w:jc w:val="left"/>
        <w:rPr>
          <w:rFonts w:ascii="Times New Roman" w:hAnsi="Times New Roman"/>
          <w:color w:val="000000"/>
          <w:sz w:val="24"/>
        </w:rPr>
      </w:pPr>
      <w:r>
        <w:rPr>
          <w:rFonts w:ascii="Times New Roman" w:hAnsi="Times New Roman"/>
          <w:color w:val="000000"/>
          <w:sz w:val="24"/>
        </w:rPr>
      </w:r>
      <w:r>
        <w:br w:type="page"/>
      </w:r>
    </w:p>
    <w:p>
      <w:pPr>
        <w:pStyle w:val="P68B1DB1Normal117"/>
        <w:widowControl w:val="false"/>
        <w:spacing w:lineRule="auto" w:line="240"/>
        <w:ind w:left="0" w:right="0" w:hanging="0"/>
        <w:jc w:val="left"/>
        <w:rPr>
          <w:rFonts w:ascii="Calibri" w:hAnsi="Calibri"/>
          <w:b/>
          <w:b/>
          <w:i/>
          <w:i/>
          <w:color w:val="000000"/>
          <w:sz w:val="28"/>
        </w:rPr>
      </w:pPr>
      <w:r>
        <w:rPr/>
        <w:t xml:space="preserve">Europese democratie </w:t>
      </w:r>
    </w:p>
    <w:p>
      <w:pPr>
        <w:pStyle w:val="P68B1DB1Normal104"/>
        <w:widowControl w:val="false"/>
        <w:spacing w:lineRule="auto" w:line="240"/>
        <w:ind w:left="0" w:right="0" w:hanging="0"/>
        <w:jc w:val="left"/>
        <w:rPr/>
      </w:pPr>
      <w:r>
        <w:rPr/>
        <w:t xml:space="preserve">De EU moedigt Europeanen aan om te stemmen en wil hen ook betrekken bij de Europese besluitvorming en het Europese beleid buiten de verkiezingsperiode. De EU neemt ook initiatieven om de democratie te versterken, bijvoorbeeld door een actieplan op te stellen dat gericht is op vrije en eerlijke verkiezingen en persvrijheid. Wat is de visie van Nederland hierop? </w:t>
      </w:r>
    </w:p>
    <w:p>
      <w:pPr>
        <w:pStyle w:val="P68B1DB1Normal19"/>
        <w:widowControl w:val="false"/>
        <w:spacing w:lineRule="auto" w:line="240"/>
        <w:ind w:left="0" w:right="0" w:hanging="0"/>
        <w:jc w:val="left"/>
        <w:rPr>
          <w:rFonts w:ascii="Times New Roman" w:hAnsi="Times New Roman"/>
          <w:color w:val="000000"/>
          <w:sz w:val="24"/>
        </w:rPr>
      </w:pPr>
      <w:r>
        <w:rPr/>
        <w:t xml:space="preserve"> </w:t>
      </w:r>
    </w:p>
    <w:p>
      <w:pPr>
        <w:pStyle w:val="P68B1DB1Normal108"/>
        <w:widowControl w:val="false"/>
        <w:spacing w:lineRule="auto" w:line="240" w:before="15" w:after="0"/>
        <w:ind w:left="0" w:right="0" w:hanging="0"/>
        <w:jc w:val="left"/>
        <w:rPr>
          <w:rFonts w:ascii="Calibri" w:hAnsi="Calibri"/>
          <w:b/>
          <w:b/>
          <w:i/>
          <w:i/>
          <w:color w:val="000000"/>
          <w:sz w:val="24"/>
        </w:rPr>
      </w:pPr>
      <w:r>
        <w:rPr/>
        <w:t xml:space="preserve">Aanbevelingen — Onze visie op de Europese democratie </w:t>
      </w:r>
    </w:p>
    <w:p>
      <w:pPr>
        <w:pStyle w:val="P68B1DB1Normal69"/>
        <w:widowControl w:val="false"/>
        <w:spacing w:lineRule="auto" w:line="240"/>
        <w:ind w:left="0" w:right="0" w:hanging="0"/>
        <w:jc w:val="left"/>
        <w:rPr/>
      </w:pPr>
      <w:r>
        <w:rPr/>
        <w:t xml:space="preserve">60 % van de Nederlanders vindt dat de Europese democratie een belangrijk onderwerp is en dat de EU op dit gebied moet ingrijpen. </w:t>
      </w:r>
    </w:p>
    <w:p>
      <w:pPr>
        <w:pStyle w:val="P68B1DB1Normal111"/>
        <w:widowControl w:val="false"/>
        <w:spacing w:lineRule="auto" w:line="240" w:before="13" w:after="0"/>
        <w:ind w:left="0" w:right="0" w:hanging="0"/>
        <w:jc w:val="left"/>
        <w:rPr>
          <w:rFonts w:ascii="Calibri" w:hAnsi="Calibri"/>
          <w:b/>
          <w:b/>
          <w:color w:val="000000"/>
          <w:sz w:val="22"/>
        </w:rPr>
      </w:pPr>
      <w:r>
        <w:rPr/>
        <w:t xml:space="preserve">1. Een beter overzicht van Europa </w:t>
      </w:r>
    </w:p>
    <w:p>
      <w:pPr>
        <w:pStyle w:val="P68B1DB1Normal104"/>
        <w:widowControl w:val="false"/>
        <w:spacing w:lineRule="auto" w:line="240"/>
        <w:ind w:left="0" w:right="0" w:hanging="0"/>
        <w:jc w:val="left"/>
        <w:rPr/>
      </w:pPr>
      <w:r>
        <w:rPr/>
        <w:t xml:space="preserve">De Nederlanders wijzen erop dat het vaak in het geval van een crisis is dat Europa in de media verschijnt. Aan de andere kant hebben we weinig informatie over dagelijkse beslissingen. Als burgers hoeven we niet alles te weten, maar om een goed advies te vormen, zou het goed zijn om een beter overzicht te hebben. Het zou bijvoorbeeld interessant zijn om vaker de standpunten van andere landen over de EU te horen. De media en het onderwijs kunnen hierbij een belangrijke rol spelen. Maar de media moeten in staat blijven om hun eigen keuzes te maken. Omdat de Nederlanders van mening zijn dat persvrijheid heel belangrijk is in onze democratie. </w:t>
      </w:r>
    </w:p>
    <w:p>
      <w:pPr>
        <w:pStyle w:val="P68B1DB1Normal113"/>
        <w:widowControl w:val="false"/>
        <w:spacing w:lineRule="auto" w:line="240" w:before="184" w:after="0"/>
        <w:ind w:left="0" w:right="0" w:hanging="0"/>
        <w:jc w:val="center"/>
        <w:rPr/>
      </w:pPr>
      <w:r>
        <w:rPr/>
        <w:t>„</w:t>
      </w:r>
      <w:r>
        <w:rPr/>
        <w:t xml:space="preserve">Meestal horen we alleen over de EU in geval van een crisis. Daarom blijft het sentiment ten opzichte van Europa negatief. </w:t>
      </w:r>
    </w:p>
    <w:p>
      <w:pPr>
        <w:pStyle w:val="P68B1DB1Normal111"/>
        <w:widowControl w:val="false"/>
        <w:spacing w:lineRule="auto" w:line="240" w:before="153" w:after="0"/>
        <w:ind w:left="0" w:right="0" w:hanging="0"/>
        <w:jc w:val="left"/>
        <w:rPr>
          <w:rFonts w:ascii="Calibri" w:hAnsi="Calibri"/>
          <w:b/>
          <w:b/>
          <w:color w:val="000000"/>
          <w:sz w:val="22"/>
        </w:rPr>
      </w:pPr>
      <w:r>
        <w:rPr/>
        <w:t xml:space="preserve">2. Nieuwe manieren vinden om voortdurend naar burgers te luisteren </w:t>
      </w:r>
    </w:p>
    <w:p>
      <w:pPr>
        <w:pStyle w:val="P68B1DB1Normal104"/>
        <w:widowControl w:val="false"/>
        <w:spacing w:lineRule="auto" w:line="240"/>
        <w:ind w:left="0" w:right="0" w:hanging="0"/>
        <w:jc w:val="left"/>
        <w:rPr/>
      </w:pPr>
      <w:r>
        <w:rPr/>
        <w:t xml:space="preserve">51 % van de Nederlanders is van mening dat de EU zich onvoldoende bewust is van wat er in de samenleving gebeurt. Om deze situatie te verbeteren, moet de EU vaker, bij voorkeur permanent, een dialoog met de burgers aangaan. Veel Nederlanders zijn dan ook van mening dat de conferentie over de toekomst van Europa een goed initiatief is. Referenda kunnen ook een waardevol instrument zijn, maar Nederlanders hebben hier verschillende meningen over. Voor bepaalde onderwerpen is het soms ook nodig om gespecialiseerde kennis te hebben. In ieder geval mag spreken met burgers niet louter een formaliteit zijn. Wij vinden het belangrijk dat we serieus worden genomen. </w:t>
      </w:r>
    </w:p>
    <w:p>
      <w:pPr>
        <w:pStyle w:val="P68B1DB1Normal111"/>
        <w:widowControl w:val="false"/>
        <w:spacing w:lineRule="auto" w:line="240" w:before="21" w:after="0"/>
        <w:ind w:left="0" w:right="0" w:hanging="0"/>
        <w:jc w:val="left"/>
        <w:rPr>
          <w:rFonts w:ascii="Calibri" w:hAnsi="Calibri"/>
          <w:b/>
          <w:b/>
          <w:color w:val="000000"/>
          <w:sz w:val="22"/>
        </w:rPr>
      </w:pPr>
      <w:r>
        <w:rPr/>
        <w:t xml:space="preserve">3. Meer transparantie en duidelijkheid over de genomen besluiten </w:t>
      </w:r>
    </w:p>
    <w:p>
      <w:pPr>
        <w:pStyle w:val="P68B1DB1Normal104"/>
        <w:widowControl w:val="false"/>
        <w:spacing w:lineRule="auto" w:line="240"/>
        <w:ind w:left="0" w:right="0" w:hanging="0"/>
        <w:jc w:val="left"/>
        <w:rPr/>
      </w:pPr>
      <w:r>
        <w:rPr/>
        <w:t xml:space="preserve">Nederlanders vinden Europa soms nogal ingewikkeld. Niet iedereen heeft hetzelfde niveau van basiskennis. De EU moet hier meer rekening mee houden. We willen dat de EU transparanter wordt en het gemakkelijker maakt om op de hoogte te blijven. De Nederlandse autoriteiten hebben in dit verband ook een rol te spelen. Veel Nederlanders zijn geïnteresseerd in Europese beslissingen, maar vinden dat officiële kanalen te moeilijk te vinden of te complex zijn. Daarnaast heeft iedereen verschillende interesses en behoeften. Het zou dan ook noodzakelijk zijn om de onderwerpen te kunnen kiezen waarover we meer willen leren. Jongeren zijn vaak geïnteresseerd in Europa, maar ze zien er bijvoorbeeld weinig informatie over op hun sociale netwerken. </w:t>
      </w:r>
    </w:p>
    <w:p>
      <w:pPr>
        <w:pStyle w:val="P68B1DB1Normal113"/>
        <w:widowControl w:val="false"/>
        <w:spacing w:lineRule="auto" w:line="240" w:before="184" w:after="0"/>
        <w:ind w:left="0" w:right="0" w:hanging="0"/>
        <w:jc w:val="center"/>
        <w:rPr/>
      </w:pPr>
      <w:r>
        <w:rPr/>
        <w:t xml:space="preserve">Terwijl ik op vakantie was in Hongarije, zag ik een groot bord in de buurt van een nieuwe bosplantage waarin stond: „Deze plantage was mogelijk dankzij de EU.” Hoewel ik sceptisch ben over Europa, ben ik nog steeds trots. </w:t>
      </w:r>
    </w:p>
    <w:p>
      <w:pPr>
        <w:pStyle w:val="P68B1DB1Normal19"/>
        <w:widowControl w:val="false"/>
        <w:spacing w:lineRule="auto" w:line="240" w:before="155" w:after="0"/>
        <w:ind w:left="0" w:right="0" w:hanging="0"/>
        <w:jc w:val="left"/>
        <w:rPr>
          <w:rFonts w:ascii="Times New Roman" w:hAnsi="Times New Roman"/>
          <w:color w:val="000000"/>
          <w:sz w:val="24"/>
        </w:rPr>
      </w:pPr>
      <w:r>
        <w:rPr/>
        <w:t xml:space="preserve"> </w:t>
      </w:r>
    </w:p>
    <w:p>
      <w:pPr>
        <w:pStyle w:val="P68B1DB1Normal111"/>
        <w:widowControl w:val="false"/>
        <w:spacing w:lineRule="auto" w:line="240" w:before="172" w:after="0"/>
        <w:ind w:left="0" w:right="0" w:hanging="0"/>
        <w:jc w:val="left"/>
        <w:rPr>
          <w:rFonts w:ascii="Calibri" w:hAnsi="Calibri"/>
          <w:b/>
          <w:b/>
          <w:color w:val="000000"/>
          <w:sz w:val="22"/>
        </w:rPr>
      </w:pPr>
      <w:r>
        <w:rPr/>
        <w:t xml:space="preserve">4. Zorgen dat doornige problemen sneller kunnen worden opgelost </w:t>
      </w:r>
    </w:p>
    <w:p>
      <w:pPr>
        <w:pStyle w:val="P68B1DB1Normal104"/>
        <w:widowControl w:val="false"/>
        <w:spacing w:lineRule="auto" w:line="240"/>
        <w:ind w:left="0" w:right="0" w:hanging="0"/>
        <w:jc w:val="left"/>
        <w:rPr/>
      </w:pPr>
      <w:r>
        <w:rPr/>
        <w:t>Nederlanders vinden het moeilijk om te begrijpen hoe de Europese democratie werkt, maar het lijkt hen dat de besluitvorming in de EU vaak erg traag verloopt. Bij de Europese verkiezingen zien we vooral allianties tussen</w:t>
      </w:r>
      <w:r>
        <w:rPr/>
        <w:commentReference w:id="23"/>
      </w:r>
      <w:r>
        <w:rPr/>
        <w:t xml:space="preserve"> nationale partijen. Er kunnen ook andere manieren zijn om Europese belangen aan te pakken. Ongeveer een derde van de Nederlanders is van mening dat het bij verkiezingen voor het Europees Parlement mogelijk moet zijn om op buitenlandse kandidaten te stemmen. Een ongeveer gelijk aantal burgers is van mening dat dit niet mogelijk zou moeten zijn. Het belangrijkste is dat er voldoende rekening wordt gehouden met de verschillende belangen die op het spel staan. Tegelijkertijd is het mogelijk om doornige problemen sneller op te lossen dan nu het geval is. </w:t>
      </w:r>
    </w:p>
    <w:p>
      <w:pPr>
        <w:pStyle w:val="P68B1DB1Normal113"/>
        <w:widowControl w:val="false"/>
        <w:spacing w:lineRule="auto" w:line="240" w:before="201" w:after="0"/>
        <w:ind w:left="0" w:right="0" w:hanging="0"/>
        <w:jc w:val="center"/>
        <w:rPr/>
      </w:pPr>
      <w:r>
        <w:rPr/>
        <w:t xml:space="preserve">Bij verkiezingen wou ik me met iemand kunnen identificeren en weten wat hij of zij verdedigt. Het hoeft niet per se een landgenoot te zijn. </w:t>
      </w:r>
    </w:p>
    <w:p>
      <w:pPr>
        <w:pStyle w:val="P68B1DB1Normal108"/>
        <w:widowControl w:val="false"/>
        <w:spacing w:lineRule="auto" w:line="240" w:before="171" w:after="0"/>
        <w:ind w:left="0" w:right="0" w:hanging="0"/>
        <w:jc w:val="left"/>
        <w:rPr>
          <w:rFonts w:ascii="Calibri" w:hAnsi="Calibri"/>
          <w:b/>
          <w:b/>
          <w:i/>
          <w:i/>
          <w:color w:val="000000"/>
          <w:sz w:val="24"/>
        </w:rPr>
      </w:pPr>
      <w:r>
        <w:rPr/>
        <w:t xml:space="preserve">Online en on-site discussies en ideeën </w:t>
      </w:r>
    </w:p>
    <w:p>
      <w:pPr>
        <w:pStyle w:val="P68B1DB1Normal118"/>
        <w:widowControl w:val="false"/>
        <w:spacing w:lineRule="auto" w:line="240" w:before="3" w:after="0"/>
        <w:ind w:left="0" w:right="0" w:hanging="0"/>
        <w:jc w:val="left"/>
        <w:rPr>
          <w:rFonts w:ascii="Calibri" w:hAnsi="Calibri"/>
          <w:i/>
          <w:i/>
          <w:color w:val="000000"/>
          <w:sz w:val="21"/>
        </w:rPr>
      </w:pPr>
      <w:r>
        <w:rPr/>
        <w:t xml:space="preserve">Het vetorecht van landen weg te nemen. De meerderheid moet beslissen. </w:t>
      </w:r>
    </w:p>
    <w:p>
      <w:pPr>
        <w:pStyle w:val="Normal"/>
        <w:widowControl w:val="false"/>
        <w:spacing w:lineRule="auto" w:line="240" w:before="85" w:after="0"/>
        <w:ind w:left="0" w:right="0" w:hanging="0"/>
        <w:jc w:val="left"/>
        <w:rPr/>
      </w:pPr>
      <w:r>
        <w:rPr>
          <w:rFonts w:ascii="Calibri" w:hAnsi="Calibri"/>
          <w:i/>
          <w:color w:val="000000"/>
          <w:sz w:val="21"/>
        </w:rPr>
        <w:t xml:space="preserve">Stel voor belangrijke beslissingen discussiegroepen op die zijn </w:t>
      </w:r>
      <w:commentRangeStart w:id="24"/>
      <w:r>
        <w:rPr>
          <w:rFonts w:ascii="Calibri" w:hAnsi="Calibri"/>
          <w:i/>
          <w:color w:val="000000"/>
          <w:sz w:val="21"/>
        </w:rPr>
        <w:t xml:space="preserve"> </w:t>
      </w:r>
      <w:r>
        <w:rPr>
          <w:rFonts w:ascii="Calibri" w:hAnsi="Calibri"/>
          <w:i/>
          <w:color w:val="000000"/>
          <w:sz w:val="21"/>
        </w:rPr>
      </w:r>
      <w:commentRangeEnd w:id="24"/>
      <w:r>
        <w:commentReference w:id="24"/>
      </w:r>
      <w:r>
        <w:rPr>
          <w:rFonts w:ascii="Calibri" w:hAnsi="Calibri"/>
          <w:i/>
          <w:color w:val="000000"/>
          <w:sz w:val="21"/>
        </w:rPr>
        <w:t>samengesteld uit burgers, misschien op een (semi-) verplichte basis, zoals geldt voor jury’s in de Verenigde Staten.</w:t>
      </w:r>
    </w:p>
    <w:p>
      <w:pPr>
        <w:pStyle w:val="P68B1DB1Normal118"/>
        <w:widowControl w:val="false"/>
        <w:spacing w:lineRule="auto" w:line="240" w:before="85" w:after="0"/>
        <w:ind w:left="0" w:right="0" w:hanging="0"/>
        <w:jc w:val="left"/>
        <w:rPr/>
      </w:pPr>
      <w:r>
        <w:rPr/>
        <w:t>„</w:t>
      </w:r>
      <w:r>
        <w:rPr/>
        <w:t xml:space="preserve">Zorgen dat EU-politici en -ambtenaren regelmatig het achterland bezoeken” en niet volledig in hun Brusselse bubbel blijven. </w:t>
      </w:r>
    </w:p>
    <w:p>
      <w:pPr>
        <w:pStyle w:val="P68B1DB1Normal118"/>
        <w:widowControl w:val="false"/>
        <w:spacing w:lineRule="auto" w:line="240" w:before="85" w:after="0"/>
        <w:ind w:left="0" w:right="0" w:hanging="0"/>
        <w:jc w:val="left"/>
        <w:rPr/>
      </w:pPr>
      <w:r>
        <w:rPr/>
        <w:t xml:space="preserve">IDEE: In feite zou het tv-nieuws in elk van zijn edities een paar minuten aan Europa moeten besteden. Of we kunnen een dag- of weekblad lanceren dat gewijd is aan Europa. </w:t>
      </w:r>
    </w:p>
    <w:p>
      <w:pPr>
        <w:pStyle w:val="P68B1DB1Normal118"/>
        <w:widowControl w:val="false"/>
        <w:spacing w:lineRule="auto" w:line="240" w:before="85" w:after="0"/>
        <w:ind w:left="0" w:right="0" w:hanging="0"/>
        <w:jc w:val="left"/>
        <w:rPr/>
      </w:pPr>
      <w:r>
        <w:rPr/>
        <w:t xml:space="preserve">IDEE: Misschien moeten Europese politici vaker deelnemen aan televisieprogramma’s. </w:t>
      </w:r>
    </w:p>
    <w:p>
      <w:pPr>
        <w:pStyle w:val="P68B1DB1Normal118"/>
        <w:widowControl w:val="false"/>
        <w:spacing w:lineRule="auto" w:line="240" w:before="85" w:after="0"/>
        <w:ind w:left="0" w:right="0" w:hanging="0"/>
        <w:jc w:val="left"/>
        <w:rPr/>
      </w:pPr>
      <w:r>
        <w:rPr/>
        <w:t xml:space="preserve">Als jongeman las ik bijna nooit iets over Europa. Ik ben echter nieuwsgierig om meer te weten, maar zonder te veel moeite te hoeven doen om informatie te krijgen. </w:t>
      </w:r>
    </w:p>
    <w:p>
      <w:pPr>
        <w:pStyle w:val="P68B1DB1Normal111"/>
        <w:widowControl w:val="false"/>
        <w:spacing w:lineRule="auto" w:line="240" w:before="84" w:after="0"/>
        <w:ind w:left="0" w:right="0" w:hanging="0"/>
        <w:jc w:val="left"/>
        <w:rPr>
          <w:rFonts w:ascii="Calibri" w:hAnsi="Calibri"/>
          <w:b/>
          <w:b/>
          <w:color w:val="000000"/>
          <w:sz w:val="22"/>
        </w:rPr>
      </w:pPr>
      <w:r>
        <w:rPr/>
        <w:t xml:space="preserve">Jonge leden van Coalitie-Y in Utrecht: discussie over het gebruik van referenda </w:t>
      </w:r>
    </w:p>
    <w:p>
      <w:pPr>
        <w:pStyle w:val="P68B1DB1Normal104"/>
        <w:widowControl w:val="false"/>
        <w:spacing w:lineRule="auto" w:line="240"/>
        <w:ind w:left="0" w:right="0" w:hanging="0"/>
        <w:jc w:val="left"/>
        <w:rPr/>
      </w:pPr>
      <w:r>
        <w:rPr/>
        <w:t xml:space="preserve">De leden van Coalitie-Y — een samenwerking tussen verschillende jeugdorganisaties — hielden een levendig debat over het gebruik van referenda. Tegenstanders noemden het risico van debatten waarbij alles zwart of wit is, terwijl de onderwerpen vaak veel complexer zijn. Een van de deelnemers verklaarde verder: We kunnen voor de EU stemmen en ons kandidaat stellen. Refererendum supporters vonden het nuttig voor beleidsmakers om te weten wat burgers denken over een specifiek onderwerp: dit kan helpen bij het geven van begeleiding. Referenda kunnen ook bijdragen aan de bewustmaking van het publiek over de EU als geheel: wat zijn de onderwerpen op de agenda en wat zijn de keuzes om te maken? </w:t>
      </w:r>
    </w:p>
    <w:p>
      <w:pPr>
        <w:pStyle w:val="P68B1DB1Normal111"/>
        <w:widowControl w:val="false"/>
        <w:spacing w:lineRule="auto" w:line="240" w:before="38" w:after="0"/>
        <w:ind w:left="0" w:right="0" w:hanging="0"/>
        <w:jc w:val="left"/>
        <w:rPr>
          <w:rFonts w:ascii="Calibri" w:hAnsi="Calibri"/>
          <w:b/>
          <w:b/>
          <w:color w:val="000000"/>
          <w:sz w:val="22"/>
        </w:rPr>
      </w:pPr>
      <w:r>
        <w:rPr/>
        <w:t xml:space="preserve">Sociale vrijwilligers: Er moet een beter wederzijds begrip tussen de landen komen. </w:t>
      </w:r>
    </w:p>
    <w:p>
      <w:pPr>
        <w:pStyle w:val="Normal"/>
        <w:widowControl w:val="false"/>
        <w:spacing w:lineRule="auto" w:line="240"/>
        <w:ind w:left="0" w:right="0" w:hanging="0"/>
        <w:jc w:val="left"/>
        <w:rPr/>
      </w:pPr>
      <w:r>
        <w:rPr>
          <w:rFonts w:ascii="Calibri" w:hAnsi="Calibri"/>
          <w:color w:val="000000"/>
          <w:sz w:val="21"/>
        </w:rPr>
        <w:t xml:space="preserve">Stichting Piëzo in Zoetermeer bestaat uit vrijwilligers die op verschillende manieren actief zijn op het gebied van maatschappelijke participatie. Deelnemers aan de thematische dialoog uitten hun bezorgdheid over de groeiende kloof in Europa. Dit zijn bijvoorbeeld de opvattingen die landen hebben met betrekking tot de LGBTIQ-gemeenschap. Als landen hun respectieve standpunten niet begrijpen, is het moeilijk om samen te werken. „Om deze reden is het essentieel om elkaar beter te leren kennen”, zei een deelnemer. Vandaag de dag weten we niet wat mensen denken in andere landen. We begrijpen de cultuur en context van onze respectieve landen niet voldoende. Dit is essentieel als we samen goede beslissingen willen nemen. </w:t>
      </w:r>
      <w:r>
        <w:br w:type="page"/>
      </w:r>
    </w:p>
    <w:p>
      <w:pPr>
        <w:pStyle w:val="P68B1DB1Normal117"/>
        <w:spacing w:lineRule="auto" w:line="240"/>
        <w:ind w:left="0" w:right="0" w:hanging="0"/>
        <w:rPr>
          <w:rFonts w:ascii="Calibri" w:hAnsi="Calibri"/>
          <w:b/>
          <w:b/>
          <w:i/>
          <w:i/>
          <w:color w:val="000000"/>
          <w:sz w:val="28"/>
        </w:rPr>
      </w:pPr>
      <w:r>
        <w:rPr/>
        <w:t xml:space="preserve">Digitale transformatie </w:t>
      </w:r>
    </w:p>
    <w:p>
      <w:pPr>
        <w:pStyle w:val="P68B1DB1Normal104"/>
        <w:widowControl w:val="false"/>
        <w:spacing w:lineRule="auto" w:line="240" w:before="62" w:after="0"/>
        <w:ind w:left="0" w:right="0" w:hanging="0"/>
        <w:jc w:val="left"/>
        <w:rPr/>
      </w:pPr>
      <w:r>
        <w:rPr/>
        <w:t xml:space="preserve">In de virtuele wereld nemen de eisen aan internetconnectiviteit, beveiliging en privacy toe. De EU voelt zich in dit opzicht verantwoordelijk en zet zich in om ervoor te zorgen dat niemand achterblijft in de digitale samenleving. Daarnaast investeert de EU in digitale oplossingen voor maatschappelijke uitdagingen. Wat is de visie van Nederland hierop? </w:t>
      </w:r>
    </w:p>
    <w:p>
      <w:pPr>
        <w:pStyle w:val="P68B1DB1Normal108"/>
        <w:widowControl w:val="false"/>
        <w:spacing w:lineRule="auto" w:line="240" w:before="57" w:after="0"/>
        <w:ind w:left="0" w:right="0" w:hanging="0"/>
        <w:jc w:val="left"/>
        <w:rPr>
          <w:rFonts w:ascii="Calibri" w:hAnsi="Calibri"/>
          <w:b/>
          <w:b/>
          <w:i/>
          <w:i/>
          <w:color w:val="000000"/>
          <w:sz w:val="24"/>
        </w:rPr>
      </w:pPr>
      <w:r>
        <w:rPr/>
        <w:t xml:space="preserve">Aanbevelingen — Ons virtuele wereldbeeld </w:t>
      </w:r>
    </w:p>
    <w:p>
      <w:pPr>
        <w:pStyle w:val="P68B1DB1Normal69"/>
        <w:widowControl w:val="false"/>
        <w:spacing w:lineRule="auto" w:line="240" w:before="65" w:after="0"/>
        <w:ind w:left="0" w:right="0" w:hanging="0"/>
        <w:jc w:val="left"/>
        <w:rPr/>
      </w:pPr>
      <w:r>
        <w:rPr/>
        <w:t xml:space="preserve">45 % van de Nederlanders vindt dat de virtuele wereld een belangrijk thema is en dat de EU op dit gebied moet ingrijpen. </w:t>
      </w:r>
    </w:p>
    <w:p>
      <w:pPr>
        <w:pStyle w:val="P68B1DB1Normal111"/>
        <w:widowControl w:val="false"/>
        <w:spacing w:lineRule="auto" w:line="240" w:before="47" w:after="0"/>
        <w:ind w:left="0" w:right="0" w:hanging="0"/>
        <w:jc w:val="left"/>
        <w:rPr>
          <w:rFonts w:ascii="Calibri" w:hAnsi="Calibri"/>
          <w:b/>
          <w:b/>
          <w:color w:val="000000"/>
          <w:sz w:val="22"/>
        </w:rPr>
      </w:pPr>
      <w:r>
        <w:rPr/>
        <w:t xml:space="preserve">1. Zorgen voor een snel, veilig en stabiel internet overal </w:t>
      </w:r>
    </w:p>
    <w:p>
      <w:pPr>
        <w:pStyle w:val="P68B1DB1Normal104"/>
        <w:widowControl w:val="false"/>
        <w:spacing w:lineRule="auto" w:line="240" w:before="49" w:after="0"/>
        <w:ind w:left="0" w:right="0" w:hanging="0"/>
        <w:jc w:val="left"/>
        <w:rPr/>
      </w:pPr>
      <w:r>
        <w:rPr/>
        <w:t xml:space="preserve">61 % van de Nederlanders vindt dat de EU ervoor moet zorgen dat iedereen in Europa toegang heeft tot een snel en stabiel internet. We zien allemaal dat internet een steeds belangrijkere rol speelt in ons leven. Onze kinderen groeien op met digitaal onderwijs. En communicatie gaat steeds meer via het internet, zowel nationaal als internationaal. We maken ons soms zorgen over de hoge afhankelijkheid van het internet. Veel Nederlanders zijn dan ook van mening dat de EU het best in staat is om er geld aan te besteden, op voorwaarde dat deze doeltreffend worden gebruikt. Bescherming tegen onlinecriminaliteit is volgens ons de belangrijkste kwestie die op Europees niveau moet worden aangepakt. Er moet echter ook aandacht worden besteed aan de bestrijding van internetcriminaliteit op nationaal niveau. </w:t>
      </w:r>
    </w:p>
    <w:p>
      <w:pPr>
        <w:pStyle w:val="P68B1DB1Normal113"/>
        <w:widowControl w:val="false"/>
        <w:spacing w:lineRule="auto" w:line="240" w:before="54" w:after="0"/>
        <w:ind w:left="0" w:right="0" w:hanging="0"/>
        <w:jc w:val="center"/>
        <w:rPr/>
      </w:pPr>
      <w:r>
        <w:rPr/>
        <w:t xml:space="preserve">Het idee van een cyberaanval op ons waterbeschermingssysteem maakt me kwetsbaar. </w:t>
      </w:r>
    </w:p>
    <w:p>
      <w:pPr>
        <w:pStyle w:val="P68B1DB1Normal111"/>
        <w:widowControl w:val="false"/>
        <w:spacing w:lineRule="auto" w:line="240" w:before="71" w:after="0"/>
        <w:ind w:left="0" w:right="0" w:hanging="0"/>
        <w:jc w:val="left"/>
        <w:rPr>
          <w:rFonts w:ascii="Calibri" w:hAnsi="Calibri"/>
          <w:b/>
          <w:b/>
          <w:color w:val="000000"/>
          <w:sz w:val="22"/>
        </w:rPr>
      </w:pPr>
      <w:r>
        <w:rPr/>
        <w:t xml:space="preserve">2. Duidelijke regels en normen voor internetbedrijven vaststellen </w:t>
      </w:r>
    </w:p>
    <w:p>
      <w:pPr>
        <w:pStyle w:val="P68B1DB1Normal104"/>
        <w:widowControl w:val="false"/>
        <w:spacing w:lineRule="auto" w:line="240" w:before="49" w:after="0"/>
        <w:ind w:left="0" w:right="0" w:hanging="0"/>
        <w:jc w:val="left"/>
        <w:rPr/>
      </w:pPr>
      <w:r>
        <w:rPr/>
        <w:t xml:space="preserve">75 % van de Nederlanders vindt dat de EU ervoor moet zorgen dat online aankopen met hetzelfde beveiligingsniveau in alle EU-landen kunnen worden gedaan. We kopen allemaal steeds meer in het buitenland en delen op deze manier gevoelige persoonsgegevens. Dit lijkt soms gevaarlijk. Het is moeilijk om te bepalen welke websites betrouwbaar zijn. Het is goed dat de EU Europese privacyregels en -normen ontwikkelt die iedereen kan begrijpen. De kracht van grote internetbedrijven is ook een regelmatige bron van zorg voor ons. Wij geloven dat het onze verantwoordelijkheid is om voorzichtig te zijn bij het gebruik van onze gegevens. Maar wij geloven ook dat de EU in dit opzicht een rol kan spelen. EU-landen moeten samenwerken om ervoor te zorgen dat bedrijven als Google en Facebook niet te veel macht hebben. </w:t>
      </w:r>
    </w:p>
    <w:p>
      <w:pPr>
        <w:pStyle w:val="P68B1DB1Normal113"/>
        <w:widowControl w:val="false"/>
        <w:spacing w:lineRule="auto" w:line="240" w:before="54" w:after="0"/>
        <w:ind w:left="0" w:right="0" w:hanging="0"/>
        <w:jc w:val="center"/>
        <w:rPr/>
      </w:pPr>
      <w:r>
        <w:rPr/>
        <w:t xml:space="preserve">Geconfronteerd met een wereldspeler als Facebook, zijn we als klein land relatief arm. </w:t>
      </w:r>
    </w:p>
    <w:p>
      <w:pPr>
        <w:pStyle w:val="P68B1DB1Normal111"/>
        <w:widowControl w:val="false"/>
        <w:spacing w:lineRule="auto" w:line="240" w:before="71" w:after="0"/>
        <w:ind w:left="0" w:right="0" w:hanging="0"/>
        <w:jc w:val="left"/>
        <w:rPr/>
      </w:pPr>
      <w:r>
        <w:rPr/>
        <w:t xml:space="preserve">3. Implementatie en praktische uitleg toevoegen aan privacyregels </w:t>
      </w:r>
    </w:p>
    <w:p>
      <w:pPr>
        <w:pStyle w:val="Normal"/>
        <w:widowControl w:val="false"/>
        <w:spacing w:lineRule="auto" w:line="240" w:before="49" w:after="0"/>
        <w:ind w:left="0" w:right="0" w:hanging="0"/>
        <w:jc w:val="left"/>
        <w:rPr/>
      </w:pPr>
      <w:r>
        <w:rPr>
          <w:rFonts w:ascii="Calibri" w:hAnsi="Calibri"/>
          <w:color w:val="000000"/>
          <w:sz w:val="21"/>
        </w:rPr>
        <w:t xml:space="preserve">Met de invoering van de Algemene Verordening Gegevensbescherming (AVG) weten de Nederlanders dat alle landen dezelfde privacywetten en -voorschriften moeten naleven. We vinden het goed om daar op te kunnen rekenen, want privacy is een belangrijk onderwerp. Sommigen vinden echter dat privacyregels soms overdreven of onlogisch zijn. Daarnaast kan deze wetgeving veel werk opleveren voor ondernemers. Wij zijn daarom van mening dat er meer aandacht moet worden besteed aan de praktische uitvoering van de privacywetgeving: ondersteuning en informatie voor zowel burgers als bedrijven. In het bijzonder zijn wij van mening dat de lidstaten een rol moeten spelen. Privacykwesties of -kwesties worden het best beheerd door onze nationale autoriteiten in onze eigen taal. </w:t>
      </w:r>
      <w:r>
        <w:br w:type="page"/>
      </w:r>
    </w:p>
    <w:p>
      <w:pPr>
        <w:pStyle w:val="P68B1DB1Normal108"/>
        <w:spacing w:lineRule="auto" w:line="240"/>
        <w:ind w:left="0" w:right="0" w:hanging="0"/>
        <w:rPr>
          <w:rFonts w:ascii="Calibri" w:hAnsi="Calibri"/>
          <w:b/>
          <w:b/>
          <w:i/>
          <w:i/>
          <w:color w:val="000000"/>
          <w:sz w:val="24"/>
        </w:rPr>
      </w:pPr>
      <w:r>
        <w:rPr/>
        <w:t xml:space="preserve">Online en on-site discussies en ideeën </w:t>
      </w:r>
    </w:p>
    <w:p>
      <w:pPr>
        <w:pStyle w:val="P68B1DB1Normal118"/>
        <w:widowControl w:val="false"/>
        <w:spacing w:lineRule="auto" w:line="240" w:before="120" w:after="0"/>
        <w:ind w:left="0" w:right="889" w:hanging="0"/>
        <w:jc w:val="left"/>
        <w:rPr/>
      </w:pPr>
      <w:r>
        <w:rPr/>
        <w:t xml:space="preserve">IDEE: Stel strengere criteria vast voor programmeurs en bedrijven door gevaarlijke programmeertalen te verbieden. </w:t>
      </w:r>
    </w:p>
    <w:p>
      <w:pPr>
        <w:pStyle w:val="P68B1DB1Normal118"/>
        <w:widowControl w:val="false"/>
        <w:spacing w:lineRule="auto" w:line="240" w:before="87" w:after="0"/>
        <w:ind w:left="0" w:right="0" w:hanging="0"/>
        <w:jc w:val="left"/>
        <w:rPr>
          <w:rFonts w:ascii="Calibri" w:hAnsi="Calibri"/>
          <w:i/>
          <w:i/>
          <w:color w:val="000000"/>
          <w:sz w:val="21"/>
        </w:rPr>
      </w:pPr>
      <w:r>
        <w:rPr/>
        <w:t xml:space="preserve">Stel een gratis Europese antivirussoftware voor om een Europese firewall te creëren. </w:t>
      </w:r>
    </w:p>
    <w:p>
      <w:pPr>
        <w:pStyle w:val="P68B1DB1Normal118"/>
        <w:widowControl w:val="false"/>
        <w:spacing w:lineRule="auto" w:line="240" w:before="85" w:after="0"/>
        <w:ind w:left="0" w:right="42" w:hanging="0"/>
        <w:jc w:val="left"/>
        <w:rPr/>
      </w:pPr>
      <w:r>
        <w:rPr/>
        <w:t xml:space="preserve">Wanneer ik de grens naar Duitsland oversteek, heb ik ineens geen netwerk meer op mijn mobiele telefoon. Het zou niet meer moeten gebeuren, toch? </w:t>
      </w:r>
    </w:p>
    <w:p>
      <w:pPr>
        <w:pStyle w:val="P68B1DB1Normal118"/>
        <w:widowControl w:val="false"/>
        <w:spacing w:lineRule="auto" w:line="240" w:before="85" w:after="0"/>
        <w:ind w:left="0" w:right="959" w:hanging="0"/>
        <w:jc w:val="left"/>
        <w:rPr/>
      </w:pPr>
      <w:r>
        <w:rPr/>
        <w:t xml:space="preserve">Met onze iPhones kunnen we al onze reizen volgen. We hebben ook onze verantwoordelijkheid. </w:t>
      </w:r>
    </w:p>
    <w:p>
      <w:pPr>
        <w:pStyle w:val="P68B1DB1Normal118"/>
        <w:widowControl w:val="false"/>
        <w:spacing w:lineRule="auto" w:line="240" w:before="83" w:after="0"/>
        <w:ind w:left="0" w:right="0" w:hanging="0"/>
        <w:jc w:val="left"/>
        <w:rPr/>
      </w:pPr>
      <w:r>
        <w:rPr/>
        <w:t xml:space="preserve">Het is niet handig om in elk land een ander type privacyformulier in te vullen. </w:t>
      </w:r>
    </w:p>
    <w:p>
      <w:pPr>
        <w:pStyle w:val="P68B1DB1Normal118"/>
        <w:widowControl w:val="false"/>
        <w:spacing w:lineRule="auto" w:line="240" w:before="87" w:after="0"/>
        <w:ind w:left="0" w:right="0" w:hanging="0"/>
        <w:jc w:val="left"/>
        <w:rPr>
          <w:rFonts w:ascii="Calibri" w:hAnsi="Calibri"/>
          <w:i/>
          <w:i/>
          <w:color w:val="000000"/>
          <w:sz w:val="21"/>
        </w:rPr>
      </w:pPr>
      <w:r>
        <w:rPr/>
        <w:t xml:space="preserve">IDEE: We moeten een Europese cyberpolitie oprichten. Dat is duidelijk iets voor de EU. </w:t>
      </w:r>
    </w:p>
    <w:p>
      <w:pPr>
        <w:pStyle w:val="P68B1DB1Normal111"/>
        <w:widowControl w:val="false"/>
        <w:spacing w:lineRule="auto" w:line="240" w:before="84" w:after="0"/>
        <w:ind w:left="0" w:right="823" w:hanging="0"/>
        <w:jc w:val="left"/>
        <w:rPr/>
      </w:pPr>
      <w:r>
        <w:rPr/>
        <w:t xml:space="preserve">Deelnemers aan de online dialoog: Overal goede internettoegang hebben is ook in ons eigen belang. </w:t>
      </w:r>
    </w:p>
    <w:p>
      <w:pPr>
        <w:pStyle w:val="P68B1DB1Normal104"/>
        <w:widowControl w:val="false"/>
        <w:spacing w:lineRule="auto" w:line="240" w:before="97" w:after="0"/>
        <w:ind w:left="0" w:right="236" w:hanging="0"/>
        <w:jc w:val="left"/>
        <w:rPr/>
      </w:pPr>
      <w:r>
        <w:rPr/>
        <w:t xml:space="preserve">Tijdens een van de thematische dialogen op internet ontstond een interessant debat over de rol van de EU in de virtuele wereld. Alle deelnemers waren het erover eens dat het goed en belangrijk was om in heel Europa een goede internetverbinding te hebben. Maar is het aan de EU om ermee om te gaan? Verscheidene deelnemers gaven aan dat dit in de eerste plaats een taak is voor de afzonderlijke lidstaten. Een andere deelnemer benadrukte dat een stabiel en kwalitatief internet in het buitenland ook een troef is voor Nederland: We verdienen miljarden dollars aan handel met andere EU-landen. Daarom is het in ons belang dat deze landen goed functioneren. </w:t>
      </w:r>
    </w:p>
    <w:p>
      <w:pPr>
        <w:pStyle w:val="P68B1DB1Normal111"/>
        <w:widowControl w:val="false"/>
        <w:spacing w:lineRule="auto" w:line="240" w:before="40" w:after="0"/>
        <w:ind w:left="0" w:right="0" w:hanging="0"/>
        <w:jc w:val="left"/>
        <w:rPr>
          <w:rFonts w:ascii="Calibri" w:hAnsi="Calibri"/>
          <w:b/>
          <w:b/>
          <w:color w:val="000000"/>
          <w:sz w:val="22"/>
        </w:rPr>
      </w:pPr>
      <w:r>
        <w:rPr/>
        <w:t xml:space="preserve">Studenten in Helmond: Identieke regels en sancties voor cybercriminelen </w:t>
      </w:r>
    </w:p>
    <w:p>
      <w:pPr>
        <w:pStyle w:val="Normal"/>
        <w:widowControl w:val="false"/>
        <w:spacing w:lineRule="auto" w:line="240" w:before="95" w:after="0"/>
        <w:ind w:left="0" w:right="32" w:hanging="0"/>
        <w:jc w:val="left"/>
        <w:rPr/>
      </w:pPr>
      <w:r>
        <w:rPr>
          <w:rFonts w:ascii="Calibri" w:hAnsi="Calibri"/>
          <w:color w:val="000000"/>
          <w:sz w:val="21"/>
        </w:rPr>
        <w:t xml:space="preserve">Aan het Dr. Knippenberg College in Helmond bespraken studenten van 15 en 16 jaar het probleem van internetcriminaliteit. Ze horen het nieuws regelmatig. Bijvoorbeeld wanneer er sprake is van een datalek in een bedrijf. Of als een land als Rusland of China data probeert te stelen. Omdat cybercriminelen vaak grensoverschrijdend werken, vinden ze het logisch dat Europese landen samenwerken. In dit verband houden zij rekening met de ontwikkeling van regels, maar ook met de definitie van sancties. Als Russische cyberpiraten proberen in te breken in onze huizen, moet de EU krachtige maatregelen nemen om ze te voorkomen. </w:t>
      </w:r>
      <w:r>
        <w:br w:type="page"/>
      </w:r>
    </w:p>
    <w:p>
      <w:pPr>
        <w:pStyle w:val="P68B1DB1Normal117"/>
        <w:spacing w:lineRule="auto" w:line="240"/>
        <w:ind w:left="0" w:right="0" w:hanging="0"/>
        <w:rPr>
          <w:rFonts w:ascii="Calibri" w:hAnsi="Calibri"/>
          <w:b/>
          <w:b/>
          <w:i/>
          <w:i/>
          <w:color w:val="000000"/>
          <w:sz w:val="28"/>
        </w:rPr>
      </w:pPr>
      <w:r>
        <w:rPr/>
        <w:t xml:space="preserve">Onderwijs, cultuur, jeugd en sport </w:t>
      </w:r>
    </w:p>
    <w:p>
      <w:pPr>
        <w:pStyle w:val="P68B1DB1Normal104"/>
        <w:widowControl w:val="false"/>
        <w:spacing w:lineRule="auto" w:line="240" w:before="93" w:after="0"/>
        <w:ind w:left="0" w:right="0" w:hanging="0"/>
        <w:jc w:val="left"/>
        <w:rPr/>
      </w:pPr>
      <w:r>
        <w:rPr/>
        <w:t xml:space="preserve">De EU-landen zijn rechtstreeks verantwoordelijk voor onderwijs, cultuur, jeugd en sport. De EU kan en wil hen hierbij helpen, bijvoorbeeld door kwaliteitsonderwijs, meertaligheid, de bescherming van cultureel erfgoed en steun voor de culturele en sportsector te bevorderen. Wat is de visie van Nederland hierop? </w:t>
      </w:r>
    </w:p>
    <w:p>
      <w:pPr>
        <w:pStyle w:val="P68B1DB1Normal108"/>
        <w:widowControl w:val="false"/>
        <w:spacing w:lineRule="auto" w:line="240" w:before="90" w:after="0"/>
        <w:ind w:left="0" w:right="0" w:hanging="0"/>
        <w:jc w:val="left"/>
        <w:rPr>
          <w:rFonts w:ascii="Calibri" w:hAnsi="Calibri"/>
          <w:b/>
          <w:b/>
          <w:i/>
          <w:i/>
          <w:color w:val="000000"/>
          <w:sz w:val="24"/>
        </w:rPr>
      </w:pPr>
      <w:r>
        <w:rPr/>
        <w:t xml:space="preserve">Aanbevelingen — Onze visie op onderwijs, cultuur, jeugd en sport </w:t>
      </w:r>
    </w:p>
    <w:p>
      <w:pPr>
        <w:pStyle w:val="P68B1DB1Normal69"/>
        <w:widowControl w:val="false"/>
        <w:spacing w:lineRule="auto" w:line="240" w:before="123" w:after="0"/>
        <w:ind w:left="0" w:right="0" w:hanging="0"/>
        <w:jc w:val="left"/>
        <w:rPr/>
      </w:pPr>
      <w:r>
        <w:rPr/>
        <w:t xml:space="preserve">45 % van de Nederlanders vindt dat onderwijs een belangrijk onderwerp is en dat de EU op dit gebied moet ingrijpen. Voor jongeren, cultuur en sport bedraagt dit cijfer respectievelijk 39 %, 23 % en 19 %. </w:t>
      </w:r>
    </w:p>
    <w:p>
      <w:pPr>
        <w:pStyle w:val="P68B1DB1Normal69"/>
        <w:widowControl w:val="false"/>
        <w:spacing w:lineRule="auto" w:line="240"/>
        <w:ind w:left="0" w:right="0" w:hanging="0"/>
        <w:jc w:val="left"/>
        <w:rPr>
          <w:rFonts w:ascii="Calibri" w:hAnsi="Calibri"/>
          <w:b/>
          <w:b/>
          <w:color w:val="000000"/>
          <w:sz w:val="20"/>
        </w:rPr>
      </w:pPr>
      <w:r>
        <w:rPr/>
        <w:t xml:space="preserve"> </w:t>
      </w:r>
    </w:p>
    <w:p>
      <w:pPr>
        <w:pStyle w:val="P68B1DB1Normal111"/>
        <w:widowControl w:val="false"/>
        <w:spacing w:lineRule="auto" w:line="240" w:before="28" w:after="0"/>
        <w:ind w:left="0" w:right="0" w:hanging="0"/>
        <w:jc w:val="left"/>
        <w:rPr>
          <w:rFonts w:ascii="Calibri" w:hAnsi="Calibri"/>
          <w:b/>
          <w:b/>
          <w:color w:val="000000"/>
          <w:sz w:val="22"/>
        </w:rPr>
      </w:pPr>
      <w:r>
        <w:rPr/>
        <w:t xml:space="preserve">1. Studenten aanmoedigen om intelligent in het buitenland te studeren </w:t>
      </w:r>
    </w:p>
    <w:p>
      <w:pPr>
        <w:pStyle w:val="P68B1DB1Normal104"/>
        <w:widowControl w:val="false"/>
        <w:spacing w:lineRule="auto" w:line="240"/>
        <w:ind w:left="0" w:right="0" w:hanging="0"/>
        <w:jc w:val="left"/>
        <w:rPr/>
      </w:pPr>
      <w:r>
        <w:rPr/>
        <w:t xml:space="preserve">Veel Nederlanders geloven dat studeren in het buitenland een positieve impact heeft op jongeren. Dit draagt bij aan persoonlijke ontwikkeling. Daarnaast kan studeren in het buitenland de Europeanen helpen elkaar beter te begrijpen. Het kan ook bijdragen aan een betere integratie. Veel Nederlanders vinden het dan ook positief dat er een Erasmus-programma is dat studie in het buitenland stimuleert. Maar wij zijn van mening dat de EU deze kwestie ook kritisch moet blijven aanpakken. In de praktijk lijkt het bijvoorbeeld dat internationale studenten meestal bij elkaar blijven en niet altijd veel leren over het land waarin ze zich bevinden. De EU moet ook voorkomen dat landen met een lager kennisniveau „leeg” worden omdat alle talenten in het buitenland zullen studeren. </w:t>
      </w:r>
    </w:p>
    <w:p>
      <w:pPr>
        <w:pStyle w:val="P68B1DB1Normal113"/>
        <w:widowControl w:val="false"/>
        <w:spacing w:lineRule="auto" w:line="240" w:before="167" w:after="0"/>
        <w:ind w:left="0" w:right="0" w:hanging="0"/>
        <w:jc w:val="center"/>
        <w:rPr/>
      </w:pPr>
      <w:r>
        <w:rPr/>
        <w:t>„</w:t>
      </w:r>
      <w:r>
        <w:rPr/>
        <w:t xml:space="preserve">De ontwikkeling van uitwisselingsprogramma’s op het niveau van het secundair beroepsonderwijs.” </w:t>
      </w:r>
    </w:p>
    <w:p>
      <w:pPr>
        <w:pStyle w:val="Normal"/>
        <w:widowControl w:val="false"/>
        <w:spacing w:lineRule="auto" w:line="240" w:before="136" w:after="0"/>
        <w:ind w:left="0" w:right="0" w:hanging="0"/>
        <w:jc w:val="left"/>
        <w:rPr/>
      </w:pPr>
      <w:r>
        <w:rPr>
          <w:rFonts w:ascii="Calibri" w:hAnsi="Calibri"/>
          <w:b/>
          <w:color w:val="000000"/>
        </w:rPr>
        <w:t>2. De lidstaten in staat stellen zich te concentreren op onderwerpen als cultuur en sport</w:t>
      </w:r>
      <w:r>
        <w:rPr>
          <w:rFonts w:ascii="Cambria" w:hAnsi="Cambria"/>
          <w:color w:val="243F60"/>
          <w:sz w:val="24"/>
        </w:rPr>
        <w:t xml:space="preserve"> </w:t>
      </w:r>
    </w:p>
    <w:p>
      <w:pPr>
        <w:pStyle w:val="P68B1DB1Normal104"/>
        <w:widowControl w:val="false"/>
        <w:spacing w:lineRule="auto" w:line="240"/>
        <w:ind w:left="0" w:right="0" w:hanging="0"/>
        <w:jc w:val="left"/>
        <w:rPr/>
      </w:pPr>
      <w:r>
        <w:rPr/>
        <w:t xml:space="preserve">58 % van de Nederlanders vindt dat de EU het cultureel erfgoed in Europa beter moet beschermen. We denken bijvoorbeeld aan tempels in Griekenland. Aan de andere kant zien we dat de lokale cultuur in de eerste plaats de verantwoordelijkheid van de landen zelf is. Hetzelfde geldt bijvoorbeeld voor misbruik in de sport. Wij beschouwen dit als een belangrijk onderwerp, maar niet als een hoofdmissie van de EU. Europa moet noodzakelijkerwijs prioriteiten stellen en er zijn aanzienlijke financiële middelen nodig voor andere kwesties. We kunnen soms een financiële bijdrage leveren, maar soms kunnen we ook op andere manieren samenwerken, bijvoorbeeld door kennis en ideeën uit te wisselen. </w:t>
      </w:r>
    </w:p>
    <w:p>
      <w:pPr>
        <w:pStyle w:val="P68B1DB1Normal113"/>
        <w:widowControl w:val="false"/>
        <w:spacing w:lineRule="auto" w:line="240" w:before="167" w:after="0"/>
        <w:ind w:left="0" w:right="0" w:hanging="0"/>
        <w:jc w:val="center"/>
        <w:rPr/>
      </w:pPr>
      <w:r>
        <w:rPr/>
        <w:t xml:space="preserve">De bescherming van cultuur ligt bij de landen zelf. Maar als het werelderfgoed wordt verwaarloosd, dan denk ik dat de EU moet ingrijpen. </w:t>
      </w:r>
    </w:p>
    <w:p>
      <w:pPr>
        <w:pStyle w:val="P68B1DB1Normal111"/>
        <w:widowControl w:val="false"/>
        <w:spacing w:lineRule="auto" w:line="240" w:before="136" w:after="0"/>
        <w:ind w:left="0" w:right="0" w:hanging="0"/>
        <w:jc w:val="left"/>
        <w:rPr>
          <w:rFonts w:ascii="Calibri" w:hAnsi="Calibri"/>
          <w:b/>
          <w:b/>
          <w:color w:val="000000"/>
          <w:sz w:val="22"/>
        </w:rPr>
      </w:pPr>
      <w:r>
        <w:rPr/>
        <w:t xml:space="preserve">3. Ervoor zorgen dat Europeanen elkaar beter leren kennen en elkaar respecteren </w:t>
      </w:r>
    </w:p>
    <w:p>
      <w:pPr>
        <w:pStyle w:val="P68B1DB1Normal104"/>
        <w:widowControl w:val="false"/>
        <w:spacing w:lineRule="auto" w:line="240"/>
        <w:ind w:left="0" w:right="0" w:hanging="0"/>
        <w:jc w:val="left"/>
        <w:rPr/>
      </w:pPr>
      <w:r>
        <w:rPr/>
        <w:t xml:space="preserve">Nederlanders waarderen het als andere Europeanen goed Engels spreken. Het vereenvoudigt dingen als we in het buitenland zijn. En wanneer we bijvoorbeeld willen communiceren met migrerende werknemers in Nederland. Tegelijkertijd vinden veel Nederlanders het erg belangrijk dat we onze eigen taal blijven spreken en waarderen. Daarom willen we ook dat andere verschillen binnen Europa gerespecteerd worden. Of het nu cultuur, onderwijs of sport is, iedereen moet zich vrij voelen en zichzelf kunnen zijn. Verschillen kunnen soms spanningen veroorzaken, maar ze maken ook het Europese continent rijk. Veel Nederlanders vinden dat landen tijd moeten krijgen om vertrouwd te raken met hun respectieve gewoonten en ideeën. </w:t>
      </w:r>
    </w:p>
    <w:p>
      <w:pPr>
        <w:pStyle w:val="P68B1DB1Normal113"/>
        <w:widowControl w:val="false"/>
        <w:spacing w:lineRule="auto" w:line="240" w:before="167" w:after="0"/>
        <w:ind w:left="0" w:right="0" w:hanging="0"/>
        <w:jc w:val="center"/>
        <w:rPr/>
      </w:pPr>
      <w:r>
        <w:rPr/>
        <w:t xml:space="preserve">Voor mij is de EU als een groep vrienden. We respecteren onze verschillen en ik kan om hulp vragen als ik ze nodig heb. </w:t>
      </w:r>
    </w:p>
    <w:p>
      <w:pPr>
        <w:pStyle w:val="P68B1DB1Normal108"/>
        <w:widowControl w:val="false"/>
        <w:spacing w:lineRule="auto" w:line="240" w:before="135" w:after="0"/>
        <w:ind w:left="0" w:right="0" w:hanging="0"/>
        <w:jc w:val="left"/>
        <w:rPr>
          <w:rFonts w:ascii="Calibri" w:hAnsi="Calibri"/>
          <w:b/>
          <w:b/>
          <w:i/>
          <w:i/>
          <w:color w:val="000000"/>
          <w:sz w:val="24"/>
        </w:rPr>
      </w:pPr>
      <w:r>
        <w:rPr/>
        <w:t xml:space="preserve">Online en on-site discussies en ideeën </w:t>
      </w:r>
    </w:p>
    <w:p>
      <w:pPr>
        <w:pStyle w:val="P68B1DB1Normal118"/>
        <w:widowControl w:val="false"/>
        <w:spacing w:lineRule="auto" w:line="240" w:before="120" w:after="0"/>
        <w:ind w:left="0" w:right="0" w:hanging="0"/>
        <w:jc w:val="left"/>
        <w:rPr/>
      </w:pPr>
      <w:r>
        <w:rPr/>
        <w:t xml:space="preserve">IDEE: Naast het lokale curriculum moet op alle onderwijsniveaus een gemeenschappelijk Europees curriculum worden ingevoerd. </w:t>
      </w:r>
    </w:p>
    <w:p>
      <w:pPr>
        <w:pStyle w:val="P68B1DB1Normal118"/>
        <w:widowControl w:val="false"/>
        <w:spacing w:lineRule="auto" w:line="240" w:before="254" w:after="0"/>
        <w:ind w:left="0" w:right="0" w:hanging="0"/>
        <w:jc w:val="left"/>
        <w:rPr>
          <w:rFonts w:ascii="Calibri" w:hAnsi="Calibri"/>
          <w:i/>
          <w:i/>
          <w:color w:val="000000"/>
          <w:sz w:val="21"/>
        </w:rPr>
      </w:pPr>
      <w:r>
        <w:rPr/>
        <w:t xml:space="preserve">IDEE: Naast een cultuurhoofdstad moet je ook elk jaar een hoofdstad (of land) kiezen op het gebied van onderwijs, jeugd en sport. </w:t>
      </w:r>
    </w:p>
    <w:p>
      <w:pPr>
        <w:pStyle w:val="P68B1DB1Normal118"/>
        <w:widowControl w:val="false"/>
        <w:spacing w:lineRule="auto" w:line="240" w:before="85" w:after="0"/>
        <w:ind w:left="0" w:right="0" w:hanging="0"/>
        <w:jc w:val="left"/>
        <w:rPr/>
      </w:pPr>
      <w:r>
        <w:rPr/>
        <w:t xml:space="preserve">Wat ons in de EU verenigt, is juist het feit dat we allemaal onze eigen nationale cultuur hebben. En daarom niet kunnen worden verzameld onder de vlag van een enkele cultuur. </w:t>
      </w:r>
    </w:p>
    <w:p>
      <w:pPr>
        <w:pStyle w:val="P68B1DB1Normal118"/>
        <w:widowControl w:val="false"/>
        <w:spacing w:lineRule="auto" w:line="240" w:before="87" w:after="0"/>
        <w:ind w:left="0" w:right="0" w:hanging="0"/>
        <w:jc w:val="left"/>
        <w:rPr>
          <w:rFonts w:ascii="Calibri" w:hAnsi="Calibri"/>
          <w:i/>
          <w:i/>
          <w:color w:val="000000"/>
          <w:sz w:val="21"/>
        </w:rPr>
      </w:pPr>
      <w:r>
        <w:rPr/>
        <w:t xml:space="preserve">In plaats van de negatieve dingen te benadrukken, is het beter om de sport te promoten. </w:t>
      </w:r>
    </w:p>
    <w:p>
      <w:pPr>
        <w:pStyle w:val="P68B1DB1Normal118"/>
        <w:widowControl w:val="false"/>
        <w:spacing w:lineRule="auto" w:line="240" w:before="85" w:after="0"/>
        <w:ind w:left="0" w:right="0" w:hanging="0"/>
        <w:jc w:val="left"/>
        <w:rPr/>
      </w:pPr>
      <w:r>
        <w:rPr/>
        <w:t xml:space="preserve">Ik ben hier geïntegreerd, ik betaal belastingen, maar ik ben en blijf Latijns-Amerikaans. Ik hou van mijn tong, mijn muziek en mijn eten. Het gaat niet om Europa. </w:t>
      </w:r>
    </w:p>
    <w:p>
      <w:pPr>
        <w:pStyle w:val="P68B1DB1Normal118"/>
        <w:widowControl w:val="false"/>
        <w:spacing w:lineRule="auto" w:line="240" w:before="87" w:after="0"/>
        <w:ind w:left="0" w:right="0" w:hanging="0"/>
        <w:jc w:val="left"/>
        <w:rPr>
          <w:rFonts w:ascii="Calibri" w:hAnsi="Calibri"/>
          <w:i/>
          <w:i/>
          <w:color w:val="000000"/>
          <w:sz w:val="21"/>
        </w:rPr>
      </w:pPr>
      <w:r>
        <w:rPr/>
        <w:t xml:space="preserve">We praten te veel over de economie in Europa. En te weinig welzijn. </w:t>
      </w:r>
    </w:p>
    <w:p>
      <w:pPr>
        <w:pStyle w:val="P68B1DB1Normal111"/>
        <w:widowControl w:val="false"/>
        <w:spacing w:lineRule="auto" w:line="240" w:before="84" w:after="0"/>
        <w:ind w:left="0" w:right="0" w:hanging="0"/>
        <w:jc w:val="left"/>
        <w:rPr>
          <w:rFonts w:ascii="Calibri" w:hAnsi="Calibri"/>
          <w:b/>
          <w:b/>
          <w:color w:val="000000"/>
          <w:sz w:val="22"/>
        </w:rPr>
      </w:pPr>
      <w:r>
        <w:rPr/>
        <w:t xml:space="preserve">Studenten van de Universiteit Leiden: Taal is belangrijk, maar het moet een vrije keuze blijven </w:t>
      </w:r>
    </w:p>
    <w:p>
      <w:pPr>
        <w:pStyle w:val="P68B1DB1Normal104"/>
        <w:widowControl w:val="false"/>
        <w:spacing w:lineRule="auto" w:line="240" w:before="100" w:after="0"/>
        <w:ind w:left="0" w:right="0" w:hanging="0"/>
        <w:jc w:val="left"/>
        <w:rPr/>
      </w:pPr>
      <w:r>
        <w:rPr/>
        <w:t xml:space="preserve">Aan de Universiteit Leiden spraken geschiedenisstudenten met elkaar. Ze vinden het belangrijk dat mensen meerdere talen spreken. Zij zijn van mening dat het beheersen van verschillende talen geweldig is voor haar persoonlijke ontwikkeling en goed is voor de handels- en politieke betrekkingen binnen de EU. Zij zijn echter van mening dat talen op school moeten worden aangeboden en niet verplicht moeten worden gesteld. Zij geloven ook dat een tweede taal niet noodzakelijkerwijs een Europese taal hoeft te zijn. „Als je in Oost-Europa woont en ervoor kiest om Russisch te leren, dan is dat jouw recht,” zei een van de deelnemers. </w:t>
      </w:r>
    </w:p>
    <w:p>
      <w:pPr>
        <w:pStyle w:val="P68B1DB1Normal110"/>
        <w:widowControl w:val="false"/>
        <w:spacing w:lineRule="auto" w:line="240" w:before="223" w:after="0"/>
        <w:ind w:left="0" w:right="0" w:hanging="0"/>
        <w:jc w:val="left"/>
        <w:rPr/>
      </w:pPr>
      <w:r>
        <w:rPr>
          <w:b/>
        </w:rPr>
        <w:t xml:space="preserve">Turkse Gemeenschap Schiedam: </w:t>
      </w:r>
      <w:r>
        <w:rPr>
          <w:sz w:val="21"/>
        </w:rPr>
        <w:t xml:space="preserve">Op de Hakder Foundation in Schiedam besprak de lokale Turkse gemeenschap het belang van eerlijke werkgelegenheid voor iedereen. Alle deelnemers waren het erover eens dat de EU bedrijven zou moeten verplichten stages of banen aan te bieden aan jongeren met beperkte perspectieven. Zij gaven aan dat met name jonge migranten het moeilijk vinden om een stage of een baan te vinden. Soms durven ze niet eens naar de huisarts omdat ze bang zijn om zelf het bezoek te moeten betalen. Om nog maar te zwijgen van het durven solliciteren voor een stage of een baan," zei een van de deelnemers. „Bedrijven moeten meer aandacht krijgen en de EU kan hen aanmoedigen om dit te doen.” </w:t>
      </w:r>
    </w:p>
    <w:p>
      <w:pPr>
        <w:pStyle w:val="Normal"/>
        <w:spacing w:lineRule="auto" w:line="240"/>
        <w:ind w:left="0" w:right="0" w:hanging="0"/>
        <w:rPr/>
      </w:pPr>
      <w:r>
        <w:rPr/>
      </w:r>
    </w:p>
    <w:p>
      <w:pPr>
        <w:pStyle w:val="Normal"/>
        <w:spacing w:lineRule="auto" w:line="240"/>
        <w:ind w:left="0" w:right="0" w:hanging="0"/>
        <w:rPr/>
      </w:pPr>
      <w:r>
        <w:rPr/>
      </w:r>
      <w:r>
        <w:br w:type="page"/>
      </w:r>
    </w:p>
    <w:p>
      <w:pPr>
        <w:pStyle w:val="P68B1DB1Normal18"/>
        <w:spacing w:lineRule="auto" w:line="240"/>
        <w:ind w:left="0" w:right="0" w:hanging="0"/>
        <w:rPr/>
      </w:pPr>
      <w:r>
        <w:rPr>
          <w:b/>
          <w:i/>
          <w:color w:val="000000"/>
        </w:rPr>
        <w:t>Beschrijving van de in de enquête gebruikte methodologie</w:t>
      </w:r>
      <w:r>
        <w:rPr>
          <w:color w:val="365F91"/>
        </w:rPr>
        <w:t xml:space="preserve"> </w:t>
      </w:r>
    </w:p>
    <w:p>
      <w:pPr>
        <w:pStyle w:val="P68B1DB1Normal104"/>
        <w:widowControl w:val="false"/>
        <w:spacing w:lineRule="auto" w:line="240" w:before="137" w:after="0"/>
        <w:ind w:left="0" w:right="0" w:hanging="0"/>
        <w:jc w:val="left"/>
        <w:rPr/>
      </w:pPr>
      <w:r>
        <w:rPr/>
        <w:t xml:space="preserve">De enquête „Vision of Europe” bestaat uit verschillende vormen van gerelateerde dialoog om de standpunten en ideeën van Nederlandse burgers over de toekomst van Europa en de EU te verzamelen. Dit hoofdstuk beschrijft de methode die wordt gebruikt om ervoor te zorgen dat de desbetreffende vormen van dialoog in overeenstemming zijn met de richtsnoeren voor nationale burgerpanels in het kader van de conferentie over de toekomst van Europa. </w:t>
      </w:r>
    </w:p>
    <w:p>
      <w:pPr>
        <w:pStyle w:val="P68B1DB1Normal110"/>
        <w:widowControl w:val="false"/>
        <w:spacing w:lineRule="auto" w:line="240" w:before="236" w:after="0"/>
        <w:ind w:left="0" w:right="0" w:hanging="0"/>
        <w:jc w:val="both"/>
        <w:rPr/>
      </w:pPr>
      <w:r>
        <w:rPr>
          <w:b/>
          <w:i/>
          <w:sz w:val="24"/>
        </w:rPr>
        <w:t xml:space="preserve">Ontwerp van verwante vormen van dialoog </w:t>
      </w:r>
      <w:r>
        <w:rPr>
          <w:sz w:val="21"/>
        </w:rPr>
        <w:t xml:space="preserve">De volgende vormen van dialoog worden gebruikt: </w:t>
      </w:r>
    </w:p>
    <w:p>
      <w:pPr>
        <w:pStyle w:val="P68B1DB1Normal119"/>
        <w:widowControl w:val="false"/>
        <w:spacing w:lineRule="auto" w:line="240" w:before="236" w:after="0"/>
        <w:ind w:left="0" w:right="0" w:hanging="0"/>
        <w:jc w:val="both"/>
        <w:rPr/>
      </w:pPr>
      <w:r>
        <w:rPr>
          <w:rFonts w:ascii="Calibri" w:hAnsi="Calibri"/>
        </w:rPr>
        <w:t>4.</w:t>
      </w:r>
      <w:r>
        <w:rPr/>
        <w:t xml:space="preserve"> </w:t>
      </w:r>
      <w:r>
        <w:rPr>
          <w:rFonts w:ascii="Calibri" w:hAnsi="Calibri"/>
        </w:rPr>
        <w:t>Enquête van een panel</w:t>
      </w:r>
    </w:p>
    <w:p>
      <w:pPr>
        <w:pStyle w:val="P68B1DB1Normal104"/>
        <w:widowControl w:val="false"/>
        <w:spacing w:lineRule="auto" w:line="240"/>
        <w:ind w:left="0" w:right="0" w:hanging="0"/>
        <w:jc w:val="left"/>
        <w:rPr>
          <w:rFonts w:ascii="Calibri" w:hAnsi="Calibri"/>
          <w:color w:val="000000"/>
          <w:sz w:val="21"/>
        </w:rPr>
      </w:pPr>
      <w:r>
        <w:rPr/>
        <w:t xml:space="preserve">Onderzoek van een representatieve steekproef van de Nederlandse bevolking. </w:t>
      </w:r>
    </w:p>
    <w:p>
      <w:pPr>
        <w:pStyle w:val="P68B1DB1Normal119"/>
        <w:widowControl w:val="false"/>
        <w:spacing w:lineRule="auto" w:line="240"/>
        <w:ind w:left="0" w:right="0" w:hanging="0"/>
        <w:jc w:val="left"/>
        <w:rPr/>
      </w:pPr>
      <w:r>
        <w:rPr>
          <w:rFonts w:ascii="Calibri" w:hAnsi="Calibri"/>
        </w:rPr>
        <w:t>5.</w:t>
      </w:r>
      <w:r>
        <w:rPr/>
        <w:t xml:space="preserve"> </w:t>
      </w:r>
      <w:r>
        <w:rPr>
          <w:rFonts w:ascii="Calibri" w:hAnsi="Calibri"/>
        </w:rPr>
        <w:t>Online thematische dialogen voor verdieping</w:t>
      </w:r>
    </w:p>
    <w:p>
      <w:pPr>
        <w:pStyle w:val="P68B1DB1Normal104"/>
        <w:widowControl w:val="false"/>
        <w:spacing w:lineRule="auto" w:line="240"/>
        <w:ind w:left="0" w:right="0" w:hanging="0"/>
        <w:jc w:val="left"/>
        <w:rPr/>
      </w:pPr>
      <w:r>
        <w:rPr/>
        <w:t xml:space="preserve">Dialogen worden telkens georganiseerd met een groep Nederlanders met als doel de conclusies van het eerste tussentijdse verslag „Onze visie voor Europa” (8 oktober 2021) te verdiepen met een eerste overzicht van de resultaten en aanvullende vragen. </w:t>
      </w:r>
    </w:p>
    <w:p>
      <w:pPr>
        <w:pStyle w:val="P68B1DB1Normal119"/>
        <w:widowControl w:val="false"/>
        <w:spacing w:lineRule="auto" w:line="240"/>
        <w:ind w:left="0" w:right="0" w:hanging="0"/>
        <w:jc w:val="left"/>
        <w:rPr/>
      </w:pPr>
      <w:r>
        <w:rPr>
          <w:rFonts w:ascii="Calibri" w:hAnsi="Calibri"/>
        </w:rPr>
        <w:t>6.</w:t>
      </w:r>
      <w:r>
        <w:rPr/>
        <w:t xml:space="preserve"> </w:t>
      </w:r>
      <w:r>
        <w:rPr>
          <w:rFonts w:ascii="Calibri" w:hAnsi="Calibri"/>
        </w:rPr>
        <w:t>Dialogen met specifieke groepen</w:t>
      </w:r>
    </w:p>
    <w:p>
      <w:pPr>
        <w:pStyle w:val="P68B1DB1Normal104"/>
        <w:widowControl w:val="false"/>
        <w:spacing w:lineRule="auto" w:line="240"/>
        <w:ind w:left="0" w:right="0" w:hanging="0"/>
        <w:jc w:val="left"/>
        <w:rPr>
          <w:rFonts w:ascii="Calibri" w:hAnsi="Calibri"/>
          <w:color w:val="000000"/>
          <w:sz w:val="21"/>
        </w:rPr>
      </w:pPr>
      <w:r>
        <w:rPr/>
        <w:t xml:space="preserve">Bijeenkomsten met Nederlanders die niet gewend zijn om deel te nemen aan enquêtes en panels (online). </w:t>
      </w:r>
    </w:p>
    <w:p>
      <w:pPr>
        <w:pStyle w:val="P68B1DB1Normal119"/>
        <w:widowControl w:val="false"/>
        <w:spacing w:lineRule="auto" w:line="240"/>
        <w:ind w:left="0" w:right="0" w:hanging="0"/>
        <w:jc w:val="left"/>
        <w:rPr/>
      </w:pPr>
      <w:r>
        <w:rPr>
          <w:rFonts w:ascii="Calibri" w:hAnsi="Calibri"/>
        </w:rPr>
        <w:t>7.</w:t>
      </w:r>
      <w:r>
        <w:rPr/>
        <w:t xml:space="preserve"> </w:t>
      </w:r>
      <w:r>
        <w:rPr>
          <w:rFonts w:ascii="Calibri" w:hAnsi="Calibri"/>
        </w:rPr>
        <w:t>Dialogen met jongeren</w:t>
      </w:r>
    </w:p>
    <w:p>
      <w:pPr>
        <w:pStyle w:val="P68B1DB1Normal104"/>
        <w:widowControl w:val="false"/>
        <w:spacing w:lineRule="auto" w:line="240"/>
        <w:ind w:left="0" w:right="0" w:hanging="0"/>
        <w:jc w:val="left"/>
        <w:rPr>
          <w:rFonts w:ascii="Calibri" w:hAnsi="Calibri"/>
          <w:color w:val="000000"/>
          <w:sz w:val="21"/>
        </w:rPr>
      </w:pPr>
      <w:r>
        <w:rPr/>
        <w:t xml:space="preserve">Bijeenkomsten over de meest relevante Europese thema’s voor jongeren. </w:t>
      </w:r>
    </w:p>
    <w:p>
      <w:pPr>
        <w:pStyle w:val="Normal"/>
        <w:widowControl w:val="false"/>
        <w:spacing w:lineRule="auto" w:line="240"/>
        <w:ind w:left="0" w:right="0" w:hanging="0"/>
        <w:jc w:val="left"/>
        <w:rPr/>
      </w:pPr>
      <w:r>
        <w:rPr>
          <w:rFonts w:ascii="Calibri" w:hAnsi="Calibri"/>
          <w:b/>
          <w:color w:val="000000"/>
          <w:sz w:val="21"/>
        </w:rPr>
        <w:t>8.</w:t>
      </w:r>
      <w:r>
        <w:rPr>
          <w:b/>
          <w:color w:val="000000"/>
          <w:sz w:val="21"/>
        </w:rPr>
        <w:t xml:space="preserve"> </w:t>
      </w:r>
      <w:r>
        <w:rPr>
          <w:rFonts w:ascii="Calibri" w:hAnsi="Calibri"/>
          <w:b/>
          <w:color w:val="000000"/>
          <w:sz w:val="21"/>
        </w:rPr>
        <w:t>Online openbare enquête: Vragenlijst en „Swipen naar de toekomst” (</w:t>
      </w:r>
      <w:commentRangeStart w:id="25"/>
      <w:r>
        <w:rPr>
          <w:rFonts w:ascii="Calibri" w:hAnsi="Calibri"/>
          <w:b/>
          <w:color w:val="000000"/>
          <w:sz w:val="21"/>
        </w:rPr>
        <w:t xml:space="preserve">Swiper </w:t>
      </w:r>
      <w:r>
        <w:rPr>
          <w:rFonts w:ascii="Calibri" w:hAnsi="Calibri"/>
          <w:b/>
          <w:color w:val="000000"/>
          <w:sz w:val="21"/>
        </w:rPr>
      </w:r>
      <w:commentRangeEnd w:id="25"/>
      <w:r>
        <w:commentReference w:id="25"/>
      </w:r>
      <w:r>
        <w:rPr>
          <w:rFonts w:ascii="Calibri" w:hAnsi="Calibri"/>
          <w:b/>
          <w:color w:val="000000"/>
          <w:sz w:val="21"/>
        </w:rPr>
        <w:t xml:space="preserve">to the future) </w:t>
      </w:r>
    </w:p>
    <w:p>
      <w:pPr>
        <w:pStyle w:val="P68B1DB1Normal104"/>
        <w:widowControl w:val="false"/>
        <w:spacing w:lineRule="auto" w:line="240"/>
        <w:ind w:left="0" w:right="0" w:hanging="0"/>
        <w:jc w:val="left"/>
        <w:rPr/>
      </w:pPr>
      <w:r>
        <w:rPr/>
        <w:t xml:space="preserve">De vragenlijst van de panelenquête kan ook door alle Nederlanders worden ingevuld, ook door degenen die in het buitenland verblijven. Deze vragenlijst was beschikbaar van 1 september 2021 tot en met 14 november 2021. Daarnaast kon elke Nederlander gedurende dezelfde periode deelnemen aan de actie „Swipen naar de toekomst”, een online tool met 20 claims. </w:t>
      </w:r>
    </w:p>
    <w:p>
      <w:pPr>
        <w:pStyle w:val="P68B1DB1Normal108"/>
        <w:widowControl w:val="false"/>
        <w:spacing w:lineRule="auto" w:line="240" w:before="229" w:after="0"/>
        <w:ind w:left="0" w:right="0" w:hanging="0"/>
        <w:jc w:val="left"/>
        <w:rPr>
          <w:rFonts w:ascii="Calibri" w:hAnsi="Calibri"/>
          <w:b/>
          <w:b/>
          <w:i/>
          <w:i/>
          <w:color w:val="000000"/>
          <w:sz w:val="24"/>
        </w:rPr>
      </w:pPr>
      <w:r>
        <w:rPr/>
        <w:t xml:space="preserve">1. Enquête van een panel </w:t>
      </w:r>
    </w:p>
    <w:p>
      <w:pPr>
        <w:pStyle w:val="P68B1DB1Normal104"/>
        <w:widowControl w:val="false"/>
        <w:spacing w:lineRule="auto" w:line="240" w:before="118" w:after="0"/>
        <w:ind w:left="0" w:right="0" w:hanging="0"/>
        <w:jc w:val="left"/>
        <w:rPr/>
      </w:pPr>
      <w:r>
        <w:rPr/>
        <w:t xml:space="preserve">De Nederlandse Burgerdialoog „Vision of Europe” startte op 1 september met een panelenquête. In deze beschrijving van de enquêtemethodologie leggen we het ontwerp en de uitvoering van deze enquête kort uit aan een panel. </w:t>
      </w:r>
    </w:p>
    <w:p>
      <w:pPr>
        <w:pStyle w:val="P68B1DB1Normal107"/>
        <w:widowControl w:val="false"/>
        <w:spacing w:lineRule="auto" w:line="240" w:before="43" w:after="0"/>
        <w:ind w:left="0" w:right="0" w:hanging="0"/>
        <w:jc w:val="left"/>
        <w:rPr>
          <w:rFonts w:ascii="Calibri" w:hAnsi="Calibri"/>
          <w:i/>
          <w:i/>
          <w:color w:val="000000"/>
          <w:sz w:val="24"/>
        </w:rPr>
      </w:pPr>
      <w:r>
        <w:rPr/>
        <w:t xml:space="preserve">Doel- en doelpopulatie </w:t>
      </w:r>
    </w:p>
    <w:p>
      <w:pPr>
        <w:pStyle w:val="Normal"/>
        <w:widowControl w:val="false"/>
        <w:spacing w:lineRule="auto" w:line="240" w:before="123" w:after="0"/>
        <w:ind w:left="0" w:right="0" w:hanging="0"/>
        <w:jc w:val="left"/>
        <w:rPr/>
      </w:pPr>
      <w:r>
        <w:rPr>
          <w:rFonts w:ascii="Calibri" w:hAnsi="Calibri"/>
          <w:color w:val="000000"/>
          <w:sz w:val="21"/>
        </w:rPr>
        <w:t>De enquête „Vision of Europe” startte met een online vragenlijst over hoe Nederlanders de toekomst van Europa zien. Deze vragenlijst is ingediend bij een representatief panel en staat ook open voor alle Nederlanders (ook degenen die in het buitenland verblijven). Daarnaast was elke persoon in staat om deel te nemen aan de actie „Swipen</w:t>
      </w:r>
      <w:commentRangeStart w:id="26"/>
      <w:r>
        <w:rPr>
          <w:rFonts w:ascii="Calibri" w:hAnsi="Calibri"/>
          <w:color w:val="000000"/>
          <w:sz w:val="21"/>
        </w:rPr>
        <w:t>naar</w:t>
      </w:r>
      <w:r>
        <w:rPr>
          <w:rFonts w:ascii="Calibri" w:hAnsi="Calibri"/>
          <w:color w:val="000000"/>
          <w:sz w:val="21"/>
        </w:rPr>
      </w:r>
      <w:commentRangeEnd w:id="26"/>
      <w:r>
        <w:commentReference w:id="26"/>
      </w:r>
      <w:r>
        <w:rPr>
          <w:rFonts w:ascii="Calibri" w:hAnsi="Calibri"/>
          <w:color w:val="000000"/>
          <w:sz w:val="21"/>
        </w:rPr>
        <w:t xml:space="preserve"> de toekomst”, een online tool met 20 claims. De resultaten van de enquête van het panel voerden verschillende thematische dialogen aan die werden georganiseerd als follow-up van het proces van de burgerdialoog „Vision of Europe”.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before="1" w:after="0"/>
        <w:ind w:left="0" w:right="0" w:hanging="0"/>
        <w:jc w:val="left"/>
        <w:rPr/>
      </w:pPr>
      <w:r>
        <w:rPr/>
        <w:t xml:space="preserve">De doelgroep van het panelonderzoek omvat alle Nederlanders van 18 jaar en ouder die op het moment dat het veldwerk begon als ingezetene in het bevolkingsregister waren geregistreerd. Volgens het Centraal Bureau voor de Statistiek — CBS had deze doelgroep per 1 januari 2021 14.190.874 personen. De ondergrens van 18 jaar komt overeen met de kiesmeerderheid. We noemen het de populatie van de panelenquête. </w:t>
      </w:r>
    </w:p>
    <w:p>
      <w:pPr>
        <w:pStyle w:val="Normal"/>
        <w:widowControl w:val="false"/>
        <w:spacing w:lineRule="auto" w:line="240" w:before="1" w:after="0"/>
        <w:ind w:left="0" w:right="0" w:hanging="0"/>
        <w:jc w:val="left"/>
        <w:rPr>
          <w:rFonts w:ascii="Calibri" w:hAnsi="Calibri"/>
          <w:color w:val="000000"/>
          <w:sz w:val="21"/>
        </w:rPr>
      </w:pPr>
      <w:r>
        <w:rPr>
          <w:rFonts w:ascii="Calibri" w:hAnsi="Calibri"/>
          <w:color w:val="000000"/>
          <w:sz w:val="21"/>
        </w:rPr>
      </w:r>
      <w:r>
        <w:br w:type="page"/>
      </w:r>
    </w:p>
    <w:p>
      <w:pPr>
        <w:pStyle w:val="P68B1DB1Normal107"/>
        <w:spacing w:lineRule="auto" w:line="240"/>
        <w:ind w:left="0" w:right="0" w:hanging="0"/>
        <w:rPr>
          <w:rFonts w:ascii="Calibri" w:hAnsi="Calibri"/>
          <w:i/>
          <w:i/>
          <w:color w:val="000000"/>
          <w:sz w:val="24"/>
        </w:rPr>
      </w:pPr>
      <w:r>
        <w:rPr/>
        <w:t xml:space="preserve">Veldwerk </w:t>
      </w:r>
    </w:p>
    <w:p>
      <w:pPr>
        <w:pStyle w:val="P68B1DB1Normal104"/>
        <w:widowControl w:val="false"/>
        <w:spacing w:lineRule="auto" w:line="240" w:before="127" w:after="0"/>
        <w:ind w:left="0" w:right="0" w:hanging="0"/>
        <w:jc w:val="left"/>
        <w:rPr/>
      </w:pPr>
      <w:r>
        <w:rPr/>
        <w:t xml:space="preserve">Een panel van meer dan 100.000 deelnemers uit het hele land (ISO-gecertificeerd, Research Keurmerk groep, Nederlandse marktonderzoek Associatie) werd gebruikt om een digitaal beeld van het „Medium Dutch” te verkrijgen. Deze deelnemers hebben zich in het enquêtepanel ingeschreven om regelmatig hun mening te geven over een breed scala aan onderwerpen. Naast hun intrinsieke motivatie om bij te dragen, worden ze betaald om de vragenlijsten te beantwoorden. Verschillende wetenschappelijke studies tonen aan dat respondenten die een vergoeding ontvangen voor het invullen van een vragenlijst, niet significant verschillende antwoorden geven (bron: Vermindert het gebruik van enquêteprikkels de datakwaliteit?Cole, J.S., Sarraf, S.A., Wang, X., 2015).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before="1" w:after="0"/>
        <w:ind w:left="0" w:right="0" w:hanging="0"/>
        <w:jc w:val="left"/>
        <w:rPr/>
      </w:pPr>
      <w:r>
        <w:rPr/>
        <w:t xml:space="preserve">Veldwerk begon op 11 augustus 2021 en eindigde op 19 september 2021. Voor de implementatie werd slechts één methode voor gegevensverzameling gebruikt, d.w.z. de internetenquête. Leden van het enquêtepanel ontvingen een e-mail met een persoonlijke link naar de online vragenlijst. Na twee weken kregen de deelnemers een herinnering. Uitnodigingen om deel te nemen werden verzonden in batches en gestratificeerd (door te zorgen voor een gelijke verdeling van subgroepen) totdat het vereiste aantal respondenten werd bereikt. </w:t>
      </w:r>
    </w:p>
    <w:p>
      <w:pPr>
        <w:pStyle w:val="P68B1DB1Normal107"/>
        <w:widowControl w:val="false"/>
        <w:spacing w:lineRule="auto" w:line="240" w:before="42" w:after="0"/>
        <w:ind w:left="0" w:right="0" w:hanging="0"/>
        <w:jc w:val="left"/>
        <w:rPr>
          <w:rFonts w:ascii="Calibri" w:hAnsi="Calibri"/>
          <w:i/>
          <w:i/>
          <w:color w:val="000000"/>
          <w:sz w:val="24"/>
        </w:rPr>
      </w:pPr>
      <w:r>
        <w:rPr/>
        <w:t xml:space="preserve">Bemonstering en distributie </w:t>
      </w:r>
    </w:p>
    <w:p>
      <w:pPr>
        <w:pStyle w:val="P68B1DB1Normal104"/>
        <w:widowControl w:val="false"/>
        <w:spacing w:lineRule="auto" w:line="240" w:before="123" w:after="0"/>
        <w:ind w:left="0" w:right="0" w:hanging="0"/>
        <w:jc w:val="left"/>
        <w:rPr/>
      </w:pPr>
      <w:r>
        <w:rPr/>
        <w:t xml:space="preserve">Het ontwerp van de enquête is gebaseerd op het principe dat minimaal 3.600 respondenten aan de enquête moeten deelnemen om een goede statistische betrouwbaarheid te garanderen. Bovendien maakt dit getal een goede verdeling mogelijk tussen de verschillende algemene kenmerken van de bevolking. Er is niet één type Nederlander. We hebben er daarom van tevoren voor gezorgd dat de steekproef ruim over een aantal kenmerken wordt verdeeld. Nederland is een relatief klein land, maar de meningen kunnen per regio verschillen. De positionering en het belang dat aan de thema’s wordt gegeven, kunnen (gedeeltelijk) worden bepaald door de regio waarin je woont. Mensen die op het platteland wonen, kunnen bijvoorbeeld een onderwerp als veiligheid anders begrijpen dan in stedelijke gebieden. Uit onderzoek van het Nederlandse Bureau voor Sociale en Culturele Planning blijkt ook dat mensen met een hoger studieniveau vaker voorstanders zijn van de EU dan mensen met een lager studieniveau en dat jongeren de EU meer steunen dan ouderen (bron: Wat wil Nederlanders van de Europese Unie?Dutch Social and Cultural Office, Den Haag, 2019).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before="1" w:after="0"/>
        <w:ind w:left="0" w:right="0" w:hanging="0"/>
        <w:jc w:val="left"/>
        <w:rPr/>
      </w:pPr>
      <w:r>
        <w:rPr/>
        <w:t xml:space="preserve">Daarom hebben we eerder de volgende drie kenmerken evenredig toegewezen om de representativiteit van de steekproef te waarborgen: 1) verblijf via COROP-regio’s, (2) leeftijd en (3) opleidingsniveau. De verdeling van het monster werd ook gepresenteerd aan de hand van de volgende algemene kenmerken: geslacht, herkomst, hoofdberoep, politieke oriëntatie. </w:t>
      </w:r>
    </w:p>
    <w:p>
      <w:pPr>
        <w:pStyle w:val="P68B1DB1Normal104"/>
        <w:widowControl w:val="false"/>
        <w:spacing w:lineRule="auto" w:line="240" w:before="1" w:after="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 xml:space="preserve">COROP-regio’s zijn ontwikkeld op basis van het nodal-principe (een „hart” met een aantrekkingsgebied of een regionale functie), gebaseerd op de stroom van mensen die pendelen. Er zijn enkele schendingen van het nodal-principe erkend, zodat de regio’s provinciale grenzen overschrijden. Na de reorganisatie van de gemeenten buiten COROP-grenzen werd de verdeling aangepast (bron: Nationaal Bureau voor de Statistiek). Binnen de COROP-regio’s hebben we gezorgd voor een goede verdeling over de leeftijdsgroepen, met de volgende uitsplitsing: leeftijden 18-34, 35-54, 55-75 en ouder 75.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before="1" w:after="0"/>
        <w:ind w:left="0" w:right="0" w:hanging="0"/>
        <w:jc w:val="left"/>
        <w:rPr/>
      </w:pPr>
      <w:r>
        <w:rPr/>
        <w:t xml:space="preserve">Tot slot hebben we gezorgd voor een representatieve verdeling van de onderwijsniveaus. In de steekproef komt de verdeling van de respondenten overeen met de verdeling op nationaal niveau van het hoogste onderwijsniveau, namelijk: </w:t>
      </w:r>
    </w:p>
    <w:p>
      <w:pPr>
        <w:pStyle w:val="Normal"/>
        <w:widowControl w:val="false"/>
        <w:spacing w:lineRule="auto" w:line="240" w:before="1" w:after="0"/>
        <w:ind w:left="0" w:right="0" w:hanging="0"/>
        <w:jc w:val="left"/>
        <w:rPr>
          <w:rFonts w:ascii="Calibri" w:hAnsi="Calibri"/>
          <w:color w:val="000000"/>
          <w:sz w:val="21"/>
        </w:rPr>
      </w:pPr>
      <w:r>
        <w:rPr>
          <w:rFonts w:ascii="Calibri" w:hAnsi="Calibri"/>
          <w:color w:val="000000"/>
          <w:sz w:val="21"/>
        </w:rPr>
      </w:r>
      <w:r>
        <w:br w:type="page"/>
      </w:r>
    </w:p>
    <w:p>
      <w:pPr>
        <w:pStyle w:val="P68B1DB1Normal120"/>
        <w:spacing w:lineRule="auto" w:line="240"/>
        <w:ind w:left="0" w:right="0" w:hanging="0"/>
        <w:rPr>
          <w:rFonts w:ascii="Calibri" w:hAnsi="Calibri"/>
          <w:b/>
          <w:b/>
          <w:color w:val="000000"/>
          <w:sz w:val="21"/>
        </w:rPr>
      </w:pPr>
      <w:r>
        <w:rPr/>
        <w:t xml:space="preserve">Hoogste onderwijsniveau </w:t>
      </w:r>
    </w:p>
    <w:tbl>
      <w:tblPr>
        <w:tblW w:w="9180"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7649"/>
        <w:gridCol w:w="1530"/>
      </w:tblGrid>
      <w:tr>
        <w:trPr>
          <w:trHeight w:val="1031" w:hRule="atLeast"/>
        </w:trPr>
        <w:tc>
          <w:tcPr>
            <w:tcW w:w="76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Laag: basisonderwijs, voorbereidend beroepsonderwijs, 1e tot 3e graad van algemeen hoger secundair onderwijs/preuniversitair onderwijs, secundair beroepsonderwijs niveau 1</w:t>
            </w:r>
          </w:p>
        </w:tc>
        <w:tc>
          <w:tcPr>
            <w:tcW w:w="153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32,1 %</w:t>
            </w:r>
          </w:p>
        </w:tc>
      </w:tr>
      <w:tr>
        <w:trPr>
          <w:trHeight w:val="1031" w:hRule="atLeast"/>
        </w:trPr>
        <w:tc>
          <w:tcPr>
            <w:tcW w:w="76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Gemiddeld: algemeen hoger secundair onderwijs/preuniversitair onderwijs, secundair beroepsonderwijs niveau 2 t/m 4</w:t>
            </w:r>
          </w:p>
        </w:tc>
        <w:tc>
          <w:tcPr>
            <w:tcW w:w="153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44,6 %</w:t>
            </w:r>
          </w:p>
        </w:tc>
      </w:tr>
      <w:tr>
        <w:trPr>
          <w:trHeight w:val="551" w:hRule="atLeast"/>
        </w:trPr>
        <w:tc>
          <w:tcPr>
            <w:tcW w:w="76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Hoog: hoger beroepsonderwijs of universitair onderwijs</w:t>
            </w:r>
          </w:p>
        </w:tc>
        <w:tc>
          <w:tcPr>
            <w:tcW w:w="153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22,9 %</w:t>
            </w:r>
          </w:p>
        </w:tc>
      </w:tr>
      <w:tr>
        <w:trPr>
          <w:trHeight w:val="536" w:hRule="atLeast"/>
        </w:trPr>
        <w:tc>
          <w:tcPr>
            <w:tcW w:w="76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Onbekend</w:t>
            </w:r>
          </w:p>
        </w:tc>
        <w:tc>
          <w:tcPr>
            <w:tcW w:w="153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0,4 %</w:t>
            </w:r>
          </w:p>
        </w:tc>
      </w:tr>
    </w:tbl>
    <w:p>
      <w:pPr>
        <w:pStyle w:val="Normal"/>
        <w:spacing w:lineRule="auto" w:line="240"/>
        <w:ind w:left="0" w:right="0" w:hanging="0"/>
        <w:rPr/>
      </w:pPr>
      <w:r>
        <w:rPr/>
      </w:r>
    </w:p>
    <w:p>
      <w:pPr>
        <w:pStyle w:val="P68B1DB1Normal107"/>
        <w:spacing w:lineRule="auto" w:line="240"/>
        <w:ind w:left="0" w:right="0" w:hanging="0"/>
        <w:rPr>
          <w:rFonts w:ascii="Calibri" w:hAnsi="Calibri"/>
          <w:i/>
          <w:i/>
          <w:color w:val="000000"/>
          <w:sz w:val="24"/>
        </w:rPr>
      </w:pPr>
      <w:r>
        <w:rPr/>
        <w:t xml:space="preserve">Responspercentage </w:t>
      </w:r>
    </w:p>
    <w:p>
      <w:pPr>
        <w:pStyle w:val="P68B1DB1Normal104"/>
        <w:widowControl w:val="false"/>
        <w:spacing w:lineRule="exact" w:line="283" w:before="87" w:after="0"/>
        <w:ind w:left="0" w:right="368" w:hanging="0"/>
        <w:jc w:val="left"/>
        <w:rPr/>
      </w:pPr>
      <w:r>
        <w:rPr/>
        <w:t xml:space="preserve">Per panel namen in totaal 4.886 mensen deel aan de enquête. De doelstelling van 3 600 volledig ingevulde vragenlijsten wordt derhalve bereikt. </w:t>
      </w:r>
    </w:p>
    <w:tbl>
      <w:tblPr>
        <w:tblW w:w="9638" w:type="dxa"/>
        <w:jc w:val="left"/>
        <w:tblInd w:w="0" w:type="dxa"/>
        <w:tblBorders/>
        <w:tblCellMar>
          <w:top w:w="28" w:type="dxa"/>
          <w:left w:w="28" w:type="dxa"/>
          <w:bottom w:w="28" w:type="dxa"/>
          <w:right w:w="28" w:type="dxa"/>
        </w:tblCellMar>
      </w:tblPr>
      <w:tblGrid>
        <w:gridCol w:w="4016"/>
        <w:gridCol w:w="1348"/>
        <w:gridCol w:w="1348"/>
        <w:gridCol w:w="1574"/>
        <w:gridCol w:w="1352"/>
      </w:tblGrid>
      <w:tr>
        <w:trPr>
          <w:trHeight w:val="356" w:hRule="atLeast"/>
        </w:trPr>
        <w:tc>
          <w:tcPr>
            <w:tcW w:w="4016" w:type="dxa"/>
            <w:tcBorders/>
            <w:shd w:fill="auto" w:val="clear"/>
            <w:vAlign w:val="bottom"/>
          </w:tcPr>
          <w:p>
            <w:pPr>
              <w:pStyle w:val="P68B1DB1Contenudetableau122"/>
              <w:spacing w:before="57" w:after="57"/>
              <w:jc w:val="left"/>
              <w:rPr>
                <w:b/>
                <w:b/>
                <w:color w:val="000000"/>
              </w:rPr>
            </w:pPr>
            <w:r>
              <w:rPr/>
              <w:t>Reacties van COROP-regio’s en leeftijd</w:t>
            </w:r>
          </w:p>
        </w:tc>
        <w:tc>
          <w:tcPr>
            <w:tcW w:w="1348" w:type="dxa"/>
            <w:tcBorders/>
            <w:shd w:fill="auto" w:val="clear"/>
            <w:vAlign w:val="bottom"/>
          </w:tcPr>
          <w:p>
            <w:pPr>
              <w:pStyle w:val="P68B1DB1Contenudetableau122"/>
              <w:spacing w:before="57" w:after="57"/>
              <w:jc w:val="left"/>
              <w:rPr>
                <w:b/>
                <w:b/>
                <w:color w:val="000000"/>
              </w:rPr>
            </w:pPr>
            <w:r>
              <w:rPr/>
              <w:t>18 tot 34 jaar oud</w:t>
            </w:r>
          </w:p>
        </w:tc>
        <w:tc>
          <w:tcPr>
            <w:tcW w:w="1348" w:type="dxa"/>
            <w:tcBorders/>
            <w:shd w:fill="auto" w:val="clear"/>
            <w:vAlign w:val="bottom"/>
          </w:tcPr>
          <w:p>
            <w:pPr>
              <w:pStyle w:val="P68B1DB1Contenudetableau122"/>
              <w:spacing w:before="57" w:after="57"/>
              <w:jc w:val="left"/>
              <w:rPr>
                <w:b/>
                <w:b/>
                <w:color w:val="000000"/>
              </w:rPr>
            </w:pPr>
            <w:r>
              <w:rPr/>
              <w:t>35 tot 54 jaar</w:t>
            </w:r>
          </w:p>
        </w:tc>
        <w:tc>
          <w:tcPr>
            <w:tcW w:w="1574" w:type="dxa"/>
            <w:tcBorders/>
            <w:shd w:fill="auto" w:val="clear"/>
            <w:vAlign w:val="bottom"/>
          </w:tcPr>
          <w:p>
            <w:pPr>
              <w:pStyle w:val="P68B1DB1Contenudetableau122"/>
              <w:spacing w:before="57" w:after="57"/>
              <w:jc w:val="left"/>
              <w:rPr>
                <w:b/>
                <w:b/>
                <w:color w:val="000000"/>
              </w:rPr>
            </w:pPr>
            <w:r>
              <w:rPr/>
              <w:t>55 tot 75 jaar oud</w:t>
            </w:r>
          </w:p>
        </w:tc>
        <w:tc>
          <w:tcPr>
            <w:tcW w:w="1352" w:type="dxa"/>
            <w:tcBorders/>
            <w:shd w:fill="auto" w:val="clear"/>
            <w:vAlign w:val="bottom"/>
          </w:tcPr>
          <w:p>
            <w:pPr>
              <w:pStyle w:val="P68B1DB1Contenudetableau122"/>
              <w:spacing w:before="57" w:after="57"/>
              <w:jc w:val="left"/>
              <w:rPr>
                <w:b/>
                <w:b/>
                <w:color w:val="000000"/>
              </w:rPr>
            </w:pPr>
            <w:r>
              <w:rPr/>
              <w:t xml:space="preserve"> </w:t>
            </w:r>
            <w:r>
              <w:rPr/>
              <w:t>meer dan 75 jaar oud</w:t>
            </w:r>
          </w:p>
        </w:tc>
      </w:tr>
      <w:tr>
        <w:trPr>
          <w:trHeight w:val="536"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Noord Drenthe</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11</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14</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17</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Zuidoosten van Drenthe</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10</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12</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14</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Zuidwesten van Drenthe</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7</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10</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11</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Flevoland</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29</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33</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28</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6</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Noord-Friesland</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20</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22</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25</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8</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Zuidoosten van Friesland</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12</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13</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14</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Zuidwesten van Friesland</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8</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11</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11</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Achterhoek</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22</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27</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34</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11</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Arnhem/Nijmegen</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52</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53</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55</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15</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Veluwe</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44</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48</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51</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17</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Zuid-West van Gelderland</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16</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18</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20</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Grand Delfzijl</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Oost-Groningen</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7</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10</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12</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Rest van Groningen</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36</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26</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28</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8</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Midden-Limburg</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13</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17</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21</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7</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Noord-Limburg</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17</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20</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23</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7</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 xml:space="preserve">Zuid-Limburg </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38</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40</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52</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17</w:t>
            </w:r>
          </w:p>
        </w:tc>
      </w:tr>
      <w:tr>
        <w:trPr>
          <w:trHeight w:val="506"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Centrum van Noord-Brabant</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34</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35</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35</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11</w:t>
            </w:r>
          </w:p>
        </w:tc>
      </w:tr>
    </w:tbl>
    <w:p>
      <w:pPr>
        <w:pStyle w:val="Normal"/>
        <w:spacing w:lineRule="auto" w:line="240"/>
        <w:ind w:left="0" w:right="0" w:hanging="0"/>
        <w:rPr/>
      </w:pPr>
      <w:r>
        <w:rPr/>
      </w:r>
    </w:p>
    <w:tbl>
      <w:tblPr>
        <w:tblW w:w="9638" w:type="dxa"/>
        <w:jc w:val="left"/>
        <w:tblInd w:w="0" w:type="dxa"/>
        <w:tblBorders/>
        <w:tblCellMar>
          <w:top w:w="28" w:type="dxa"/>
          <w:left w:w="28" w:type="dxa"/>
          <w:bottom w:w="28" w:type="dxa"/>
          <w:right w:w="28" w:type="dxa"/>
        </w:tblCellMar>
      </w:tblPr>
      <w:tblGrid>
        <w:gridCol w:w="4106"/>
        <w:gridCol w:w="1393"/>
        <w:gridCol w:w="1393"/>
        <w:gridCol w:w="1370"/>
        <w:gridCol w:w="1376"/>
      </w:tblGrid>
      <w:tr>
        <w:trPr>
          <w:trHeight w:val="356" w:hRule="atLeast"/>
        </w:trPr>
        <w:tc>
          <w:tcPr>
            <w:tcW w:w="4106" w:type="dxa"/>
            <w:tcBorders/>
            <w:shd w:fill="auto" w:val="clear"/>
            <w:vAlign w:val="bottom"/>
          </w:tcPr>
          <w:p>
            <w:pPr>
              <w:pStyle w:val="P68B1DB1Contenudetableau122"/>
              <w:spacing w:before="57" w:after="57"/>
              <w:jc w:val="left"/>
              <w:rPr>
                <w:b/>
                <w:b/>
                <w:color w:val="000000"/>
              </w:rPr>
            </w:pPr>
            <w:r>
              <w:rPr/>
              <w:t xml:space="preserve">Reacties van COROP-regio’s en leeftijd </w:t>
            </w:r>
          </w:p>
        </w:tc>
        <w:tc>
          <w:tcPr>
            <w:tcW w:w="1393" w:type="dxa"/>
            <w:tcBorders/>
            <w:shd w:fill="auto" w:val="clear"/>
            <w:vAlign w:val="bottom"/>
          </w:tcPr>
          <w:p>
            <w:pPr>
              <w:pStyle w:val="P68B1DB1Contenudetableau122"/>
              <w:spacing w:before="57" w:after="57"/>
              <w:jc w:val="left"/>
              <w:rPr>
                <w:b/>
                <w:b/>
                <w:color w:val="000000"/>
              </w:rPr>
            </w:pPr>
            <w:r>
              <w:rPr/>
              <w:t>18 tot 34 jaar oud</w:t>
            </w:r>
          </w:p>
        </w:tc>
        <w:tc>
          <w:tcPr>
            <w:tcW w:w="1393" w:type="dxa"/>
            <w:tcBorders/>
            <w:shd w:fill="auto" w:val="clear"/>
            <w:vAlign w:val="bottom"/>
          </w:tcPr>
          <w:p>
            <w:pPr>
              <w:pStyle w:val="P68B1DB1Contenudetableau122"/>
              <w:spacing w:before="57" w:after="57"/>
              <w:jc w:val="left"/>
              <w:rPr>
                <w:b/>
                <w:b/>
                <w:color w:val="000000"/>
              </w:rPr>
            </w:pPr>
            <w:r>
              <w:rPr/>
              <w:t>35 tot 54 jaar</w:t>
            </w:r>
          </w:p>
        </w:tc>
        <w:tc>
          <w:tcPr>
            <w:tcW w:w="1370" w:type="dxa"/>
            <w:tcBorders/>
            <w:shd w:fill="auto" w:val="clear"/>
            <w:vAlign w:val="bottom"/>
          </w:tcPr>
          <w:p>
            <w:pPr>
              <w:pStyle w:val="P68B1DB1Contenudetableau122"/>
              <w:spacing w:before="57" w:after="57"/>
              <w:jc w:val="left"/>
              <w:rPr>
                <w:b/>
                <w:b/>
                <w:color w:val="000000"/>
              </w:rPr>
            </w:pPr>
            <w:r>
              <w:rPr/>
              <w:t>55 tot 75 jaar oud</w:t>
            </w:r>
          </w:p>
        </w:tc>
        <w:tc>
          <w:tcPr>
            <w:tcW w:w="1376" w:type="dxa"/>
            <w:tcBorders/>
            <w:shd w:fill="auto" w:val="clear"/>
            <w:vAlign w:val="bottom"/>
          </w:tcPr>
          <w:p>
            <w:pPr>
              <w:pStyle w:val="P68B1DB1Contenudetableau122"/>
              <w:spacing w:before="57" w:after="57"/>
              <w:jc w:val="left"/>
              <w:rPr>
                <w:b/>
                <w:b/>
                <w:color w:val="000000"/>
              </w:rPr>
            </w:pPr>
            <w:r>
              <w:rPr/>
              <w:t>meer dan 75 jaar oud</w:t>
            </w:r>
          </w:p>
        </w:tc>
      </w:tr>
      <w:tr>
        <w:trPr>
          <w:trHeight w:val="536"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Ten noordoosten van Noord-Brabant</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41</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43</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51</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14</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Ten westen van Noord-Brabant</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40</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47</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49</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15</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Zuidoosten van Noord-Brabant</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55</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56</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58</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18</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Haarlem agglomeratie</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13</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18</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18</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7</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Alkmaar en omgeving</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14</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19</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19</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6</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Geweldig Amsterdam</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116</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104</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88</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23</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De Gooi en Vechtstreek</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13</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21</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19</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7</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IJmond</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12</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14</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15</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Tip van Noord-Holland</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22</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27</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30</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9</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Regio Zaan</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11</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13</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12</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Noord Overijssel</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25</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28</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25</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8</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Twents</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41</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44</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46</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14</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Zuidwesten van Overijssel</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10</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11</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12</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Utrecht</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96</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100</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89</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27</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Rest van Zeeland</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16</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21</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23</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8</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Zeeland Vlaanderen</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6</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8</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9</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Agglomeratie Leiden en bollenregio</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30</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31</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31</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10</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Agglomeratie Den Haag</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63</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70</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57</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18</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Delft en Westland</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19</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15</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15</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Grand Rijnmond</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103</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107</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99</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31</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Ten oosten van Zuid-Holland</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22</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24</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25</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8</w:t>
            </w:r>
          </w:p>
        </w:tc>
      </w:tr>
      <w:tr>
        <w:trPr>
          <w:trHeight w:val="506"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Zuidoost van Zuid-Holland</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24</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26</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26</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9</w:t>
            </w:r>
          </w:p>
        </w:tc>
      </w:tr>
    </w:tbl>
    <w:p>
      <w:pPr>
        <w:pStyle w:val="Normal"/>
        <w:spacing w:lineRule="auto" w:line="240"/>
        <w:ind w:left="0" w:right="0" w:hanging="0"/>
        <w:rPr/>
      </w:pPr>
      <w:r>
        <w:rPr/>
      </w:r>
    </w:p>
    <w:p>
      <w:pPr>
        <w:pStyle w:val="P68B1DB1Normal120"/>
        <w:spacing w:lineRule="auto" w:line="240"/>
        <w:ind w:left="0" w:right="0" w:hanging="0"/>
        <w:rPr>
          <w:rFonts w:ascii="Calibri" w:hAnsi="Calibri"/>
          <w:b/>
          <w:b/>
          <w:color w:val="000000"/>
          <w:sz w:val="21"/>
        </w:rPr>
      </w:pPr>
      <w:r>
        <w:rPr/>
        <w:t xml:space="preserve">Reacties per opleidingsniveau </w:t>
      </w:r>
    </w:p>
    <w:tbl>
      <w:tblPr>
        <w:tblW w:w="9638"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5937"/>
        <w:gridCol w:w="1863"/>
        <w:gridCol w:w="1838"/>
      </w:tblGrid>
      <w:tr>
        <w:trPr>
          <w:trHeight w:val="551" w:hRule="atLeast"/>
        </w:trPr>
        <w:tc>
          <w:tcPr>
            <w:tcW w:w="593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Laag</w:t>
            </w:r>
          </w:p>
        </w:tc>
        <w:tc>
          <w:tcPr>
            <w:tcW w:w="186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1382</w:t>
            </w:r>
          </w:p>
        </w:tc>
        <w:tc>
          <w:tcPr>
            <w:tcW w:w="183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34 %</w:t>
            </w:r>
          </w:p>
        </w:tc>
      </w:tr>
      <w:tr>
        <w:trPr>
          <w:trHeight w:val="551" w:hRule="atLeast"/>
        </w:trPr>
        <w:tc>
          <w:tcPr>
            <w:tcW w:w="593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Tussenpersoon</w:t>
            </w:r>
          </w:p>
        </w:tc>
        <w:tc>
          <w:tcPr>
            <w:tcW w:w="186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1747</w:t>
            </w:r>
          </w:p>
        </w:tc>
        <w:tc>
          <w:tcPr>
            <w:tcW w:w="183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43 %</w:t>
            </w:r>
          </w:p>
        </w:tc>
      </w:tr>
      <w:tr>
        <w:trPr>
          <w:trHeight w:val="551" w:hRule="atLeast"/>
        </w:trPr>
        <w:tc>
          <w:tcPr>
            <w:tcW w:w="593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Hoog</w:t>
            </w:r>
          </w:p>
        </w:tc>
        <w:tc>
          <w:tcPr>
            <w:tcW w:w="186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915</w:t>
            </w:r>
          </w:p>
        </w:tc>
        <w:tc>
          <w:tcPr>
            <w:tcW w:w="183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22 %</w:t>
            </w:r>
          </w:p>
        </w:tc>
      </w:tr>
      <w:tr>
        <w:trPr>
          <w:trHeight w:val="536" w:hRule="atLeast"/>
        </w:trPr>
        <w:tc>
          <w:tcPr>
            <w:tcW w:w="593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Onbekend</w:t>
            </w:r>
          </w:p>
        </w:tc>
        <w:tc>
          <w:tcPr>
            <w:tcW w:w="186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42</w:t>
            </w:r>
          </w:p>
        </w:tc>
        <w:tc>
          <w:tcPr>
            <w:tcW w:w="183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1 %</w:t>
            </w:r>
          </w:p>
        </w:tc>
      </w:tr>
    </w:tbl>
    <w:p>
      <w:pPr>
        <w:pStyle w:val="Normal"/>
        <w:spacing w:lineRule="auto" w:line="240"/>
        <w:ind w:left="0" w:right="0" w:hanging="0"/>
        <w:rPr/>
      </w:pPr>
      <w:r>
        <w:rPr/>
      </w:r>
    </w:p>
    <w:p>
      <w:pPr>
        <w:pStyle w:val="P68B1DB1Normal107"/>
        <w:spacing w:lineRule="auto" w:line="240"/>
        <w:ind w:left="0" w:right="0" w:hanging="0"/>
        <w:rPr>
          <w:rFonts w:ascii="Calibri" w:hAnsi="Calibri"/>
          <w:i/>
          <w:i/>
          <w:color w:val="000000"/>
          <w:sz w:val="24"/>
        </w:rPr>
      </w:pPr>
      <w:r>
        <w:rPr/>
        <w:t xml:space="preserve">Betrouwbaarheid en representativiteit </w:t>
      </w:r>
    </w:p>
    <w:p>
      <w:pPr>
        <w:pStyle w:val="P68B1DB1Normal104"/>
        <w:widowControl w:val="false"/>
        <w:spacing w:lineRule="auto" w:line="240" w:before="87" w:after="0"/>
        <w:ind w:left="0" w:right="0" w:hanging="0"/>
        <w:jc w:val="left"/>
        <w:rPr/>
      </w:pPr>
      <w:r>
        <w:rPr/>
        <w:t xml:space="preserve">Het aantal respondenten van 4.806 maakt het mogelijk om observaties te maken voor de bevolking als geheel met een betrouwbaarheidsniveau van 95 % en een foutenmarge van 1,53 %. Het betrouwbaarheidsniveau en de foutenmarge van de resultaten worden bepaald door de steekproefomvang. Hoe groter de steekproef, hoe betrouwbaarder en nauwkeuriger de resultaten kunnen worden geëxtrapoleerd naar de hele populatie.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 xml:space="preserve">Het betrouwbaarheidsniveau wordt gedefinieerd als 1 (100 %) minus het niveau van betekenis. Het is gebruikelijk om te worden gebaseerd op een 5 % betekenisniveau. We hebben het over een betrouwbaarheidsniveau van 95 %. Met andere woorden, als de enquête op dezelfde manier en onder dezelfde voorwaarden wordt herhaald, zouden de resultaten in 95 % van de gevallen gelijk zijn. </w:t>
      </w:r>
    </w:p>
    <w:p>
      <w:pPr>
        <w:pStyle w:val="P68B1DB1Normal104"/>
        <w:widowControl w:val="false"/>
        <w:spacing w:lineRule="auto" w:line="240"/>
        <w:ind w:left="0" w:right="0" w:hanging="0"/>
        <w:jc w:val="left"/>
        <w:rPr/>
      </w:pPr>
      <w:r>
        <w:rPr/>
        <w:t xml:space="preserve">Nauwkeurigheid (uitgedrukt door foutmarge) geeft het waardenbereik aan waarbinnen de werkelijke waarde in de populatie zich bevindt. Met andere woorden: wat zou het maximale verschil zijn tussen de resultaten van de steekproef en de resultaten die uit de populatie als geheel zouden worden verkregen? Een foutenmarge van 1,53 % betekent dat de werkelijke waarde binnen de totale populatie 1,53 % hoger of lager kan zijn dan de steekproefwaarde. Als bijvoorbeeld uit een enquête van een steekproef van mensen blijkt dat 50 % van de respondenten een bepaald thema belangrijk vindt, is het werkelijke percentage 1,53 % hoger of lager dan die 50 %, d.w.z. tussen 48,47 en 51,53 %. Een maximale foutmarge van 5 % is gebruikelijk en algemeen aanvaard in kwantitatieve studies (statistiek). </w:t>
      </w:r>
    </w:p>
    <w:p>
      <w:pPr>
        <w:pStyle w:val="P68B1DB1Normal104"/>
        <w:widowControl w:val="false"/>
        <w:spacing w:lineRule="auto" w:line="240"/>
        <w:ind w:left="0" w:right="0" w:hanging="0"/>
        <w:jc w:val="left"/>
        <w:rPr/>
      </w:pPr>
      <w:r>
        <w:rPr/>
        <w:t xml:space="preserve">Naast betrouwbaarheid is de representativiteit van het monster belangrijk. Aangezien de uitnodigingen tot deelname in batches en gelaagd zijn verzonden, zijn de resultaten representatief voor de kenmerken van de COROP-regio en de leeftijdsgroepen per COROP-regio. De antwoorden zijn ook representatief vanuit het oogpunt van het opleidingsniveau in vergelijking met het hoogste onderwijsniveau op nationaal niveau. </w:t>
      </w:r>
    </w:p>
    <w:p>
      <w:pPr>
        <w:pStyle w:val="P68B1DB1Normal107"/>
        <w:widowControl w:val="false"/>
        <w:spacing w:lineRule="auto" w:line="240"/>
        <w:ind w:left="0" w:right="0" w:hanging="0"/>
        <w:jc w:val="left"/>
        <w:rPr>
          <w:rFonts w:ascii="Calibri" w:hAnsi="Calibri"/>
          <w:i/>
          <w:i/>
          <w:color w:val="000000"/>
          <w:sz w:val="24"/>
        </w:rPr>
      </w:pPr>
      <w:r>
        <w:rPr/>
        <w:t xml:space="preserve">Andere algemene kenmerken </w:t>
      </w:r>
    </w:p>
    <w:p>
      <w:pPr>
        <w:pStyle w:val="P68B1DB1Normal104"/>
        <w:widowControl w:val="false"/>
        <w:spacing w:lineRule="auto" w:line="240" w:before="5" w:after="0"/>
        <w:ind w:left="0" w:right="0" w:hanging="0"/>
        <w:jc w:val="left"/>
        <w:rPr/>
      </w:pPr>
      <w:r>
        <w:rPr/>
        <w:t xml:space="preserve">Een aantal aanvullende contextuele vragen werden per panel aan deelnemers gesteld. Deze omvatten gender, EU-positionering, herkomst, hoofdbezetting en de politieke partij waarvoor de persoon zou stemmen in geval van verkiezingen. </w:t>
      </w:r>
    </w:p>
    <w:p>
      <w:pPr>
        <w:pStyle w:val="P68B1DB1Normal104"/>
        <w:widowControl w:val="false"/>
        <w:spacing w:lineRule="auto" w:line="240"/>
        <w:ind w:left="0" w:right="0" w:hanging="0"/>
        <w:jc w:val="left"/>
        <w:rPr/>
      </w:pPr>
      <w:r>
        <w:rPr/>
        <w:t xml:space="preserve">49 % van de respondenten zijn mannen, 50 % vrouwen en 1 % geeft er de voorkeur aan om deze vraag niet te beantwoorden. </w:t>
      </w:r>
    </w:p>
    <w:p>
      <w:pPr>
        <w:pStyle w:val="Normal"/>
        <w:widowControl w:val="false"/>
        <w:spacing w:lineRule="auto" w:line="240"/>
        <w:ind w:left="0" w:right="0" w:hanging="0"/>
        <w:jc w:val="left"/>
        <w:rPr/>
      </w:pPr>
      <w:r>
        <w:rPr>
          <w:rFonts w:ascii="Calibri" w:hAnsi="Calibri"/>
          <w:color w:val="000000"/>
          <w:sz w:val="21"/>
        </w:rPr>
        <w:t xml:space="preserve">51 % van de respondenten vindt het een goede zaak dat Nederland lid is van de EU, 13 % vindt dat het een slechte zaak is en 36 % is neutraal of heeft geen mening. </w:t>
      </w:r>
      <w:r>
        <w:br w:type="page"/>
      </w:r>
    </w:p>
    <w:p>
      <w:pPr>
        <w:pStyle w:val="P68B1DB1Normal104"/>
        <w:spacing w:lineRule="auto" w:line="240"/>
        <w:ind w:left="0" w:right="0" w:hanging="0"/>
        <w:rPr/>
      </w:pPr>
      <w:r>
        <w:rPr/>
        <w:t xml:space="preserve">95 % van de respondenten is geboren in Nederland. 89 % van de respondenten geeft aan dat beide ouders in Nederland zijn geboren. 5 % is geboren uit twee ouders die zelf in het buitenland zijn geboren. </w:t>
      </w:r>
    </w:p>
    <w:p>
      <w:pPr>
        <w:pStyle w:val="P68B1DB1Normal104"/>
        <w:widowControl w:val="false"/>
        <w:spacing w:lineRule="exact" w:line="339"/>
        <w:ind w:left="0" w:right="0" w:hanging="0"/>
        <w:jc w:val="left"/>
        <w:rPr>
          <w:rFonts w:ascii="Calibri" w:hAnsi="Calibri"/>
          <w:color w:val="000000"/>
          <w:sz w:val="21"/>
        </w:rPr>
      </w:pPr>
      <w:r>
        <w:rPr/>
        <w:t xml:space="preserve"> </w:t>
      </w:r>
    </w:p>
    <w:p>
      <w:pPr>
        <w:pStyle w:val="P68B1DB1Normal107"/>
        <w:widowControl w:val="false"/>
        <w:spacing w:lineRule="exact" w:line="375" w:before="33" w:after="0"/>
        <w:ind w:left="1" w:right="0" w:hanging="0"/>
        <w:jc w:val="left"/>
        <w:rPr>
          <w:rFonts w:ascii="Calibri" w:hAnsi="Calibri"/>
          <w:i/>
          <w:i/>
          <w:color w:val="000000"/>
          <w:sz w:val="24"/>
        </w:rPr>
      </w:pPr>
      <w:r>
        <w:rPr/>
        <w:t xml:space="preserve">Huidige politieke oriëntatie van respondenten </w:t>
      </w:r>
    </w:p>
    <w:p>
      <w:pPr>
        <w:pStyle w:val="P68B1DB1Normal120"/>
        <w:widowControl w:val="false"/>
        <w:spacing w:lineRule="exact" w:line="352" w:before="34" w:after="0"/>
        <w:ind w:left="63" w:right="0" w:hanging="0"/>
        <w:jc w:val="left"/>
        <w:rPr>
          <w:rFonts w:ascii="Calibri" w:hAnsi="Calibri"/>
          <w:b/>
          <w:b/>
          <w:color w:val="000000"/>
          <w:sz w:val="21"/>
        </w:rPr>
      </w:pPr>
      <w:r>
        <w:rPr/>
        <w:t xml:space="preserve">Feest </w:t>
        <w:tab/>
        <w:tab/>
        <w:tab/>
        <w:tab/>
        <w:tab/>
        <w:tab/>
        <w:tab/>
        <w:tab/>
        <w:tab/>
        <w:tab/>
        <w:t>%</w:t>
      </w:r>
    </w:p>
    <w:tbl>
      <w:tblPr>
        <w:tblW w:w="9638"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6149"/>
        <w:gridCol w:w="3488"/>
      </w:tblGrid>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VVD (Volkspartij voor Vrijheid en Democratie)</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14 %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PVV (Partij voor Vrijheid)</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13 %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SP (Socialistische Partij)</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8 %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D66 (Democraten 66)</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6 %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CDA (Christelijke Democratische Oproep)</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6 %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PvdA (arbeidspartij)</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6 %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Partij voor de Dieren (Animal Party)</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GroenLinks (Groen Links)</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ChristenUnie (Christelijke Unie)</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JA21</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BoerBurgerBeweging (Farmer-burgerbeweging)</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Forum voor Democratie (Forum voor Democratie)</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SAP (hervormde politieke partij)</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Volt</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DENK</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Groep Van Haga</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BIJ1</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Fractie Den Haan</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0 %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Overige</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Witte stem</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Ik geef liever geen antwoord</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13 %</w:t>
            </w:r>
          </w:p>
        </w:tc>
      </w:tr>
      <w:tr>
        <w:trPr>
          <w:trHeight w:val="566"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Ik stem niet</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5 %</w:t>
            </w:r>
          </w:p>
        </w:tc>
      </w:tr>
    </w:tbl>
    <w:p>
      <w:pPr>
        <w:pStyle w:val="P68B1DB1Normal107"/>
        <w:spacing w:lineRule="auto" w:line="240"/>
        <w:ind w:left="0" w:right="0" w:hanging="0"/>
        <w:rPr>
          <w:rFonts w:ascii="Calibri" w:hAnsi="Calibri"/>
          <w:i/>
          <w:i/>
          <w:color w:val="000000"/>
          <w:sz w:val="24"/>
        </w:rPr>
      </w:pPr>
      <w:r>
        <w:rPr/>
        <w:t xml:space="preserve">Wat is op dit moment je belangrijkste bezigheid? </w:t>
      </w:r>
    </w:p>
    <w:p>
      <w:pPr>
        <w:pStyle w:val="Normal"/>
        <w:spacing w:lineRule="auto" w:line="240"/>
        <w:ind w:left="0" w:right="0" w:hanging="0"/>
        <w:rPr/>
      </w:pPr>
      <w:r>
        <w:rPr/>
      </w:r>
    </w:p>
    <w:tbl>
      <w:tblPr>
        <w:tblW w:w="9638" w:type="dxa"/>
        <w:jc w:val="left"/>
        <w:tblInd w:w="0" w:type="dxa"/>
        <w:tblBorders/>
        <w:tblCellMar>
          <w:top w:w="28" w:type="dxa"/>
          <w:left w:w="28" w:type="dxa"/>
          <w:bottom w:w="28" w:type="dxa"/>
          <w:right w:w="28" w:type="dxa"/>
        </w:tblCellMar>
      </w:tblPr>
      <w:tblGrid>
        <w:gridCol w:w="6123"/>
        <w:gridCol w:w="3514"/>
      </w:tblGrid>
      <w:tr>
        <w:trPr>
          <w:trHeight w:val="356" w:hRule="atLeast"/>
        </w:trPr>
        <w:tc>
          <w:tcPr>
            <w:tcW w:w="6123" w:type="dxa"/>
            <w:tcBorders/>
            <w:shd w:fill="auto" w:val="clear"/>
            <w:vAlign w:val="bottom"/>
          </w:tcPr>
          <w:p>
            <w:pPr>
              <w:pStyle w:val="P68B1DB1Contenudetableau122"/>
              <w:spacing w:before="57" w:after="57"/>
              <w:jc w:val="left"/>
              <w:rPr>
                <w:b/>
                <w:b/>
                <w:color w:val="000000"/>
              </w:rPr>
            </w:pPr>
            <w:r>
              <w:rPr/>
              <w:t xml:space="preserve">Beroep </w:t>
            </w:r>
          </w:p>
        </w:tc>
        <w:tc>
          <w:tcPr>
            <w:tcW w:w="3514" w:type="dxa"/>
            <w:tcBorders/>
            <w:shd w:fill="auto" w:val="clear"/>
            <w:vAlign w:val="bottom"/>
          </w:tcPr>
          <w:p>
            <w:pPr>
              <w:pStyle w:val="P68B1DB1Contenudetableau122"/>
              <w:spacing w:before="57" w:after="57"/>
              <w:jc w:val="left"/>
              <w:rPr>
                <w:b/>
                <w:b/>
                <w:color w:val="000000"/>
              </w:rPr>
            </w:pPr>
            <w:r>
              <w:rPr/>
              <w:t>%</w:t>
            </w:r>
          </w:p>
        </w:tc>
      </w:tr>
      <w:tr>
        <w:trPr>
          <w:trHeight w:val="536"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Student/Studente</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6 %</w:t>
            </w:r>
          </w:p>
        </w:tc>
      </w:tr>
      <w:tr>
        <w:trPr>
          <w:trHeight w:val="52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Deeltijdwerknemer</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16 %</w:t>
            </w:r>
          </w:p>
        </w:tc>
      </w:tr>
      <w:tr>
        <w:trPr>
          <w:trHeight w:val="52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Fulltime medewerker</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31 %</w:t>
            </w:r>
          </w:p>
        </w:tc>
      </w:tr>
      <w:tr>
        <w:trPr>
          <w:trHeight w:val="52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Onafhankelijke aannemer</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3 %</w:t>
            </w:r>
          </w:p>
        </w:tc>
      </w:tr>
      <w:tr>
        <w:trPr>
          <w:trHeight w:val="52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Persoon thuis</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5 %</w:t>
            </w:r>
          </w:p>
        </w:tc>
      </w:tr>
      <w:tr>
        <w:trPr>
          <w:trHeight w:val="52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Werkzoekenden</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2 %</w:t>
            </w:r>
          </w:p>
        </w:tc>
      </w:tr>
      <w:tr>
        <w:trPr>
          <w:trHeight w:val="52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Vrijwilliger</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2 %</w:t>
            </w:r>
          </w:p>
        </w:tc>
      </w:tr>
      <w:tr>
        <w:trPr>
          <w:trHeight w:val="52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Arbeidsongeschiktheid</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6 %</w:t>
            </w:r>
          </w:p>
        </w:tc>
      </w:tr>
      <w:tr>
        <w:trPr>
          <w:trHeight w:val="52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Gepensioneerd</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27 %</w:t>
            </w:r>
          </w:p>
        </w:tc>
      </w:tr>
      <w:tr>
        <w:trPr>
          <w:trHeight w:val="52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Overige</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1 %</w:t>
            </w:r>
          </w:p>
        </w:tc>
      </w:tr>
      <w:tr>
        <w:trPr>
          <w:trHeight w:val="506"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Ik geef liever geen antwoord</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1 %</w:t>
            </w:r>
          </w:p>
        </w:tc>
      </w:tr>
    </w:tbl>
    <w:p>
      <w:pPr>
        <w:pStyle w:val="Normal"/>
        <w:spacing w:lineRule="auto" w:line="240"/>
        <w:ind w:left="0" w:right="0" w:hanging="0"/>
        <w:rPr/>
      </w:pPr>
      <w:r>
        <w:rPr/>
      </w:r>
    </w:p>
    <w:p>
      <w:pPr>
        <w:pStyle w:val="P68B1DB1Normal34"/>
        <w:spacing w:lineRule="auto" w:line="240"/>
        <w:ind w:left="0" w:right="0" w:hanging="0"/>
        <w:rPr/>
      </w:pPr>
      <w:r>
        <w:rPr>
          <w:rFonts w:ascii="Calibri" w:hAnsi="Calibri"/>
          <w:i/>
        </w:rPr>
        <w:t>Vragenlijst</w:t>
      </w:r>
      <w:r>
        <w:rPr>
          <w:rFonts w:ascii="Times New Roman" w:hAnsi="Times New Roman"/>
        </w:rPr>
        <w:t xml:space="preserve"> </w:t>
      </w:r>
    </w:p>
    <w:p>
      <w:pPr>
        <w:pStyle w:val="P68B1DB1Normal104"/>
        <w:widowControl w:val="false"/>
        <w:spacing w:lineRule="auto" w:line="240" w:before="79" w:after="0"/>
        <w:ind w:left="0" w:right="0" w:hanging="0"/>
        <w:jc w:val="left"/>
        <w:rPr/>
      </w:pPr>
      <w:r>
        <w:rPr/>
        <w:t xml:space="preserve">De vragenlijst en dit rapport zijn opgesteld door een onafhankelijke externe organisatie op verzoek van het ministerie van Buitenlandse Zaken. De vragenlijst bevat een modulaire structuur en bevat de volgende vragenblokken, in overeenstemming met de thema’s die zijn vastgesteld voor de conferentie over de toekomst van Europa: Belangrijke thema’s en de rol van Europa </w:t>
      </w:r>
    </w:p>
    <w:p>
      <w:pPr>
        <w:pStyle w:val="P68B1DB1Normal104"/>
        <w:widowControl w:val="false"/>
        <w:spacing w:lineRule="auto" w:line="240" w:before="1" w:after="0"/>
        <w:ind w:left="0" w:right="0" w:hanging="0"/>
        <w:jc w:val="left"/>
        <w:rPr>
          <w:rFonts w:ascii="Calibri" w:hAnsi="Calibri"/>
          <w:color w:val="000000"/>
          <w:sz w:val="21"/>
        </w:rPr>
      </w:pPr>
      <w:r>
        <w:rPr/>
        <w:t xml:space="preserve">Klimaatverandering en milieu </w:t>
      </w:r>
    </w:p>
    <w:p>
      <w:pPr>
        <w:pStyle w:val="P68B1DB1Normal104"/>
        <w:widowControl w:val="false"/>
        <w:spacing w:lineRule="auto" w:line="240"/>
        <w:ind w:left="0" w:right="0" w:hanging="0"/>
        <w:jc w:val="left"/>
        <w:rPr>
          <w:rFonts w:ascii="Calibri" w:hAnsi="Calibri"/>
          <w:color w:val="000000"/>
          <w:sz w:val="21"/>
        </w:rPr>
      </w:pPr>
      <w:r>
        <w:rPr/>
        <w:t xml:space="preserve">Gezondheid </w:t>
      </w:r>
    </w:p>
    <w:p>
      <w:pPr>
        <w:pStyle w:val="P68B1DB1Normal104"/>
        <w:widowControl w:val="false"/>
        <w:spacing w:lineRule="auto" w:line="240" w:before="1" w:after="0"/>
        <w:ind w:left="0" w:right="0" w:hanging="0"/>
        <w:jc w:val="left"/>
        <w:rPr>
          <w:rFonts w:ascii="Calibri" w:hAnsi="Calibri"/>
          <w:color w:val="000000"/>
          <w:sz w:val="21"/>
        </w:rPr>
      </w:pPr>
      <w:r>
        <w:rPr/>
        <w:t xml:space="preserve">Economie en werkgelegenheid </w:t>
      </w:r>
    </w:p>
    <w:p>
      <w:pPr>
        <w:pStyle w:val="P68B1DB1Normal104"/>
        <w:widowControl w:val="false"/>
        <w:spacing w:lineRule="auto" w:line="240"/>
        <w:ind w:left="0" w:right="0" w:hanging="0"/>
        <w:jc w:val="left"/>
        <w:rPr>
          <w:rFonts w:ascii="Calibri" w:hAnsi="Calibri"/>
          <w:color w:val="000000"/>
          <w:sz w:val="21"/>
        </w:rPr>
      </w:pPr>
      <w:r>
        <w:rPr/>
        <w:t xml:space="preserve">Rol van de Europese Unie in de wereld </w:t>
      </w:r>
    </w:p>
    <w:p>
      <w:pPr>
        <w:pStyle w:val="P68B1DB1Normal104"/>
        <w:widowControl w:val="false"/>
        <w:spacing w:lineRule="auto" w:line="240" w:before="1" w:after="0"/>
        <w:ind w:left="0" w:right="0" w:hanging="0"/>
        <w:jc w:val="left"/>
        <w:rPr>
          <w:rFonts w:ascii="Calibri" w:hAnsi="Calibri"/>
          <w:color w:val="000000"/>
          <w:sz w:val="21"/>
        </w:rPr>
      </w:pPr>
      <w:r>
        <w:rPr/>
        <w:t xml:space="preserve">Veiligheid en rechtsstaat </w:t>
      </w:r>
    </w:p>
    <w:p>
      <w:pPr>
        <w:pStyle w:val="P68B1DB1Normal104"/>
        <w:widowControl w:val="false"/>
        <w:spacing w:lineRule="auto" w:line="240"/>
        <w:ind w:left="0" w:right="0" w:hanging="0"/>
        <w:jc w:val="left"/>
        <w:rPr>
          <w:rFonts w:ascii="Calibri" w:hAnsi="Calibri"/>
          <w:color w:val="000000"/>
          <w:sz w:val="21"/>
        </w:rPr>
      </w:pPr>
      <w:r>
        <w:rPr/>
        <w:t xml:space="preserve">De virtuele wereld </w:t>
      </w:r>
    </w:p>
    <w:p>
      <w:pPr>
        <w:pStyle w:val="P68B1DB1Normal104"/>
        <w:widowControl w:val="false"/>
        <w:spacing w:lineRule="auto" w:line="240" w:before="1" w:after="0"/>
        <w:ind w:left="0" w:right="0" w:hanging="0"/>
        <w:jc w:val="left"/>
        <w:rPr>
          <w:rFonts w:ascii="Calibri" w:hAnsi="Calibri"/>
          <w:color w:val="000000"/>
          <w:sz w:val="21"/>
        </w:rPr>
      </w:pPr>
      <w:r>
        <w:rPr/>
        <w:t xml:space="preserve">Europese democratie </w:t>
      </w:r>
    </w:p>
    <w:p>
      <w:pPr>
        <w:pStyle w:val="P68B1DB1Normal104"/>
        <w:widowControl w:val="false"/>
        <w:spacing w:lineRule="auto" w:line="240"/>
        <w:ind w:left="0" w:right="0" w:hanging="0"/>
        <w:jc w:val="left"/>
        <w:rPr>
          <w:rFonts w:ascii="Calibri" w:hAnsi="Calibri"/>
          <w:color w:val="000000"/>
          <w:sz w:val="21"/>
        </w:rPr>
      </w:pPr>
      <w:r>
        <w:rPr/>
        <w:t xml:space="preserve">Migratie en vluchtelingen </w:t>
      </w:r>
    </w:p>
    <w:p>
      <w:pPr>
        <w:pStyle w:val="P68B1DB1Normal104"/>
        <w:widowControl w:val="false"/>
        <w:spacing w:lineRule="auto" w:line="240" w:before="1" w:after="0"/>
        <w:ind w:left="0" w:right="0" w:hanging="0"/>
        <w:jc w:val="left"/>
        <w:rPr>
          <w:rFonts w:ascii="Calibri" w:hAnsi="Calibri"/>
          <w:color w:val="000000"/>
          <w:sz w:val="21"/>
        </w:rPr>
      </w:pPr>
      <w:r>
        <w:rPr/>
        <w:t xml:space="preserve">Onderwijs/cultuur/jeugd/sport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before="1" w:after="0"/>
        <w:ind w:left="0" w:right="0" w:hanging="0"/>
        <w:jc w:val="left"/>
        <w:rPr/>
      </w:pPr>
      <w:r>
        <w:rPr/>
        <w:t xml:space="preserve">Bij het opstellen van de vragenlijst werd veel aandacht besteed aan de kwaliteit, betrouwbaarheid en validiteit van de vragen. Om deze reden werd gezocht naar een neutrale, niet-geleide formulering van vragen, beweringen en antwoordopties, en werd gecontroleerd of de vragen in begrijpelijke taal waren geformuleerd (niveau B1).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Normal"/>
        <w:widowControl w:val="false"/>
        <w:spacing w:lineRule="auto" w:line="240" w:before="1" w:after="0"/>
        <w:ind w:left="0" w:right="0" w:hanging="0"/>
        <w:jc w:val="left"/>
        <w:rPr/>
      </w:pPr>
      <w:r>
        <w:rPr>
          <w:rFonts w:ascii="Calibri" w:hAnsi="Calibri"/>
          <w:color w:val="000000"/>
          <w:sz w:val="21"/>
        </w:rPr>
        <w:t xml:space="preserve">De vragenlijst werd onderworpen aan kwaliteitstests door middel van face-to-face interviews met testdeelnemers van de doelgroep. Dit stelde ons in staat om te bestuderen hoe vragen worden begrepen door verschillende soorten respondenten. Als een vraag een te grote (te complexe) cognitieve belasting leek te vertegenwoordigen, was het passend. </w:t>
      </w:r>
      <w:r>
        <w:br w:type="page"/>
      </w:r>
    </w:p>
    <w:p>
      <w:pPr>
        <w:pStyle w:val="P68B1DB1Normal107"/>
        <w:spacing w:lineRule="auto" w:line="240"/>
        <w:ind w:left="0" w:right="0" w:hanging="0"/>
        <w:rPr>
          <w:rFonts w:ascii="Calibri" w:hAnsi="Calibri"/>
          <w:i/>
          <w:i/>
          <w:color w:val="000000"/>
          <w:sz w:val="24"/>
        </w:rPr>
      </w:pPr>
      <w:r>
        <w:rPr/>
        <w:t xml:space="preserve">Analysemethoden </w:t>
      </w:r>
    </w:p>
    <w:p>
      <w:pPr>
        <w:pStyle w:val="P68B1DB1Normal104"/>
        <w:widowControl w:val="false"/>
        <w:spacing w:lineRule="auto" w:line="240" w:before="127" w:after="0"/>
        <w:ind w:left="0" w:right="0" w:hanging="0"/>
        <w:jc w:val="left"/>
        <w:rPr>
          <w:rFonts w:ascii="Calibri" w:hAnsi="Calibri"/>
          <w:color w:val="000000"/>
          <w:sz w:val="21"/>
        </w:rPr>
      </w:pPr>
      <w:r>
        <w:rPr/>
        <w:t xml:space="preserve">In dit onderzoek zijn twee analysemethoden gebruikt: </w:t>
      </w:r>
    </w:p>
    <w:p>
      <w:pPr>
        <w:pStyle w:val="P68B1DB1Normal111"/>
        <w:widowControl w:val="false"/>
        <w:spacing w:lineRule="auto" w:line="240" w:before="38" w:after="0"/>
        <w:ind w:left="0" w:right="0" w:hanging="0"/>
        <w:jc w:val="left"/>
        <w:rPr>
          <w:rFonts w:ascii="Calibri" w:hAnsi="Calibri"/>
          <w:b/>
          <w:b/>
          <w:color w:val="000000"/>
          <w:sz w:val="22"/>
        </w:rPr>
      </w:pPr>
      <w:r>
        <w:rPr/>
        <w:t xml:space="preserve">Univariate analyses </w:t>
      </w:r>
    </w:p>
    <w:p>
      <w:pPr>
        <w:pStyle w:val="P68B1DB1Normal104"/>
        <w:widowControl w:val="false"/>
        <w:spacing w:lineRule="auto" w:line="240" w:before="97" w:after="0"/>
        <w:ind w:left="0" w:right="0" w:hanging="0"/>
        <w:jc w:val="left"/>
        <w:rPr/>
      </w:pPr>
      <w:r>
        <w:rPr/>
        <w:t xml:space="preserve">Beschrijvende statistieken worden gebruikt om de variabelen van een enquête te beschrijven. Frequenties en gemiddelden worden gebruikt in deze enquête. </w:t>
      </w:r>
    </w:p>
    <w:p>
      <w:pPr>
        <w:pStyle w:val="P68B1DB1Normal111"/>
        <w:widowControl w:val="false"/>
        <w:spacing w:lineRule="auto" w:line="240" w:before="41" w:after="0"/>
        <w:ind w:left="0" w:right="0" w:hanging="0"/>
        <w:jc w:val="left"/>
        <w:rPr>
          <w:rFonts w:ascii="Calibri" w:hAnsi="Calibri"/>
          <w:b/>
          <w:b/>
          <w:color w:val="000000"/>
          <w:sz w:val="22"/>
        </w:rPr>
      </w:pPr>
      <w:r>
        <w:rPr/>
        <w:t xml:space="preserve">Bivariate analyses </w:t>
      </w:r>
    </w:p>
    <w:p>
      <w:pPr>
        <w:pStyle w:val="P68B1DB1Normal104"/>
        <w:widowControl w:val="false"/>
        <w:spacing w:lineRule="auto" w:line="240" w:before="95" w:after="0"/>
        <w:ind w:left="0" w:right="0" w:hanging="0"/>
        <w:jc w:val="left"/>
        <w:rPr/>
      </w:pPr>
      <w:r>
        <w:rPr/>
        <w:t xml:space="preserve">De bivariate analyses maken het mogelijk om de relatie tussen twee variabelen te onderzoeken, in dit geval het verband tussen het belang van de verschillende thema’s en de vraag of de EU op dit gebied moet ingrijpen en het algemene kenmerk van leeftijd. Er is een evaluatie uitgevoerd om vast te stellen of verschillende leeftijdsgroepen een ander belang hechten aan een onderwerp en of er verschillende standpunten bestaan over de mate waarin dit kwesties zijn waarin de EU moet worden betrokken. </w:t>
      </w:r>
    </w:p>
    <w:p>
      <w:pPr>
        <w:pStyle w:val="P68B1DB1Normal107"/>
        <w:widowControl w:val="false"/>
        <w:spacing w:lineRule="auto" w:line="240" w:before="43" w:after="0"/>
        <w:ind w:left="0" w:right="0" w:hanging="0"/>
        <w:jc w:val="left"/>
        <w:rPr>
          <w:rFonts w:ascii="Calibri" w:hAnsi="Calibri"/>
          <w:i/>
          <w:i/>
          <w:color w:val="000000"/>
          <w:sz w:val="24"/>
        </w:rPr>
      </w:pPr>
      <w:r>
        <w:rPr/>
        <w:t xml:space="preserve">Publicatie van informatie en volledigheid </w:t>
      </w:r>
    </w:p>
    <w:p>
      <w:pPr>
        <w:pStyle w:val="P68B1DB1Normal104"/>
        <w:widowControl w:val="false"/>
        <w:spacing w:lineRule="auto" w:line="240" w:before="123" w:after="0"/>
        <w:ind w:left="0" w:right="0" w:hanging="0"/>
        <w:jc w:val="left"/>
        <w:rPr/>
      </w:pPr>
      <w:r>
        <w:rPr/>
        <w:t xml:space="preserve">Dit rapport bevat een (visuele) weergave van de resultaten van alle vragen die worden gesteld aan respondenten van het enquêtepanel. Voor sommige vragen kreeg de respondent de gelegenheid om „open” (d.w.z. niet vooraf bepaald) antwoorden te geven. Open reacties werden vervolgens gecategoriseerd en opgenomen in de publicatie. De ideeën die de respondenten in de gratis commentaren hebben gedeeld, worden gebruikt als input voor de verschillende thematische dialogen die worden georganiseerd als follow-up van het burgerdialoogproces „Vision of Europe”. </w:t>
      </w:r>
    </w:p>
    <w:p>
      <w:pPr>
        <w:pStyle w:val="P68B1DB1Normal108"/>
        <w:widowControl w:val="false"/>
        <w:spacing w:lineRule="auto" w:line="240" w:before="35" w:after="0"/>
        <w:ind w:left="0" w:right="0" w:hanging="0"/>
        <w:jc w:val="left"/>
        <w:rPr>
          <w:rFonts w:ascii="Calibri" w:hAnsi="Calibri"/>
          <w:b/>
          <w:b/>
          <w:i/>
          <w:i/>
          <w:color w:val="000000"/>
          <w:sz w:val="24"/>
        </w:rPr>
      </w:pPr>
      <w:r>
        <w:rPr/>
        <w:t xml:space="preserve">2. Online thematische dialogen voor verdieping </w:t>
      </w:r>
    </w:p>
    <w:p>
      <w:pPr>
        <w:pStyle w:val="P68B1DB1Normal104"/>
        <w:widowControl w:val="false"/>
        <w:spacing w:lineRule="auto" w:line="240" w:before="17" w:after="0"/>
        <w:ind w:left="0" w:right="0" w:hanging="0"/>
        <w:jc w:val="left"/>
        <w:rPr/>
      </w:pPr>
      <w:r>
        <w:rPr/>
        <w:t xml:space="preserve">De thema’s die centraal staan in de conferentie over de toekomst van Europa zijn verdiept door middel van acht online thematische dialogen. Het doel van deze dialogen was om de redenen voor de geuite meningen te ontdekken, evenals de motivaties en gevoelens erachter. Wat zijn de gepercipieerde zorgen en kansen? Tijdens de discussiesessies konden de deelnemers ook suggesties en ideeën over deze onderwerpen formuleren en kwesties aan de orde stellen die geen deel uitmaken van de conferentie, maar voor hen belangrijk blijven. </w:t>
      </w:r>
    </w:p>
    <w:p>
      <w:pPr>
        <w:pStyle w:val="P68B1DB1Normal24"/>
        <w:widowControl w:val="false"/>
        <w:spacing w:lineRule="auto" w:line="240" w:before="2" w:after="0"/>
        <w:ind w:left="0" w:right="0" w:hanging="0"/>
        <w:jc w:val="left"/>
        <w:rPr>
          <w:rFonts w:ascii="Times New Roman" w:hAnsi="Times New Roman"/>
          <w:color w:val="000000"/>
          <w:sz w:val="22"/>
        </w:rPr>
      </w:pPr>
      <w:r>
        <w:rPr/>
        <w:t xml:space="preserve"> </w:t>
      </w:r>
    </w:p>
    <w:p>
      <w:pPr>
        <w:pStyle w:val="P68B1DB1Normal104"/>
        <w:widowControl w:val="false"/>
        <w:spacing w:lineRule="auto" w:line="240" w:before="8" w:after="0"/>
        <w:ind w:left="0" w:right="0" w:hanging="0"/>
        <w:jc w:val="left"/>
        <w:rPr/>
      </w:pPr>
      <w:r>
        <w:rPr/>
        <w:t xml:space="preserve">De thematische dialogen vonden plaats op 12-14 oktober en 9-11 november. In oktober werden vier online thematische dialogen georganiseerd over de thema’s „Economie” en „democratie”. In november werden vier online thematische dialogen gehouden over de thema’s „Klimaat” en „De EU in de wereld”. Gemiddeld namen 29 mensen deel aan elke discussiesessie (231 in totaal). Deelnemers werden gerekruteerd uit de panelleden (zie punt 1) en via sociale media. </w:t>
      </w:r>
    </w:p>
    <w:p>
      <w:pPr>
        <w:pStyle w:val="P68B1DB1Normal19"/>
        <w:widowControl w:val="false"/>
        <w:spacing w:lineRule="auto" w:line="240" w:before="1" w:after="0"/>
        <w:ind w:left="0" w:right="0" w:hanging="0"/>
        <w:jc w:val="left"/>
        <w:rPr>
          <w:rFonts w:ascii="Times New Roman" w:hAnsi="Times New Roman"/>
          <w:color w:val="000000"/>
          <w:sz w:val="24"/>
        </w:rPr>
      </w:pPr>
      <w:r>
        <w:rPr/>
        <w:t xml:space="preserve"> </w:t>
      </w:r>
    </w:p>
    <w:p>
      <w:pPr>
        <w:pStyle w:val="P68B1DB1Normal108"/>
        <w:widowControl w:val="false"/>
        <w:spacing w:lineRule="auto" w:line="240" w:before="3" w:after="0"/>
        <w:ind w:left="0" w:right="0" w:hanging="0"/>
        <w:jc w:val="left"/>
        <w:rPr>
          <w:rFonts w:ascii="Calibri" w:hAnsi="Calibri"/>
          <w:b/>
          <w:b/>
          <w:i/>
          <w:i/>
          <w:color w:val="000000"/>
          <w:sz w:val="24"/>
        </w:rPr>
      </w:pPr>
      <w:r>
        <w:rPr/>
        <w:t xml:space="preserve">3. Dialogen met specifieke groepen </w:t>
      </w:r>
    </w:p>
    <w:p>
      <w:pPr>
        <w:pStyle w:val="P68B1DB1Normal104"/>
        <w:widowControl w:val="false"/>
        <w:spacing w:lineRule="auto" w:line="240" w:before="12" w:after="0"/>
        <w:ind w:left="0" w:right="0" w:hanging="0"/>
        <w:jc w:val="left"/>
        <w:rPr/>
      </w:pPr>
      <w:r>
        <w:rPr/>
        <w:t xml:space="preserve">Sommige Nederlandse groepen zijn minder gewend aan deelname aan enquêtes en panels (online). Om een representatief beeld te krijgen van „de stem van Nederland” was het belangrijk dat deze burgers ook hun ideeën en meningen konden uiten. Daarom hebben we ook een aantal dialogen ter plaatse georganiseerd voor de enquête „Vision of Europe”. De meningen en ideeën die we konden verzamelen werden gebruikt als basis (onder andere) om de aanbevelingen te formuleren. </w:t>
      </w:r>
    </w:p>
    <w:p>
      <w:pPr>
        <w:pStyle w:val="P68B1DB1Normal24"/>
        <w:widowControl w:val="false"/>
        <w:spacing w:lineRule="auto" w:line="240" w:before="4" w:after="0"/>
        <w:ind w:left="0" w:right="0" w:hanging="0"/>
        <w:jc w:val="left"/>
        <w:rPr>
          <w:rFonts w:ascii="Times New Roman" w:hAnsi="Times New Roman"/>
          <w:color w:val="000000"/>
          <w:sz w:val="22"/>
        </w:rPr>
      </w:pPr>
      <w:r>
        <w:rPr/>
        <w:t xml:space="preserve"> </w:t>
      </w:r>
    </w:p>
    <w:p>
      <w:pPr>
        <w:pStyle w:val="Normal"/>
        <w:spacing w:lineRule="auto" w:line="240"/>
        <w:ind w:left="0" w:right="0" w:hanging="0"/>
        <w:rPr/>
      </w:pPr>
      <w:r>
        <w:rPr/>
      </w:r>
      <w:r>
        <w:br w:type="page"/>
      </w:r>
    </w:p>
    <w:p>
      <w:pPr>
        <w:pStyle w:val="P68B1DB1Normal107"/>
        <w:spacing w:lineRule="auto" w:line="240"/>
        <w:ind w:left="0" w:right="0" w:hanging="0"/>
        <w:rPr>
          <w:rFonts w:ascii="Calibri" w:hAnsi="Calibri"/>
          <w:i/>
          <w:i/>
          <w:color w:val="000000"/>
          <w:sz w:val="24"/>
        </w:rPr>
      </w:pPr>
      <w:r>
        <w:rPr/>
        <w:t xml:space="preserve">Doelgroepen </w:t>
      </w:r>
    </w:p>
    <w:p>
      <w:pPr>
        <w:pStyle w:val="P68B1DB1Normal110"/>
        <w:widowControl w:val="false"/>
        <w:spacing w:lineRule="auto" w:line="240" w:before="22" w:after="0"/>
        <w:ind w:left="0" w:right="0" w:hanging="0"/>
        <w:jc w:val="left"/>
        <w:rPr/>
      </w:pPr>
      <w:r>
        <w:rPr>
          <w:sz w:val="21"/>
        </w:rPr>
        <w:t xml:space="preserve">Moeilijk bereikbare doelgroepen kunnen niet ondubbelzinnig worden gedefinieerd. Studies en ervaringen stellen ons in staat om te weten dat Nederlanders </w:t>
      </w:r>
      <w:r>
        <w:rPr>
          <w:b/>
          <w:sz w:val="21"/>
        </w:rPr>
        <w:t>met niet-westerse afkomst</w:t>
      </w:r>
      <w:r>
        <w:rPr>
          <w:sz w:val="21"/>
        </w:rPr>
        <w:t>aanzienlijk minder van zichzelf deelnemen aan onderzoeken en discussies. Aangezien dit een grote groep vertegenwoordigt (14 % van de Nederlandse</w:t>
      </w:r>
      <w:r>
        <w:rPr>
          <w:position w:val="6"/>
          <w:sz w:val="14"/>
        </w:rPr>
        <w:t>1</w:t>
      </w:r>
      <w:r>
        <w:rPr>
          <w:sz w:val="21"/>
        </w:rPr>
        <w:t xml:space="preserve">), werden ze geselecteerd om deel te nemen aan de Visie van Europa dialoog. Dezelfde redenering werd gevolgd met betrekking tot </w:t>
      </w:r>
      <w:r>
        <w:rPr>
          <w:b/>
          <w:sz w:val="21"/>
        </w:rPr>
        <w:t>personen met weinig opleiding</w:t>
      </w:r>
      <w:r>
        <w:rPr>
          <w:sz w:val="21"/>
        </w:rPr>
        <w:t>. Het is ook een grote groep (2,5 miljoen Nederlanders</w:t>
      </w:r>
      <w:r>
        <w:rPr>
          <w:position w:val="6"/>
          <w:sz w:val="14"/>
        </w:rPr>
        <w:t>2</w:t>
      </w:r>
      <w:r>
        <w:rPr>
          <w:sz w:val="21"/>
        </w:rPr>
        <w:t xml:space="preserve">), die gedeeltelijk overlapt met de migrantengroep (39 %). Tot slot is er een dialoog gevoerd met een groep mensen die zelden te vinden zijn in enquêtes en discussies, </w:t>
      </w:r>
      <w:r>
        <w:rPr>
          <w:b/>
          <w:sz w:val="21"/>
        </w:rPr>
        <w:t>die kritisch zijn over Europa, maar voor wie Europa een belangrijke rol speelt in de beroepswereld.</w:t>
      </w:r>
      <w:r>
        <w:rPr>
          <w:sz w:val="21"/>
        </w:rPr>
        <w:t xml:space="preserve"> Ondernemers uit de agrarische sector werden geselecteerd. </w:t>
      </w:r>
    </w:p>
    <w:p>
      <w:pPr>
        <w:pStyle w:val="P68B1DB1Normal104"/>
        <w:widowControl w:val="false"/>
        <w:spacing w:lineRule="auto" w:line="240" w:before="13" w:after="0"/>
        <w:ind w:left="0" w:right="0" w:hanging="0"/>
        <w:jc w:val="left"/>
        <w:rPr>
          <w:rFonts w:ascii="Calibri" w:hAnsi="Calibri"/>
          <w:color w:val="000000"/>
          <w:sz w:val="21"/>
        </w:rPr>
      </w:pPr>
      <w:r>
        <w:rPr/>
        <w:t xml:space="preserve"> </w:t>
      </w:r>
    </w:p>
    <w:p>
      <w:pPr>
        <w:pStyle w:val="P68B1DB1Normal104"/>
        <w:widowControl w:val="false"/>
        <w:spacing w:lineRule="auto" w:line="240" w:before="15" w:after="0"/>
        <w:ind w:left="0" w:right="0" w:hanging="0"/>
        <w:jc w:val="left"/>
        <w:rPr/>
      </w:pPr>
      <w:r>
        <w:rPr/>
        <w:t xml:space="preserve">De bovengenoemde groepen zijn benaderd door organisaties waarvan zij lid zijn, zoals migrantenorganisaties, belangenverenigingen en beroepsorganisaties. Omdat we het aantal dialogen tot acht beperkten, konden we niet volledig „uitputtend” zijn. Dit maakt de keuze van de deelnemers enigszins arbitrair. Om deze keuze te maken, hebben we ook rekening gehouden met het enthousiasme om deel te nemen en te helpen hun basis te mobiliseren, evenals praktische kwesties zoals beschikbaarheid op basis van data en locatie. </w:t>
      </w:r>
    </w:p>
    <w:p>
      <w:pPr>
        <w:pStyle w:val="P68B1DB1Normal104"/>
        <w:widowControl w:val="false"/>
        <w:spacing w:lineRule="auto" w:line="240" w:before="13" w:after="0"/>
        <w:ind w:left="0" w:right="0" w:hanging="0"/>
        <w:jc w:val="left"/>
        <w:rPr>
          <w:rFonts w:ascii="Calibri" w:hAnsi="Calibri"/>
          <w:color w:val="000000"/>
          <w:sz w:val="21"/>
        </w:rPr>
      </w:pPr>
      <w:r>
        <w:rPr/>
        <w:t xml:space="preserve"> </w:t>
      </w:r>
    </w:p>
    <w:p>
      <w:pPr>
        <w:pStyle w:val="P68B1DB1Normal104"/>
        <w:widowControl w:val="false"/>
        <w:spacing w:lineRule="auto" w:line="240" w:before="15" w:after="0"/>
        <w:ind w:left="0" w:right="0" w:hanging="0"/>
        <w:jc w:val="left"/>
        <w:rPr>
          <w:rFonts w:ascii="Calibri" w:hAnsi="Calibri"/>
          <w:color w:val="000000"/>
          <w:sz w:val="21"/>
        </w:rPr>
      </w:pPr>
      <w:r>
        <w:rPr/>
        <w:t xml:space="preserve">Ter plaatse werden dialogen gehouden met leden van de volgende organisaties: </w:t>
      </w:r>
    </w:p>
    <w:p>
      <w:pPr>
        <w:pStyle w:val="P68B1DB1Normal105"/>
        <w:widowControl w:val="false"/>
        <w:spacing w:lineRule="auto" w:line="240" w:before="19" w:after="0"/>
        <w:ind w:left="0" w:right="0" w:hanging="0"/>
        <w:jc w:val="left"/>
        <w:rPr/>
      </w:pPr>
      <w:r>
        <w:rPr>
          <w:rFonts w:ascii="Verdana" w:hAnsi="Verdana"/>
        </w:rPr>
        <w:t>•</w:t>
      </w:r>
      <w:r>
        <w:rPr/>
        <w:t xml:space="preserve"> </w:t>
      </w:r>
      <w:r>
        <w:rPr>
          <w:rFonts w:ascii="Calibri" w:hAnsi="Calibri"/>
        </w:rPr>
        <w:t xml:space="preserve">Hakder Foundation, Alevi gemeenschap, Schiedam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Asha Foundation, Hindoegemeenschap, Utrecht (twee discussiesessies)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Piëzo, maatschappelijke organisatie, Zoetermeer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Taal doet Meer, een organisatie voor laagopgeleiden, Utrecht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BoerenNatuur, vereniging van landbouwgroepen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Marokkanen Dialoog Overvecht, Marokkaanse gemeenschap, Utrecht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Women for Freedom, belangenbehartigingsorganisatie voor vrouwen met een migrantenachtergrond, Den Haag </w:t>
      </w:r>
    </w:p>
    <w:p>
      <w:pPr>
        <w:pStyle w:val="P68B1DB1Normal104"/>
        <w:widowControl w:val="false"/>
        <w:spacing w:lineRule="auto" w:line="240" w:before="12" w:after="0"/>
        <w:ind w:left="0" w:right="0" w:hanging="0"/>
        <w:jc w:val="left"/>
        <w:rPr>
          <w:rFonts w:ascii="Calibri" w:hAnsi="Calibri"/>
          <w:color w:val="000000"/>
          <w:sz w:val="21"/>
        </w:rPr>
      </w:pPr>
      <w:r>
        <w:rPr/>
        <w:t xml:space="preserve"> </w:t>
      </w:r>
    </w:p>
    <w:p>
      <w:pPr>
        <w:pStyle w:val="P68B1DB1Normal104"/>
        <w:widowControl w:val="false"/>
        <w:spacing w:lineRule="auto" w:line="240" w:before="101" w:after="0"/>
        <w:ind w:left="0" w:right="0" w:hanging="0"/>
        <w:jc w:val="left"/>
        <w:rPr>
          <w:rFonts w:ascii="Calibri" w:hAnsi="Calibri"/>
          <w:color w:val="000000"/>
          <w:sz w:val="21"/>
        </w:rPr>
      </w:pPr>
      <w:r>
        <w:rPr/>
        <w:t xml:space="preserve">In totaal namen 110 mensen deel aan deze discussiebijeenkomsten. </w:t>
      </w:r>
    </w:p>
    <w:p>
      <w:pPr>
        <w:pStyle w:val="P68B1DB1Normal19"/>
        <w:widowControl w:val="false"/>
        <w:spacing w:lineRule="auto" w:line="240" w:before="90" w:after="0"/>
        <w:ind w:left="0" w:right="0" w:hanging="0"/>
        <w:jc w:val="left"/>
        <w:rPr>
          <w:rFonts w:ascii="Times New Roman" w:hAnsi="Times New Roman"/>
          <w:color w:val="000000"/>
          <w:sz w:val="24"/>
        </w:rPr>
      </w:pPr>
      <w:r>
        <w:rPr/>
        <w:t xml:space="preserve"> </w:t>
      </w:r>
    </w:p>
    <w:p>
      <w:pPr>
        <w:pStyle w:val="P68B1DB1Normal108"/>
        <w:widowControl w:val="false"/>
        <w:spacing w:lineRule="auto" w:line="240" w:before="339" w:after="0"/>
        <w:ind w:left="0" w:right="0" w:hanging="0"/>
        <w:jc w:val="left"/>
        <w:rPr>
          <w:rFonts w:ascii="Calibri" w:hAnsi="Calibri"/>
          <w:b/>
          <w:b/>
          <w:i/>
          <w:i/>
          <w:color w:val="000000"/>
          <w:sz w:val="24"/>
        </w:rPr>
      </w:pPr>
      <w:r>
        <w:rPr/>
        <w:t xml:space="preserve">4. Dialogen met jongeren </w:t>
      </w:r>
    </w:p>
    <w:p>
      <w:pPr>
        <w:pStyle w:val="P68B1DB1Normal104"/>
        <w:widowControl w:val="false"/>
        <w:spacing w:lineRule="auto" w:line="240" w:before="118" w:after="0"/>
        <w:ind w:left="0" w:right="0" w:hanging="0"/>
        <w:jc w:val="both"/>
        <w:rPr/>
      </w:pPr>
      <w:r>
        <w:rPr/>
        <w:t xml:space="preserve">Jongeren zijn een prioritaire doelgroep van de conferentie over de toekomst van Europa. Om hun deelname aan de burgerdialoog „Vision of Europe” actief aan te moedigen en de meningen en ideeën van deze groep goed te laten horen, werden vijf fysieke discussiebijeenkomsten voor jongeren georganiseerd. Een zesde geplande ontmoeting met jongeren kon niet plaatsvinden als gevolg van de beperkende maatregelen in verband met het coronavirus. </w:t>
      </w:r>
    </w:p>
    <w:p>
      <w:pPr>
        <w:pStyle w:val="P68B1DB1Normal104"/>
        <w:widowControl w:val="false"/>
        <w:spacing w:lineRule="auto" w:line="240" w:before="1" w:after="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both"/>
        <w:rPr>
          <w:rFonts w:ascii="Calibri" w:hAnsi="Calibri"/>
          <w:color w:val="000000"/>
          <w:sz w:val="21"/>
        </w:rPr>
      </w:pPr>
      <w:r>
        <w:rPr/>
        <w:t xml:space="preserve">De vergaderingen vonden plaats in de volgende instellingen: </w:t>
      </w:r>
    </w:p>
    <w:p>
      <w:pPr>
        <w:pStyle w:val="P68B1DB1Normal104"/>
        <w:widowControl w:val="false"/>
        <w:spacing w:lineRule="auto" w:line="240"/>
        <w:ind w:left="0" w:right="0" w:hanging="0"/>
        <w:jc w:val="both"/>
        <w:rPr>
          <w:rFonts w:ascii="Calibri" w:hAnsi="Calibri"/>
          <w:color w:val="000000"/>
          <w:sz w:val="21"/>
        </w:rPr>
      </w:pPr>
      <w:r>
        <w:rPr/>
        <w:t xml:space="preserve">Vereniging Geschiedenis Studenten, Universiteit Leiden </w:t>
      </w:r>
    </w:p>
    <w:p>
      <w:pPr>
        <w:pStyle w:val="P68B1DB1Normal104"/>
        <w:widowControl w:val="false"/>
        <w:spacing w:lineRule="auto" w:line="240"/>
        <w:ind w:left="0" w:right="0" w:hanging="0"/>
        <w:jc w:val="both"/>
        <w:rPr>
          <w:rFonts w:ascii="Calibri" w:hAnsi="Calibri"/>
          <w:color w:val="000000"/>
          <w:sz w:val="21"/>
        </w:rPr>
      </w:pPr>
      <w:r>
        <w:rPr/>
        <w:t xml:space="preserve">Dr. Knippenberg College, High School, Helmond </w:t>
      </w:r>
    </w:p>
    <w:p>
      <w:pPr>
        <w:pStyle w:val="P68B1DB1Normal104"/>
        <w:widowControl w:val="false"/>
        <w:spacing w:lineRule="auto" w:line="240" w:before="1" w:after="0"/>
        <w:ind w:left="0" w:right="0" w:hanging="0"/>
        <w:jc w:val="left"/>
        <w:rPr>
          <w:rFonts w:ascii="Calibri" w:hAnsi="Calibri"/>
          <w:color w:val="000000"/>
          <w:sz w:val="21"/>
        </w:rPr>
      </w:pPr>
      <w:r>
        <w:rPr/>
        <w:t xml:space="preserve">Coalitie-Y, Sociaal-Economische Raad Jeugdplatform </w:t>
      </w:r>
    </w:p>
    <w:p>
      <w:pPr>
        <w:pStyle w:val="P68B1DB1Normal104"/>
        <w:widowControl w:val="false"/>
        <w:spacing w:lineRule="auto" w:line="240"/>
        <w:ind w:left="0" w:right="0" w:hanging="0"/>
        <w:jc w:val="left"/>
        <w:rPr>
          <w:rFonts w:ascii="Calibri" w:hAnsi="Calibri"/>
          <w:color w:val="000000"/>
          <w:sz w:val="21"/>
        </w:rPr>
      </w:pPr>
      <w:r>
        <w:rPr/>
        <w:t xml:space="preserve">Graafschap College, Beroepssecundair Onderwijs, Doetinchem </w:t>
      </w:r>
    </w:p>
    <w:p>
      <w:pPr>
        <w:pStyle w:val="P68B1DB1Normal104"/>
        <w:widowControl w:val="false"/>
        <w:spacing w:lineRule="auto" w:line="240" w:before="1" w:after="0"/>
        <w:ind w:left="0" w:right="0" w:hanging="0"/>
        <w:jc w:val="left"/>
        <w:rPr>
          <w:rFonts w:ascii="Calibri" w:hAnsi="Calibri"/>
          <w:color w:val="000000"/>
          <w:sz w:val="21"/>
        </w:rPr>
      </w:pPr>
      <w:r>
        <w:rPr/>
        <w:t xml:space="preserve">CSG Jan Arentsz, Middelbaar onderwijs gericht op technologische vakken, Alkmaar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Normal"/>
        <w:widowControl w:val="false"/>
        <w:spacing w:lineRule="auto" w:line="240" w:before="1" w:after="0"/>
        <w:ind w:left="0" w:right="0" w:hanging="0"/>
        <w:jc w:val="left"/>
        <w:rPr>
          <w:rFonts w:ascii="Calibri" w:hAnsi="Calibri"/>
          <w:color w:val="000000"/>
          <w:sz w:val="21"/>
        </w:rPr>
      </w:pPr>
      <w:r>
        <w:rPr>
          <w:rFonts w:ascii="Calibri" w:hAnsi="Calibri"/>
          <w:color w:val="000000"/>
          <w:sz w:val="21"/>
        </w:rPr>
        <w:t xml:space="preserve">In totaal namen 95 jongeren deel aan de discussiebijeenkomsten. </w:t>
      </w:r>
      <w:r>
        <w:br w:type="page"/>
      </w:r>
    </w:p>
    <w:p>
      <w:pPr>
        <w:pStyle w:val="P68B1DB1Normal107"/>
        <w:spacing w:lineRule="auto" w:line="240"/>
        <w:ind w:left="0" w:right="0" w:hanging="0"/>
        <w:rPr>
          <w:rFonts w:ascii="Calibri" w:hAnsi="Calibri"/>
          <w:i/>
          <w:i/>
          <w:color w:val="000000"/>
          <w:sz w:val="24"/>
        </w:rPr>
      </w:pPr>
      <w:r>
        <w:rPr/>
        <w:t xml:space="preserve">Gebruikte onderhoudstechnieken </w:t>
      </w:r>
    </w:p>
    <w:p>
      <w:pPr>
        <w:pStyle w:val="P68B1DB1Normal104"/>
        <w:widowControl w:val="false"/>
        <w:spacing w:lineRule="auto" w:line="240" w:before="10" w:after="0"/>
        <w:ind w:left="0" w:right="0" w:hanging="0"/>
        <w:jc w:val="left"/>
        <w:rPr/>
      </w:pPr>
      <w:r>
        <w:rPr/>
        <w:t xml:space="preserve">Online thematische dialogen, dialogen met specifieke groepen en dialogen met jongeren werden gevoerd met behulp van de zogenaamde „socratische” interviewmethode. Deze methode wordt al vele jaren gebruikt op Dialoogdag, waar mensen in heel Nederland met elkaar communiceren over kwesties die hen aangaan. In het kader van de methode voor socratisch onderhoud houdt de moderator rekening met de volgende beginselen: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5"/>
        <w:widowControl w:val="false"/>
        <w:spacing w:lineRule="auto" w:line="240" w:before="7" w:after="0"/>
        <w:ind w:left="0" w:right="0" w:hanging="0"/>
        <w:jc w:val="left"/>
        <w:rPr/>
      </w:pPr>
      <w:r>
        <w:rPr>
          <w:rFonts w:ascii="Verdana" w:hAnsi="Verdana"/>
        </w:rPr>
        <w:t>Laat</w:t>
      </w:r>
      <w:r>
        <w:rPr/>
        <w:t xml:space="preserve"> de ander zijn verhaal vertellen </w:t>
      </w:r>
      <w:r>
        <w:rPr>
          <w:rFonts w:ascii="Calibri" w:hAnsi="Calibri"/>
        </w:rPr>
        <w:t xml:space="preserve"> </w:t>
      </w:r>
    </w:p>
    <w:p>
      <w:pPr>
        <w:pStyle w:val="P68B1DB1Normal105"/>
        <w:widowControl w:val="false"/>
        <w:spacing w:lineRule="auto" w:line="240" w:before="2" w:after="0"/>
        <w:ind w:left="0" w:right="0" w:hanging="0"/>
        <w:jc w:val="left"/>
        <w:rPr/>
      </w:pPr>
      <w:r>
        <w:rPr>
          <w:rFonts w:ascii="Verdana" w:hAnsi="Verdana"/>
        </w:rPr>
        <w:t>Beantwoord</w:t>
      </w:r>
      <w:r>
        <w:rPr/>
        <w:t xml:space="preserve"> </w:t>
      </w:r>
      <w:r>
        <w:rPr>
          <w:rFonts w:ascii="Calibri" w:hAnsi="Calibri"/>
        </w:rPr>
        <w:t xml:space="preserve">het niet meteen met een ander verhaal </w:t>
      </w:r>
    </w:p>
    <w:p>
      <w:pPr>
        <w:pStyle w:val="P68B1DB1Normal105"/>
        <w:widowControl w:val="false"/>
        <w:spacing w:lineRule="auto" w:line="240" w:before="2" w:after="0"/>
        <w:ind w:left="0" w:right="0" w:hanging="0"/>
        <w:jc w:val="left"/>
        <w:rPr/>
      </w:pPr>
      <w:r>
        <w:rPr>
          <w:rFonts w:ascii="Verdana" w:hAnsi="Verdana"/>
        </w:rPr>
        <w:t>•</w:t>
      </w:r>
      <w:r>
        <w:rPr/>
        <w:t xml:space="preserve"> </w:t>
      </w:r>
      <w:r>
        <w:rPr>
          <w:rFonts w:ascii="Calibri" w:hAnsi="Calibri"/>
        </w:rPr>
        <w:t xml:space="preserve">Behandel jezelf met respect </w:t>
      </w:r>
    </w:p>
    <w:p>
      <w:pPr>
        <w:pStyle w:val="P68B1DB1Normal105"/>
        <w:widowControl w:val="false"/>
        <w:spacing w:lineRule="auto" w:line="240" w:before="2" w:after="0"/>
        <w:ind w:left="0" w:right="0" w:hanging="0"/>
        <w:jc w:val="left"/>
        <w:rPr/>
      </w:pPr>
      <w:r>
        <w:rPr>
          <w:rFonts w:ascii="Verdana" w:hAnsi="Verdana"/>
        </w:rPr>
        <w:t>•</w:t>
      </w:r>
      <w:r>
        <w:rPr/>
        <w:t xml:space="preserve"> </w:t>
      </w:r>
      <w:r>
        <w:rPr>
          <w:rFonts w:ascii="Calibri" w:hAnsi="Calibri"/>
        </w:rPr>
        <w:t xml:space="preserve">Praat over je eigen standpunt („ik vind” in plaats van „ze zeggen”) </w:t>
      </w:r>
    </w:p>
    <w:p>
      <w:pPr>
        <w:pStyle w:val="P68B1DB1Normal105"/>
        <w:widowControl w:val="false"/>
        <w:spacing w:lineRule="auto" w:line="240" w:before="2" w:after="0"/>
        <w:ind w:left="0" w:right="0" w:hanging="0"/>
        <w:jc w:val="left"/>
        <w:rPr/>
      </w:pPr>
      <w:r>
        <w:rPr>
          <w:rFonts w:ascii="Verdana" w:hAnsi="Verdana"/>
        </w:rPr>
        <w:t>•</w:t>
      </w:r>
      <w:r>
        <w:rPr/>
        <w:t xml:space="preserve"> </w:t>
      </w:r>
      <w:r>
        <w:rPr>
          <w:rFonts w:ascii="Calibri" w:hAnsi="Calibri"/>
        </w:rPr>
        <w:t xml:space="preserve">Vragen om meer uitleg als de standpunten beperkt zijn tot algemeenheden </w:t>
      </w:r>
    </w:p>
    <w:p>
      <w:pPr>
        <w:pStyle w:val="P68B1DB1Normal105"/>
        <w:widowControl w:val="false"/>
        <w:spacing w:lineRule="auto" w:line="240" w:before="2" w:after="0"/>
        <w:ind w:left="0" w:right="0" w:hanging="0"/>
        <w:jc w:val="left"/>
        <w:rPr/>
      </w:pPr>
      <w:r>
        <w:rPr>
          <w:rFonts w:ascii="Verdana" w:hAnsi="Verdana"/>
        </w:rPr>
        <w:t>•</w:t>
      </w:r>
      <w:r>
        <w:rPr/>
        <w:t xml:space="preserve"> </w:t>
      </w:r>
      <w:r>
        <w:rPr>
          <w:rFonts w:ascii="Calibri" w:hAnsi="Calibri"/>
        </w:rPr>
        <w:t xml:space="preserve">Vermijd oordelen en analyseer ze </w:t>
      </w:r>
    </w:p>
    <w:p>
      <w:pPr>
        <w:pStyle w:val="P68B1DB1Normal105"/>
        <w:widowControl w:val="false"/>
        <w:spacing w:lineRule="auto" w:line="240" w:before="5" w:after="0"/>
        <w:ind w:left="0" w:right="0" w:hanging="0"/>
        <w:jc w:val="left"/>
        <w:rPr/>
      </w:pPr>
      <w:r>
        <w:rPr>
          <w:rFonts w:ascii="Verdana" w:hAnsi="Verdana"/>
        </w:rPr>
        <w:t>•</w:t>
      </w:r>
      <w:r>
        <w:rPr/>
        <w:t xml:space="preserve"> </w:t>
      </w:r>
      <w:r>
        <w:rPr>
          <w:rFonts w:ascii="Calibri" w:hAnsi="Calibri"/>
        </w:rPr>
        <w:t xml:space="preserve">Geef momenten van stilte als mensen even moeten nadenken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 xml:space="preserve">Tijdens de dialogen wordt het volgende ritme gebruikt: divergentie — convergentie — divergentie. Het principe is dat je eerst moet divergeren (direct individuele gevoelens en meningen uiten), voordat je kunt convergeren (praten mogelijke wegen) en dan eindelijk weer divergeren (bijvoorbeeld individuele aanbevelingen verzamelen). Ervaring en theorie laten zien dat dit ritme zorgt voor een optimale doorstroming van dialoog. </w:t>
      </w:r>
    </w:p>
    <w:p>
      <w:pPr>
        <w:pStyle w:val="P68B1DB1Normal104"/>
        <w:widowControl w:val="false"/>
        <w:spacing w:lineRule="auto" w:line="240" w:before="1" w:after="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rFonts w:ascii="Calibri" w:hAnsi="Calibri"/>
          <w:color w:val="000000"/>
          <w:sz w:val="21"/>
        </w:rPr>
      </w:pPr>
      <w:r>
        <w:rPr/>
        <w:t xml:space="preserve">Alle dialogen werden gevoerd door professionele facilitators. </w:t>
      </w:r>
    </w:p>
    <w:p>
      <w:pPr>
        <w:pStyle w:val="P68B1DB1Normal19"/>
        <w:widowControl w:val="false"/>
        <w:spacing w:lineRule="auto" w:line="240"/>
        <w:ind w:left="0" w:right="0" w:hanging="0"/>
        <w:jc w:val="left"/>
        <w:rPr>
          <w:rFonts w:ascii="Times New Roman" w:hAnsi="Times New Roman"/>
          <w:color w:val="000000"/>
          <w:sz w:val="24"/>
        </w:rPr>
      </w:pPr>
      <w:r>
        <w:rPr/>
        <w:t xml:space="preserve"> </w:t>
      </w:r>
    </w:p>
    <w:p>
      <w:pPr>
        <w:pStyle w:val="P68B1DB1Normal108"/>
        <w:widowControl w:val="false"/>
        <w:spacing w:lineRule="auto" w:line="240" w:before="229" w:after="0"/>
        <w:ind w:left="0" w:right="0" w:hanging="0"/>
        <w:jc w:val="both"/>
        <w:rPr/>
      </w:pPr>
      <w:r>
        <w:rPr/>
        <w:t>5. Online openbare enquête: Vragenlijst en „Swipen naar de toekomst” (Zwiper naar de toekomst)</w:t>
      </w:r>
    </w:p>
    <w:p>
      <w:pPr>
        <w:pStyle w:val="P68B1DB1Normal104"/>
        <w:widowControl w:val="false"/>
        <w:spacing w:lineRule="auto" w:line="240" w:before="229" w:after="0"/>
        <w:ind w:left="0" w:right="0" w:hanging="0"/>
        <w:jc w:val="both"/>
        <w:rPr/>
      </w:pPr>
      <w:r>
        <w:rPr/>
        <w:t xml:space="preserve">De vragenlijst van de panelenquête stond ook open voor alle Nederlanders, ook voor buitenlanders. Deze vragenlijst was beschikbaar van 1 september 2021 tot en met 14 november 2021. Daarnaast kon elke Nederlander gedurende dezelfde periode deelnemen aan de actie „Swipen naar de toekomst”, een online tool met 20 claims. </w:t>
      </w:r>
    </w:p>
    <w:p>
      <w:pPr>
        <w:pStyle w:val="P68B1DB1Normal107"/>
        <w:widowControl w:val="false"/>
        <w:spacing w:lineRule="auto" w:line="240" w:before="41" w:after="0"/>
        <w:ind w:left="0" w:right="0" w:hanging="0"/>
        <w:jc w:val="left"/>
        <w:rPr>
          <w:rFonts w:ascii="Calibri" w:hAnsi="Calibri"/>
          <w:i/>
          <w:i/>
          <w:color w:val="000000"/>
          <w:sz w:val="24"/>
        </w:rPr>
      </w:pPr>
      <w:r>
        <w:rPr/>
        <w:t xml:space="preserve">Antwoorden en gebruiken </w:t>
      </w:r>
    </w:p>
    <w:p>
      <w:pPr>
        <w:pStyle w:val="P68B1DB1Normal104"/>
        <w:widowControl w:val="false"/>
        <w:spacing w:lineRule="auto" w:line="240" w:before="7" w:after="0"/>
        <w:ind w:left="0" w:right="0" w:hanging="0"/>
        <w:jc w:val="left"/>
        <w:rPr/>
      </w:pPr>
      <w:r>
        <w:rPr/>
        <w:t xml:space="preserve">Een totaal van 1.957 deelnemers vulde de vragenlijst in en 6968 waren aan het einde van de screen scanning tool. Zowel de vragenlijst als de screenscan tool stonden voor iedereen open: er waren geen voorwaarden of selectiecriteria om deel te nemen. In de vragenlijst was het mogelijk om vragen door te geven (er waren geen verplichte vragen) om het antwoordpercentage te maximaliseren. Deelnemers kozen voor „Ik geef er de voorkeur aan niet te reageren” veel vaker dan in de representatieve panelenquête. </w:t>
      </w:r>
    </w:p>
    <w:p>
      <w:pPr>
        <w:pStyle w:val="P68B1DB1Normal104"/>
        <w:widowControl w:val="false"/>
        <w:spacing w:lineRule="auto" w:line="240"/>
        <w:ind w:left="0" w:right="0" w:hanging="0"/>
        <w:jc w:val="left"/>
        <w:rPr/>
      </w:pPr>
      <w:r>
        <w:rPr/>
        <w:t xml:space="preserve">De algemene kenmerken van de deelnemers aan de open vragenlijst en het schermscanprogramma verschillen in verschillende opzichten van die van de deelnemers aan het representatieve panel. In tegenstelling tot de panelenquête zijn de resultaten van de open vragenlijst en het schermscanprogramma niet representatief. De resultaten van de online open enquête werden gebruikt om de panelenquête aan te vullen. Ze geven een overzicht van de gevoelens en ideeën die in Nederland circuleren. De suggesties voor verbetering die in de inputvelden worden genoemd, werden gebruikt in de rubriek „Behandelingen en ideeën online en ter plaatse”. De screen scanning tool is gebruikt om een ​​deel van de gevoelens die circuleren in Nederland beter te begrijpen. Met deze resultaten is rekening gehouden bij de opstelling van de aanbevelingen. Vanwege het vereiste van representativiteit zijn de resultaten van het online geopende onderzoek beperkt in aanmerking genomen in dit verslag. </w:t>
      </w:r>
    </w:p>
    <w:p>
      <w:pPr>
        <w:pStyle w:val="P68B1DB1Normal19"/>
        <w:widowControl w:val="false"/>
        <w:spacing w:lineRule="auto" w:line="240"/>
        <w:ind w:left="0" w:right="0" w:hanging="0"/>
        <w:jc w:val="left"/>
        <w:rPr>
          <w:rFonts w:ascii="Times New Roman" w:hAnsi="Times New Roman"/>
          <w:color w:val="000000"/>
          <w:sz w:val="24"/>
        </w:rPr>
      </w:pPr>
      <w:r>
        <w:rPr/>
        <w:t xml:space="preserve"> </w:t>
      </w:r>
    </w:p>
    <w:p>
      <w:pPr>
        <w:pStyle w:val="Normal"/>
        <w:widowControl w:val="false"/>
        <w:spacing w:lineRule="auto" w:line="240"/>
        <w:ind w:left="0" w:right="0" w:hanging="0"/>
        <w:jc w:val="left"/>
        <w:rPr/>
      </w:pPr>
      <w:r>
        <w:rPr>
          <w:rFonts w:ascii="Calibri" w:hAnsi="Calibri"/>
          <w:color w:val="000000"/>
          <w:sz w:val="21"/>
        </w:rPr>
        <w:t xml:space="preserve">Dit rapport wordt gepubliceerd door het ministerie van Buitenlandse Zaken. </w:t>
      </w:r>
      <w:hyperlink r:id="rId118">
        <w:r>
          <w:rPr>
            <w:rStyle w:val="LienInternet"/>
          </w:rPr>
          <w:t>www.kijkopeuropa.nl</w:t>
        </w:r>
      </w:hyperlink>
      <w:r>
        <w:rPr>
          <w:rFonts w:ascii="Calibri" w:hAnsi="Calibri"/>
          <w:color w:val="000000"/>
          <w:sz w:val="21"/>
        </w:rPr>
        <w:t xml:space="preserve"> </w:t>
      </w:r>
      <w:r>
        <w:rPr/>
        <w:t xml:space="preserve"> </w:t>
      </w:r>
      <w:r>
        <w:br w:type="page"/>
      </w:r>
    </w:p>
    <w:p>
      <w:pPr>
        <w:pStyle w:val="Normal"/>
        <w:spacing w:lineRule="auto" w:line="240"/>
        <w:ind w:left="0" w:right="0" w:hanging="0"/>
        <w:rPr/>
      </w:pPr>
      <w:r>
        <w:rPr/>
        <w:drawing>
          <wp:anchor behindDoc="0" distT="0" distB="0" distL="0" distR="0" simplePos="0" locked="0" layoutInCell="1" allowOverlap="1" relativeHeight="49">
            <wp:simplePos x="0" y="0"/>
            <wp:positionH relativeFrom="column">
              <wp:align>center</wp:align>
            </wp:positionH>
            <wp:positionV relativeFrom="paragraph">
              <wp:posOffset>635</wp:posOffset>
            </wp:positionV>
            <wp:extent cx="3114040" cy="2009775"/>
            <wp:effectExtent l="0" t="0" r="0" b="0"/>
            <wp:wrapTopAndBottom/>
            <wp:docPr id="110" name="Afbeelding4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Afbeelding47" descr=""/>
                    <pic:cNvPicPr>
                      <a:picLocks noChangeAspect="1" noChangeArrowheads="1"/>
                    </pic:cNvPicPr>
                  </pic:nvPicPr>
                  <pic:blipFill>
                    <a:blip r:embed="rId119"/>
                    <a:stretch>
                      <a:fillRect/>
                    </a:stretch>
                  </pic:blipFill>
                  <pic:spPr bwMode="auto">
                    <a:xfrm>
                      <a:off x="0" y="0"/>
                      <a:ext cx="3114040" cy="2009775"/>
                    </a:xfrm>
                    <a:prstGeom prst="rect">
                      <a:avLst/>
                    </a:prstGeom>
                  </pic:spPr>
                </pic:pic>
              </a:graphicData>
            </a:graphic>
          </wp:anchor>
        </w:drawing>
      </w:r>
    </w:p>
    <w:p>
      <w:pPr>
        <w:pStyle w:val="P68B1DB1Normal123"/>
        <w:spacing w:lineRule="auto" w:line="240"/>
        <w:ind w:left="0" w:right="0" w:hanging="0"/>
        <w:rPr>
          <w:rFonts w:ascii="Calibri" w:hAnsi="Calibri"/>
          <w:color w:val="000000"/>
          <w:sz w:val="32"/>
        </w:rPr>
      </w:pPr>
      <w:r>
        <w:rPr/>
        <w:t xml:space="preserve">Nationale Regering van Nederland </w:t>
      </w:r>
    </w:p>
    <w:p>
      <w:pPr>
        <w:pStyle w:val="P68B1DB1Normal124"/>
        <w:widowControl w:val="false"/>
        <w:spacing w:lineRule="exact" w:line="1199" w:before="278" w:after="0"/>
        <w:ind w:left="0" w:right="0" w:hanging="0"/>
        <w:jc w:val="left"/>
        <w:rPr>
          <w:rFonts w:ascii="Calibri" w:hAnsi="Calibri"/>
          <w:b/>
          <w:b/>
          <w:color w:val="0070C0"/>
          <w:sz w:val="72"/>
        </w:rPr>
      </w:pPr>
      <w:r>
        <w:rPr/>
        <w:t xml:space="preserve">Onze visie op Europa </w:t>
      </w:r>
    </w:p>
    <w:p>
      <w:pPr>
        <w:pStyle w:val="Titre4"/>
        <w:numPr>
          <w:ilvl w:val="3"/>
          <w:numId w:val="2"/>
        </w:numPr>
        <w:rPr/>
      </w:pPr>
      <w:bookmarkStart w:id="237" w:name="__RefHeading___Toc298386_1346298689"/>
      <w:bookmarkEnd w:id="237"/>
      <w:r>
        <w:rPr/>
        <w:t>Verslag van januari 2022</w:t>
      </w:r>
    </w:p>
    <w:p>
      <w:pPr>
        <w:pStyle w:val="P68B1DB1Normal20"/>
        <w:widowControl w:val="false"/>
        <w:spacing w:lineRule="auto" w:line="240" w:before="105" w:after="0"/>
        <w:ind w:left="0" w:right="0" w:hanging="0"/>
        <w:jc w:val="left"/>
        <w:rPr>
          <w:rFonts w:ascii="Calibri" w:hAnsi="Calibri"/>
          <w:color w:val="000000"/>
          <w:sz w:val="24"/>
        </w:rPr>
      </w:pPr>
      <w:r>
        <w:rPr/>
        <w:t xml:space="preserve">Adviezen, ideeën en aanbevelingen </w:t>
      </w:r>
    </w:p>
    <w:p>
      <w:pPr>
        <w:pStyle w:val="P68B1DB1Normal104"/>
        <w:widowControl w:val="false"/>
        <w:spacing w:lineRule="auto" w:line="240" w:before="116" w:after="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before="1" w:after="0"/>
        <w:ind w:left="0" w:right="0" w:hanging="0"/>
        <w:jc w:val="left"/>
        <w:rPr>
          <w:rFonts w:ascii="Calibri" w:hAnsi="Calibri"/>
          <w:color w:val="000000"/>
          <w:sz w:val="21"/>
        </w:rPr>
      </w:pPr>
      <w:r>
        <w:rPr/>
        <w:t xml:space="preserve"> </w:t>
      </w:r>
    </w:p>
    <w:p>
      <w:pPr>
        <w:pStyle w:val="P68B1DB1Normal120"/>
        <w:widowControl w:val="false"/>
        <w:spacing w:lineRule="auto" w:line="240"/>
        <w:ind w:left="0" w:right="0" w:hanging="0"/>
        <w:jc w:val="left"/>
        <w:rPr>
          <w:rFonts w:ascii="Calibri" w:hAnsi="Calibri"/>
          <w:b/>
          <w:b/>
          <w:color w:val="000000"/>
          <w:sz w:val="21"/>
        </w:rPr>
      </w:pPr>
      <w:r>
        <w:rPr/>
        <w:t xml:space="preserve">Thema’s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Klimaatverandering en milieu </w:t>
      </w:r>
    </w:p>
    <w:p>
      <w:pPr>
        <w:pStyle w:val="P68B1DB1Normal105"/>
        <w:widowControl w:val="false"/>
        <w:spacing w:lineRule="auto" w:line="240" w:before="2" w:after="0"/>
        <w:ind w:left="0" w:right="0" w:hanging="0"/>
        <w:jc w:val="left"/>
        <w:rPr/>
      </w:pPr>
      <w:r>
        <w:rPr>
          <w:rFonts w:ascii="Verdana" w:hAnsi="Verdana"/>
        </w:rPr>
        <w:t>•</w:t>
      </w:r>
      <w:r>
        <w:rPr/>
        <w:t xml:space="preserve"> </w:t>
      </w:r>
      <w:r>
        <w:rPr>
          <w:rFonts w:ascii="Calibri" w:hAnsi="Calibri"/>
        </w:rPr>
        <w:t xml:space="preserve">Migratie </w:t>
      </w:r>
    </w:p>
    <w:p>
      <w:pPr>
        <w:pStyle w:val="P68B1DB1Normal105"/>
        <w:widowControl w:val="false"/>
        <w:spacing w:lineRule="auto" w:line="240" w:before="2" w:after="0"/>
        <w:ind w:left="0" w:right="0" w:hanging="0"/>
        <w:jc w:val="left"/>
        <w:rPr/>
      </w:pPr>
      <w:r>
        <w:rPr>
          <w:rFonts w:ascii="Verdana" w:hAnsi="Verdana"/>
        </w:rPr>
        <w:t>•</w:t>
      </w:r>
      <w:r>
        <w:rPr/>
        <w:t xml:space="preserve"> </w:t>
      </w:r>
      <w:r>
        <w:rPr>
          <w:rFonts w:ascii="Calibri" w:hAnsi="Calibri"/>
        </w:rPr>
        <w:t xml:space="preserve">Gezondheid </w:t>
      </w:r>
    </w:p>
    <w:p>
      <w:pPr>
        <w:pStyle w:val="P68B1DB1Normal105"/>
        <w:widowControl w:val="false"/>
        <w:spacing w:lineRule="auto" w:line="240" w:before="2" w:after="0"/>
        <w:ind w:left="0" w:right="0" w:hanging="0"/>
        <w:jc w:val="left"/>
        <w:rPr/>
      </w:pPr>
      <w:r>
        <w:rPr>
          <w:rFonts w:ascii="Verdana" w:hAnsi="Verdana"/>
        </w:rPr>
        <w:t>•</w:t>
      </w:r>
      <w:r>
        <w:rPr/>
        <w:t xml:space="preserve"> </w:t>
      </w:r>
      <w:r>
        <w:rPr>
          <w:rFonts w:ascii="Calibri" w:hAnsi="Calibri"/>
        </w:rPr>
        <w:t xml:space="preserve">De EU in de wereld </w:t>
      </w:r>
    </w:p>
    <w:p>
      <w:pPr>
        <w:pStyle w:val="P68B1DB1Normal105"/>
        <w:widowControl w:val="false"/>
        <w:spacing w:lineRule="auto" w:line="240" w:before="7" w:after="0"/>
        <w:ind w:left="0" w:right="0" w:hanging="0"/>
        <w:jc w:val="left"/>
        <w:rPr/>
      </w:pPr>
      <w:r>
        <w:rPr>
          <w:rFonts w:ascii="Verdana" w:hAnsi="Verdana"/>
        </w:rPr>
        <w:t>•</w:t>
      </w:r>
      <w:r>
        <w:rPr/>
        <w:t xml:space="preserve">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14 januari 2022 </w:t>
      </w:r>
    </w:p>
    <w:p>
      <w:pPr>
        <w:pStyle w:val="P68B1DB1Normal105"/>
        <w:widowControl w:val="false"/>
        <w:spacing w:lineRule="auto" w:line="240" w:before="5" w:after="0"/>
        <w:ind w:left="0" w:right="0" w:hanging="0"/>
        <w:jc w:val="left"/>
        <w:rPr/>
      </w:pPr>
      <w:r>
        <w:rPr>
          <w:rFonts w:ascii="Verdana" w:hAnsi="Verdana"/>
        </w:rPr>
        <w:t>•</w:t>
      </w:r>
      <w:r>
        <w:rPr/>
        <w:t xml:space="preserve"> </w:t>
      </w:r>
    </w:p>
    <w:p>
      <w:pPr>
        <w:pStyle w:val="P68B1DB1Normal105"/>
        <w:widowControl w:val="false"/>
        <w:spacing w:lineRule="auto" w:line="240" w:before="2" w:after="0"/>
        <w:ind w:left="0" w:right="0" w:hanging="0"/>
        <w:jc w:val="left"/>
        <w:rPr/>
      </w:pPr>
      <w:r>
        <w:rPr>
          <w:rFonts w:ascii="Verdana" w:hAnsi="Verdana"/>
        </w:rPr>
        <w:t>•</w:t>
      </w:r>
      <w:r>
        <w:rPr/>
        <w:t xml:space="preserve"> </w:t>
      </w:r>
      <w:r>
        <w:rPr>
          <w:rFonts w:ascii="Calibri" w:hAnsi="Calibri"/>
        </w:rPr>
        <w:t xml:space="preserve">Dit document is een vertaling van het verslag getiteld "Elze kijk op Europa; Meningen, ideeën en Aanbevelingen„(”Onze visie van Europa: adviezen, ideeën en aanbevelingen"), gepubliceerd in het Nederlands op 14 januari 2022 op www.kijkopeuropa.nl. Deze vertaling is een vereenvoudigde versie van het verslag waarin de oorspronkelijke presentatie (illustraties en andere grafische elementen) is gewijzigd voor vertaaldoeleinden. </w:t>
      </w:r>
    </w:p>
    <w:p>
      <w:pPr>
        <w:pStyle w:val="P68B1DB1Normal19"/>
        <w:widowControl w:val="false"/>
        <w:spacing w:lineRule="auto" w:line="240"/>
        <w:ind w:left="0" w:right="0" w:hanging="0"/>
        <w:jc w:val="left"/>
        <w:rPr>
          <w:rFonts w:ascii="Times New Roman" w:hAnsi="Times New Roman"/>
          <w:color w:val="000000"/>
          <w:sz w:val="24"/>
        </w:rPr>
      </w:pPr>
      <w:r>
        <w:rPr/>
        <w:t xml:space="preserve"> </w:t>
      </w:r>
    </w:p>
    <w:p>
      <w:pPr>
        <w:pStyle w:val="Normal"/>
        <w:spacing w:lineRule="auto" w:line="240"/>
        <w:ind w:left="0" w:right="0" w:hanging="0"/>
        <w:rPr/>
      </w:pPr>
      <w:r>
        <w:rPr/>
      </w:r>
      <w:r>
        <w:br w:type="page"/>
      </w:r>
    </w:p>
    <w:p>
      <w:pPr>
        <w:pStyle w:val="P68B1DB1Normal125"/>
        <w:spacing w:lineRule="auto" w:line="240"/>
        <w:ind w:left="0" w:right="0" w:hanging="0"/>
        <w:rPr>
          <w:rFonts w:ascii="Calibri" w:hAnsi="Calibri"/>
          <w:b/>
          <w:b/>
          <w:color w:val="0070C0"/>
          <w:sz w:val="32"/>
        </w:rPr>
      </w:pPr>
      <w:r>
        <w:rPr/>
        <w:t xml:space="preserve">Onze visie op... </w:t>
      </w:r>
    </w:p>
    <w:p>
      <w:pPr>
        <w:pStyle w:val="P68B1DB1Normal126"/>
        <w:widowControl w:val="false"/>
        <w:spacing w:lineRule="auto" w:line="240" w:before="101" w:after="0"/>
        <w:ind w:left="0" w:right="0" w:hanging="0"/>
        <w:jc w:val="left"/>
        <w:rPr>
          <w:rFonts w:ascii="Calibri" w:hAnsi="Calibri"/>
          <w:color w:val="0070C0"/>
          <w:sz w:val="24"/>
        </w:rPr>
      </w:pPr>
      <w:r>
        <w:rPr/>
        <w:t xml:space="preserve">Samenvatting van het verslag: alle aanbevelingen in het kort </w:t>
      </w:r>
    </w:p>
    <w:p>
      <w:pPr>
        <w:pStyle w:val="P68B1DB1Normal104"/>
        <w:widowControl w:val="false"/>
        <w:spacing w:lineRule="auto" w:line="240" w:before="109" w:after="0"/>
        <w:ind w:left="0" w:right="0" w:hanging="0"/>
        <w:jc w:val="both"/>
        <w:rPr/>
      </w:pPr>
      <w:r>
        <w:rPr/>
        <w:t xml:space="preserve">Via de burgerdialoog georganiseerd over het thema „Vision of Europe” hebben we de standpunten en ideeën van Nederlandse burgers over de toekomst van Europa verzameld. Dit resulteerde in de volgende aanbevelingen aan de Europese Unie voor de laatste vier thema’s (van de negen in totaal geïdentificeerde thema’s). </w:t>
      </w:r>
    </w:p>
    <w:p>
      <w:pPr>
        <w:pStyle w:val="P68B1DB1Normal126"/>
        <w:widowControl w:val="false"/>
        <w:spacing w:lineRule="auto" w:line="240" w:before="108" w:after="0"/>
        <w:ind w:left="0" w:right="0" w:hanging="0"/>
        <w:jc w:val="left"/>
        <w:rPr>
          <w:rFonts w:ascii="Calibri" w:hAnsi="Calibri"/>
          <w:color w:val="0070C0"/>
          <w:sz w:val="24"/>
        </w:rPr>
      </w:pPr>
      <w:r>
        <w:rPr/>
        <w:t xml:space="preserve">Klimaatverandering en milieu </w:t>
      </w:r>
    </w:p>
    <w:p>
      <w:pPr>
        <w:pStyle w:val="P68B1DB1Normal119"/>
        <w:widowControl w:val="false"/>
        <w:spacing w:lineRule="auto" w:line="240" w:before="103" w:after="0"/>
        <w:ind w:left="0" w:right="0" w:hanging="0"/>
        <w:jc w:val="left"/>
        <w:rPr/>
      </w:pPr>
      <w:r>
        <w:rPr>
          <w:rFonts w:ascii="Calibri" w:hAnsi="Calibri"/>
        </w:rPr>
        <w:t>1.</w:t>
      </w:r>
      <w:r>
        <w:rPr/>
        <w:t xml:space="preserve"> </w:t>
      </w:r>
      <w:r>
        <w:rPr>
          <w:rFonts w:ascii="Calibri" w:hAnsi="Calibri"/>
        </w:rPr>
        <w:t>Een duidelijke richting kiezen voor de Europese aanpak van klimaatverandering</w:t>
      </w:r>
    </w:p>
    <w:p>
      <w:pPr>
        <w:pStyle w:val="P68B1DB1Normal119"/>
        <w:widowControl w:val="false"/>
        <w:spacing w:lineRule="auto" w:line="240"/>
        <w:ind w:left="0" w:right="0" w:hanging="0"/>
        <w:jc w:val="left"/>
        <w:rPr/>
      </w:pPr>
      <w:r>
        <w:rPr>
          <w:rFonts w:ascii="Calibri" w:hAnsi="Calibri"/>
        </w:rPr>
        <w:t>2.</w:t>
      </w:r>
      <w:r>
        <w:rPr/>
        <w:t xml:space="preserve"> </w:t>
      </w:r>
      <w:r>
        <w:rPr>
          <w:rFonts w:ascii="Calibri" w:hAnsi="Calibri"/>
        </w:rPr>
        <w:t>Ervoor zorgen dat landen en bedrijven nauwer samenwerken om gerichte oplossingen te vinden 3.</w:t>
      </w:r>
      <w:r>
        <w:rPr/>
        <w:t xml:space="preserve"> </w:t>
      </w:r>
      <w:r>
        <w:rPr>
          <w:rFonts w:ascii="Calibri" w:hAnsi="Calibri"/>
        </w:rPr>
        <w:t>Creëer een CO2-systeem dat in de praktijk eerlijk en haalbaar is</w:t>
      </w:r>
    </w:p>
    <w:p>
      <w:pPr>
        <w:pStyle w:val="P68B1DB1Normal119"/>
        <w:widowControl w:val="false"/>
        <w:spacing w:lineRule="auto" w:line="240"/>
        <w:ind w:left="0" w:right="0" w:hanging="0"/>
        <w:jc w:val="left"/>
        <w:rPr/>
      </w:pPr>
      <w:r>
        <w:rPr>
          <w:rFonts w:ascii="Calibri" w:hAnsi="Calibri"/>
        </w:rPr>
        <w:t>4.</w:t>
      </w:r>
      <w:r>
        <w:rPr/>
        <w:t xml:space="preserve"> </w:t>
      </w:r>
      <w:r>
        <w:rPr>
          <w:rFonts w:ascii="Calibri" w:hAnsi="Calibri"/>
        </w:rPr>
        <w:t>Communiceer op een duidelijkere en positievere manier over de klimaataanpak</w:t>
      </w:r>
    </w:p>
    <w:p>
      <w:pPr>
        <w:pStyle w:val="P68B1DB1Normal104"/>
        <w:widowControl w:val="false"/>
        <w:spacing w:lineRule="auto" w:line="240" w:before="93" w:after="0"/>
        <w:ind w:left="0" w:right="0" w:hanging="0"/>
        <w:jc w:val="left"/>
        <w:rPr/>
      </w:pPr>
      <w:r>
        <w:rPr/>
        <w:t xml:space="preserve">Nederlanders zijn van mening dat de EU een leidende rol moet spelen in de strijd tegen klimaatverandering. De lidstaten moeten hun eigen keuzes kunnen maken, maar moeten niettemin samenwerken om dezelfde doelstellingen te bereiken. In plaats van op elkaar te wijzen, zouden de EU-landen meer energie moeten besteden aan de uitwisseling van kennis en het vinden van gemeenschappelijke oplossingen. Een systeem om CO2-uitstoot te belasten kan effectief zijn, maar het moet ook eerlijk, praktisch en duidelijk zijn. Als algemene regel zijn de Nederlanders van mening dat de EU doeltreffender en positiever moet communiceren over klimaatkwesties. </w:t>
      </w:r>
    </w:p>
    <w:p>
      <w:pPr>
        <w:pStyle w:val="P68B1DB1Normal126"/>
        <w:widowControl w:val="false"/>
        <w:spacing w:lineRule="auto" w:line="240" w:before="108" w:after="0"/>
        <w:ind w:left="0" w:right="0" w:hanging="0"/>
        <w:jc w:val="left"/>
        <w:rPr>
          <w:rFonts w:ascii="Calibri" w:hAnsi="Calibri"/>
          <w:color w:val="0070C0"/>
          <w:sz w:val="24"/>
        </w:rPr>
      </w:pPr>
      <w:r>
        <w:rPr/>
        <w:t xml:space="preserve">Migratie </w:t>
      </w:r>
    </w:p>
    <w:p>
      <w:pPr>
        <w:pStyle w:val="P68B1DB1Normal119"/>
        <w:widowControl w:val="false"/>
        <w:spacing w:lineRule="auto" w:line="240" w:before="105" w:after="0"/>
        <w:ind w:left="0" w:right="0" w:hanging="0"/>
        <w:jc w:val="left"/>
        <w:rPr/>
      </w:pPr>
      <w:r>
        <w:rPr>
          <w:rFonts w:ascii="Calibri" w:hAnsi="Calibri"/>
        </w:rPr>
        <w:t>1.</w:t>
      </w:r>
      <w:r>
        <w:rPr/>
        <w:t xml:space="preserve"> </w:t>
      </w:r>
      <w:r>
        <w:rPr>
          <w:rFonts w:ascii="Calibri" w:hAnsi="Calibri"/>
        </w:rPr>
        <w:t>Voorkomen dat debatten over vluchtelingen minder genuanceerd worden</w:t>
      </w:r>
    </w:p>
    <w:p>
      <w:pPr>
        <w:pStyle w:val="P68B1DB1Normal119"/>
        <w:widowControl w:val="false"/>
        <w:spacing w:lineRule="auto" w:line="240"/>
        <w:ind w:left="0" w:right="0" w:hanging="0"/>
        <w:jc w:val="left"/>
        <w:rPr/>
      </w:pPr>
      <w:r>
        <w:rPr>
          <w:rFonts w:ascii="Calibri" w:hAnsi="Calibri"/>
        </w:rPr>
        <w:t>2.</w:t>
      </w:r>
      <w:r>
        <w:rPr/>
        <w:t xml:space="preserve"> </w:t>
      </w:r>
      <w:r>
        <w:rPr>
          <w:rFonts w:ascii="Calibri" w:hAnsi="Calibri"/>
        </w:rPr>
        <w:t>Bepalen wat een eerlijke en praktische verdeling van vluchtelingen is</w:t>
      </w:r>
    </w:p>
    <w:p>
      <w:pPr>
        <w:pStyle w:val="P68B1DB1Normal119"/>
        <w:widowControl w:val="false"/>
        <w:spacing w:lineRule="auto" w:line="240"/>
        <w:ind w:left="0" w:right="0" w:hanging="0"/>
        <w:jc w:val="left"/>
        <w:rPr/>
      </w:pPr>
      <w:r>
        <w:rPr>
          <w:rFonts w:ascii="Calibri" w:hAnsi="Calibri"/>
        </w:rPr>
        <w:t>3.</w:t>
      </w:r>
      <w:r>
        <w:rPr/>
        <w:t xml:space="preserve"> </w:t>
      </w:r>
      <w:r>
        <w:rPr>
          <w:rFonts w:ascii="Calibri" w:hAnsi="Calibri"/>
        </w:rPr>
        <w:t>Gebruik maken van de opgedane kennis en ervaring om de regio’s waar vluchtelingen vandaan komen te helpen</w:t>
      </w:r>
    </w:p>
    <w:p>
      <w:pPr>
        <w:pStyle w:val="P68B1DB1Normal104"/>
        <w:widowControl w:val="false"/>
        <w:spacing w:lineRule="auto" w:line="240"/>
        <w:ind w:left="0" w:right="0" w:hanging="0"/>
        <w:jc w:val="left"/>
        <w:rPr/>
      </w:pPr>
      <w:r>
        <w:rPr/>
        <w:t xml:space="preserve">Nederlanders vinden het belangrijk om onderscheid te maken tussen mensen die gevaarlijke gebieden ontvluchten en economische vluchtelingen. Discussies over migratie en integratie hebben vaak geen nuance. Om een eerlijke verdeling van vluchtelingen in Europa te bereiken, moet binnen de EU duidelijke criteria worden vastgesteld die rekening houden met zowel de lidstaten als de gevluchten. Tot slot stellen de Nederlanders voor dat de EU de regio’s waar vluchtelingen vandaan komen niet alleen financieel, maar ook door kennis ondersteunt. </w:t>
      </w:r>
    </w:p>
    <w:p>
      <w:pPr>
        <w:pStyle w:val="P68B1DB1Normal126"/>
        <w:widowControl w:val="false"/>
        <w:spacing w:lineRule="auto" w:line="240" w:before="108" w:after="0"/>
        <w:ind w:left="0" w:right="0" w:hanging="0"/>
        <w:jc w:val="left"/>
        <w:rPr>
          <w:rFonts w:ascii="Calibri" w:hAnsi="Calibri"/>
          <w:color w:val="0070C0"/>
          <w:sz w:val="24"/>
        </w:rPr>
      </w:pPr>
      <w:r>
        <w:rPr/>
        <w:t xml:space="preserve">Gezondheid </w:t>
      </w:r>
    </w:p>
    <w:p>
      <w:pPr>
        <w:pStyle w:val="P68B1DB1Normal119"/>
        <w:widowControl w:val="false"/>
        <w:spacing w:lineRule="auto" w:line="240" w:before="103" w:after="0"/>
        <w:ind w:left="0" w:right="0" w:hanging="0"/>
        <w:jc w:val="left"/>
        <w:rPr/>
      </w:pPr>
      <w:r>
        <w:rPr>
          <w:rFonts w:ascii="Calibri" w:hAnsi="Calibri"/>
        </w:rPr>
        <w:t>1.</w:t>
      </w:r>
      <w:r>
        <w:rPr/>
        <w:t xml:space="preserve"> </w:t>
      </w:r>
      <w:r>
        <w:rPr>
          <w:rFonts w:ascii="Calibri" w:hAnsi="Calibri"/>
        </w:rPr>
        <w:t>Betere controle hebben over het beheer van een pandemie</w:t>
      </w:r>
    </w:p>
    <w:p>
      <w:pPr>
        <w:pStyle w:val="P68B1DB1Normal119"/>
        <w:widowControl w:val="false"/>
        <w:spacing w:lineRule="auto" w:line="240"/>
        <w:ind w:left="0" w:right="0" w:hanging="0"/>
        <w:jc w:val="left"/>
        <w:rPr/>
      </w:pPr>
      <w:r>
        <w:rPr>
          <w:rFonts w:ascii="Calibri" w:hAnsi="Calibri"/>
        </w:rPr>
        <w:t>2.</w:t>
      </w:r>
      <w:r>
        <w:rPr/>
        <w:t xml:space="preserve"> </w:t>
      </w:r>
      <w:r>
        <w:rPr>
          <w:rFonts w:ascii="Calibri" w:hAnsi="Calibri"/>
        </w:rPr>
        <w:t>Zorgen voor de beschikbaarheid van betaalbare en betrouwbare geneesmiddelen voor iedereen</w:t>
      </w:r>
    </w:p>
    <w:p>
      <w:pPr>
        <w:pStyle w:val="P68B1DB1Normal119"/>
        <w:widowControl w:val="false"/>
        <w:spacing w:lineRule="auto" w:line="240"/>
        <w:ind w:left="0" w:right="0" w:hanging="0"/>
        <w:jc w:val="left"/>
        <w:rPr/>
      </w:pPr>
      <w:r>
        <w:rPr>
          <w:rFonts w:ascii="Calibri" w:hAnsi="Calibri"/>
        </w:rPr>
        <w:t>3.</w:t>
      </w:r>
      <w:r>
        <w:rPr/>
        <w:t xml:space="preserve"> </w:t>
      </w:r>
      <w:r>
        <w:rPr>
          <w:rFonts w:ascii="Calibri" w:hAnsi="Calibri"/>
        </w:rPr>
        <w:t>Landen moeten zich richten op het verbeteren van hun gezondheidszorgstelsels en het billijker maken ervan.</w:t>
      </w:r>
    </w:p>
    <w:p>
      <w:pPr>
        <w:pStyle w:val="P68B1DB1Normal19"/>
        <w:widowControl w:val="false"/>
        <w:spacing w:lineRule="auto" w:line="240"/>
        <w:ind w:left="0" w:right="0" w:hanging="0"/>
        <w:jc w:val="left"/>
        <w:rPr>
          <w:rFonts w:ascii="Times New Roman" w:hAnsi="Times New Roman"/>
          <w:color w:val="000000"/>
          <w:sz w:val="24"/>
        </w:rPr>
      </w:pPr>
      <w:r>
        <w:rPr/>
        <w:t xml:space="preserve"> </w:t>
      </w:r>
    </w:p>
    <w:p>
      <w:pPr>
        <w:pStyle w:val="Normal"/>
        <w:widowControl w:val="false"/>
        <w:spacing w:lineRule="auto" w:line="240"/>
        <w:ind w:left="0" w:right="0" w:hanging="0"/>
        <w:jc w:val="both"/>
        <w:rPr/>
      </w:pPr>
      <w:r>
        <w:rPr>
          <w:rFonts w:ascii="Calibri" w:hAnsi="Calibri"/>
          <w:color w:val="000000"/>
          <w:sz w:val="21"/>
        </w:rPr>
        <w:t xml:space="preserve">Nederlanders zijn van mening dat EU-landen meer moeten samenwerken om een pandemie te bestrijden. De manier waarop de coronacrisis wordt aangepakt, zorgt soms voor verwarring. De regels moeten consistenter met elkaar zijn, zonder overal hetzelfde te hoeven zijn. Als het gaat om vaccins of medicijnen, willen de Nederlanders de prijzen zo laag mogelijk houden, maar willen ze kunnen vertrouwen op kwaliteit en verantwoorde productie. Daarnaast vinden wij het belangrijk dat grote bedrijven hun macht niet misbruiken, en wij zijn van mening dat de gezondheidszorg op nationaal niveau moet blijven. </w:t>
      </w:r>
      <w:r>
        <w:br w:type="page"/>
      </w:r>
    </w:p>
    <w:p>
      <w:pPr>
        <w:pStyle w:val="P68B1DB1Normal126"/>
        <w:widowControl w:val="false"/>
        <w:spacing w:lineRule="auto" w:line="240"/>
        <w:ind w:left="0" w:right="0" w:hanging="0"/>
        <w:jc w:val="left"/>
        <w:rPr>
          <w:rFonts w:ascii="Calibri" w:hAnsi="Calibri"/>
          <w:color w:val="0070C0"/>
          <w:sz w:val="24"/>
        </w:rPr>
      </w:pPr>
      <w:r>
        <w:rPr/>
        <w:t xml:space="preserve">De rol van de EU in de wereld </w:t>
      </w:r>
    </w:p>
    <w:p>
      <w:pPr>
        <w:pStyle w:val="P68B1DB1Normal119"/>
        <w:widowControl w:val="false"/>
        <w:spacing w:lineRule="auto" w:line="240" w:before="112" w:after="0"/>
        <w:ind w:left="0" w:right="0" w:hanging="0"/>
        <w:jc w:val="left"/>
        <w:rPr/>
      </w:pPr>
      <w:r>
        <w:rPr>
          <w:rFonts w:ascii="Calibri" w:hAnsi="Calibri"/>
        </w:rPr>
        <w:t>1.</w:t>
      </w:r>
      <w:r>
        <w:rPr/>
        <w:t xml:space="preserve"> </w:t>
      </w:r>
      <w:r>
        <w:rPr>
          <w:rFonts w:ascii="Calibri" w:hAnsi="Calibri"/>
        </w:rPr>
        <w:t>Het benutten van de kracht van de EU op belangrijke internationale thema’s, voornamelijk</w:t>
      </w:r>
    </w:p>
    <w:p>
      <w:pPr>
        <w:pStyle w:val="P68B1DB1Normal119"/>
        <w:widowControl w:val="false"/>
        <w:spacing w:lineRule="auto" w:line="240" w:before="112" w:after="0"/>
        <w:ind w:left="0" w:right="0" w:hanging="0"/>
        <w:jc w:val="left"/>
        <w:rPr/>
      </w:pPr>
      <w:r>
        <w:rPr>
          <w:rFonts w:ascii="Calibri" w:hAnsi="Calibri"/>
        </w:rPr>
        <w:t>2.</w:t>
      </w:r>
      <w:r>
        <w:rPr/>
        <w:t xml:space="preserve"> </w:t>
      </w:r>
      <w:r>
        <w:rPr>
          <w:rFonts w:ascii="Calibri" w:hAnsi="Calibri"/>
        </w:rPr>
        <w:t>Binnen en buiten Europa, kies samenwerking in plaats van strijd</w:t>
      </w:r>
    </w:p>
    <w:p>
      <w:pPr>
        <w:pStyle w:val="P68B1DB1Normal119"/>
        <w:widowControl w:val="false"/>
        <w:spacing w:lineRule="auto" w:line="240" w:before="112" w:after="0"/>
        <w:ind w:left="0" w:right="0" w:hanging="0"/>
        <w:jc w:val="left"/>
        <w:rPr/>
      </w:pPr>
      <w:r>
        <w:rPr>
          <w:rFonts w:ascii="Calibri" w:hAnsi="Calibri"/>
        </w:rPr>
        <w:t>3.</w:t>
      </w:r>
      <w:r>
        <w:rPr/>
        <w:t xml:space="preserve"> </w:t>
      </w:r>
      <w:r>
        <w:rPr>
          <w:rFonts w:ascii="Calibri" w:hAnsi="Calibri"/>
        </w:rPr>
        <w:t>Op een doordachte manier hulp bieden bij een conflict</w:t>
      </w:r>
    </w:p>
    <w:p>
      <w:pPr>
        <w:pStyle w:val="P68B1DB1Normal104"/>
        <w:widowControl w:val="false"/>
        <w:spacing w:lineRule="auto" w:line="240" w:before="84" w:after="0"/>
        <w:ind w:left="0" w:right="0" w:hanging="0"/>
        <w:jc w:val="left"/>
        <w:rPr/>
      </w:pPr>
      <w:r>
        <w:rPr/>
        <w:t xml:space="preserve">De Nederlanders zijn van mening dat Europese samenwerking vooral gericht moet zijn op de belangrijkste gemeenschappelijke belangen. De samenwerking van de EU met derde landen moet ook deel uitmaken van deze aanpak. Naast de klimaatverandering en de coronapandemie omvatten deze onder meer de internationale veiligheid en de bescherming van de Europese economie tegen oneerlijke handelspraktijken. Binnen en buiten Europa geven de Nederlanders de voorkeur aan strijd. Wat de aanpak van conflicten betreft, verdient het altijd de voorkeur deze op te lossen zonder een beroep te doen op geweld. </w:t>
      </w:r>
    </w:p>
    <w:p>
      <w:pPr>
        <w:pStyle w:val="P68B1DB1Normal125"/>
        <w:widowControl w:val="false"/>
        <w:spacing w:lineRule="auto" w:line="240" w:before="96" w:after="0"/>
        <w:ind w:left="0" w:right="0" w:hanging="0"/>
        <w:jc w:val="left"/>
        <w:rPr>
          <w:rFonts w:ascii="Calibri" w:hAnsi="Calibri"/>
          <w:b/>
          <w:b/>
          <w:color w:val="0070C0"/>
          <w:sz w:val="32"/>
        </w:rPr>
      </w:pPr>
      <w:r>
        <w:rPr/>
        <w:t xml:space="preserve">Introductie </w:t>
      </w:r>
    </w:p>
    <w:p>
      <w:pPr>
        <w:pStyle w:val="P68B1DB1Normal104"/>
        <w:widowControl w:val="false"/>
        <w:spacing w:lineRule="auto" w:line="240" w:before="183" w:after="0"/>
        <w:ind w:left="0" w:right="0" w:hanging="0"/>
        <w:jc w:val="left"/>
        <w:rPr/>
      </w:pPr>
      <w:r>
        <w:rPr/>
        <w:t xml:space="preserve">De burgerdialoog „Vision of Europe”, gehouden van 1 september tot half november, stelde alle Nederlanders in staat hun mening en ideeën over de toekomst van Europa te uiten. Nederland dient bij de Europese Unie (EU) de aanbevelingen waarop de dialoog heeft geleid, alsmede de ideeën en standpunten die naar voren zijn gebracht, voor te leggen. In dit verslag behandelen we de laatste vier thema’s (van de negen in totaal geïdentificeerde thema’s). De eerste vijf onderwerpen zijn reeds behandeld in het op 3 december 2021 gepubliceerde verslag. </w:t>
      </w:r>
    </w:p>
    <w:p>
      <w:pPr>
        <w:pStyle w:val="P68B1DB1Normal126"/>
        <w:widowControl w:val="false"/>
        <w:spacing w:lineRule="auto" w:line="240" w:before="79" w:after="0"/>
        <w:ind w:left="0" w:right="0" w:hanging="0"/>
        <w:jc w:val="left"/>
        <w:rPr>
          <w:rFonts w:ascii="Calibri" w:hAnsi="Calibri"/>
          <w:color w:val="0070C0"/>
          <w:sz w:val="24"/>
        </w:rPr>
      </w:pPr>
      <w:r>
        <w:rPr/>
        <w:t xml:space="preserve">Over de visie van Europa </w:t>
      </w:r>
    </w:p>
    <w:p>
      <w:pPr>
        <w:pStyle w:val="P68B1DB1Normal104"/>
        <w:widowControl w:val="false"/>
        <w:spacing w:lineRule="auto" w:line="240" w:before="78" w:after="0"/>
        <w:ind w:left="0" w:right="0" w:hanging="0"/>
        <w:jc w:val="left"/>
        <w:rPr/>
      </w:pPr>
      <w:r>
        <w:rPr/>
        <w:t xml:space="preserve">De Europese Unie wil dat haar burgers delen wat zij van Europa vinden. Daarom organiseert de EU de conferentie over de toekomst van Europa. De meningen en ideeën van burgers in de hele Europese Unie zullen vervolgens worden meegenomen in de plannen voor de toekomst van Europa. Als onderdeel van de conferentie organiseerde Nederland de burgerdialoog „Vision of Europe” op nationaal niveau. </w:t>
      </w:r>
    </w:p>
    <w:p>
      <w:pPr>
        <w:pStyle w:val="P68B1DB1Normal104"/>
        <w:widowControl w:val="false"/>
        <w:spacing w:lineRule="auto" w:line="240"/>
        <w:ind w:left="0" w:right="0" w:hanging="0"/>
        <w:jc w:val="left"/>
        <w:rPr/>
      </w:pPr>
      <w:r>
        <w:rPr/>
        <w:t xml:space="preserve">De dialoog over de visie op Europa is op 1 september van start gegaan met de online verzameling van meningen en ideeën via een enquête van een representatief panel. Om de eerste resultaten van de panelenquête te verdiepen en concrete aanbevelingen te doen, organiseerden we online thematische dialogen. Iedereen die wil meedoen, kan meedoen. We reisden ook door het land om gesprekken te voeren met jongeren en andere groepen (moeilijk te bereiken).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11"/>
        <w:widowControl w:val="false"/>
        <w:spacing w:lineRule="auto" w:line="240"/>
        <w:ind w:left="0" w:right="0" w:hanging="0"/>
        <w:jc w:val="left"/>
        <w:rPr/>
      </w:pPr>
      <w:r>
        <w:rPr/>
        <w:t xml:space="preserve">Van scholieren, middelbare scholieren en studenten tot minister, boeren en migranten </w:t>
      </w:r>
    </w:p>
    <w:p>
      <w:pPr>
        <w:pStyle w:val="P68B1DB1Normal104"/>
        <w:widowControl w:val="false"/>
        <w:spacing w:lineRule="auto" w:line="240" w:before="91" w:after="0"/>
        <w:ind w:left="0" w:right="0" w:hanging="0"/>
        <w:jc w:val="both"/>
        <w:rPr/>
      </w:pPr>
      <w:r>
        <w:rPr/>
        <w:t xml:space="preserve">In oktober en november vonden in totaal acht online thematische dialogen plaats, met gemiddeld 30 deelnemers per vergadering. We organiseerden ook een online thematische dialoog en zeven on-site thematische dialogen met verschillende groepen Nederlandse burgers. We spraken met de Turkse gemeenschap in Schiedam en werden door vrijwilligers van de Piëzo Foundation uitgenodigd voor Zoetermeer. Bij deze laatste gelegenheid was minister van Buitenlandse Zaken Ben Knapen ook aanwezig aan het einde van de dialoog. De minister had een discussie met de deelnemers over de dialoog en standpunten over de toekomst van Europa. Tot slot organiseerden we zes bijeenkomsten met verschillende groepen jongeren. Zo werden we verwelkomd op een middelbare school in Helmond, een beroepsonderwijs in Doetinchem en de Universiteit Leiden. </w:t>
      </w:r>
    </w:p>
    <w:p>
      <w:pPr>
        <w:pStyle w:val="P68B1DB1Normal113"/>
        <w:widowControl w:val="false"/>
        <w:spacing w:lineRule="auto" w:line="240" w:before="160" w:after="0"/>
        <w:ind w:left="0" w:right="0" w:hanging="0"/>
        <w:jc w:val="center"/>
        <w:rPr/>
      </w:pPr>
      <w:r>
        <w:rPr/>
        <w:t xml:space="preserve">Dat is de toekomst van onze kinderen. Daarom vind ik het belangrijk om deel te nemen. </w:t>
      </w:r>
    </w:p>
    <w:p>
      <w:pPr>
        <w:pStyle w:val="P68B1DB1Normal104"/>
        <w:widowControl w:val="false"/>
        <w:spacing w:lineRule="auto" w:line="240" w:before="127" w:after="0"/>
        <w:ind w:left="0" w:right="0" w:hanging="0"/>
        <w:jc w:val="left"/>
        <w:rPr>
          <w:rFonts w:ascii="Calibri" w:hAnsi="Calibri"/>
          <w:color w:val="000000"/>
          <w:sz w:val="21"/>
        </w:rPr>
      </w:pPr>
      <w:r>
        <w:rPr/>
        <w:t xml:space="preserve">Deelnemer aan de thematische dialoog </w:t>
      </w:r>
    </w:p>
    <w:p>
      <w:pPr>
        <w:pStyle w:val="Normal"/>
        <w:widowControl w:val="false"/>
        <w:spacing w:lineRule="auto" w:line="240" w:before="92" w:after="0"/>
        <w:ind w:left="0" w:right="0" w:hanging="0"/>
        <w:jc w:val="left"/>
        <w:rPr>
          <w:rFonts w:ascii="Times New Roman" w:hAnsi="Times New Roman"/>
          <w:color w:val="000000"/>
          <w:sz w:val="24"/>
        </w:rPr>
      </w:pPr>
      <w:r>
        <w:rPr>
          <w:rFonts w:ascii="Times New Roman" w:hAnsi="Times New Roman"/>
          <w:color w:val="000000"/>
          <w:sz w:val="24"/>
        </w:rPr>
      </w:r>
      <w:r>
        <w:br w:type="page"/>
      </w:r>
    </w:p>
    <w:p>
      <w:pPr>
        <w:pStyle w:val="P68B1DB1Normal126"/>
        <w:widowControl w:val="false"/>
        <w:spacing w:lineRule="auto" w:line="240"/>
        <w:ind w:left="0" w:right="0" w:hanging="0"/>
        <w:jc w:val="left"/>
        <w:rPr>
          <w:rFonts w:ascii="Calibri" w:hAnsi="Calibri"/>
          <w:color w:val="0070C0"/>
          <w:sz w:val="24"/>
        </w:rPr>
      </w:pPr>
      <w:r>
        <w:rPr/>
        <w:t xml:space="preserve">Over dit rapport </w:t>
      </w:r>
    </w:p>
    <w:p>
      <w:pPr>
        <w:pStyle w:val="P68B1DB1Normal104"/>
        <w:widowControl w:val="false"/>
        <w:spacing w:lineRule="auto" w:line="240" w:before="88" w:after="0"/>
        <w:ind w:left="0" w:right="0" w:hanging="0"/>
        <w:jc w:val="left"/>
        <w:rPr/>
      </w:pPr>
      <w:r>
        <w:rPr/>
        <w:t xml:space="preserve">Op basis van de ideeën en meningen die we de afgelopen maanden hebben verzameld, hebben we een reeks aanbevelingen opgesteld die Nederlandse burgers doen aan de Europese Unie. Tijdens de discussies tussen Nederlanders vonden interessante gedachtewisselingen plaats en werden innovatieve ideeën en suggesties gedaan. Sommige van deze ideeën en suggesties zijn in dit verslag opgenomen. De inhoud van dit rapport is dan ook de stem van Nederland: onze visie op Europa. </w:t>
      </w:r>
    </w:p>
    <w:p>
      <w:pPr>
        <w:pStyle w:val="P68B1DB1Normal104"/>
        <w:widowControl w:val="false"/>
        <w:spacing w:lineRule="auto" w:line="240" w:before="1" w:after="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 xml:space="preserve">Net zoals er meningsverschillen zijn tussen landen en Europese burgers, zijn we het ook niet altijd met elkaar eens binnen Nederland. Deze meningsverschillen zijn juist waardevol: ze zijn een belangrijk kenmerk van een democratie. De aanbevelingen zijn gebaseerd op de meest geuite ideeën en meningen van de deelnemers aan de Vision of Europe-enquête. We beschrijven ook zorgen, ideeën en gevoelens die misschien minder wijdverbreid zijn, maar die onze aandacht hebben getrokken tijdens dialogen en de online enquête. </w:t>
      </w:r>
    </w:p>
    <w:p>
      <w:pPr>
        <w:pStyle w:val="P68B1DB1Normal113"/>
        <w:widowControl w:val="false"/>
        <w:spacing w:lineRule="auto" w:line="240" w:before="181" w:after="0"/>
        <w:ind w:left="0" w:right="0" w:hanging="0"/>
        <w:jc w:val="center"/>
        <w:rPr/>
      </w:pPr>
      <w:r>
        <w:rPr/>
        <w:t xml:space="preserve">Ik vond het leuk om mijn mening te kunnen geven over onderwerpen die volgens mij belangrijk zijn. En het gevoel te hebben geluisterd te worden. </w:t>
      </w:r>
    </w:p>
    <w:p>
      <w:pPr>
        <w:pStyle w:val="P68B1DB1Normal104"/>
        <w:widowControl w:val="false"/>
        <w:spacing w:lineRule="auto" w:line="240" w:before="300" w:after="0"/>
        <w:ind w:left="0" w:right="0" w:hanging="0"/>
        <w:jc w:val="left"/>
        <w:rPr>
          <w:rFonts w:ascii="Calibri" w:hAnsi="Calibri"/>
          <w:color w:val="000000"/>
          <w:sz w:val="21"/>
        </w:rPr>
      </w:pPr>
      <w:r>
        <w:rPr/>
        <w:t xml:space="preserve">Deelnemer aan de thematische dialoog </w:t>
      </w:r>
    </w:p>
    <w:p>
      <w:pPr>
        <w:pStyle w:val="P68B1DB1Normal104"/>
        <w:widowControl w:val="false"/>
        <w:spacing w:lineRule="auto" w:line="240"/>
        <w:ind w:left="0" w:right="0" w:hanging="0"/>
        <w:jc w:val="left"/>
        <w:rPr/>
      </w:pPr>
      <w:r>
        <w:rPr/>
        <w:t xml:space="preserve">Voor de conferentie over de toekomst van Europa zijn negen thema’s vastgesteld. Deze thema’s vormen ook de kern van de Visie van Europa dialoog met Nederlandse burgers. In oktober publiceerden we een tussentijds rapport met een eerste overzicht van de resultaten en aanvullende vragen op basis van de panelenquête. Begin december werd een nieuw rapport gepubliceerd met adviezen, ideeën en aanbevelingen over de eerste vijf thema’s. Dit verslag behandelt de overige vier thema’s.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11"/>
        <w:widowControl w:val="false"/>
        <w:spacing w:lineRule="auto" w:line="240"/>
        <w:ind w:left="0" w:right="0" w:hanging="0"/>
        <w:jc w:val="left"/>
        <w:rPr>
          <w:rFonts w:ascii="Calibri" w:hAnsi="Calibri"/>
          <w:b/>
          <w:b/>
          <w:color w:val="000000"/>
          <w:sz w:val="22"/>
        </w:rPr>
      </w:pPr>
      <w:r>
        <w:rPr/>
        <w:t xml:space="preserve">Vorig verslag — december 2021 </w:t>
      </w:r>
    </w:p>
    <w:p>
      <w:pPr>
        <w:pStyle w:val="P68B1DB1Normal104"/>
        <w:widowControl w:val="false"/>
        <w:spacing w:lineRule="auto" w:line="240"/>
        <w:ind w:left="0" w:right="0" w:hanging="0"/>
        <w:jc w:val="left"/>
        <w:rPr>
          <w:rFonts w:ascii="Calibri" w:hAnsi="Calibri"/>
          <w:color w:val="000000"/>
          <w:sz w:val="21"/>
        </w:rPr>
      </w:pPr>
      <w:r>
        <w:rPr/>
        <w:t xml:space="preserve">Waarden en rechten, rechtsstaat en veiligheid </w:t>
      </w:r>
    </w:p>
    <w:p>
      <w:pPr>
        <w:pStyle w:val="P68B1DB1Normal104"/>
        <w:widowControl w:val="false"/>
        <w:spacing w:lineRule="auto" w:line="240"/>
        <w:ind w:left="0" w:right="0" w:hanging="0"/>
        <w:jc w:val="left"/>
        <w:rPr/>
      </w:pPr>
      <w:r>
        <w:rPr/>
        <w:t xml:space="preserve">Een sterkere economie, sociale rechtvaardigheid en werkgelegenheid Europese democratie </w:t>
      </w:r>
    </w:p>
    <w:p>
      <w:pPr>
        <w:pStyle w:val="P68B1DB1Normal104"/>
        <w:widowControl w:val="false"/>
        <w:spacing w:lineRule="auto" w:line="240"/>
        <w:ind w:left="0" w:right="0" w:hanging="0"/>
        <w:jc w:val="left"/>
        <w:rPr>
          <w:rFonts w:ascii="Calibri" w:hAnsi="Calibri"/>
          <w:color w:val="000000"/>
          <w:sz w:val="21"/>
        </w:rPr>
      </w:pPr>
      <w:r>
        <w:rPr/>
        <w:t xml:space="preserve">Digitale transformatie </w:t>
      </w:r>
    </w:p>
    <w:p>
      <w:pPr>
        <w:pStyle w:val="P68B1DB1Normal104"/>
        <w:widowControl w:val="false"/>
        <w:spacing w:lineRule="auto" w:line="240"/>
        <w:ind w:left="0" w:right="0" w:hanging="0"/>
        <w:jc w:val="left"/>
        <w:rPr>
          <w:rFonts w:ascii="Calibri" w:hAnsi="Calibri"/>
          <w:color w:val="000000"/>
          <w:sz w:val="21"/>
        </w:rPr>
      </w:pPr>
      <w:r>
        <w:rPr/>
        <w:t xml:space="preserve">Onderwijs, cultuur, jeugd en sport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11"/>
        <w:widowControl w:val="false"/>
        <w:spacing w:lineRule="auto" w:line="240"/>
        <w:ind w:left="0" w:right="0" w:hanging="0"/>
        <w:jc w:val="left"/>
        <w:rPr/>
      </w:pPr>
      <w:r>
        <w:rPr/>
        <w:t>Huidig verslag — januari 2022</w:t>
      </w:r>
    </w:p>
    <w:p>
      <w:pPr>
        <w:pStyle w:val="P68B1DB1Normal104"/>
        <w:widowControl w:val="false"/>
        <w:spacing w:lineRule="auto" w:line="240"/>
        <w:ind w:left="0" w:right="0" w:hanging="0"/>
        <w:jc w:val="left"/>
        <w:rPr/>
      </w:pPr>
      <w:r>
        <w:rPr/>
        <w:t xml:space="preserve">Klimaatverandering en milieu </w:t>
      </w:r>
    </w:p>
    <w:p>
      <w:pPr>
        <w:pStyle w:val="P68B1DB1Normal104"/>
        <w:widowControl w:val="false"/>
        <w:spacing w:lineRule="auto" w:line="240"/>
        <w:ind w:left="0" w:right="0" w:hanging="0"/>
        <w:jc w:val="left"/>
        <w:rPr>
          <w:rFonts w:ascii="Calibri" w:hAnsi="Calibri"/>
          <w:color w:val="000000"/>
          <w:sz w:val="21"/>
        </w:rPr>
      </w:pPr>
      <w:r>
        <w:rPr/>
        <w:t xml:space="preserve">Migratie </w:t>
      </w:r>
    </w:p>
    <w:p>
      <w:pPr>
        <w:pStyle w:val="P68B1DB1Normal104"/>
        <w:widowControl w:val="false"/>
        <w:spacing w:lineRule="auto" w:line="240"/>
        <w:ind w:left="0" w:right="0" w:hanging="0"/>
        <w:jc w:val="left"/>
        <w:rPr>
          <w:rFonts w:ascii="Calibri" w:hAnsi="Calibri"/>
          <w:color w:val="000000"/>
          <w:sz w:val="21"/>
        </w:rPr>
      </w:pPr>
      <w:r>
        <w:rPr/>
        <w:t xml:space="preserve">Gezondheid </w:t>
      </w:r>
    </w:p>
    <w:p>
      <w:pPr>
        <w:pStyle w:val="P68B1DB1Normal104"/>
        <w:widowControl w:val="false"/>
        <w:spacing w:lineRule="auto" w:line="240"/>
        <w:ind w:left="0" w:right="0" w:hanging="0"/>
        <w:jc w:val="left"/>
        <w:rPr>
          <w:rFonts w:ascii="Calibri" w:hAnsi="Calibri"/>
          <w:color w:val="000000"/>
          <w:sz w:val="21"/>
        </w:rPr>
      </w:pPr>
      <w:r>
        <w:rPr/>
        <w:t xml:space="preserve">De EU in de wereld </w:t>
      </w:r>
    </w:p>
    <w:p>
      <w:pPr>
        <w:pStyle w:val="P68B1DB1Normal126"/>
        <w:widowControl w:val="false"/>
        <w:spacing w:lineRule="auto" w:line="240" w:before="105" w:after="0"/>
        <w:ind w:left="0" w:right="0" w:hanging="0"/>
        <w:jc w:val="left"/>
        <w:rPr>
          <w:rFonts w:ascii="Calibri" w:hAnsi="Calibri"/>
          <w:color w:val="0070C0"/>
          <w:sz w:val="24"/>
        </w:rPr>
      </w:pPr>
      <w:r>
        <w:rPr/>
        <w:t xml:space="preserve">Volgende stappen </w:t>
      </w:r>
    </w:p>
    <w:p>
      <w:pPr>
        <w:pStyle w:val="Normal"/>
        <w:widowControl w:val="false"/>
        <w:spacing w:lineRule="auto" w:line="240" w:before="107" w:after="0"/>
        <w:ind w:left="0" w:right="0" w:hanging="0"/>
        <w:jc w:val="left"/>
        <w:rPr/>
      </w:pPr>
      <w:r>
        <w:rPr>
          <w:rFonts w:ascii="Calibri" w:hAnsi="Calibri"/>
          <w:color w:val="000000"/>
          <w:sz w:val="21"/>
        </w:rPr>
        <w:t xml:space="preserve">De conferentie over de toekomst van Europa brengt de ideeën, adviezen en aanbevelingen van alle EU-burgers samen. De vergaderingen zullen niet alleen worden gewijd aan de resultaten van alle burgerdialogen op nationaal niveau, maar ook aan de resultaten van andere initiatieven die in het kader van de conferentie zijn gelanceerd. Zo zijn er ook panels van Europese burgers en hebben alle EU-burgers (inclusief Nederlandse burgers) toegang tot een Europees digitaal platform. </w:t>
      </w:r>
      <w:r>
        <w:br w:type="page"/>
      </w:r>
    </w:p>
    <w:p>
      <w:pPr>
        <w:pStyle w:val="P68B1DB1Normal19"/>
        <w:widowControl w:val="false"/>
        <w:spacing w:lineRule="auto" w:line="240"/>
        <w:ind w:left="0" w:right="0" w:hanging="0"/>
        <w:jc w:val="left"/>
        <w:rPr>
          <w:rFonts w:ascii="Times New Roman" w:hAnsi="Times New Roman"/>
          <w:color w:val="000000"/>
          <w:sz w:val="24"/>
        </w:rPr>
      </w:pPr>
      <w:r>
        <w:rPr/>
        <w:t xml:space="preserve"> </w:t>
      </w:r>
    </w:p>
    <w:p>
      <w:pPr>
        <w:pStyle w:val="P68B1DB1Normal113"/>
        <w:widowControl w:val="false"/>
        <w:spacing w:lineRule="auto" w:line="240"/>
        <w:ind w:left="0" w:right="0" w:hanging="0"/>
        <w:jc w:val="center"/>
        <w:rPr/>
      </w:pPr>
      <w:r>
        <w:rPr/>
        <w:t>„</w:t>
      </w:r>
      <w:r>
        <w:rPr/>
        <w:t xml:space="preserve">Ik hoop dat de EU-leiders rekening zullen houden met mijn standpunt. En dat het hen zal helpen om de juiste keuzes te maken. </w:t>
      </w:r>
    </w:p>
    <w:p>
      <w:pPr>
        <w:pStyle w:val="P68B1DB1Normal104"/>
        <w:widowControl w:val="false"/>
        <w:spacing w:lineRule="auto" w:line="240" w:before="300" w:after="0"/>
        <w:ind w:left="0" w:right="0" w:hanging="0"/>
        <w:jc w:val="left"/>
        <w:rPr>
          <w:rFonts w:ascii="Calibri" w:hAnsi="Calibri"/>
          <w:color w:val="000000"/>
          <w:sz w:val="21"/>
        </w:rPr>
      </w:pPr>
      <w:r>
        <w:rPr/>
        <w:t xml:space="preserve">Deelnemer aan de thematische dialoog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 xml:space="preserve">De conferentie eindigt in het voorjaar van 2022. Nederland zal vervolgens een eindverslag opstellen over de burgerdialoog: een compilatie van dit verslag en het vorige verslag, met aanbevelingen voor alle negen thema’s. Na de conferentie zullen aanbevelingen worden gedaan aan de voorzitter van de Conferentie: de voorzitters van het Europees Parlement, de Raad van Ministers en de Europese Commissie. Zij hebben zich ertoe verbonden na te gaan hoe en hoe de aanbevelingen ten uitvoer kunnen worden gelegd. Voor de Nederlandse regering zijn de resultaten ook een waardevolle bijdrage aan de ontwikkeling van het Europese beleid van Nederland.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Normal"/>
        <w:widowControl w:val="false"/>
        <w:spacing w:lineRule="auto" w:line="240"/>
        <w:ind w:left="0" w:right="0" w:hanging="0"/>
        <w:jc w:val="left"/>
        <w:rPr>
          <w:rFonts w:ascii="Calibri" w:hAnsi="Calibri"/>
          <w:color w:val="000000"/>
          <w:sz w:val="21"/>
        </w:rPr>
      </w:pPr>
      <w:r>
        <w:rPr>
          <w:rFonts w:ascii="Calibri" w:hAnsi="Calibri"/>
          <w:color w:val="000000"/>
          <w:sz w:val="21"/>
        </w:rPr>
        <w:t xml:space="preserve">Samengevat zal het proces tot het voorjaar van 2022 als volgt worden georganiseerd: </w:t>
      </w:r>
      <w:r>
        <w:br w:type="page"/>
      </w:r>
    </w:p>
    <w:p>
      <w:pPr>
        <w:pStyle w:val="P68B1DB1Normal127"/>
        <w:widowControl w:val="false"/>
        <w:spacing w:lineRule="auto" w:line="240" w:before="0" w:after="0"/>
        <w:ind w:left="0" w:right="0" w:hanging="0"/>
        <w:jc w:val="left"/>
        <w:rPr/>
      </w:pPr>
      <w:r>
        <w:rPr>
          <w:color w:val="0070C0"/>
          <w:sz w:val="24"/>
        </w:rPr>
        <w:t>Chronologie</w:t>
      </w:r>
      <w:r>
        <w:rPr>
          <w:color w:val="365F91"/>
          <w:sz w:val="28"/>
        </w:rPr>
        <w:t xml:space="preserve"> </w:t>
      </w:r>
    </w:p>
    <w:p>
      <w:pPr>
        <w:pStyle w:val="P68B1DB1Normal35"/>
        <w:widowControl w:val="false"/>
        <w:spacing w:lineRule="auto" w:line="240" w:before="0" w:after="0"/>
        <w:ind w:left="24" w:right="0" w:hanging="0"/>
        <w:jc w:val="left"/>
        <w:rPr/>
      </w:pPr>
      <w:r>
        <w:rPr>
          <w:rFonts w:ascii="Times New Roman" w:hAnsi="Times New Roman"/>
          <w:sz w:val="24"/>
        </w:rPr>
        <w:t xml:space="preserve"> </w:t>
      </w:r>
      <w:r>
        <w:rPr>
          <w:rFonts w:ascii="Calibri" w:hAnsi="Calibri"/>
          <w:position w:val="2"/>
          <w:sz w:val="21"/>
        </w:rPr>
        <w:t>Visie van Europa</w:t>
      </w:r>
    </w:p>
    <w:tbl>
      <w:tblPr>
        <w:tblW w:w="9645"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146"/>
        <w:gridCol w:w="355"/>
        <w:gridCol w:w="416"/>
        <w:gridCol w:w="915"/>
        <w:gridCol w:w="41"/>
        <w:gridCol w:w="512"/>
        <w:gridCol w:w="292"/>
        <w:gridCol w:w="443"/>
        <w:gridCol w:w="657"/>
        <w:gridCol w:w="854"/>
        <w:gridCol w:w="1"/>
        <w:gridCol w:w="706"/>
        <w:gridCol w:w="1"/>
        <w:gridCol w:w="853"/>
        <w:gridCol w:w="1"/>
        <w:gridCol w:w="852"/>
        <w:gridCol w:w="913"/>
        <w:gridCol w:w="340"/>
        <w:gridCol w:w="1346"/>
      </w:tblGrid>
      <w:tr>
        <w:trPr>
          <w:trHeight w:val="1151" w:hRule="atLeast"/>
        </w:trPr>
        <w:tc>
          <w:tcPr>
            <w:tcW w:w="501"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1 september</w:t>
            </w:r>
          </w:p>
        </w:tc>
        <w:tc>
          <w:tcPr>
            <w:tcW w:w="4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12 oktober</w:t>
            </w:r>
          </w:p>
        </w:tc>
        <w:tc>
          <w:tcPr>
            <w:tcW w:w="956"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22/23 oktober</w:t>
            </w:r>
          </w:p>
        </w:tc>
        <w:tc>
          <w:tcPr>
            <w:tcW w:w="51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15 november</w:t>
            </w:r>
          </w:p>
        </w:tc>
        <w:tc>
          <w:tcPr>
            <w:tcW w:w="735"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3 december</w:t>
            </w:r>
          </w:p>
        </w:tc>
        <w:tc>
          <w:tcPr>
            <w:tcW w:w="65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14 januari</w:t>
            </w:r>
          </w:p>
        </w:tc>
        <w:tc>
          <w:tcPr>
            <w:tcW w:w="85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21/22 januari</w:t>
            </w:r>
          </w:p>
        </w:tc>
        <w:tc>
          <w:tcPr>
            <w:tcW w:w="707"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Februari</w:t>
            </w:r>
          </w:p>
        </w:tc>
        <w:tc>
          <w:tcPr>
            <w:tcW w:w="8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18/19 februari</w:t>
            </w:r>
          </w:p>
        </w:tc>
        <w:tc>
          <w:tcPr>
            <w:tcW w:w="853"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11-12 maart</w:t>
            </w:r>
          </w:p>
        </w:tc>
        <w:tc>
          <w:tcPr>
            <w:tcW w:w="91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22/24 april</w:t>
            </w:r>
          </w:p>
        </w:tc>
        <w:tc>
          <w:tcPr>
            <w:tcW w:w="34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134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r>
      <w:tr>
        <w:trPr>
          <w:trHeight w:val="521" w:hRule="atLeast"/>
        </w:trPr>
        <w:tc>
          <w:tcPr>
            <w:tcW w:w="2385" w:type="dxa"/>
            <w:gridSpan w:val="6"/>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Ideeën online verzamelen</w:t>
            </w:r>
          </w:p>
        </w:tc>
        <w:tc>
          <w:tcPr>
            <w:tcW w:w="735"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65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85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707"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8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853"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91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34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134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r>
      <w:tr>
        <w:trPr>
          <w:trHeight w:val="506" w:hRule="atLeast"/>
        </w:trPr>
        <w:tc>
          <w:tcPr>
            <w:tcW w:w="501"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1884" w:type="dxa"/>
            <w:gridSpan w:val="4"/>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Thematische dialogen</w:t>
            </w:r>
          </w:p>
        </w:tc>
        <w:tc>
          <w:tcPr>
            <w:tcW w:w="735"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65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85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707"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8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853"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91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34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134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r>
      <w:tr>
        <w:trPr>
          <w:trHeight w:val="1902" w:hRule="atLeast"/>
        </w:trPr>
        <w:tc>
          <w:tcPr>
            <w:tcW w:w="501"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4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956"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Tussentijdse resultaten (tussenrapport)</w:t>
            </w:r>
          </w:p>
        </w:tc>
        <w:tc>
          <w:tcPr>
            <w:tcW w:w="51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735"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Tussentijds verslag over „Economie” en „democratie”</w:t>
            </w:r>
          </w:p>
        </w:tc>
        <w:tc>
          <w:tcPr>
            <w:tcW w:w="65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Tussentijds verslag over „Klimaat” en „De EU in de wereld”</w:t>
            </w:r>
          </w:p>
        </w:tc>
        <w:tc>
          <w:tcPr>
            <w:tcW w:w="85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707"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Eindverslag „Onze visie voor Europa”</w:t>
            </w:r>
          </w:p>
        </w:tc>
        <w:tc>
          <w:tcPr>
            <w:tcW w:w="8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853"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91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34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134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r>
      <w:tr>
        <w:trPr>
          <w:trHeight w:val="506" w:hRule="atLeast"/>
        </w:trPr>
        <w:tc>
          <w:tcPr>
            <w:tcW w:w="501"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4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956"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 xml:space="preserve">” </w:t>
            </w:r>
          </w:p>
        </w:tc>
        <w:tc>
          <w:tcPr>
            <w:tcW w:w="51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735"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65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85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 xml:space="preserve">” </w:t>
            </w:r>
          </w:p>
        </w:tc>
        <w:tc>
          <w:tcPr>
            <w:tcW w:w="707"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8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 xml:space="preserve">” </w:t>
            </w:r>
          </w:p>
        </w:tc>
        <w:tc>
          <w:tcPr>
            <w:tcW w:w="853"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 xml:space="preserve">” </w:t>
            </w:r>
          </w:p>
        </w:tc>
        <w:tc>
          <w:tcPr>
            <w:tcW w:w="91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 xml:space="preserve">” </w:t>
            </w:r>
          </w:p>
        </w:tc>
        <w:tc>
          <w:tcPr>
            <w:tcW w:w="34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134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r>
      <w:tr>
        <w:trPr>
          <w:trHeight w:val="1879" w:hRule="atLeast"/>
        </w:trPr>
        <w:tc>
          <w:tcPr>
            <w:tcW w:w="501"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4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956"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Vergadering van de conferentie</w:t>
            </w:r>
          </w:p>
        </w:tc>
        <w:tc>
          <w:tcPr>
            <w:tcW w:w="51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735"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65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85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Vergadering van de conferentie</w:t>
            </w:r>
          </w:p>
        </w:tc>
        <w:tc>
          <w:tcPr>
            <w:tcW w:w="707"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8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 xml:space="preserve">Vergadering van </w:t>
              <w:br/>
              <w:t>de conferentie</w:t>
            </w:r>
          </w:p>
        </w:tc>
        <w:tc>
          <w:tcPr>
            <w:tcW w:w="853"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(eventueel) vergadering van de conferentie</w:t>
            </w:r>
          </w:p>
        </w:tc>
        <w:tc>
          <w:tcPr>
            <w:tcW w:w="91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Afsluitend evenement van de conferentie</w:t>
            </w:r>
          </w:p>
        </w:tc>
        <w:tc>
          <w:tcPr>
            <w:tcW w:w="34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 xml:space="preserve">→ </w:t>
            </w:r>
          </w:p>
        </w:tc>
        <w:tc>
          <w:tcPr>
            <w:tcW w:w="134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 xml:space="preserve">Aanbevelingen voor voorzitters </w:t>
            </w:r>
          </w:p>
          <w:p>
            <w:pPr>
              <w:pStyle w:val="P68B1DB1Contenudetableau128"/>
              <w:spacing w:before="57" w:after="57"/>
              <w:jc w:val="left"/>
              <w:rPr>
                <w:color w:val="000000"/>
                <w:sz w:val="14"/>
              </w:rPr>
            </w:pPr>
            <w:r>
              <w:rPr/>
              <w:t xml:space="preserve">• </w:t>
            </w:r>
            <w:r>
              <w:rPr/>
              <w:t xml:space="preserve">Europees Parlement </w:t>
              <w:br/>
              <w:t xml:space="preserve">• Europese Commissie </w:t>
              <w:br/>
              <w:t>• Raad van Ministers</w:t>
            </w:r>
          </w:p>
        </w:tc>
      </w:tr>
      <w:tr>
        <w:trPr>
          <w:trHeight w:val="491" w:hRule="atLeast"/>
        </w:trPr>
        <w:tc>
          <w:tcPr>
            <w:tcW w:w="501"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4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956"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51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735"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65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85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 xml:space="preserve">↑ </w:t>
            </w:r>
          </w:p>
        </w:tc>
        <w:tc>
          <w:tcPr>
            <w:tcW w:w="707"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8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 xml:space="preserve">↑ </w:t>
            </w:r>
          </w:p>
        </w:tc>
        <w:tc>
          <w:tcPr>
            <w:tcW w:w="853"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91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 xml:space="preserve">↑ </w:t>
            </w:r>
          </w:p>
        </w:tc>
        <w:tc>
          <w:tcPr>
            <w:tcW w:w="34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134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r>
      <w:tr>
        <w:trPr>
          <w:trHeight w:val="506" w:hRule="atLeast"/>
        </w:trPr>
        <w:tc>
          <w:tcPr>
            <w:tcW w:w="14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35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4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956"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80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6967" w:type="dxa"/>
            <w:gridSpan w:val="1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Meer meningen en ideeën over de toekomst van Europa:</w:t>
            </w:r>
          </w:p>
        </w:tc>
      </w:tr>
      <w:tr>
        <w:trPr>
          <w:trHeight w:val="941" w:hRule="atLeast"/>
        </w:trPr>
        <w:tc>
          <w:tcPr>
            <w:tcW w:w="917" w:type="dxa"/>
            <w:gridSpan w:val="3"/>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Dialogen met burgers</w:t>
            </w:r>
          </w:p>
        </w:tc>
        <w:tc>
          <w:tcPr>
            <w:tcW w:w="91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553"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735"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1512" w:type="dxa"/>
            <w:gridSpan w:val="3"/>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Europese burgerpanels</w:t>
            </w:r>
          </w:p>
        </w:tc>
        <w:tc>
          <w:tcPr>
            <w:tcW w:w="707"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8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3451" w:type="dxa"/>
            <w:gridSpan w:val="4"/>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Europees Digitaal Platform (ook voor Nederlanders)</w:t>
            </w:r>
          </w:p>
        </w:tc>
      </w:tr>
    </w:tbl>
    <w:p>
      <w:pPr>
        <w:pStyle w:val="Normal"/>
        <w:widowControl w:val="false"/>
        <w:spacing w:lineRule="auto" w:line="240"/>
        <w:ind w:left="0" w:right="0" w:hanging="0"/>
        <w:jc w:val="left"/>
        <w:rPr>
          <w:rFonts w:ascii="Times New Roman" w:hAnsi="Times New Roman"/>
          <w:color w:val="000000"/>
          <w:sz w:val="24"/>
        </w:rPr>
      </w:pPr>
      <w:r>
        <w:rPr>
          <w:rFonts w:ascii="Times New Roman" w:hAnsi="Times New Roman"/>
          <w:color w:val="000000"/>
          <w:sz w:val="24"/>
        </w:rPr>
      </w:r>
    </w:p>
    <w:p>
      <w:pPr>
        <w:pStyle w:val="P68B1DB1Normal126"/>
        <w:widowControl w:val="false"/>
        <w:spacing w:lineRule="auto" w:line="240"/>
        <w:ind w:left="0" w:right="0" w:hanging="0"/>
        <w:jc w:val="left"/>
        <w:rPr>
          <w:rFonts w:ascii="Calibri" w:hAnsi="Calibri"/>
          <w:color w:val="0070C0"/>
          <w:sz w:val="24"/>
        </w:rPr>
      </w:pPr>
      <w:r>
        <w:rPr/>
        <w:t xml:space="preserve">Uitleg om het lezen te vergemakkelijken </w:t>
      </w:r>
    </w:p>
    <w:p>
      <w:pPr>
        <w:pStyle w:val="P68B1DB1Normal104"/>
        <w:widowControl w:val="false"/>
        <w:spacing w:lineRule="exact" w:line="281" w:before="116" w:after="0"/>
        <w:ind w:left="0" w:right="772" w:hanging="0"/>
        <w:jc w:val="left"/>
        <w:rPr/>
      </w:pPr>
      <w:r>
        <w:rPr/>
        <w:t xml:space="preserve">In dit verslag hebben we vier thema’s besproken. Voor elk thema hebben we achtereenvolgens: </w:t>
      </w:r>
    </w:p>
    <w:p>
      <w:pPr>
        <w:pStyle w:val="P68B1DB1Normal104"/>
        <w:widowControl w:val="false"/>
        <w:spacing w:lineRule="exact" w:line="339" w:before="1" w:after="0"/>
        <w:ind w:left="0" w:right="0" w:hanging="0"/>
        <w:jc w:val="left"/>
        <w:rPr>
          <w:rFonts w:ascii="Calibri" w:hAnsi="Calibri"/>
          <w:color w:val="000000"/>
          <w:sz w:val="21"/>
        </w:rPr>
      </w:pPr>
      <w:r>
        <w:rPr/>
        <w:t xml:space="preserve">aanbevelingen op basis van alle aspecten van de burgerdialoog; </w:t>
      </w:r>
    </w:p>
    <w:p>
      <w:pPr>
        <w:pStyle w:val="P68B1DB1Normal104"/>
        <w:widowControl w:val="false"/>
        <w:spacing w:lineRule="exact" w:line="283"/>
        <w:ind w:left="0" w:right="137" w:hanging="0"/>
        <w:jc w:val="left"/>
        <w:rPr/>
      </w:pPr>
      <w:r>
        <w:rPr/>
        <w:t xml:space="preserve">online en on-site discussies en ideeën: overzicht van meningen, ideeën en standpunten die zijn uitgewisseld (online en met fysieke aanwezigheid) tijdens thematische dialogen. </w:t>
      </w:r>
    </w:p>
    <w:p>
      <w:pPr>
        <w:pStyle w:val="P68B1DB1Normal104"/>
        <w:widowControl w:val="false"/>
        <w:spacing w:lineRule="exact" w:line="339"/>
        <w:ind w:left="0" w:right="0" w:hanging="0"/>
        <w:jc w:val="left"/>
        <w:rPr>
          <w:rFonts w:ascii="Calibri" w:hAnsi="Calibri"/>
          <w:color w:val="000000"/>
          <w:sz w:val="21"/>
        </w:rPr>
      </w:pPr>
      <w:r>
        <w:rPr/>
        <w:t xml:space="preserve"> </w:t>
      </w:r>
    </w:p>
    <w:p>
      <w:pPr>
        <w:pStyle w:val="Normal"/>
        <w:widowControl w:val="false"/>
        <w:spacing w:lineRule="exact" w:line="339" w:before="1" w:after="0"/>
        <w:ind w:left="0" w:right="0" w:hanging="0"/>
        <w:jc w:val="left"/>
        <w:rPr>
          <w:rFonts w:ascii="Calibri" w:hAnsi="Calibri"/>
          <w:color w:val="000000"/>
          <w:sz w:val="21"/>
        </w:rPr>
      </w:pPr>
      <w:r>
        <w:rPr>
          <w:rFonts w:ascii="Calibri" w:hAnsi="Calibri"/>
          <w:color w:val="000000"/>
          <w:sz w:val="21"/>
        </w:rPr>
        <w:t xml:space="preserve">Een beschrijving van de methodologie die in de enquête wordt gebruikt, is te vinden aan het einde van dit verslag. </w:t>
      </w:r>
      <w:r>
        <w:br w:type="page"/>
      </w:r>
    </w:p>
    <w:p>
      <w:pPr>
        <w:pStyle w:val="P68B1DB1Normal125"/>
        <w:widowControl w:val="false"/>
        <w:spacing w:lineRule="auto" w:line="240"/>
        <w:ind w:left="0" w:right="0" w:hanging="0"/>
        <w:jc w:val="left"/>
        <w:rPr>
          <w:rFonts w:ascii="Calibri" w:hAnsi="Calibri"/>
          <w:b/>
          <w:b/>
          <w:color w:val="0070C0"/>
          <w:sz w:val="32"/>
        </w:rPr>
      </w:pPr>
      <w:r>
        <w:rPr/>
        <w:t xml:space="preserve">Klimaatverandering en milieu </w:t>
      </w:r>
    </w:p>
    <w:p>
      <w:pPr>
        <w:pStyle w:val="P68B1DB1Normal126"/>
        <w:widowControl w:val="false"/>
        <w:spacing w:lineRule="auto" w:line="240" w:before="48" w:after="0"/>
        <w:ind w:left="0" w:right="0" w:hanging="0"/>
        <w:jc w:val="left"/>
        <w:rPr>
          <w:rFonts w:ascii="Calibri" w:hAnsi="Calibri"/>
          <w:color w:val="0070C0"/>
          <w:sz w:val="24"/>
        </w:rPr>
      </w:pPr>
      <w:r>
        <w:rPr/>
        <w:t xml:space="preserve">Aanbevelingen — Onze visie op klimaatverandering en het milieu </w:t>
      </w:r>
    </w:p>
    <w:p>
      <w:pPr>
        <w:pStyle w:val="P68B1DB1Normal120"/>
        <w:widowControl w:val="false"/>
        <w:spacing w:lineRule="auto" w:line="240" w:before="61" w:after="0"/>
        <w:ind w:left="0" w:right="0" w:hanging="0"/>
        <w:jc w:val="left"/>
        <w:rPr/>
      </w:pPr>
      <w:r>
        <w:rPr/>
        <w:t xml:space="preserve">71 % van de Nederlanders is van mening dat klimaatverandering en het milieu een belangrijk onderwerp zijn en dat de EU op dit gebied moet ingrijpen. </w:t>
      </w:r>
    </w:p>
    <w:p>
      <w:pPr>
        <w:pStyle w:val="P68B1DB1Normal110"/>
        <w:widowControl w:val="false"/>
        <w:spacing w:lineRule="auto" w:line="240" w:before="57" w:after="0"/>
        <w:ind w:left="0" w:right="0" w:hanging="0"/>
        <w:jc w:val="left"/>
        <w:rPr/>
      </w:pPr>
      <w:r>
        <w:rPr>
          <w:b/>
        </w:rPr>
        <w:t xml:space="preserve">1. </w:t>
      </w:r>
      <w:r>
        <w:rPr>
          <w:sz w:val="21"/>
        </w:rPr>
        <w:t xml:space="preserve">68 % van de Nederlanders is van mening dat de EU een leidende rol moet spelen in de strijd tegen klimaatverandering. De opwarming van de aarde is een probleem en geen enkel land kan het alleen oplossen. Zelfs als de Nederlanders het niet allemaal eens zijn over klimaatverandering, vinden we dat de EU toch een duidelijker toekomstvisie moet hebben. Ondanks de Green Deal zien we op dit moment dat de lidstaten vaak niet op elkaar zijn afgestemd. Hoewel landen hun eigen keuzes moeten kunnen blijven maken, moeten ze toch samenwerken om dezelfde doelen te bereiken. Wij zijn ook van mening dat we als burgers ook onze eigen verantwoordelijkheid hebben, bijvoorbeeld wat betreft het aanpassen van onze consumptiegewoonten. </w:t>
      </w:r>
    </w:p>
    <w:p>
      <w:pPr>
        <w:pStyle w:val="P68B1DB1Normal113"/>
        <w:widowControl w:val="false"/>
        <w:spacing w:lineRule="auto" w:line="240" w:before="135" w:after="0"/>
        <w:ind w:left="0" w:right="0" w:hanging="0"/>
        <w:jc w:val="center"/>
        <w:rPr/>
      </w:pPr>
      <w:r>
        <w:rPr/>
        <w:t xml:space="preserve">Nederland wil afzien van aardgas, terwijl het in Duitsland juist wordt aangemoedigd om het te gebruiken. Soms is het niet om iets te begrijpen. </w:t>
      </w:r>
    </w:p>
    <w:p>
      <w:pPr>
        <w:pStyle w:val="P68B1DB1Normal111"/>
        <w:widowControl w:val="false"/>
        <w:spacing w:lineRule="auto" w:line="240" w:before="109" w:after="0"/>
        <w:ind w:left="0" w:right="0" w:hanging="0"/>
        <w:jc w:val="left"/>
        <w:rPr/>
      </w:pPr>
      <w:r>
        <w:rPr/>
        <w:t xml:space="preserve">2. Ervoor zorgen dat landen en bedrijven nauwer samenwerken om gerichte oplossingen te vinden </w:t>
      </w:r>
    </w:p>
    <w:p>
      <w:pPr>
        <w:pStyle w:val="P68B1DB1Normal104"/>
        <w:widowControl w:val="false"/>
        <w:spacing w:lineRule="auto" w:line="240"/>
        <w:ind w:left="0" w:right="0" w:hanging="0"/>
        <w:jc w:val="left"/>
        <w:rPr/>
      </w:pPr>
      <w:r>
        <w:rPr/>
        <w:t xml:space="preserve">Als het gaat om klimaatverandering en het milieu, merken de Nederlanders dat landen vaak met hun vingers wijzen. De nadruk ligt vaak op verschillen, bijvoorbeeld tussen arme en rijke landen binnen de EU. Of tussen sterk geïndustrialiseerde of zwak geïndustrialiseerde landen. We proberen liever afspraken te maken. Vergelijkbare bedrijven in verschillende landen kunnen bijvoorbeeld kennis uitwisselen en samen nadenken over oplossingen. Als dit zou gebeuren, zouden armere landen meer betrokken kunnen zijn bij de aanpak van klimaatverandering. Zij kunnen deelnemen aan de reflectie en kunnen ook gebruik maken van gemeenschappelijke oplossingen. </w:t>
      </w:r>
    </w:p>
    <w:p>
      <w:pPr>
        <w:pStyle w:val="P68B1DB1Normal113"/>
        <w:widowControl w:val="false"/>
        <w:spacing w:lineRule="auto" w:line="240" w:before="143" w:after="0"/>
        <w:ind w:left="0" w:right="0" w:hanging="0"/>
        <w:jc w:val="center"/>
        <w:rPr/>
      </w:pPr>
      <w:r>
        <w:rPr/>
        <w:t xml:space="preserve">De aanpak van klimaatverandering moet geen race zijn, maar een samenwerking. </w:t>
      </w:r>
    </w:p>
    <w:p>
      <w:pPr>
        <w:pStyle w:val="P68B1DB1Normal111"/>
        <w:widowControl w:val="false"/>
        <w:spacing w:lineRule="auto" w:line="240" w:before="107" w:after="0"/>
        <w:ind w:left="0" w:right="0" w:hanging="0"/>
        <w:jc w:val="left"/>
        <w:rPr>
          <w:rFonts w:ascii="Calibri" w:hAnsi="Calibri"/>
          <w:b/>
          <w:b/>
          <w:color w:val="000000"/>
          <w:sz w:val="22"/>
        </w:rPr>
      </w:pPr>
      <w:r>
        <w:rPr/>
        <w:t xml:space="preserve">3. Creëer een CO2-systeem dat in de praktijk eerlijk en haalbaar is </w:t>
      </w:r>
    </w:p>
    <w:p>
      <w:pPr>
        <w:pStyle w:val="P68B1DB1Normal104"/>
        <w:widowControl w:val="false"/>
        <w:spacing w:lineRule="auto" w:line="240"/>
        <w:ind w:left="0" w:right="0" w:hanging="0"/>
        <w:jc w:val="left"/>
        <w:rPr/>
      </w:pPr>
      <w:r>
        <w:rPr/>
        <w:t xml:space="preserve">De EU-aanpak van klimaatverandering besteedt veel aandacht aan het terugdringen van de CO2-uitstoot. De Nederlanders zijn van mening dat hiervoor behoefte is aan een beter systeem, waardoor zowel producenten als consumenten eerlijk kunnen worden belast. De Nederlanders zijn verdeeld over de vraag of de landen met de meeste inwoners het recht hebben om meer CO2 uit te stoten. Sommige landen hebben bijvoorbeeld een zeer vervuilende industrie. Aan de andere kant hebben andere landen veel mogelijkheden om groene energie te produceren. Met deze verschillen moet rekening worden gehouden. Zonder dat dit te ingewikkeld wordt, omdat het systeem voor iedereen begrijpelijk moet zijn. </w:t>
      </w:r>
    </w:p>
    <w:p>
      <w:pPr>
        <w:pStyle w:val="P68B1DB1Normal129"/>
        <w:widowControl w:val="false"/>
        <w:spacing w:lineRule="auto" w:line="240" w:before="135" w:after="0"/>
        <w:ind w:left="0" w:right="0" w:hanging="0"/>
        <w:jc w:val="center"/>
        <w:rPr/>
      </w:pPr>
      <w:r>
        <w:rPr>
          <w:sz w:val="26"/>
        </w:rPr>
        <w:t>Geïndustrialiseerde landen exporteren veel. Moeten zij dus alleen de CO2-belasting</w:t>
      </w:r>
      <w:r>
        <w:rPr>
          <w:position w:val="0"/>
          <w:sz w:val="17"/>
        </w:rPr>
        <w:t>dragen</w:t>
      </w:r>
      <w:r>
        <w:rPr>
          <w:sz w:val="26"/>
        </w:rPr>
        <w:t xml:space="preserve">? Ik vind dat de consument ook moet betalen. </w:t>
      </w:r>
    </w:p>
    <w:p>
      <w:pPr>
        <w:pStyle w:val="P68B1DB1Normal120"/>
        <w:widowControl w:val="false"/>
        <w:spacing w:lineRule="auto" w:line="240" w:before="107" w:after="0"/>
        <w:ind w:left="0" w:right="0" w:hanging="0"/>
        <w:jc w:val="left"/>
        <w:rPr>
          <w:rFonts w:ascii="Calibri" w:hAnsi="Calibri"/>
          <w:b/>
          <w:b/>
          <w:color w:val="000000"/>
          <w:sz w:val="21"/>
        </w:rPr>
      </w:pPr>
      <w:r>
        <w:rPr/>
        <w:t xml:space="preserve"> </w:t>
      </w:r>
    </w:p>
    <w:p>
      <w:pPr>
        <w:pStyle w:val="P68B1DB1Normal110"/>
        <w:widowControl w:val="false"/>
        <w:spacing w:lineRule="auto" w:line="240"/>
        <w:ind w:left="0" w:right="0" w:hanging="0"/>
        <w:jc w:val="both"/>
        <w:rPr/>
      </w:pPr>
      <w:r>
        <w:rPr>
          <w:b/>
        </w:rPr>
        <w:t xml:space="preserve">4. Communiceer op een duidelijkere en positievere manier over de klimaataanpak </w:t>
      </w:r>
      <w:r>
        <w:rPr>
          <w:sz w:val="21"/>
        </w:rPr>
        <w:t xml:space="preserve">De Nederlanders horen veel over klimaatverandering en lezen er veel over. Dit blijft echter voor veel mensen een abstract en complex onderwerp. Het wordt vaak gezien als iets dat veel geld kost, terwijl de aanpak van klimaatverandering ook kansen creëert. We denken bijvoorbeeld aan het stimuleren van lokale voedselproductie en het ontwikkelen van nieuwe en duurzame technologieën. De EU zou dit aspect vaker en doeltreffender aan het licht kunnen brengen. Wij zijn ook van mening dat de regeringsleiders van de lidstaten zelf een beter voorbeeld kunnen geven. Minder reizen — bijvoorbeeld tussen Brussel en Straatsburg — en vaker online vergaderen, kan bijvoorbeeld bijdragen aan het ondersteunen van duurzaamheid. </w:t>
      </w:r>
    </w:p>
    <w:p>
      <w:pPr>
        <w:pStyle w:val="P68B1DB1Normal113"/>
        <w:widowControl w:val="false"/>
        <w:spacing w:lineRule="auto" w:line="240" w:before="61" w:after="0"/>
        <w:ind w:left="0" w:right="0" w:hanging="0"/>
        <w:jc w:val="center"/>
        <w:rPr/>
      </w:pPr>
      <w:r>
        <w:rPr/>
        <w:t xml:space="preserve">Duurzaamheid wordt nog te vaak gezien als een kostenpost. Het moet gezien worden als een kans en niet als een bedreiging. </w:t>
      </w:r>
    </w:p>
    <w:p>
      <w:pPr>
        <w:pStyle w:val="P68B1DB1Normal126"/>
        <w:widowControl w:val="false"/>
        <w:spacing w:lineRule="auto" w:line="240" w:before="129" w:after="0"/>
        <w:ind w:left="0" w:right="0" w:hanging="0"/>
        <w:jc w:val="left"/>
        <w:rPr>
          <w:rFonts w:ascii="Calibri" w:hAnsi="Calibri"/>
          <w:color w:val="0070C0"/>
          <w:sz w:val="24"/>
        </w:rPr>
      </w:pPr>
      <w:r>
        <w:rPr/>
        <w:t xml:space="preserve">Online en on-site discussies en ideeën </w:t>
      </w:r>
    </w:p>
    <w:p>
      <w:pPr>
        <w:pStyle w:val="P68B1DB1Normal129"/>
        <w:widowControl w:val="false"/>
        <w:spacing w:lineRule="auto" w:line="240" w:before="78" w:after="0"/>
        <w:ind w:left="0" w:right="0" w:hanging="0"/>
        <w:jc w:val="left"/>
        <w:rPr/>
      </w:pPr>
      <w:r>
        <w:rPr>
          <w:sz w:val="21"/>
        </w:rPr>
        <w:t>We moeten de CO2-uitstoot niet als</w:t>
      </w:r>
      <w:r>
        <w:rPr>
          <w:position w:val="0"/>
          <w:sz w:val="14"/>
        </w:rPr>
        <w:t>een</w:t>
      </w:r>
      <w:r>
        <w:rPr>
          <w:sz w:val="21"/>
        </w:rPr>
        <w:t xml:space="preserve"> recht beschouwen, maar als een ongemakkelijke corollary. </w:t>
      </w:r>
    </w:p>
    <w:p>
      <w:pPr>
        <w:pStyle w:val="P68B1DB1Normal104"/>
        <w:widowControl w:val="false"/>
        <w:spacing w:lineRule="auto" w:line="240" w:before="87" w:after="0"/>
        <w:ind w:left="0" w:right="0" w:hanging="0"/>
        <w:jc w:val="left"/>
        <w:rPr>
          <w:rFonts w:ascii="Calibri" w:hAnsi="Calibri"/>
          <w:color w:val="000000"/>
          <w:sz w:val="21"/>
        </w:rPr>
      </w:pPr>
      <w:r>
        <w:rPr/>
        <w:t xml:space="preserve"> </w:t>
      </w:r>
    </w:p>
    <w:p>
      <w:pPr>
        <w:pStyle w:val="P68B1DB1Normal118"/>
        <w:widowControl w:val="false"/>
        <w:spacing w:lineRule="auto" w:line="240"/>
        <w:ind w:left="0" w:right="0" w:hanging="0"/>
        <w:jc w:val="left"/>
        <w:rPr/>
      </w:pPr>
      <w:r>
        <w:rPr/>
        <w:t xml:space="preserve">Ik heb de indruk dat we in Europa meer tijd besteden aan het praten over klimaatverandering dan echte actie ondernemen om deze aan te pakken.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18"/>
        <w:widowControl w:val="false"/>
        <w:spacing w:lineRule="auto" w:line="240"/>
        <w:ind w:left="0" w:right="0" w:hanging="0"/>
        <w:jc w:val="left"/>
        <w:rPr/>
      </w:pPr>
      <w:r>
        <w:rPr/>
        <w:t xml:space="preserve">Strengere klimaatregels kunnen ons uiteindelijk ook ten goede komen. Als continent dat zich bezighoudt met handel, moeten we proberen kansen daar te zien.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18"/>
        <w:widowControl w:val="false"/>
        <w:spacing w:lineRule="auto" w:line="240"/>
        <w:ind w:left="0" w:right="0" w:hanging="0"/>
        <w:jc w:val="left"/>
        <w:rPr>
          <w:rFonts w:ascii="Calibri" w:hAnsi="Calibri"/>
          <w:i/>
          <w:i/>
          <w:color w:val="000000"/>
          <w:sz w:val="21"/>
        </w:rPr>
      </w:pPr>
      <w:r>
        <w:rPr/>
        <w:t xml:space="preserve">We kunnen niet wachten op andere continenten. We hebben geen tijd om te wachten.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IDEE:</w:t>
      </w:r>
      <w:r>
        <w:rPr>
          <w:i/>
        </w:rPr>
        <w:t xml:space="preserve"> Beloon landen financieel als ze aantonen dat hun natuur en biodiversiteit toenemen. </w:t>
      </w:r>
    </w:p>
    <w:p>
      <w:pPr>
        <w:pStyle w:val="P68B1DB1Normal118"/>
        <w:widowControl w:val="false"/>
        <w:spacing w:lineRule="auto" w:line="240"/>
        <w:ind w:left="0" w:right="0" w:hanging="0"/>
        <w:jc w:val="left"/>
        <w:rPr>
          <w:rFonts w:ascii="Calibri" w:hAnsi="Calibri"/>
          <w:i/>
          <w:i/>
          <w:color w:val="000000"/>
          <w:sz w:val="21"/>
        </w:rPr>
      </w:pPr>
      <w:r>
        <w:rPr/>
        <w:t xml:space="preserve"> </w:t>
      </w:r>
    </w:p>
    <w:p>
      <w:pPr>
        <w:pStyle w:val="P68B1DB1Normal104"/>
        <w:widowControl w:val="false"/>
        <w:spacing w:lineRule="auto" w:line="240"/>
        <w:ind w:left="0" w:right="0" w:hanging="0"/>
        <w:jc w:val="left"/>
        <w:rPr/>
      </w:pPr>
      <w:r>
        <w:rPr/>
        <w:t>IDEE:</w:t>
      </w:r>
      <w:r>
        <w:rPr>
          <w:i/>
        </w:rPr>
        <w:t xml:space="preserve"> „Bevordering van natuurvriendelijk toerisme in arme regio’s van de EU.”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18"/>
        <w:widowControl w:val="false"/>
        <w:spacing w:lineRule="auto" w:line="240"/>
        <w:ind w:left="0" w:right="0" w:hanging="0"/>
        <w:jc w:val="left"/>
        <w:rPr/>
      </w:pPr>
      <w:r>
        <w:rPr/>
        <w:t xml:space="preserve">Doetinchem Beroeps Middelbare School Studenten: Verre reizen moeten voor iedereen toegankelijk blijven.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 xml:space="preserve">Het proefschrift dat vluchten binnen de EU duurder zouden moeten worden, werd voorgelegd aan studenten van Graafschap College in Doetinchem. Sommige studenten waren het erover eens dat duurdere tickets mensen zouden aanmoedigen om op zoek te gaan naar goedkopere alternatieven. Daarnaast werd benadrukt dat de EU vervolgens moet zorgen voor milieuvriendelijkere opties, zoals betere spoorverbindingen. Andere deelnemers gaven aan dat zij geen voorstander waren van hogere prijzen voor vliegtickets. „Rijke mensen zijn degenen die het meest reizen vandaag en ze zullen in staat zijn om het gemakkelijk te betalen,” zei een deelnemer. Hoge prijzen zullen hen niet tegenhouden om te reizen. Terwijl verre vakanties dan onmogelijk zullen worden voor „gewone” burgers. </w:t>
      </w:r>
    </w:p>
    <w:p>
      <w:pPr>
        <w:pStyle w:val="P68B1DB1Normal118"/>
        <w:widowControl w:val="false"/>
        <w:spacing w:lineRule="auto" w:line="240"/>
        <w:ind w:left="0" w:right="0" w:hanging="0"/>
        <w:jc w:val="left"/>
        <w:rPr/>
      </w:pPr>
      <w:r>
        <w:rPr/>
        <w:t xml:space="preserve">Natuurvriendelijke boeren: „De EU zou kunnen bijdragen tot de verspreiding van kennis over duurzame oplossingen.”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rFonts w:ascii="Calibri" w:hAnsi="Calibri"/>
          <w:color w:val="000000"/>
          <w:sz w:val="21"/>
        </w:rPr>
      </w:pPr>
      <w:r>
        <w:rPr/>
        <w:t xml:space="preserve">BoerenNatuur is een vereniging van boerengroepen. Tijdens de thematische dialoog richtte het gesprek zich op klimaatverandering en het milieu. </w:t>
      </w:r>
    </w:p>
    <w:p>
      <w:pPr>
        <w:pStyle w:val="Normal"/>
        <w:widowControl w:val="false"/>
        <w:spacing w:lineRule="auto" w:line="240"/>
        <w:ind w:left="0" w:right="0" w:hanging="0"/>
        <w:jc w:val="left"/>
        <w:rPr/>
      </w:pPr>
      <w:r>
        <w:rPr>
          <w:rFonts w:ascii="Calibri" w:hAnsi="Calibri"/>
          <w:color w:val="000000"/>
          <w:sz w:val="21"/>
        </w:rPr>
        <w:t>Wat volgens de deelnemers waarschijnlijk zal worden verbeterd, is de toepassing van EU-wetgeving en -regelgeving door verschillende landen. Het stikstofdossier werd als voorbeeld aangehaald. „De EU-wetgeving bepaalt alleen dat een natuurgebied niet kan verslechteren”. Maar in Zuid-Europa wordt dit begrip anders geïnterpreteerd dan in Nederland." De meeste aanwezigen zijn het erover eens dat Europa een leidende rol moet spelen in de strijd tegen klimaatverandering. En we moeten niet tevreden zijn met spraak, we moeten resultaten bereiken. Vooral door de uitwisseling van kennis geloven boeren. In de agrarische sector werken we aan oplossingen voor</w:t>
      </w:r>
      <w:r>
        <w:rPr>
          <w:rFonts w:ascii="Calibri" w:hAnsi="Calibri"/>
          <w:color w:val="000000"/>
          <w:sz w:val="21"/>
        </w:rPr>
        <w:commentReference w:id="27"/>
      </w:r>
      <w:r>
        <w:rPr>
          <w:rFonts w:ascii="Calibri" w:hAnsi="Calibri"/>
          <w:color w:val="000000"/>
          <w:sz w:val="21"/>
        </w:rPr>
        <w:t xml:space="preserve"> een schonere landbouw. De EU moet bijdragen tot snelle verspreiding van kennis op dit gebied.” </w:t>
      </w:r>
      <w:r>
        <w:br w:type="page"/>
      </w:r>
    </w:p>
    <w:p>
      <w:pPr>
        <w:pStyle w:val="P68B1DB1Normal127"/>
        <w:widowControl w:val="false"/>
        <w:spacing w:lineRule="auto" w:line="240"/>
        <w:ind w:left="0" w:right="0" w:hanging="0"/>
        <w:jc w:val="left"/>
        <w:rPr/>
      </w:pPr>
      <w:r>
        <w:rPr>
          <w:b/>
          <w:color w:val="0070C0"/>
          <w:sz w:val="32"/>
        </w:rPr>
        <w:t>Migratie</w:t>
      </w:r>
      <w:r>
        <w:rPr>
          <w:color w:val="365F91"/>
          <w:sz w:val="28"/>
        </w:rPr>
        <w:t xml:space="preserve"> </w:t>
      </w:r>
      <w:r>
        <w:rPr>
          <w:color w:val="0070C0"/>
          <w:sz w:val="21"/>
        </w:rPr>
        <w:t xml:space="preserve">(Migratie en vluchtelingen) </w:t>
      </w:r>
    </w:p>
    <w:p>
      <w:pPr>
        <w:pStyle w:val="P68B1DB1Normal20"/>
        <w:widowControl w:val="false"/>
        <w:spacing w:lineRule="auto" w:line="240"/>
        <w:ind w:left="0" w:right="0" w:hanging="0"/>
        <w:jc w:val="left"/>
        <w:rPr>
          <w:rFonts w:ascii="Calibri" w:hAnsi="Calibri"/>
          <w:color w:val="000000"/>
          <w:sz w:val="24"/>
        </w:rPr>
      </w:pPr>
      <w:r>
        <w:rPr/>
        <w:t xml:space="preserve"> </w:t>
      </w:r>
    </w:p>
    <w:p>
      <w:pPr>
        <w:pStyle w:val="P68B1DB1Normal104"/>
        <w:widowControl w:val="false"/>
        <w:spacing w:lineRule="auto" w:line="240"/>
        <w:ind w:left="0" w:right="0" w:hanging="0"/>
        <w:jc w:val="left"/>
        <w:rPr/>
      </w:pPr>
      <w:r>
        <w:rPr/>
        <w:t xml:space="preserve">Grenzen tussen EU-lidstaten zijn open. Daarom wordt er binnen de EU samengewerkt bij bijvoorbeeld het beheer van de buitengrenzen en de bestrijding van migrantensmokkel. Er wordt ook gesproken over een eerlijke verdeling van vluchtelingen tussen de verschillende EU-lidstaten. Wat is het standpunt van Nederland hierover? </w:t>
      </w:r>
    </w:p>
    <w:p>
      <w:pPr>
        <w:pStyle w:val="P68B1DB1Normal126"/>
        <w:widowControl w:val="false"/>
        <w:spacing w:lineRule="auto" w:line="240" w:before="93" w:after="0"/>
        <w:ind w:left="0" w:right="0" w:hanging="0"/>
        <w:jc w:val="left"/>
        <w:rPr>
          <w:rFonts w:ascii="Calibri" w:hAnsi="Calibri"/>
          <w:color w:val="0070C0"/>
          <w:sz w:val="24"/>
        </w:rPr>
      </w:pPr>
      <w:r>
        <w:rPr/>
        <w:t xml:space="preserve">Aanbevelingen — Onze visie op migratie en vluchtelingen </w:t>
      </w:r>
    </w:p>
    <w:p>
      <w:pPr>
        <w:pStyle w:val="P68B1DB1Normal120"/>
        <w:widowControl w:val="false"/>
        <w:spacing w:lineRule="auto" w:line="240" w:before="90" w:after="0"/>
        <w:ind w:left="0" w:right="0" w:hanging="0"/>
        <w:jc w:val="left"/>
        <w:rPr/>
      </w:pPr>
      <w:r>
        <w:rPr/>
        <w:t xml:space="preserve">65 % van de Nederlanders is van mening dat migratie en vluchtelingen een belangrijk onderwerp zijn en dat de EU op dit gebied moet ingrijpen. </w:t>
      </w:r>
    </w:p>
    <w:p>
      <w:pPr>
        <w:pStyle w:val="P68B1DB1Normal111"/>
        <w:widowControl w:val="false"/>
        <w:spacing w:lineRule="auto" w:line="240" w:before="83" w:after="0"/>
        <w:ind w:left="0" w:right="0" w:hanging="0"/>
        <w:jc w:val="left"/>
        <w:rPr>
          <w:rFonts w:ascii="Calibri" w:hAnsi="Calibri"/>
          <w:b/>
          <w:b/>
          <w:color w:val="000000"/>
          <w:sz w:val="22"/>
        </w:rPr>
      </w:pPr>
      <w:r>
        <w:rPr/>
        <w:t xml:space="preserve">1. Vermijd dat debatten over vluchtelingen te weinig genuanceerd zijn </w:t>
      </w:r>
    </w:p>
    <w:p>
      <w:pPr>
        <w:pStyle w:val="P68B1DB1Normal104"/>
        <w:widowControl w:val="false"/>
        <w:spacing w:lineRule="auto" w:line="240"/>
        <w:ind w:left="0" w:right="0" w:hanging="0"/>
        <w:jc w:val="left"/>
        <w:rPr/>
      </w:pPr>
      <w:r>
        <w:rPr/>
        <w:t xml:space="preserve">70 % van de Nederlanders vindt dat de buitengrenzen van Europa beter moeten worden beschermd. En daarvan denkt 72 procent ook dat het betekent dat er meer vluchtelingen worden teruggestuurd naar onzekere landen. Nederlanders vinden dat er meer aandacht moet worden besteed aan de redenen die mensen ertoe brengen een onveilig land te ontvluchten. Deze redenen zijn soms gekoppeld aan klimaatverandering, soms met oorlogen. Deze contexten worden vaak slechts in beperkte mate genoemd in het debat over het vluchtelingenvraagstuk. De toegevoegde waarde die deze vluchtelingen naar een land brengen, wordt ook zelden aangepakt. Tot slot zijn wij van mening dat de EU een duidelijker onderscheid moet maken tussen mensen uit onzekere regio’s die zich aan de grenzen presenteren en economische vluchtelingen. Kortom, we constateren dat de debatten over migratie en vluchtelingen over het algemeen geen context en nuances hebben. Europese politici zouden deze situatie kunnen verhelpen door een voorbeeld te geven. </w:t>
      </w:r>
    </w:p>
    <w:p>
      <w:pPr>
        <w:pStyle w:val="P68B1DB1Normal113"/>
        <w:widowControl w:val="false"/>
        <w:spacing w:lineRule="auto" w:line="240" w:before="173" w:after="0"/>
        <w:ind w:left="0" w:right="0" w:hanging="0"/>
        <w:jc w:val="center"/>
        <w:rPr/>
      </w:pPr>
      <w:r>
        <w:rPr/>
        <w:t xml:space="preserve">We moeten vluchtelingen in de eerste plaats blijven beschouwen als onze medeburgers. Want bijna niemand zal iemand in nood in de steek laten. </w:t>
      </w:r>
    </w:p>
    <w:p>
      <w:pPr>
        <w:pStyle w:val="P68B1DB1Normal111"/>
        <w:widowControl w:val="false"/>
        <w:spacing w:lineRule="auto" w:line="240" w:before="138" w:after="0"/>
        <w:ind w:left="0" w:right="0" w:hanging="0"/>
        <w:jc w:val="left"/>
        <w:rPr>
          <w:rFonts w:ascii="Calibri" w:hAnsi="Calibri"/>
          <w:b/>
          <w:b/>
          <w:color w:val="000000"/>
          <w:sz w:val="22"/>
        </w:rPr>
      </w:pPr>
      <w:r>
        <w:rPr/>
        <w:t xml:space="preserve">2. Bepalen wat een rechtvaardige en praktische verdeling van vluchtelingen is </w:t>
      </w:r>
    </w:p>
    <w:p>
      <w:pPr>
        <w:pStyle w:val="P68B1DB1Normal104"/>
        <w:widowControl w:val="false"/>
        <w:spacing w:lineRule="auto" w:line="240"/>
        <w:ind w:left="0" w:right="0" w:hanging="0"/>
        <w:jc w:val="both"/>
        <w:rPr/>
      </w:pPr>
      <w:r>
        <w:rPr/>
        <w:t xml:space="preserve">Een Europese immigratiedienst moet ervoor zorgen dat vluchtelingen eerlijk over de EU-lidstaten worden verdeeld. De Nederlanders vinden ook dat er duidelijke criteria moeten worden vastgesteld om te bepalen wat een eerlijke verdeling is. Een goed sociaal systeem kan bijvoorbeeld een land aantrekkelijk maken voor vluchtelingen, maar andere factoren zijn ook belangrijk voor zowel vluchtelingen als het betrokken land. In Nederland hebben we te maken met een tekort aan huisvesting, terwijl sommige landen of sectoren gewoon meer migrerende werknemers nodig hebben. Wij vinden het belangrijk dat de EU hiermee rekening houdt bij de verdeling van vluchtelingen. Duidelijke mechanismen garanderen niet alleen transparantie, maar ook minder geschillen, wat uiteindelijk in ieders belang is. </w:t>
      </w:r>
    </w:p>
    <w:p>
      <w:pPr>
        <w:pStyle w:val="P68B1DB1Normal113"/>
        <w:widowControl w:val="false"/>
        <w:spacing w:lineRule="auto" w:line="240" w:before="173" w:after="0"/>
        <w:ind w:left="0" w:right="0" w:hanging="0"/>
        <w:jc w:val="center"/>
        <w:rPr/>
      </w:pPr>
      <w:r>
        <w:rPr/>
        <w:t xml:space="preserve">Vluchtelingen moeten ook hun talenten kunnen uiten in een land van bestemming. </w:t>
      </w:r>
    </w:p>
    <w:p>
      <w:pPr>
        <w:pStyle w:val="P68B1DB1Normal111"/>
        <w:widowControl w:val="false"/>
        <w:spacing w:lineRule="auto" w:line="240" w:before="136" w:after="0"/>
        <w:ind w:left="0" w:right="0" w:hanging="0"/>
        <w:jc w:val="left"/>
        <w:rPr>
          <w:rFonts w:ascii="Calibri" w:hAnsi="Calibri"/>
          <w:b/>
          <w:b/>
          <w:color w:val="000000"/>
          <w:sz w:val="22"/>
        </w:rPr>
      </w:pPr>
      <w:r>
        <w:rPr/>
        <w:t xml:space="preserve">3. Voortbouwend op de kennis en ervaring die is opgedaan om de vluchtelingenregio’s van herkomst te helpen </w:t>
      </w:r>
    </w:p>
    <w:p>
      <w:pPr>
        <w:pStyle w:val="P68B1DB1Normal104"/>
        <w:widowControl w:val="false"/>
        <w:spacing w:lineRule="auto" w:line="240" w:before="86" w:after="0"/>
        <w:ind w:left="0" w:right="0" w:hanging="0"/>
        <w:jc w:val="left"/>
        <w:rPr/>
      </w:pPr>
      <w:r>
        <w:rPr/>
        <w:t xml:space="preserve">67 % van de Nederlanders is van mening dat de EU onzekere regio’s verder moet helpen om vluchtelingenstromen tegen te gaan. We beseffen dat vluchtelingen hun land niet verlaten door eenvoudige keuze. We moeten dus kijken naar de oorzaken, zoals klimaatverandering of conflicten, die regio’s onveilig of onbruikbaar maken. De EU kan vluchtelingenregio’s niet alleen met financiële steun, maar ook met kennis helpen. In Nederland hebben we bijvoorbeeld sterke vaardigheden in de landbouw. Met moderne landbouwtechnieken kunnen we andere landen helpen beter om te gaan met droogte en verzilting. En mensen die in Europa hun toevlucht hebben genomen, kunnen een opleiding volgen in een Europees land en vervolgens hun land van herkomst zelf helpen.  </w:t>
      </w:r>
    </w:p>
    <w:p>
      <w:pPr>
        <w:pStyle w:val="P68B1DB1Normal104"/>
        <w:widowControl w:val="false"/>
        <w:spacing w:lineRule="auto" w:line="240" w:before="94" w:after="0"/>
        <w:ind w:left="0" w:right="0" w:hanging="0"/>
        <w:jc w:val="left"/>
        <w:rPr>
          <w:rFonts w:ascii="Calibri" w:hAnsi="Calibri"/>
          <w:color w:val="000000"/>
          <w:sz w:val="21"/>
        </w:rPr>
      </w:pPr>
      <w:r>
        <w:rPr/>
        <w:t xml:space="preserve"> </w:t>
      </w:r>
    </w:p>
    <w:p>
      <w:pPr>
        <w:pStyle w:val="Normal"/>
        <w:widowControl w:val="false"/>
        <w:spacing w:lineRule="auto" w:line="240"/>
        <w:ind w:left="0" w:right="0" w:hanging="0"/>
        <w:jc w:val="left"/>
        <w:rPr>
          <w:rFonts w:ascii="Times New Roman" w:hAnsi="Times New Roman"/>
          <w:color w:val="000000"/>
          <w:sz w:val="24"/>
        </w:rPr>
      </w:pPr>
      <w:r>
        <w:rPr>
          <w:rFonts w:ascii="Times New Roman" w:hAnsi="Times New Roman"/>
          <w:color w:val="000000"/>
          <w:sz w:val="24"/>
        </w:rPr>
      </w:r>
      <w:r>
        <w:br w:type="page"/>
      </w:r>
    </w:p>
    <w:p>
      <w:pPr>
        <w:pStyle w:val="P68B1DB1Normal126"/>
        <w:widowControl w:val="false"/>
        <w:spacing w:lineRule="auto" w:line="240"/>
        <w:ind w:left="0" w:right="0" w:hanging="0"/>
        <w:jc w:val="left"/>
        <w:rPr>
          <w:rFonts w:ascii="Calibri" w:hAnsi="Calibri"/>
          <w:color w:val="0070C0"/>
          <w:sz w:val="24"/>
        </w:rPr>
      </w:pPr>
      <w:r>
        <w:rPr/>
        <w:t xml:space="preserve">Online en on-site discussies en ideeën </w:t>
      </w:r>
    </w:p>
    <w:p>
      <w:pPr>
        <w:pStyle w:val="P68B1DB1Normal118"/>
        <w:widowControl w:val="false"/>
        <w:spacing w:lineRule="auto" w:line="240" w:before="85" w:after="0"/>
        <w:ind w:left="0" w:right="0" w:hanging="0"/>
        <w:jc w:val="left"/>
        <w:rPr/>
      </w:pPr>
      <w:r>
        <w:rPr/>
        <w:t>„</w:t>
      </w:r>
      <w:r>
        <w:rPr/>
        <w:t xml:space="preserve">De EU moet snellere asielprocedures invoeren. Er zal dus meer ruimte zijn voor mensen die het echt nodig hebben. </w:t>
      </w:r>
    </w:p>
    <w:p>
      <w:pPr>
        <w:pStyle w:val="P68B1DB1Normal118"/>
        <w:widowControl w:val="false"/>
        <w:spacing w:lineRule="auto" w:line="240"/>
        <w:ind w:left="0" w:right="0" w:hanging="0"/>
        <w:jc w:val="left"/>
        <w:rPr/>
      </w:pPr>
      <w:r>
        <w:rPr/>
        <w:t xml:space="preserve">Ik ken veel jonge mensen om me heen die een huis willen kopen, maar die niets betaalbaar vinden, terwijl vluchtelingen zichzelf zien wonen. Ik vind het moeilijk om te accepteren. </w:t>
      </w:r>
    </w:p>
    <w:p>
      <w:pPr>
        <w:pStyle w:val="P68B1DB1Normal118"/>
        <w:widowControl w:val="false"/>
        <w:spacing w:lineRule="auto" w:line="240"/>
        <w:ind w:left="0" w:right="0" w:hanging="0"/>
        <w:jc w:val="left"/>
        <w:rPr/>
      </w:pPr>
      <w:r>
        <w:rPr/>
        <w:t xml:space="preserve">Klimaatverandering zal hoe dan ook leiden tot bevolkingsverhuizing. We kunnen deze stromen niet stoppen, maar we kunnen ze waarschijnlijk beter reguleren. </w:t>
      </w:r>
    </w:p>
    <w:p>
      <w:pPr>
        <w:pStyle w:val="P68B1DB1Normal118"/>
        <w:widowControl w:val="false"/>
        <w:spacing w:lineRule="auto" w:line="240"/>
        <w:ind w:left="0" w:right="0" w:hanging="0"/>
        <w:jc w:val="left"/>
        <w:rPr/>
      </w:pPr>
      <w:r>
        <w:rPr/>
        <w:t xml:space="preserve">Ik woon in Betuwe. Tijdens het peren- en appelseizoen hebben we gewoon veel migrerende werknemers nodig. </w:t>
      </w:r>
    </w:p>
    <w:p>
      <w:pPr>
        <w:pStyle w:val="P68B1DB1Normal118"/>
        <w:widowControl w:val="false"/>
        <w:spacing w:lineRule="auto" w:line="240"/>
        <w:ind w:left="0" w:right="0" w:hanging="0"/>
        <w:jc w:val="left"/>
        <w:rPr/>
      </w:pPr>
      <w:r>
        <w:rPr/>
        <w:t xml:space="preserve">Onzekere regio’s zijn niet voor niets onveilig, overheden zijn vaak onbetrouwbaar. Hoe weten we waar onze hulp en geld naartoe gaan? </w:t>
      </w:r>
    </w:p>
    <w:p>
      <w:pPr>
        <w:pStyle w:val="P68B1DB1Normal104"/>
        <w:widowControl w:val="false"/>
        <w:spacing w:lineRule="auto" w:line="240"/>
        <w:ind w:left="0" w:right="0" w:hanging="0"/>
        <w:jc w:val="left"/>
        <w:rPr/>
      </w:pPr>
      <w:r>
        <w:rPr/>
        <w:t xml:space="preserve">IDEE: </w:t>
      </w:r>
      <w:r>
        <w:rPr>
          <w:i/>
        </w:rPr>
        <w:t>Ook lokale strategieën overwegen, zoals burgerparticipatie bij de lokale opvang van vluchtelingen en de financiering van lokale integratie-initiatieven.</w:t>
      </w:r>
    </w:p>
    <w:p>
      <w:pPr>
        <w:pStyle w:val="P68B1DB1Normal104"/>
        <w:widowControl w:val="false"/>
        <w:spacing w:lineRule="auto" w:line="240"/>
        <w:ind w:left="0" w:right="0" w:hanging="0"/>
        <w:jc w:val="left"/>
        <w:rPr/>
      </w:pPr>
      <w:r>
        <w:rPr/>
        <w:t>IDEE:</w:t>
      </w:r>
      <w:r>
        <w:rPr>
          <w:i/>
        </w:rPr>
        <w:t xml:space="preserve"> Het opzetten van mini-houses in steden waar vluchtelingen kunnen wonen bij aankomst. Dit zou de druk op de woningmarkt verlichten en de publieke steun voor de opvang van deze mensen vergroten. </w:t>
      </w:r>
    </w:p>
    <w:p>
      <w:pPr>
        <w:pStyle w:val="P68B1DB1Normal118"/>
        <w:widowControl w:val="false"/>
        <w:spacing w:lineRule="auto" w:line="240"/>
        <w:ind w:left="0" w:right="0" w:hanging="0"/>
        <w:jc w:val="left"/>
        <w:rPr/>
      </w:pPr>
      <w:r>
        <w:rPr/>
        <w:t xml:space="preserve">Vrijwilligers die zelf vluchtelingen waren: In Europa blijven mensen vaak uit de buurt van elkaar.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 xml:space="preserve">Taal Doet Meer is een vrijwilligersorganisatie die ervoor zorgt dat de nieuwe Allophone inwoners van Utrecht kunnen deelnemen aan de samenleving. De thematische dialoog met deze organisatie richtte zich niet alleen op migratie, maar ook op integratie. Verschillende deelnemers kwamen zelf als vluchteling in Nederland aan, waaronder één uit Syrië. Na zeven jaar voel ik me nog steeds geen Nederlands. Ik heb ook geen baan gevonden, ook al heb ik een masterdiploma. Ik merk op dat Europese landen zich vooral zorgen maken over zichzelf en niet erg open staan voor andere landen en culturen." Een andere deelnemer merkte op dat Europeanen vaak ver van elkaar blijven. De meeste mensen zijn alleen; iedereen blijft in zijn hoek. Ik vind, van mijn kant, dat men met elkaar moet spreken en dat men van elkaar kan leren.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18"/>
        <w:widowControl w:val="false"/>
        <w:spacing w:lineRule="auto" w:line="240"/>
        <w:ind w:left="0" w:right="0" w:hanging="0"/>
        <w:jc w:val="left"/>
        <w:rPr/>
      </w:pPr>
      <w:r>
        <w:rPr/>
        <w:t xml:space="preserve">Jongeren van de Nationale Jeugdraad: Je moet alleen mensen binnenlaten als je voor hen kunt zorgen. </w:t>
      </w:r>
    </w:p>
    <w:p>
      <w:pPr>
        <w:pStyle w:val="P68B1DB1Normal104"/>
        <w:widowControl w:val="false"/>
        <w:spacing w:lineRule="auto" w:line="240"/>
        <w:ind w:left="0" w:right="0" w:hanging="0"/>
        <w:jc w:val="both"/>
        <w:rPr/>
      </w:pPr>
      <w:r>
        <w:rPr/>
        <w:t xml:space="preserve">In Utrecht hielden leden van verschillende werkgroepen van de Nationale Jeugdraad (CNJ) een debat. Deelnemers (16-23 jaar) zijn van mening dat bij de verdeling van vluchtelingen in Europa rekening moet worden gehouden met verschillende aspecten, zoals het aantal inwoners, de omvang van het land, de welvaart en het aantal asielzoekerscentra. „Vluchtelingen mogen alleen het land binnenkomen als ze dan kunnen worden verzorgd,” zei een van hen. </w:t>
      </w:r>
    </w:p>
    <w:p>
      <w:pPr>
        <w:pStyle w:val="Normal"/>
        <w:widowControl w:val="false"/>
        <w:spacing w:lineRule="auto" w:line="240"/>
        <w:ind w:left="0" w:right="0" w:hanging="0"/>
        <w:jc w:val="left"/>
        <w:rPr/>
      </w:pPr>
      <w:r>
        <w:rPr>
          <w:rFonts w:ascii="Calibri" w:hAnsi="Calibri"/>
          <w:color w:val="000000"/>
          <w:sz w:val="21"/>
        </w:rPr>
        <w:t xml:space="preserve">Jongeren zijn ook van mening dat er gevolgen moeten zijn wanneer landen hun verplichtingen om vluchtelingen op te vangen niet nakomen. Ze moeten bijvoorbeeld een boete krijgen. „En vluchtelingen moeten ook inspraak hebben in waar ze naartoe gaan”, zei iemand. Als ze bijvoorbeeld al ergens familie hebben, kunnen we ze niet ergens anders naartoe sturen. </w:t>
      </w:r>
      <w:r>
        <w:br w:type="page"/>
      </w:r>
    </w:p>
    <w:p>
      <w:pPr>
        <w:pStyle w:val="P68B1DB1Normal125"/>
        <w:widowControl w:val="false"/>
        <w:spacing w:lineRule="auto" w:line="240"/>
        <w:ind w:left="0" w:right="0" w:hanging="0"/>
        <w:jc w:val="left"/>
        <w:rPr>
          <w:rFonts w:ascii="Calibri" w:hAnsi="Calibri"/>
          <w:b/>
          <w:b/>
          <w:color w:val="0070C0"/>
          <w:sz w:val="32"/>
        </w:rPr>
      </w:pPr>
      <w:r>
        <w:rPr/>
        <w:t xml:space="preserve">Gezondheid </w:t>
      </w:r>
    </w:p>
    <w:p>
      <w:pPr>
        <w:pStyle w:val="P68B1DB1Normal130"/>
        <w:widowControl w:val="false"/>
        <w:spacing w:lineRule="auto" w:line="240"/>
        <w:ind w:left="0" w:right="0" w:hanging="0"/>
        <w:jc w:val="left"/>
        <w:rPr>
          <w:rFonts w:ascii="Calibri" w:hAnsi="Calibri"/>
          <w:color w:val="0070C0"/>
          <w:sz w:val="21"/>
        </w:rPr>
      </w:pPr>
      <w:r>
        <w:rPr/>
        <w:t xml:space="preserve">(Gezondheidszorg) </w:t>
      </w:r>
    </w:p>
    <w:p>
      <w:pPr>
        <w:pStyle w:val="P68B1DB1Normal104"/>
        <w:widowControl w:val="false"/>
        <w:spacing w:lineRule="auto" w:line="240"/>
        <w:ind w:left="0" w:right="0" w:hanging="0"/>
        <w:jc w:val="left"/>
        <w:rPr/>
      </w:pPr>
      <w:r>
        <w:rPr/>
        <w:t xml:space="preserve">Hoewel gezondheidszorg in de eerste plaats de verantwoordelijkheid van individuele landen is, kan deze worden ondersteund en versterkt door EU-beleid, bijvoorbeeld als reactie op de COVID-19-pandemie of andere (toekomstige) gezondheidscrises, of in partnerschapsonderzoek naar ernstige ziekten. Wat is het standpunt van Nederland hierover? </w:t>
      </w:r>
    </w:p>
    <w:p>
      <w:pPr>
        <w:pStyle w:val="P68B1DB1Normal126"/>
        <w:widowControl w:val="false"/>
        <w:spacing w:lineRule="auto" w:line="240" w:before="14" w:after="0"/>
        <w:ind w:left="0" w:right="0" w:hanging="0"/>
        <w:jc w:val="left"/>
        <w:rPr>
          <w:rFonts w:ascii="Calibri" w:hAnsi="Calibri"/>
          <w:color w:val="0070C0"/>
          <w:sz w:val="24"/>
        </w:rPr>
      </w:pPr>
      <w:r>
        <w:rPr/>
        <w:t xml:space="preserve">Aanbevelingen — Onze visie op de gezondheidszorg </w:t>
      </w:r>
    </w:p>
    <w:p>
      <w:pPr>
        <w:pStyle w:val="P68B1DB1Normal120"/>
        <w:widowControl w:val="false"/>
        <w:spacing w:lineRule="auto" w:line="240"/>
        <w:ind w:left="0" w:right="0" w:hanging="0"/>
        <w:jc w:val="left"/>
        <w:rPr/>
      </w:pPr>
      <w:r>
        <w:rPr/>
        <w:t xml:space="preserve">64 % van de Nederlanders vindt dat gezondheidszorg een belangrijk onderwerp is en dat de EU op dit gebied moet ingrijpen. </w:t>
      </w:r>
    </w:p>
    <w:p>
      <w:pPr>
        <w:pStyle w:val="P68B1DB1Normal111"/>
        <w:widowControl w:val="false"/>
        <w:spacing w:lineRule="auto" w:line="240" w:before="2" w:after="0"/>
        <w:ind w:left="0" w:right="0" w:hanging="0"/>
        <w:jc w:val="left"/>
        <w:rPr>
          <w:rFonts w:ascii="Calibri" w:hAnsi="Calibri"/>
          <w:b/>
          <w:b/>
          <w:color w:val="000000"/>
          <w:sz w:val="22"/>
        </w:rPr>
      </w:pPr>
      <w:r>
        <w:rPr/>
        <w:t xml:space="preserve">1. Betere controle hebben over het beheer van een pandemie </w:t>
      </w:r>
    </w:p>
    <w:p>
      <w:pPr>
        <w:pStyle w:val="P68B1DB1Normal104"/>
        <w:widowControl w:val="false"/>
        <w:spacing w:lineRule="auto" w:line="240"/>
        <w:ind w:left="0" w:right="0" w:hanging="0"/>
        <w:jc w:val="left"/>
        <w:rPr/>
      </w:pPr>
      <w:r>
        <w:rPr/>
        <w:t xml:space="preserve">83 % van de Nederlanders vindt dat EU-landen meer moeten samenwerken om te voorkomen dat een besmettelijke ziekte zich over de hele wereld verspreidt. Een virus kent geen grenzen. Dat kunnen we zien tijdens de huidige pandemie. Het beleid binnen de EU is soms verward. Dit is niet goed voor de naleving van de regels. Wij zijn van mening dat de regels ter bestrijding van de verspreiding van een virus in Europa beter moeten worden gecoördineerd, zonder noodzakelijkerwijs overal hetzelfde te zijn. Er moet ruimte zijn voor lokale keuzes. Niet alleen omdat het aantal besmettingen kan verschillen, maar ook omdat er verschillende culturen in Europa zijn. Sommige maatregelen werken in sommige landen beter dan in andere. </w:t>
      </w:r>
    </w:p>
    <w:p>
      <w:pPr>
        <w:pStyle w:val="P68B1DB1Normal113"/>
        <w:widowControl w:val="false"/>
        <w:spacing w:lineRule="auto" w:line="240" w:before="164" w:after="0"/>
        <w:ind w:left="0" w:right="0" w:hanging="0"/>
        <w:jc w:val="center"/>
        <w:rPr/>
      </w:pPr>
      <w:r>
        <w:rPr/>
        <w:t xml:space="preserve">Ik woon in Nederland, op de grens met Duitsland. De verschillende maatregelen die de twee landen hebben genomen om het coronavirus te bestrijden, maken me gek. </w:t>
      </w:r>
    </w:p>
    <w:p>
      <w:pPr>
        <w:pStyle w:val="Normal"/>
        <w:widowControl w:val="false"/>
        <w:spacing w:lineRule="auto" w:line="240" w:before="158" w:after="0"/>
        <w:ind w:left="0" w:right="0" w:hanging="0"/>
        <w:jc w:val="left"/>
        <w:rPr/>
      </w:pPr>
      <w:r>
        <w:rPr>
          <w:rFonts w:ascii="Cambria" w:hAnsi="Cambria"/>
          <w:color w:val="243F60"/>
          <w:sz w:val="24"/>
        </w:rPr>
        <w:t xml:space="preserve">2. </w:t>
      </w:r>
      <w:r>
        <w:rPr>
          <w:rFonts w:ascii="Calibri" w:hAnsi="Calibri"/>
          <w:b/>
          <w:color w:val="000000"/>
        </w:rPr>
        <w:t>Zorgen voor de beschikbaarheid van betaalbare en betrouwbare geneesmiddelen voor iedereen</w:t>
      </w:r>
      <w:r>
        <w:rPr>
          <w:rFonts w:ascii="Cambria" w:hAnsi="Cambria"/>
          <w:color w:val="243F60"/>
          <w:sz w:val="24"/>
        </w:rPr>
        <w:t xml:space="preserve"> </w:t>
      </w:r>
    </w:p>
    <w:p>
      <w:pPr>
        <w:pStyle w:val="P68B1DB1Normal104"/>
        <w:widowControl w:val="false"/>
        <w:spacing w:lineRule="auto" w:line="240"/>
        <w:ind w:left="0" w:right="0" w:hanging="0"/>
        <w:jc w:val="left"/>
        <w:rPr/>
      </w:pPr>
      <w:r>
        <w:rPr/>
        <w:t xml:space="preserve">71 % van de Nederlanders vindt dat de EU ervoor moet zorgen dat we minder derde landen nodig hebben voor de ontwikkeling, productie en levering van geneesmiddelen. Maar als dat betekent dat je langer wacht op medicijnen, dan zijn de meningen verdeeld. Nederlanders zijn van mening dat de productie en distributie van geneesmiddelen een complex probleem is. Aan de ene kant stijgen de zorgkosten in Nederland sterk, dus vinden we het belangrijk om ze op het laagst mogelijke niveau te houden. Aan de andere kant willen we drugs kunnen vertrouwen, zelfs als ze van veraf komen. Ze moeten niet alleen van kwaliteit zijn, maar ook op een duurzame en ethisch verantwoorde manier worden geproduceerd. Over het algemeen zijn wij van mening dat belangrijke geneesmiddelen toegankelijk moeten zijn voor iedereen, ook in armere landen. </w:t>
      </w:r>
    </w:p>
    <w:p>
      <w:pPr>
        <w:pStyle w:val="P68B1DB1Normal113"/>
        <w:widowControl w:val="false"/>
        <w:spacing w:lineRule="auto" w:line="240" w:before="167" w:after="0"/>
        <w:ind w:left="0" w:right="0" w:hanging="0"/>
        <w:jc w:val="both"/>
        <w:rPr/>
      </w:pPr>
      <w:r>
        <w:rPr/>
        <w:t>De kosten van de gezondheidszorg zijn al onbetaalbaar. We moeten dus ook proberen om de nieuwe medicijnen tegen de laagst mogelijke prijs te kopen.</w:t>
      </w:r>
      <w:r>
        <w:rPr>
          <w:b/>
        </w:rPr>
        <w:t xml:space="preserve"> </w:t>
      </w:r>
    </w:p>
    <w:p>
      <w:pPr>
        <w:pStyle w:val="P68B1DB1Normal111"/>
        <w:widowControl w:val="false"/>
        <w:spacing w:lineRule="auto" w:line="240" w:before="131" w:after="0"/>
        <w:ind w:left="0" w:right="0" w:hanging="0"/>
        <w:jc w:val="left"/>
        <w:rPr/>
      </w:pPr>
      <w:r>
        <w:rPr/>
        <w:t xml:space="preserve">3. Landen moeten zich richten op het verbeteren van hun gezondheidszorgstelsels en het billijker maken ervan. </w:t>
      </w:r>
    </w:p>
    <w:p>
      <w:pPr>
        <w:pStyle w:val="P68B1DB1Normal104"/>
        <w:widowControl w:val="false"/>
        <w:spacing w:lineRule="auto" w:line="240" w:before="85" w:after="0"/>
        <w:ind w:left="0" w:right="0" w:hanging="0"/>
        <w:jc w:val="left"/>
        <w:rPr/>
      </w:pPr>
      <w:r>
        <w:rPr/>
        <w:t xml:space="preserve">De Nederlandse zorg gaat veel over gezondheidszorg, en deze zorg gaat verder dan de gevolgen van de COVID-19-pandemie. We kennen bijvoorbeeld structurele capaciteitsproblemen in ziekenhuizen. Sommige Nederlanders hebben geen vertrouwen in de effecten van marktkrachten in de gezondheidszorg. We begrijpen dat farmaceutische bedrijven hun investeringen moeten terugverdienen en dat ziekenfondsen goedkope gezondheidszorg willen, maar grote bedrijven mogen hun macht niet misbruiken. De EU moet in dit verband regels vaststellen. Wij geloven ook dat gezondheidszorg in de eerste plaats een nationale kwestie is. Landen weten beter wat de problemen en prioriteiten zijn op lokaal niveau. We vinden het echter belangrijk dat Europese landen van elkaar kunnen leren om de gezondheidszorg te verbeteren. </w:t>
      </w:r>
    </w:p>
    <w:p>
      <w:pPr>
        <w:pStyle w:val="P68B1DB1Normal104"/>
        <w:widowControl w:val="false"/>
        <w:spacing w:lineRule="auto" w:line="240" w:before="94" w:after="0"/>
        <w:ind w:left="0" w:right="0" w:hanging="0"/>
        <w:jc w:val="left"/>
        <w:rPr>
          <w:rFonts w:ascii="Calibri" w:hAnsi="Calibri"/>
          <w:color w:val="000000"/>
          <w:sz w:val="21"/>
        </w:rPr>
      </w:pPr>
      <w:r>
        <w:rPr/>
        <w:t xml:space="preserve"> </w:t>
      </w:r>
    </w:p>
    <w:p>
      <w:pPr>
        <w:pStyle w:val="P68B1DB1Normal126"/>
        <w:widowControl w:val="false"/>
        <w:spacing w:lineRule="auto" w:line="240"/>
        <w:ind w:left="0" w:right="0" w:hanging="0"/>
        <w:jc w:val="left"/>
        <w:rPr>
          <w:rFonts w:ascii="Calibri" w:hAnsi="Calibri"/>
          <w:color w:val="0070C0"/>
          <w:sz w:val="24"/>
        </w:rPr>
      </w:pPr>
      <w:r>
        <w:rPr/>
        <w:t xml:space="preserve">Online en on-site discussies en ideeën </w:t>
      </w:r>
    </w:p>
    <w:p>
      <w:pPr>
        <w:pStyle w:val="P68B1DB1Normal118"/>
        <w:widowControl w:val="false"/>
        <w:spacing w:lineRule="auto" w:line="240" w:before="95" w:after="0"/>
        <w:ind w:left="0" w:right="0" w:hanging="0"/>
        <w:jc w:val="left"/>
        <w:rPr/>
      </w:pPr>
      <w:r>
        <w:rPr/>
        <w:t xml:space="preserve">Wat de beschikbaarheid van geneesmiddelen in Europa betreft, zouden we ook een beetje zuiniger kunnen zijn. We gooien er vandaag te veel van. </w:t>
      </w:r>
    </w:p>
    <w:p>
      <w:pPr>
        <w:pStyle w:val="P68B1DB1Normal104"/>
        <w:widowControl w:val="false"/>
        <w:spacing w:lineRule="auto" w:line="240" w:before="104" w:after="0"/>
        <w:ind w:left="0" w:right="0" w:hanging="0"/>
        <w:jc w:val="left"/>
        <w:rPr>
          <w:rFonts w:ascii="Calibri" w:hAnsi="Calibri"/>
          <w:color w:val="000000"/>
          <w:sz w:val="21"/>
        </w:rPr>
      </w:pPr>
      <w:r>
        <w:rPr/>
        <w:t xml:space="preserve"> </w:t>
      </w:r>
    </w:p>
    <w:p>
      <w:pPr>
        <w:pStyle w:val="P68B1DB1Normal118"/>
        <w:widowControl w:val="false"/>
        <w:spacing w:lineRule="auto" w:line="240"/>
        <w:ind w:left="0" w:right="0" w:hanging="0"/>
        <w:jc w:val="left"/>
        <w:rPr/>
      </w:pPr>
      <w:r>
        <w:rPr/>
        <w:t xml:space="preserve">Het is heel goed dat Duitsland patiënten uit Nederland met COVID-19 heeft verwelkomd. Ik zou graag meer solidariteit in Europa willen zien.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18"/>
        <w:widowControl w:val="false"/>
        <w:spacing w:lineRule="auto" w:line="240"/>
        <w:ind w:left="0" w:right="0" w:hanging="0"/>
        <w:jc w:val="left"/>
        <w:rPr>
          <w:rFonts w:ascii="Calibri" w:hAnsi="Calibri"/>
          <w:i/>
          <w:i/>
          <w:color w:val="000000"/>
          <w:sz w:val="21"/>
        </w:rPr>
      </w:pPr>
      <w:r>
        <w:rPr/>
        <w:t xml:space="preserve">Waar u ook woont in de EU en of u nu rijk of arm bent, iedereen heeft recht op kwaliteitsvolle zorg.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18"/>
        <w:widowControl w:val="false"/>
        <w:spacing w:lineRule="auto" w:line="240"/>
        <w:ind w:left="0" w:right="0" w:hanging="0"/>
        <w:jc w:val="left"/>
        <w:rPr/>
      </w:pPr>
      <w:r>
        <w:rPr/>
        <w:t xml:space="preserve">Bij het kopen van drugs, moet je niet alleen rekening houden met de kosten, maar ook de ethiek. Dit betekent bijvoorbeeld dat kinderarbeid niet mag worden gebruikt.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IDEE:</w:t>
      </w:r>
      <w:r>
        <w:rPr>
          <w:i/>
        </w:rPr>
        <w:t xml:space="preserve"> „Verbetering van de gezondheid van de Europeanen door ervoor te zorgen dat zij minder stress ondervinden. Verminder bijvoorbeeld de duur van de werkweek.” </w:t>
      </w:r>
    </w:p>
    <w:p>
      <w:pPr>
        <w:pStyle w:val="P68B1DB1Normal118"/>
        <w:widowControl w:val="false"/>
        <w:spacing w:lineRule="auto" w:line="240"/>
        <w:ind w:left="0" w:right="0" w:hanging="0"/>
        <w:jc w:val="left"/>
        <w:rPr>
          <w:rFonts w:ascii="Calibri" w:hAnsi="Calibri"/>
          <w:i/>
          <w:i/>
          <w:color w:val="000000"/>
          <w:sz w:val="21"/>
        </w:rPr>
      </w:pPr>
      <w:r>
        <w:rPr/>
        <w:t xml:space="preserve"> </w:t>
      </w:r>
    </w:p>
    <w:p>
      <w:pPr>
        <w:pStyle w:val="P68B1DB1Normal104"/>
        <w:widowControl w:val="false"/>
        <w:spacing w:lineRule="auto" w:line="240"/>
        <w:ind w:left="0" w:right="0" w:hanging="0"/>
        <w:jc w:val="left"/>
        <w:rPr/>
      </w:pPr>
      <w:r>
        <w:rPr/>
        <w:t>IDEE:</w:t>
      </w:r>
      <w:r>
        <w:rPr>
          <w:i/>
        </w:rPr>
        <w:t xml:space="preserve"> Jongeren in staat stellen gezondere keuzes te maken door middel van serieuze augmented reality-games.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18"/>
        <w:widowControl w:val="false"/>
        <w:spacing w:lineRule="auto" w:line="240"/>
        <w:ind w:left="0" w:right="0" w:hanging="0"/>
        <w:jc w:val="left"/>
        <w:rPr>
          <w:rFonts w:ascii="Calibri" w:hAnsi="Calibri"/>
          <w:i/>
          <w:i/>
          <w:color w:val="000000"/>
          <w:sz w:val="21"/>
        </w:rPr>
      </w:pPr>
      <w:r>
        <w:rPr/>
        <w:t xml:space="preserve">Van de inwoners van Utrecht van Marokkaanse oorsprong: Gezondheid kan een bepaalde prijs hebben.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 xml:space="preserve">De Stichting Marokkaans Dialoog Overvecht (MDO) is gewijd aan de deelname van de Marokkaanse gemeenschap in de wijk Overvecht in Utrecht. Daartoe moedigt zij de dialoog in de nabuurschap aan en bestrijdt zij aldus ongelijkheden. Deelnemers aan de thematische dialoog in het kader van de visie op Europa zijn van mening dat Europese samenwerking zeer nuttig is. Een aantal is echter van mening dat Nederland soms te afhankelijk is van andere landen. Het beheer van de COVID-19-crisis werd in dit verband als voorbeeld aangehaald. De vele raadplegingen binnen Europa hadden volgens de deelnemers tot gevolg dat Nederland te laat met vaccinatie tegen COVID-19 is begonnen. „Misschien zal het meer kosten als Nederland zelf meer wil beslissen”, zei iemand. Maar het gaat om gezondheid, het kan een beetje meer kosten.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18"/>
        <w:widowControl w:val="false"/>
        <w:spacing w:lineRule="auto" w:line="240"/>
        <w:ind w:left="0" w:right="0" w:hanging="0"/>
        <w:jc w:val="left"/>
        <w:rPr/>
      </w:pPr>
      <w:r>
        <w:rPr/>
        <w:t xml:space="preserve">Van de studenten van Helmond: Het is beter om intelligent van elkaar te leren dan om dezelfde aanpak te volgen.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both"/>
        <w:rPr/>
      </w:pPr>
      <w:r>
        <w:rPr/>
        <w:t xml:space="preserve">Op Dr. Knippenberg College in Helmond bespraken studenten van rond 16 jaar het Europese beheer van de COVID-19-pandemie. Sommigen zijn van mening dat de EU-lidstaten het vaccinatieprogramma samen hadden moeten vaststellen. De meeste deelnemers vonden dat landen zelf een beter idee hadden van wat nodig is en wat werkt. Ze zijn dus beter in staat om, volgens hen, te beslissen wat goed is voor de bevolking. Ze weten bijvoorbeeld beter welke sectoren eerst vaccinatie nodig hebben en welke sectoren kunnen wachten. „Het is natuurlijk heel goed voor landen om elkaar te raadplegen”, zei een van de studenten. Als veel landen hun eigen aanpak hebben, kunnen ze observeren wat anderen doen en van elkaar leren. </w:t>
      </w:r>
    </w:p>
    <w:p>
      <w:pPr>
        <w:pStyle w:val="Normal"/>
        <w:widowControl w:val="false"/>
        <w:spacing w:lineRule="auto" w:line="240"/>
        <w:ind w:left="0" w:right="0" w:hanging="0"/>
        <w:jc w:val="left"/>
        <w:rPr>
          <w:rFonts w:ascii="Calibri" w:hAnsi="Calibri"/>
          <w:color w:val="000000"/>
          <w:sz w:val="21"/>
        </w:rPr>
      </w:pPr>
      <w:r>
        <w:rPr>
          <w:rFonts w:ascii="Calibri" w:hAnsi="Calibri"/>
          <w:color w:val="000000"/>
          <w:sz w:val="21"/>
        </w:rPr>
      </w:r>
      <w:r>
        <w:br w:type="page"/>
      </w:r>
    </w:p>
    <w:p>
      <w:pPr>
        <w:pStyle w:val="P68B1DB1Normal125"/>
        <w:widowControl w:val="false"/>
        <w:spacing w:lineRule="auto" w:line="240"/>
        <w:ind w:left="0" w:right="0" w:hanging="0"/>
        <w:jc w:val="left"/>
        <w:rPr>
          <w:rFonts w:ascii="Calibri" w:hAnsi="Calibri"/>
          <w:b/>
          <w:b/>
          <w:color w:val="0070C0"/>
          <w:sz w:val="32"/>
        </w:rPr>
      </w:pPr>
      <w:r>
        <w:rPr/>
        <w:t xml:space="preserve">De rol van de EU in de wereld </w:t>
      </w:r>
    </w:p>
    <w:p>
      <w:pPr>
        <w:pStyle w:val="P68B1DB1Normal104"/>
        <w:widowControl w:val="false"/>
        <w:spacing w:lineRule="auto" w:line="240" w:before="126" w:after="0"/>
        <w:ind w:left="0" w:right="0" w:hanging="0"/>
        <w:jc w:val="left"/>
        <w:rPr/>
      </w:pPr>
      <w:r>
        <w:rPr/>
        <w:t xml:space="preserve">De wereld staat voor grote uitdagingen. De EU is ervan overtuigd dat kwesties als klimaatverandering en pandemieën alleen via mondiale samenwerking kunnen worden aangepakt. De EU wil in dit verband haar stem op het wereldtoneel laten horen, bijvoorbeeld naast de VS en China. Wat is het standpunt van Nederland hierover? </w:t>
      </w:r>
    </w:p>
    <w:p>
      <w:pPr>
        <w:pStyle w:val="P68B1DB1Normal126"/>
        <w:widowControl w:val="false"/>
        <w:spacing w:lineRule="auto" w:line="240" w:before="125" w:after="0"/>
        <w:ind w:left="0" w:right="0" w:hanging="0"/>
        <w:jc w:val="left"/>
        <w:rPr>
          <w:rFonts w:ascii="Calibri" w:hAnsi="Calibri"/>
          <w:color w:val="0070C0"/>
          <w:sz w:val="24"/>
        </w:rPr>
      </w:pPr>
      <w:r>
        <w:rPr/>
        <w:t xml:space="preserve">Aanbevelingen — Onze visie op de rol van de EU in de wereld </w:t>
      </w:r>
    </w:p>
    <w:p>
      <w:pPr>
        <w:pStyle w:val="P68B1DB1Normal120"/>
        <w:widowControl w:val="false"/>
        <w:spacing w:lineRule="auto" w:line="240" w:before="126" w:after="0"/>
        <w:ind w:left="0" w:right="0" w:hanging="0"/>
        <w:jc w:val="left"/>
        <w:rPr>
          <w:rFonts w:ascii="Calibri" w:hAnsi="Calibri"/>
          <w:b/>
          <w:b/>
          <w:color w:val="000000"/>
          <w:sz w:val="21"/>
        </w:rPr>
      </w:pPr>
      <w:r>
        <w:rPr/>
        <w:t xml:space="preserve">56 % van de Nederlanders vindt dat de rol van de EU in de wereld een belangrijk thema is en dat de EU op dit gebied moet ingrijpen. </w:t>
      </w:r>
    </w:p>
    <w:p>
      <w:pPr>
        <w:pStyle w:val="P68B1DB1Normal111"/>
        <w:widowControl w:val="false"/>
        <w:spacing w:lineRule="auto" w:line="240" w:before="112" w:after="0"/>
        <w:ind w:left="0" w:right="0" w:hanging="0"/>
        <w:jc w:val="left"/>
        <w:rPr>
          <w:rFonts w:ascii="Calibri" w:hAnsi="Calibri"/>
          <w:b/>
          <w:b/>
          <w:color w:val="000000"/>
          <w:sz w:val="22"/>
        </w:rPr>
      </w:pPr>
      <w:r>
        <w:rPr/>
        <w:t xml:space="preserve">1. Gebruik maken van de kracht van de EU, voornamelijk in het kader van belangrijke internationale thema’s </w:t>
      </w:r>
    </w:p>
    <w:p>
      <w:pPr>
        <w:pStyle w:val="P68B1DB1Normal104"/>
        <w:widowControl w:val="false"/>
        <w:spacing w:lineRule="auto" w:line="240"/>
        <w:ind w:left="0" w:right="0" w:hanging="0"/>
        <w:jc w:val="left"/>
        <w:rPr/>
      </w:pPr>
      <w:r>
        <w:rPr/>
        <w:t xml:space="preserve">Het feit dat de oprichting ervan heeft bijgedragen aan Europeanen die al meer dan 75 jaar in vrede leven, wordt door veel Nederlanders beschouwd als de belangrijkste toegevoegde waarde van de EU. Nederlanders geloven ook dat de macht van de EU ligt in het gezamenlijk beheer van grote internationale uitdagingen. We denken bijvoorbeeld aan klimaatverandering, de COVID-19-pandemie en de vluchtelingencrisis. De EU-lidstaten kunnen ook een grotere impact hebben op derde landen door gezamenlijk internationale overeenkomsten van de EU te sluiten. Wij zijn van mening dat ons land te klein is om alleen in deze gebieden het verschil te maken. Dat gezegd hebbende, willen Nederland dat Nederland zijn eigen keuzes blijft maken, gebaseerd op hun eigen cultuur en interesses. De samenwerking in Europa moet daarom vooral zorgen voor efficiëntie en beleidskracht. </w:t>
      </w:r>
    </w:p>
    <w:p>
      <w:pPr>
        <w:pStyle w:val="P68B1DB1Normal113"/>
        <w:widowControl w:val="false"/>
        <w:spacing w:lineRule="auto" w:line="240" w:before="200" w:after="0"/>
        <w:ind w:left="0" w:right="0" w:hanging="0"/>
        <w:jc w:val="center"/>
        <w:rPr/>
      </w:pPr>
      <w:r>
        <w:rPr/>
        <w:t xml:space="preserve">Het is gemakkelijker om binnen de EU samenwerkingsovereenkomsten te sluiten dan als geïsoleerd land. </w:t>
      </w:r>
    </w:p>
    <w:p>
      <w:pPr>
        <w:pStyle w:val="P68B1DB1Normal111"/>
        <w:widowControl w:val="false"/>
        <w:spacing w:lineRule="auto" w:line="240" w:before="174" w:after="0"/>
        <w:ind w:left="0" w:right="0" w:hanging="0"/>
        <w:jc w:val="left"/>
        <w:rPr>
          <w:rFonts w:ascii="Calibri" w:hAnsi="Calibri"/>
          <w:b/>
          <w:b/>
          <w:color w:val="000000"/>
          <w:sz w:val="22"/>
        </w:rPr>
      </w:pPr>
      <w:r>
        <w:rPr/>
        <w:t xml:space="preserve">2. Binnen en buiten Europa, kies samenwerking in plaats van strijd </w:t>
      </w:r>
    </w:p>
    <w:p>
      <w:pPr>
        <w:pStyle w:val="P68B1DB1Normal104"/>
        <w:widowControl w:val="false"/>
        <w:spacing w:lineRule="auto" w:line="240" w:before="1" w:after="0"/>
        <w:ind w:left="0" w:right="0" w:hanging="0"/>
        <w:jc w:val="left"/>
        <w:rPr/>
      </w:pPr>
      <w:r>
        <w:rPr/>
        <w:t xml:space="preserve">66 % van de Nederlanders vindt dat de EU een sterker blok moet vormen ten opzichte van andere internationale blokken. We zijn getuige van een verzwakking van de balans in de wereld. Landen als China en Rusland breiden hun macht voortdurend uit op verschillende gebieden. Dit maakt ons veel zorgen. De EU moet daarom meer aandacht besteden aan bijvoorbeeld de internationale veiligheid en de bescherming van de Europese economie tegen oneerlijke handelspraktijken. Wij achten het in dit verband belangrijk dat de lidstaten beter en sneller coördineren. Dit zal ons in staat stellen om onze stem duidelijker te laten horen. Het feit dat we samen sterker zijn als Europese landen betekent niet dat we naar een conflict willen. We willen ook, voor zover mogelijk, een goede samenwerking met derde landen. </w:t>
      </w:r>
    </w:p>
    <w:p>
      <w:pPr>
        <w:pStyle w:val="P68B1DB1Normal113"/>
        <w:widowControl w:val="false"/>
        <w:spacing w:lineRule="auto" w:line="240" w:before="200" w:after="0"/>
        <w:ind w:left="0" w:right="0" w:hanging="0"/>
        <w:jc w:val="center"/>
        <w:rPr/>
      </w:pPr>
      <w:r>
        <w:rPr/>
        <w:t>„</w:t>
      </w:r>
      <w:r>
        <w:rPr/>
        <w:t xml:space="preserve">Het verminderen van interne geschillen en conflicten zal het prestige en de invloedsmacht van de EU op het wereldtoneel vergroten.” </w:t>
      </w:r>
    </w:p>
    <w:p>
      <w:pPr>
        <w:pStyle w:val="P68B1DB1Normal111"/>
        <w:widowControl w:val="false"/>
        <w:spacing w:lineRule="auto" w:line="240" w:before="174" w:after="0"/>
        <w:ind w:left="0" w:right="0" w:hanging="0"/>
        <w:jc w:val="left"/>
        <w:rPr>
          <w:rFonts w:ascii="Calibri" w:hAnsi="Calibri"/>
          <w:b/>
          <w:b/>
          <w:color w:val="000000"/>
          <w:sz w:val="22"/>
        </w:rPr>
      </w:pPr>
      <w:r>
        <w:rPr/>
        <w:t xml:space="preserve">3. Op een doordachte manier hulp bieden bij een conflict </w:t>
      </w:r>
    </w:p>
    <w:p>
      <w:pPr>
        <w:pStyle w:val="Normal"/>
        <w:widowControl w:val="false"/>
        <w:spacing w:lineRule="auto" w:line="240"/>
        <w:ind w:left="0" w:right="0" w:hanging="0"/>
        <w:jc w:val="left"/>
        <w:rPr/>
      </w:pPr>
      <w:r>
        <w:rPr>
          <w:rFonts w:ascii="Calibri" w:hAnsi="Calibri"/>
          <w:color w:val="000000"/>
          <w:sz w:val="21"/>
        </w:rPr>
        <w:t xml:space="preserve">Als onderdeel van de versterking van de rol van de EU in de internationale arena is 50 % van de Nederlanders van mening dat de aanpak van conflicten in de wereld een belangrijk thema is. De beste manier om te reageren op conflicten is volgens hen moeilijk te bepalen. Het verleden heeft aangetoond dat militaire interventie in een land niet altijd gunstig is. Het kan bijvoorbeeld leiden tot onvoorziene hoge kosten en extra vluchtelingenstromen creëren. Landen moeten, gezien deze lokale impact, zelf beslissen of ze deelnemen aan een oorlog. Wij zijn over het algemeen geïnteresseerd in een intensievere samenwerking tussen de Europese legers: wij vinden het belangrijk dat Europa zich goed kan verdedigen. Maar we geven er altijd de voorkeur aan om conflicten op te lossen zonder toevlucht te nemen tot geweld. </w:t>
      </w:r>
      <w:r>
        <w:br w:type="page"/>
      </w:r>
    </w:p>
    <w:p>
      <w:pPr>
        <w:pStyle w:val="P68B1DB1Normal113"/>
        <w:widowControl w:val="false"/>
        <w:spacing w:lineRule="auto" w:line="240"/>
        <w:ind w:left="0" w:right="0" w:hanging="0"/>
        <w:jc w:val="left"/>
        <w:rPr/>
      </w:pPr>
      <w:r>
        <w:rPr/>
        <w:t xml:space="preserve">Tijdens de evacuatie van Afghanistan handelde elk land in zijn eigen hoek. We hadden het nog beter kunnen doen, nietwaar? </w:t>
      </w:r>
    </w:p>
    <w:p>
      <w:pPr>
        <w:pStyle w:val="P68B1DB1Normal126"/>
        <w:widowControl w:val="false"/>
        <w:spacing w:lineRule="auto" w:line="240" w:before="85" w:after="0"/>
        <w:ind w:left="0" w:right="0" w:hanging="0"/>
        <w:jc w:val="left"/>
        <w:rPr>
          <w:rFonts w:ascii="Calibri" w:hAnsi="Calibri"/>
          <w:color w:val="0070C0"/>
          <w:sz w:val="24"/>
        </w:rPr>
      </w:pPr>
      <w:r>
        <w:rPr/>
        <w:t xml:space="preserve">Online en on-site discussies en ideeën </w:t>
      </w:r>
    </w:p>
    <w:p>
      <w:pPr>
        <w:pStyle w:val="P68B1DB1Normal118"/>
        <w:widowControl w:val="false"/>
        <w:spacing w:lineRule="auto" w:line="240" w:before="78" w:after="0"/>
        <w:ind w:left="0" w:right="0" w:hanging="0"/>
        <w:jc w:val="left"/>
        <w:rPr>
          <w:rFonts w:ascii="Calibri" w:hAnsi="Calibri"/>
          <w:i/>
          <w:i/>
          <w:color w:val="000000"/>
          <w:sz w:val="21"/>
        </w:rPr>
      </w:pPr>
      <w:r>
        <w:rPr/>
        <w:t xml:space="preserve">De EU moet eerst orde scheppen in haar eigen aangelegenheden alvorens anderen te confronteren. </w:t>
      </w:r>
    </w:p>
    <w:p>
      <w:pPr>
        <w:pStyle w:val="P68B1DB1Normal118"/>
        <w:widowControl w:val="false"/>
        <w:spacing w:lineRule="auto" w:line="240" w:before="87" w:after="0"/>
        <w:ind w:left="0" w:right="0" w:hanging="0"/>
        <w:jc w:val="left"/>
        <w:rPr>
          <w:rFonts w:ascii="Calibri" w:hAnsi="Calibri"/>
          <w:i/>
          <w:i/>
          <w:color w:val="000000"/>
          <w:sz w:val="21"/>
        </w:rPr>
      </w:pPr>
      <w:r>
        <w:rPr/>
        <w:t xml:space="preserve"> </w:t>
      </w:r>
    </w:p>
    <w:p>
      <w:pPr>
        <w:pStyle w:val="P68B1DB1Normal118"/>
        <w:widowControl w:val="false"/>
        <w:spacing w:lineRule="auto" w:line="240"/>
        <w:ind w:left="0" w:right="0" w:hanging="0"/>
        <w:jc w:val="left"/>
        <w:rPr>
          <w:rFonts w:ascii="Calibri" w:hAnsi="Calibri"/>
          <w:i/>
          <w:i/>
          <w:color w:val="000000"/>
          <w:sz w:val="21"/>
        </w:rPr>
      </w:pPr>
      <w:r>
        <w:rPr/>
        <w:t xml:space="preserve">Door als Europeanen massaal Chinese producten te kopen, steunen we China zelf. </w:t>
      </w:r>
    </w:p>
    <w:p>
      <w:pPr>
        <w:pStyle w:val="P68B1DB1Normal118"/>
        <w:widowControl w:val="false"/>
        <w:spacing w:lineRule="auto" w:line="240"/>
        <w:ind w:left="0" w:right="0" w:hanging="0"/>
        <w:jc w:val="left"/>
        <w:rPr>
          <w:rFonts w:ascii="Calibri" w:hAnsi="Calibri"/>
          <w:i/>
          <w:i/>
          <w:color w:val="000000"/>
          <w:sz w:val="21"/>
        </w:rPr>
      </w:pPr>
      <w:r>
        <w:rPr/>
        <w:t xml:space="preserve"> </w:t>
      </w:r>
    </w:p>
    <w:p>
      <w:pPr>
        <w:pStyle w:val="P68B1DB1Normal118"/>
        <w:widowControl w:val="false"/>
        <w:spacing w:lineRule="auto" w:line="240"/>
        <w:ind w:left="0" w:right="0" w:hanging="0"/>
        <w:jc w:val="left"/>
        <w:rPr>
          <w:rFonts w:ascii="Calibri" w:hAnsi="Calibri"/>
          <w:i/>
          <w:i/>
          <w:color w:val="000000"/>
          <w:sz w:val="21"/>
        </w:rPr>
      </w:pPr>
      <w:r>
        <w:rPr/>
        <w:t xml:space="preserve">De Verenigde Staten blijven een zeer belangrijke rol spelen bij de verdediging van Europa. </w:t>
      </w:r>
    </w:p>
    <w:p>
      <w:pPr>
        <w:pStyle w:val="P68B1DB1Normal118"/>
        <w:widowControl w:val="false"/>
        <w:spacing w:lineRule="auto" w:line="240"/>
        <w:ind w:left="0" w:right="0" w:hanging="0"/>
        <w:jc w:val="left"/>
        <w:rPr>
          <w:rFonts w:ascii="Calibri" w:hAnsi="Calibri"/>
          <w:i/>
          <w:i/>
          <w:color w:val="000000"/>
          <w:sz w:val="21"/>
        </w:rPr>
      </w:pPr>
      <w:r>
        <w:rPr/>
        <w:t xml:space="preserve"> </w:t>
      </w:r>
    </w:p>
    <w:p>
      <w:pPr>
        <w:pStyle w:val="P68B1DB1Normal118"/>
        <w:widowControl w:val="false"/>
        <w:spacing w:lineRule="auto" w:line="240"/>
        <w:ind w:left="0" w:right="0" w:hanging="0"/>
        <w:jc w:val="left"/>
        <w:rPr/>
      </w:pPr>
      <w:r>
        <w:rPr/>
        <w:t xml:space="preserve">Lid zijn van de EU betekent ook zitten aan de onderhandelingstafel. Dit maakt het mogelijk om belangrijke beslissingen te bespreken.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18"/>
        <w:widowControl w:val="false"/>
        <w:spacing w:lineRule="auto" w:line="240"/>
        <w:ind w:left="0" w:right="0" w:hanging="0"/>
        <w:jc w:val="left"/>
        <w:rPr/>
      </w:pPr>
      <w:r>
        <w:rPr/>
        <w:t xml:space="preserve">De EU moet zichzelf niet meer zien als een geïsoleerde entiteit, want dat is het niet. Het is een vereniging van Europese lidstaten en moet zich als zodanig gedragen.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IDEE:</w:t>
      </w:r>
      <w:r>
        <w:rPr>
          <w:i/>
        </w:rPr>
        <w:t xml:space="preserve"> Net als de reguliere wereldwijde klimaatconferentie moet er ook een conferentie over mensenrechten worden gehouden.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 xml:space="preserve">IDEE: </w:t>
      </w:r>
      <w:r>
        <w:rPr>
          <w:i/>
        </w:rPr>
        <w:t>„De Europese legers efficiënter maken, bijvoorbeeld door meer gebruik te maken van de collectieve aankoop van uitrusting.”</w:t>
      </w:r>
      <w:r>
        <w:rPr/>
        <w:t xml:space="preserve">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18"/>
        <w:widowControl w:val="false"/>
        <w:spacing w:lineRule="auto" w:line="240"/>
        <w:ind w:left="0" w:right="0" w:hanging="0"/>
        <w:jc w:val="left"/>
        <w:rPr>
          <w:rFonts w:ascii="Calibri" w:hAnsi="Calibri"/>
          <w:i/>
          <w:i/>
          <w:color w:val="000000"/>
          <w:sz w:val="21"/>
        </w:rPr>
      </w:pPr>
      <w:r>
        <w:rPr/>
        <w:t xml:space="preserve">Nederlands-Marokkaanse vrouwen: Bevordering van de mensenrechten.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Normal"/>
        <w:widowControl w:val="false"/>
        <w:spacing w:lineRule="auto" w:line="240"/>
        <w:ind w:left="0" w:right="0" w:hanging="0"/>
        <w:jc w:val="left"/>
        <w:rPr/>
      </w:pPr>
      <w:commentRangeStart w:id="28"/>
      <w:r>
        <w:rPr>
          <w:rFonts w:ascii="Calibri" w:hAnsi="Calibri"/>
          <w:color w:val="000000"/>
          <w:sz w:val="21"/>
        </w:rPr>
        <w:t>Women for</w:t>
      </w:r>
      <w:r>
        <w:rPr>
          <w:rFonts w:ascii="Calibri" w:hAnsi="Calibri"/>
          <w:color w:val="000000"/>
          <w:sz w:val="21"/>
        </w:rPr>
      </w:r>
      <w:commentRangeEnd w:id="28"/>
      <w:r>
        <w:commentReference w:id="28"/>
      </w:r>
      <w:r>
        <w:rPr>
          <w:rFonts w:ascii="Calibri" w:hAnsi="Calibri"/>
          <w:color w:val="000000"/>
          <w:sz w:val="21"/>
        </w:rPr>
        <w:t xml:space="preserve">Freedom is een Nederlandse stichting die gedwongen huwelijken, seksuele onderdrukking en financieel misbruik van meisjes en vrouwen met een biculturele achtergrond bestrijdt. In samenwerking met deze stichting werd een bijeenkomst georganiseerd met een groep Nederlands-Marokkaanse vrouwen. De deelnemers zijn van mening dat de EU momenteel te afhankelijk is van Rusland en China. „We vinden dat de EU over het algemeen niets durft voor te stellen, uit angst voor sancties”, zei een van hen. Drugsproductie, die vaak veel goedkoper kan zijn, is als voorbeeld aangehaald. „In het geval van een conflict, China kan de kraan te sluiten, en we zullen niets hebben,” zei een deelnemer. Ook het vraagstuk van de mensenrechten werd aan de orde gesteld. „We doen allemaal alsof we het erg belangrijk vinden, maar we sluiten onze ogen op wat China de Oeigoeren aandoet”, zegt iemand.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18"/>
        <w:widowControl w:val="false"/>
        <w:spacing w:lineRule="auto" w:line="240"/>
        <w:ind w:left="0" w:right="0" w:hanging="0"/>
        <w:jc w:val="left"/>
        <w:rPr>
          <w:rFonts w:ascii="Calibri" w:hAnsi="Calibri"/>
          <w:i/>
          <w:i/>
          <w:color w:val="000000"/>
          <w:sz w:val="21"/>
        </w:rPr>
      </w:pPr>
      <w:r>
        <w:rPr/>
        <w:t xml:space="preserve">Studenten van het Technasium van Alkmaar: Geen gemeenschappelijk leger.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Normal"/>
        <w:widowControl w:val="false"/>
        <w:spacing w:lineRule="auto" w:line="240"/>
        <w:ind w:left="0" w:right="0" w:hanging="0"/>
        <w:jc w:val="left"/>
        <w:rPr/>
      </w:pPr>
      <w:r>
        <w:rPr>
          <w:rFonts w:ascii="Calibri" w:hAnsi="Calibri"/>
          <w:color w:val="000000"/>
          <w:sz w:val="21"/>
        </w:rPr>
        <w:t xml:space="preserve">In hun thematische dialoog bespraken studenten van Technasium Jan Arentz in Alkmaar de voor- en nadelen van een gemeenschappelijk Europees leger. De deelnemers gaven aan dat zij dit niet steunen. Wanneer een EU-land ruzie maakt met een derde land, moeten we automatisch kunnen deelnemen aan een oorlog. Ik denk dat landen zelf moeten kunnen beslissen", zei iemand. Ook de mogelijkheid van een derde wereldoorlog werd besproken. Deze mogelijkheid wordt door de studenten niet erg groot geacht, maar ze denken dat als we daar zouden komen, toch snel een oplossing gevonden kon worden. Ook legers kunnen goed samenwerken. Het is mijns inziens niet nodig dat er een Europees leger is. </w:t>
      </w:r>
      <w:r>
        <w:br w:type="page"/>
      </w:r>
    </w:p>
    <w:p>
      <w:pPr>
        <w:pStyle w:val="P68B1DB1Normal125"/>
        <w:widowControl w:val="false"/>
        <w:spacing w:lineRule="auto" w:line="240"/>
        <w:ind w:left="0" w:right="0" w:hanging="0"/>
        <w:jc w:val="left"/>
        <w:rPr>
          <w:rFonts w:ascii="Calibri" w:hAnsi="Calibri"/>
          <w:b/>
          <w:b/>
          <w:color w:val="0070C0"/>
          <w:sz w:val="32"/>
        </w:rPr>
      </w:pPr>
      <w:r>
        <w:rPr/>
        <w:t xml:space="preserve">Methodologie die in de enquête wordt gebruikt </w:t>
      </w:r>
    </w:p>
    <w:p>
      <w:pPr>
        <w:pStyle w:val="P68B1DB1Normal104"/>
        <w:widowControl w:val="false"/>
        <w:spacing w:lineRule="auto" w:line="240" w:before="150" w:after="0"/>
        <w:ind w:left="0" w:right="0" w:hanging="0"/>
        <w:jc w:val="left"/>
        <w:rPr/>
      </w:pPr>
      <w:r>
        <w:rPr/>
        <w:t xml:space="preserve">Visie op Europa bestaat uit verschillende vormen van onderling verbonden dialogen die de standpunten en ideeën van Nederlandse burgers over de toekomst van Europa en de EU verzamelen. In dit hoofdstuk wordt beschreven hoe deze nauw verwante dialogen worden gevoerd in overeenstemming met de richtsnoeren die van toepassing zijn op nationale burgerpanels in het kader van de conferentie over de toekomst van Europa. </w:t>
      </w:r>
    </w:p>
    <w:p>
      <w:pPr>
        <w:pStyle w:val="P68B1DB1Normal126"/>
        <w:widowControl w:val="false"/>
        <w:spacing w:lineRule="auto" w:line="240" w:before="43" w:after="0"/>
        <w:ind w:left="0" w:right="0" w:hanging="0"/>
        <w:jc w:val="left"/>
        <w:rPr>
          <w:rFonts w:ascii="Calibri" w:hAnsi="Calibri"/>
          <w:color w:val="0070C0"/>
          <w:sz w:val="24"/>
        </w:rPr>
      </w:pPr>
      <w:r>
        <w:rPr/>
        <w:t xml:space="preserve">Structuur van nauw verwante dialogen </w:t>
      </w:r>
    </w:p>
    <w:p>
      <w:pPr>
        <w:pStyle w:val="P68B1DB1Normal104"/>
        <w:widowControl w:val="false"/>
        <w:spacing w:lineRule="auto" w:line="240" w:before="114" w:after="0"/>
        <w:ind w:left="0" w:right="0" w:hanging="0"/>
        <w:jc w:val="left"/>
        <w:rPr>
          <w:rFonts w:ascii="Calibri" w:hAnsi="Calibri"/>
          <w:color w:val="000000"/>
          <w:sz w:val="21"/>
        </w:rPr>
      </w:pPr>
      <w:r>
        <w:rPr/>
        <w:t xml:space="preserve">De volgende vormen van dialoog worden georganiseerd: </w:t>
      </w:r>
    </w:p>
    <w:p>
      <w:pPr>
        <w:pStyle w:val="P68B1DB1Normal119"/>
        <w:widowControl w:val="false"/>
        <w:spacing w:lineRule="auto" w:line="240"/>
        <w:ind w:left="0" w:right="0" w:hanging="0"/>
        <w:jc w:val="left"/>
        <w:rPr/>
      </w:pPr>
      <w:r>
        <w:rPr>
          <w:rFonts w:ascii="Calibri" w:hAnsi="Calibri"/>
        </w:rPr>
        <w:t>6.</w:t>
      </w:r>
      <w:r>
        <w:rPr/>
        <w:t xml:space="preserve"> </w:t>
      </w:r>
      <w:r>
        <w:rPr>
          <w:rFonts w:ascii="Calibri" w:hAnsi="Calibri"/>
        </w:rPr>
        <w:t>Enquête van een panel</w:t>
      </w:r>
    </w:p>
    <w:p>
      <w:pPr>
        <w:pStyle w:val="P68B1DB1Normal104"/>
        <w:widowControl w:val="false"/>
        <w:spacing w:lineRule="auto" w:line="240"/>
        <w:ind w:left="0" w:right="0" w:hanging="0"/>
        <w:jc w:val="left"/>
        <w:rPr>
          <w:rFonts w:ascii="Calibri" w:hAnsi="Calibri"/>
          <w:color w:val="000000"/>
          <w:sz w:val="21"/>
        </w:rPr>
      </w:pPr>
      <w:r>
        <w:rPr/>
        <w:t xml:space="preserve">Online enquête onder een representatief deel van de Nederlandse bevolking. </w:t>
      </w:r>
    </w:p>
    <w:p>
      <w:pPr>
        <w:pStyle w:val="P68B1DB1Normal119"/>
        <w:widowControl w:val="false"/>
        <w:spacing w:lineRule="auto" w:line="240"/>
        <w:ind w:left="0" w:right="0" w:hanging="0"/>
        <w:jc w:val="left"/>
        <w:rPr/>
      </w:pPr>
      <w:r>
        <w:rPr>
          <w:rFonts w:ascii="Calibri" w:hAnsi="Calibri"/>
        </w:rPr>
        <w:t>7.</w:t>
      </w:r>
      <w:r>
        <w:rPr/>
        <w:t xml:space="preserve"> </w:t>
      </w:r>
      <w:r>
        <w:rPr>
          <w:rFonts w:ascii="Calibri" w:hAnsi="Calibri"/>
        </w:rPr>
        <w:t>Online thematische dialogen voor verdieping</w:t>
      </w:r>
    </w:p>
    <w:p>
      <w:pPr>
        <w:pStyle w:val="P68B1DB1Normal104"/>
        <w:widowControl w:val="false"/>
        <w:spacing w:lineRule="auto" w:line="240"/>
        <w:ind w:left="0" w:right="0" w:hanging="0"/>
        <w:jc w:val="left"/>
        <w:rPr/>
      </w:pPr>
      <w:r>
        <w:rPr/>
        <w:t xml:space="preserve">Dialogen waarin de resultaten van het eerste tussentijdse verslag "Onze visie voor Europa: meningen, ideeën en aanbevelingen" (8 oktober 2021) worden uitvoerig besproken met een groep Nederlands. </w:t>
      </w:r>
    </w:p>
    <w:p>
      <w:pPr>
        <w:pStyle w:val="P68B1DB1Normal119"/>
        <w:widowControl w:val="false"/>
        <w:spacing w:lineRule="auto" w:line="240"/>
        <w:ind w:left="0" w:right="0" w:hanging="0"/>
        <w:jc w:val="left"/>
        <w:rPr/>
      </w:pPr>
      <w:r>
        <w:rPr>
          <w:rFonts w:ascii="Calibri" w:hAnsi="Calibri"/>
        </w:rPr>
        <w:t>8.</w:t>
      </w:r>
      <w:r>
        <w:rPr/>
        <w:t xml:space="preserve"> </w:t>
      </w:r>
      <w:r>
        <w:rPr>
          <w:rFonts w:ascii="Calibri" w:hAnsi="Calibri"/>
        </w:rPr>
        <w:t>Dialogen met specifieke groepen</w:t>
      </w:r>
    </w:p>
    <w:p>
      <w:pPr>
        <w:pStyle w:val="P68B1DB1Normal104"/>
        <w:widowControl w:val="false"/>
        <w:spacing w:lineRule="auto" w:line="240"/>
        <w:ind w:left="0" w:right="0" w:hanging="0"/>
        <w:jc w:val="left"/>
        <w:rPr>
          <w:rFonts w:ascii="Calibri" w:hAnsi="Calibri"/>
          <w:color w:val="000000"/>
          <w:sz w:val="21"/>
        </w:rPr>
      </w:pPr>
      <w:r>
        <w:rPr/>
        <w:t xml:space="preserve">Ontmoetingen met Nederlanders die niet gewend zijn om deel te nemen aan enquêtes of panels (online). </w:t>
      </w:r>
    </w:p>
    <w:p>
      <w:pPr>
        <w:pStyle w:val="P68B1DB1Normal119"/>
        <w:widowControl w:val="false"/>
        <w:spacing w:lineRule="auto" w:line="240"/>
        <w:ind w:left="0" w:right="0" w:hanging="0"/>
        <w:jc w:val="left"/>
        <w:rPr/>
      </w:pPr>
      <w:r>
        <w:rPr>
          <w:rFonts w:ascii="Calibri" w:hAnsi="Calibri"/>
        </w:rPr>
        <w:t>9.</w:t>
      </w:r>
      <w:r>
        <w:rPr/>
        <w:t xml:space="preserve"> </w:t>
      </w:r>
      <w:r>
        <w:rPr>
          <w:rFonts w:ascii="Calibri" w:hAnsi="Calibri"/>
        </w:rPr>
        <w:t>Dialogen met jongeren</w:t>
      </w:r>
    </w:p>
    <w:p>
      <w:pPr>
        <w:pStyle w:val="P68B1DB1Normal104"/>
        <w:widowControl w:val="false"/>
        <w:spacing w:lineRule="auto" w:line="240"/>
        <w:ind w:left="0" w:right="0" w:hanging="0"/>
        <w:jc w:val="left"/>
        <w:rPr>
          <w:rFonts w:ascii="Calibri" w:hAnsi="Calibri"/>
          <w:color w:val="000000"/>
          <w:sz w:val="21"/>
        </w:rPr>
      </w:pPr>
      <w:r>
        <w:rPr/>
        <w:t xml:space="preserve">Bijeenkomsten waar de Europese thema’s die het meest relevant zijn voor deze jongeren worden besproken. </w:t>
      </w:r>
    </w:p>
    <w:p>
      <w:pPr>
        <w:pStyle w:val="Normal"/>
        <w:widowControl w:val="false"/>
        <w:spacing w:lineRule="auto" w:line="240"/>
        <w:ind w:left="0" w:right="0" w:hanging="0"/>
        <w:jc w:val="left"/>
        <w:rPr/>
      </w:pPr>
      <w:r>
        <w:rPr>
          <w:rFonts w:ascii="Calibri" w:hAnsi="Calibri"/>
          <w:b/>
          <w:color w:val="000000"/>
          <w:sz w:val="21"/>
        </w:rPr>
        <w:t>10.</w:t>
      </w:r>
      <w:r>
        <w:rPr>
          <w:b/>
          <w:color w:val="000000"/>
          <w:sz w:val="21"/>
        </w:rPr>
        <w:t xml:space="preserve"> </w:t>
      </w:r>
      <w:r>
        <w:rPr>
          <w:rFonts w:ascii="Calibri" w:hAnsi="Calibri"/>
          <w:b/>
          <w:color w:val="000000"/>
          <w:sz w:val="21"/>
        </w:rPr>
        <w:t>Online openbare enquête: Vragenlijst en „Swipen naar de toekomst” (</w:t>
      </w:r>
      <w:commentRangeStart w:id="29"/>
      <w:r>
        <w:rPr>
          <w:rFonts w:ascii="Calibri" w:hAnsi="Calibri"/>
          <w:b/>
          <w:color w:val="000000"/>
          <w:sz w:val="21"/>
        </w:rPr>
        <w:t>Swiper</w:t>
      </w:r>
      <w:r>
        <w:rPr>
          <w:rFonts w:ascii="Calibri" w:hAnsi="Calibri"/>
          <w:b/>
          <w:color w:val="000000"/>
          <w:sz w:val="21"/>
        </w:rPr>
      </w:r>
      <w:commentRangeEnd w:id="29"/>
      <w:r>
        <w:commentReference w:id="29"/>
      </w:r>
      <w:r>
        <w:rPr>
          <w:rFonts w:ascii="Calibri" w:hAnsi="Calibri"/>
          <w:b/>
          <w:color w:val="000000"/>
          <w:sz w:val="21"/>
        </w:rPr>
        <w:t xml:space="preserve"> to the future) </w:t>
      </w:r>
    </w:p>
    <w:p>
      <w:pPr>
        <w:pStyle w:val="P68B1DB1Normal104"/>
        <w:widowControl w:val="false"/>
        <w:spacing w:lineRule="auto" w:line="240"/>
        <w:ind w:left="0" w:right="0" w:hanging="0"/>
        <w:jc w:val="left"/>
        <w:rPr/>
      </w:pPr>
      <w:r>
        <w:rPr/>
        <w:t xml:space="preserve">De vragenlijst van de panelenquête kan ook door alle Nederlanders worden ingevuld, ook door degenen die in het buitenland verblijven. Deze vragenlijst was beschikbaar van 1 september 2021 tot en met 14 november 2021. Daarnaast kon elke Nederlander gedurende dezelfde periode deelnemen aan de actie „Swipen naar de toekomst”, een online tool met 20 claims. </w:t>
      </w:r>
    </w:p>
    <w:p>
      <w:pPr>
        <w:pStyle w:val="Normal"/>
        <w:widowControl w:val="false"/>
        <w:spacing w:lineRule="auto" w:line="240"/>
        <w:ind w:left="0" w:right="0" w:hanging="0"/>
        <w:jc w:val="left"/>
        <w:rPr>
          <w:rFonts w:ascii="Calibri" w:hAnsi="Calibri"/>
          <w:color w:val="000000"/>
          <w:sz w:val="21"/>
        </w:rPr>
      </w:pPr>
      <w:r>
        <w:rPr>
          <w:rFonts w:ascii="Calibri" w:hAnsi="Calibri"/>
          <w:color w:val="000000"/>
          <w:sz w:val="21"/>
        </w:rPr>
      </w:r>
    </w:p>
    <w:p>
      <w:pPr>
        <w:pStyle w:val="P68B1DB1Normal125"/>
        <w:widowControl w:val="false"/>
        <w:spacing w:lineRule="auto" w:line="240" w:before="216" w:after="0"/>
        <w:ind w:left="0" w:right="0" w:hanging="0"/>
        <w:jc w:val="left"/>
        <w:rPr>
          <w:rFonts w:ascii="Calibri" w:hAnsi="Calibri"/>
          <w:b/>
          <w:b/>
          <w:color w:val="0070C0"/>
          <w:sz w:val="32"/>
        </w:rPr>
      </w:pPr>
      <w:r>
        <w:rPr/>
        <w:t xml:space="preserve">1. Enquête van een panel </w:t>
      </w:r>
    </w:p>
    <w:p>
      <w:pPr>
        <w:pStyle w:val="P68B1DB1Normal104"/>
        <w:widowControl w:val="false"/>
        <w:spacing w:lineRule="auto" w:line="240" w:before="150" w:after="0"/>
        <w:ind w:left="0" w:right="0" w:hanging="0"/>
        <w:jc w:val="left"/>
        <w:rPr/>
      </w:pPr>
      <w:r>
        <w:rPr/>
        <w:t xml:space="preserve">De Nederlandse Burgerdialoog „Vision of Europe” startte op 1 september met een panelenquête. In deze beschrijving van de enquêtemethodologie leggen we het ontwerp en de uitvoering van deze enquête kort uit aan een panel. </w:t>
      </w:r>
    </w:p>
    <w:p>
      <w:pPr>
        <w:pStyle w:val="P68B1DB1Normal126"/>
        <w:widowControl w:val="false"/>
        <w:spacing w:lineRule="auto" w:line="240" w:before="43" w:after="0"/>
        <w:ind w:left="0" w:right="0" w:hanging="0"/>
        <w:jc w:val="left"/>
        <w:rPr>
          <w:rFonts w:ascii="Calibri" w:hAnsi="Calibri"/>
          <w:color w:val="0070C0"/>
          <w:sz w:val="24"/>
        </w:rPr>
      </w:pPr>
      <w:r>
        <w:rPr/>
        <w:t xml:space="preserve">Doel- en doelpopulatie </w:t>
      </w:r>
    </w:p>
    <w:p>
      <w:pPr>
        <w:pStyle w:val="Normal"/>
        <w:widowControl w:val="false"/>
        <w:spacing w:lineRule="auto" w:line="240" w:before="114" w:after="0"/>
        <w:ind w:left="0" w:right="0" w:hanging="0"/>
        <w:jc w:val="left"/>
        <w:rPr/>
      </w:pPr>
      <w:r>
        <w:rPr>
          <w:rFonts w:ascii="Calibri" w:hAnsi="Calibri"/>
          <w:color w:val="000000"/>
          <w:sz w:val="21"/>
        </w:rPr>
        <w:t>De enquête „Vision of Europe” startte met een online vragenlijst over hoe Nederlanders de toekomst van Europa zien. Deze vragenlijst is ingediend bij een representatief panel en staat ook open voor alle Nederlanders (ook degenen die in het buitenland verblijven). Daarnaast was elke persoon in staat om deel te nemen aan de actie „Swipen</w:t>
      </w:r>
      <w:commentRangeStart w:id="30"/>
      <w:r>
        <w:rPr>
          <w:rFonts w:ascii="Calibri" w:hAnsi="Calibri"/>
          <w:color w:val="000000"/>
          <w:sz w:val="21"/>
        </w:rPr>
        <w:t>naar</w:t>
      </w:r>
      <w:r>
        <w:rPr>
          <w:rFonts w:ascii="Calibri" w:hAnsi="Calibri"/>
          <w:color w:val="000000"/>
          <w:sz w:val="21"/>
        </w:rPr>
      </w:r>
      <w:commentRangeEnd w:id="30"/>
      <w:r>
        <w:commentReference w:id="30"/>
      </w:r>
      <w:r>
        <w:rPr>
          <w:rFonts w:ascii="Calibri" w:hAnsi="Calibri"/>
          <w:color w:val="000000"/>
          <w:sz w:val="21"/>
        </w:rPr>
        <w:t xml:space="preserve"> de toekomst”, een online tool met 20 claims. De resultaten van de enquête van het panel voerden verschillende thematische dialogen aan die werden georganiseerd als follow-up van het proces van de burgerdialoog „Vision of Europe”.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Normal"/>
        <w:widowControl w:val="false"/>
        <w:spacing w:lineRule="auto" w:line="240" w:before="1" w:after="0"/>
        <w:ind w:left="0" w:right="0" w:hanging="0"/>
        <w:jc w:val="left"/>
        <w:rPr/>
      </w:pPr>
      <w:r>
        <w:rPr>
          <w:rFonts w:ascii="Calibri" w:hAnsi="Calibri"/>
          <w:color w:val="000000"/>
          <w:sz w:val="21"/>
        </w:rPr>
        <w:t xml:space="preserve">De doelgroep van het panelonderzoek omvat alle Nederlanders van 18 jaar en ouder die op het moment dat het veldwerk begon als ingezetene in het bevolkingsregister waren geregistreerd. Volgens het Centraal Bureau voor de Statistiek — CBS had deze doelgroep per 1 januari 2021 14.190.874 personen. De ondergrens van 18 jaar komt overeen met de kiesmeerderheid. We noemen het de populatie van de panelenquête. </w:t>
      </w:r>
      <w:r>
        <w:br w:type="page"/>
      </w:r>
    </w:p>
    <w:p>
      <w:pPr>
        <w:pStyle w:val="P68B1DB1Normal126"/>
        <w:widowControl w:val="false"/>
        <w:spacing w:lineRule="auto" w:line="240" w:before="43" w:after="0"/>
        <w:ind w:left="0" w:right="0" w:hanging="0"/>
        <w:jc w:val="left"/>
        <w:rPr>
          <w:rFonts w:ascii="Calibri" w:hAnsi="Calibri"/>
          <w:color w:val="0070C0"/>
          <w:sz w:val="24"/>
        </w:rPr>
      </w:pPr>
      <w:r>
        <w:rPr/>
        <w:t xml:space="preserve">Veldwerk </w:t>
      </w:r>
    </w:p>
    <w:p>
      <w:pPr>
        <w:pStyle w:val="P68B1DB1Normal104"/>
        <w:widowControl w:val="false"/>
        <w:spacing w:lineRule="auto" w:line="240" w:before="116" w:after="0"/>
        <w:ind w:left="0" w:right="0" w:hanging="0"/>
        <w:jc w:val="left"/>
        <w:rPr/>
      </w:pPr>
      <w:r>
        <w:rPr/>
        <w:t xml:space="preserve">Een panel van meer dan 100.000 deelnemers uit het hele land (ISO-gecertificeerd, Research Keurmerk groep, Nederlandse marktonderzoek Associatie) werd gebruikt om een digitaal beeld van het „Medium Dutch” te verkrijgen. Deze deelnemers hebben zich in het enquêtepanel ingeschreven om regelmatig hun mening te geven over een breed scala aan onderwerpen. Naast hun intrinsieke motivatie om bij te dragen, worden ze betaald om de vragenlijsten te beantwoorden. Verschillende wetenschappelijke studies tonen aan dat respondenten die een vergoeding ontvangen voor het invullen van een vragenlijst, niet significant verschillende antwoorden geven (bron: </w:t>
      </w:r>
      <w:r>
        <w:rPr>
          <w:i/>
        </w:rPr>
        <w:t>Vermindert het gebruik van enquêteprikkels de datakwaliteit?</w:t>
      </w:r>
      <w:r>
        <w:rPr/>
        <w:t xml:space="preserve">, Cole, J.S., Sarraf, S.A., Wang, X., 2015).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before="1" w:after="0"/>
        <w:ind w:left="0" w:right="0" w:hanging="0"/>
        <w:jc w:val="left"/>
        <w:rPr/>
      </w:pPr>
      <w:r>
        <w:rPr/>
        <w:t xml:space="preserve">Veldwerk begon op 11 augustus 2021 en eindigde op 19 september 2021. Voor de implementatie werd slechts één methode voor gegevensverzameling gebruikt, d.w.z. de internetenquête. Leden van het enquêtepanel ontvingen een e-mail met een persoonlijke link naar de online vragenlijst. Na twee weken kregen de deelnemers een herinnering. Uitnodigingen om deel te nemen werden verzonden in batches en gestratificeerd (door te zorgen voor een gelijke verdeling van subgroepen) totdat het vereiste aantal respondenten werd bereikt. </w:t>
      </w:r>
    </w:p>
    <w:p>
      <w:pPr>
        <w:pStyle w:val="P68B1DB1Normal126"/>
        <w:widowControl w:val="false"/>
        <w:spacing w:lineRule="auto" w:line="240" w:before="42" w:after="0"/>
        <w:ind w:left="0" w:right="0" w:hanging="0"/>
        <w:jc w:val="left"/>
        <w:rPr>
          <w:rFonts w:ascii="Calibri" w:hAnsi="Calibri"/>
          <w:color w:val="0070C0"/>
          <w:sz w:val="24"/>
        </w:rPr>
      </w:pPr>
      <w:r>
        <w:rPr/>
        <w:t xml:space="preserve">Bemonstering en distributie </w:t>
      </w:r>
    </w:p>
    <w:p>
      <w:pPr>
        <w:pStyle w:val="P68B1DB1Normal104"/>
        <w:widowControl w:val="false"/>
        <w:spacing w:lineRule="auto" w:line="240" w:before="114" w:after="0"/>
        <w:ind w:left="0" w:right="0" w:hanging="0"/>
        <w:jc w:val="left"/>
        <w:rPr/>
      </w:pPr>
      <w:r>
        <w:rPr/>
        <w:t xml:space="preserve">Het ontwerp van de enquête is gebaseerd op het principe dat minimaal 3.600 respondenten aan de enquête moeten deelnemen om een goede statistische betrouwbaarheid te garanderen. Bovendien maakt dit getal een goede verdeling mogelijk tussen de verschillende algemene kenmerken van de bevolking. Er is niet één type Nederlander. We hebben er daarom van tevoren voor gezorgd dat de steekproef ruim over een aantal kenmerken wordt verdeeld. Nederland is een relatief klein land, maar de meningen kunnen per regio verschillen. De positionering en het belang dat aan de thema’s wordt gegeven, kunnen (gedeeltelijk) worden bepaald door de regio waarin je woont. Mensen die op het platteland wonen, kunnen bijvoorbeeld een onderwerp als veiligheid anders begrijpen dan in stedelijke gebieden. Uit onderzoek van het Nederlandse Bureau voor Sociale en Culturele Planning blijkt ook dat mensen met een hoger studieniveau vaker voorstanders zijn van de EU dan mensen met een lager studieniveau en dat jongeren de EU meer steunen dan ouderen (bron: </w:t>
      </w:r>
      <w:r>
        <w:rPr>
          <w:i/>
        </w:rPr>
        <w:t>Wat wil Nederlanders van de Europese Unie?</w:t>
      </w:r>
      <w:r>
        <w:rPr/>
        <w:t xml:space="preserve">, Bureau voor Sociale en Culturele Planning, Den Haag, 2019).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before="1" w:after="0"/>
        <w:ind w:left="0" w:right="0" w:hanging="0"/>
        <w:jc w:val="left"/>
        <w:rPr/>
      </w:pPr>
      <w:r>
        <w:rPr/>
        <w:t xml:space="preserve">Daarom hebben we eerder de volgende drie kenmerken evenredig toegewezen om de representativiteit van de steekproef te waarborgen: 1) verblijf via COROP-regio’s, (2) leeftijd en (3) opleidingsniveau. De verdeling van het monster werd ook gepresenteerd aan de hand van de volgende algemene kenmerken: geslacht, herkomst, hoofdberoep, politieke oriëntatie. </w:t>
      </w:r>
    </w:p>
    <w:p>
      <w:pPr>
        <w:pStyle w:val="P68B1DB1Normal104"/>
        <w:widowControl w:val="false"/>
        <w:spacing w:lineRule="auto" w:line="240" w:before="1" w:after="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 xml:space="preserve">COROP-regio’s zijn ontwikkeld op basis van het nodal-principe (een „hart” met een aantrekkingsgebied of een regionale functie), gebaseerd op de stroom van mensen die pendelen. Er zijn enkele schendingen van het nodal-principe erkend, zodat de regio’s provinciale grenzen overschrijden. Na de reorganisatie van de gemeenten buiten COROP-grenzen werd de verdeling aangepast (bron: Nationaal Bureau voor de Statistiek). Binnen de COROP-regio’s hebben we gezorgd voor een goede verdeling over de leeftijdsgroepen, met de volgende uitsplitsing: leeftijden 18-34, 35-54, 55-75 en ouder 75.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Normal"/>
        <w:widowControl w:val="false"/>
        <w:spacing w:lineRule="auto" w:line="240" w:before="1" w:after="0"/>
        <w:ind w:left="0" w:right="0" w:hanging="0"/>
        <w:jc w:val="left"/>
        <w:rPr/>
      </w:pPr>
      <w:r>
        <w:rPr>
          <w:rFonts w:ascii="Calibri" w:hAnsi="Calibri"/>
          <w:color w:val="000000"/>
          <w:sz w:val="21"/>
        </w:rPr>
        <w:t xml:space="preserve">Tot slot hebben we gezorgd voor een representatieve verdeling van de onderwijsniveaus. In de steekproef komt de verdeling van de respondenten overeen met de verdeling op nationaal niveau van het hoogste onderwijsniveau, namelijk: </w:t>
      </w:r>
      <w:r>
        <w:br w:type="page"/>
      </w:r>
    </w:p>
    <w:p>
      <w:pPr>
        <w:pStyle w:val="P68B1DB1Normal120"/>
        <w:spacing w:lineRule="auto" w:line="240"/>
        <w:ind w:left="0" w:right="0" w:hanging="0"/>
        <w:rPr>
          <w:rFonts w:ascii="Calibri" w:hAnsi="Calibri"/>
          <w:b/>
          <w:b/>
          <w:color w:val="000000"/>
          <w:sz w:val="21"/>
        </w:rPr>
      </w:pPr>
      <w:r>
        <w:rPr/>
        <w:t xml:space="preserve">Hoogste onderwijsniveau </w:t>
      </w:r>
    </w:p>
    <w:tbl>
      <w:tblPr>
        <w:tblW w:w="9586"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8222"/>
        <w:gridCol w:w="1363"/>
      </w:tblGrid>
      <w:tr>
        <w:trPr>
          <w:trHeight w:val="1031" w:hRule="atLeast"/>
        </w:trPr>
        <w:tc>
          <w:tcPr>
            <w:tcW w:w="822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Laag: basisonderwijs, voorbereidend beroepsonderwijs, 1e tot 3e graad van algemeen hoger secundair onderwijs/preuniversitair onderwijs, secundair beroepsonderwijs niveau 1</w:t>
            </w:r>
          </w:p>
        </w:tc>
        <w:tc>
          <w:tcPr>
            <w:tcW w:w="136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32,1 %</w:t>
            </w:r>
          </w:p>
        </w:tc>
      </w:tr>
      <w:tr>
        <w:trPr>
          <w:trHeight w:val="1031" w:hRule="atLeast"/>
        </w:trPr>
        <w:tc>
          <w:tcPr>
            <w:tcW w:w="822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Gemiddeld: algemeen hoger secundair onderwijs/preuniversitair onderwijs, secundair beroepsonderwijs niveau 2 t/m 4</w:t>
            </w:r>
          </w:p>
        </w:tc>
        <w:tc>
          <w:tcPr>
            <w:tcW w:w="136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44,6 %</w:t>
            </w:r>
          </w:p>
        </w:tc>
      </w:tr>
      <w:tr>
        <w:trPr>
          <w:trHeight w:val="551" w:hRule="atLeast"/>
        </w:trPr>
        <w:tc>
          <w:tcPr>
            <w:tcW w:w="822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Hoog: hoger beroepsonderwijs of universitair onderwijs</w:t>
            </w:r>
          </w:p>
        </w:tc>
        <w:tc>
          <w:tcPr>
            <w:tcW w:w="136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22,9 %</w:t>
            </w:r>
          </w:p>
        </w:tc>
      </w:tr>
      <w:tr>
        <w:trPr>
          <w:trHeight w:val="536" w:hRule="atLeast"/>
        </w:trPr>
        <w:tc>
          <w:tcPr>
            <w:tcW w:w="822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Onbekend</w:t>
            </w:r>
          </w:p>
        </w:tc>
        <w:tc>
          <w:tcPr>
            <w:tcW w:w="136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0,4 %</w:t>
            </w:r>
          </w:p>
        </w:tc>
      </w:tr>
    </w:tbl>
    <w:p>
      <w:pPr>
        <w:pStyle w:val="P68B1DB1Normal126"/>
        <w:spacing w:lineRule="auto" w:line="240"/>
        <w:ind w:left="0" w:right="0" w:hanging="0"/>
        <w:rPr>
          <w:rFonts w:ascii="Calibri" w:hAnsi="Calibri"/>
          <w:color w:val="0070C0"/>
          <w:sz w:val="24"/>
        </w:rPr>
      </w:pPr>
      <w:r>
        <w:rPr/>
        <w:t xml:space="preserve">Responspercentage </w:t>
      </w:r>
    </w:p>
    <w:p>
      <w:pPr>
        <w:pStyle w:val="P68B1DB1Normal104"/>
        <w:widowControl w:val="false"/>
        <w:spacing w:lineRule="exact" w:line="386" w:before="116" w:after="0"/>
        <w:ind w:left="0" w:right="368" w:hanging="0"/>
        <w:jc w:val="left"/>
        <w:rPr/>
      </w:pPr>
      <w:r>
        <w:rPr/>
        <w:t xml:space="preserve">Per panel namen in totaal 4.886 mensen deel aan de enquête. De doelstelling van 3 600 volledig ingevulde vragenlijsten wordt derhalve bereikt. </w:t>
      </w:r>
    </w:p>
    <w:tbl>
      <w:tblPr>
        <w:tblW w:w="9638"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4596"/>
        <w:gridCol w:w="1189"/>
        <w:gridCol w:w="152"/>
        <w:gridCol w:w="1032"/>
        <w:gridCol w:w="831"/>
        <w:gridCol w:w="257"/>
        <w:gridCol w:w="1581"/>
      </w:tblGrid>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Reacties van COROP-regio’s en leeftijd</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18 tot 34 jaar oud</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35 tot 54 jaar</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55 tot 75 jaar oud</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meer dan 75 jaar oud</w:t>
            </w:r>
          </w:p>
        </w:tc>
      </w:tr>
      <w:tr>
        <w:trPr>
          <w:trHeight w:val="551"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Noord Drenthe</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11</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14</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17</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Zuidoosten van Drenthe</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10</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12</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14</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Zuidwesten van Drenthe</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7</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10</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11</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Flevoland</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29</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33</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28</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6</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Noord-Friesland</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20</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22</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25</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8</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Zuidoosten van Friesland</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12</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13</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14</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Zuidwesten van Friesland</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8</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11</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11</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Achterhoek</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22</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27</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34</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11</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Arnhem/Nijmegen</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52</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53</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55</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15</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Veluwe</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44</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48</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51</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17</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Zuid-West van Gelderland</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16</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18</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20</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Grand Delfzijl</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Oost-Groningen</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7</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10</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12</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w:t>
            </w:r>
          </w:p>
        </w:tc>
      </w:tr>
      <w:tr>
        <w:trPr>
          <w:trHeight w:val="536"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Rest van Groningen</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36</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26</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28</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8</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Midden-Limburg</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13</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17</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21</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7</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Noord-Limburg</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17</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20</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23</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7</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Zuid-Limburg</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38</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40</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52</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17</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Centrum van Noord-Brabant</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34</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35</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35</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11</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Ten noordoosten van Noord-Brabant</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41</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43</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51</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14</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Ten westen van Noord-Brabant</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40</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47</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49</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15</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Zuidoosten van Noord-Brabant</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55</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56</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58</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18</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Haarlem agglomeratie</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13</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18</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18</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7</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Alkmaar en omgeving</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14</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19</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19</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6</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Geweldig Amsterdam</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116</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104</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88</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23</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De Gooi en Vechtstreek</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13</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21</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19</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7</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IJmond</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12</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14</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15</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4</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Tip van Noord-Holland</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22</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27</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30</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9</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Regio Zaan</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11</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13</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12</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3</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Noord Overijssel</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25</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28</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25</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8</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Twents</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41</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44</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46</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14</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Zuidwesten van Overijssel</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10</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11</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12</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3</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Utrecht</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96</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100</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89</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27</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Rest van Zeeland</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16</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21</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23</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8</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Zeeland Vlaanderen</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6</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8</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9</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3</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Agglomeratie Leiden en bollenregio</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30</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31</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31</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10</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Agglomeratie Den Haag</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63</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70</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57</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18</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Delft en Westland</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19</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15</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15</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4</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Grand Rijnmond</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103</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107</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99</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31</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Ten oosten van Zuid-Holland</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22</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24</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25</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8</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Zuidoost van Zuid-Holland</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24</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26</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26</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9</w:t>
            </w:r>
          </w:p>
        </w:tc>
      </w:tr>
      <w:tr>
        <w:trPr>
          <w:trHeight w:val="356" w:hRule="atLeast"/>
        </w:trPr>
        <w:tc>
          <w:tcPr>
            <w:tcW w:w="5937" w:type="dxa"/>
            <w:gridSpan w:val="3"/>
            <w:tcBorders/>
            <w:shd w:fill="auto" w:val="clear"/>
            <w:vAlign w:val="bottom"/>
          </w:tcPr>
          <w:p>
            <w:pPr>
              <w:pStyle w:val="Contenudetableau"/>
              <w:spacing w:before="57" w:after="57"/>
              <w:jc w:val="left"/>
              <w:rPr>
                <w:b/>
                <w:b/>
                <w:color w:val="000000"/>
              </w:rPr>
            </w:pPr>
            <w:r>
              <w:rPr>
                <w:b/>
                <w:color w:val="000000"/>
              </w:rPr>
              <w:t>Reacties per opleidingsniveau</w:t>
            </w:r>
          </w:p>
        </w:tc>
        <w:tc>
          <w:tcPr>
            <w:tcW w:w="1863" w:type="dxa"/>
            <w:gridSpan w:val="2"/>
            <w:tcBorders/>
            <w:shd w:fill="auto" w:val="clear"/>
            <w:vAlign w:val="bottom"/>
          </w:tcPr>
          <w:p>
            <w:pPr>
              <w:pStyle w:val="Contenudetableau"/>
              <w:spacing w:before="57" w:after="57"/>
              <w:rPr>
                <w:color w:val="000000"/>
              </w:rPr>
            </w:pPr>
            <w:r>
              <w:rPr>
                <w:color w:val="000000"/>
              </w:rPr>
            </w:r>
          </w:p>
        </w:tc>
        <w:tc>
          <w:tcPr>
            <w:tcW w:w="1838" w:type="dxa"/>
            <w:gridSpan w:val="2"/>
            <w:tcBorders/>
            <w:shd w:fill="auto" w:val="clear"/>
            <w:vAlign w:val="bottom"/>
          </w:tcPr>
          <w:p>
            <w:pPr>
              <w:pStyle w:val="Contenudetableau"/>
              <w:spacing w:before="57" w:after="57"/>
              <w:rPr>
                <w:color w:val="000000"/>
              </w:rPr>
            </w:pPr>
            <w:r>
              <w:rPr>
                <w:color w:val="000000"/>
              </w:rPr>
            </w:r>
          </w:p>
        </w:tc>
      </w:tr>
      <w:tr>
        <w:trPr>
          <w:trHeight w:val="551" w:hRule="atLeast"/>
        </w:trPr>
        <w:tc>
          <w:tcPr>
            <w:tcW w:w="5937" w:type="dxa"/>
            <w:gridSpan w:val="3"/>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Laag</w:t>
            </w:r>
          </w:p>
        </w:tc>
        <w:tc>
          <w:tcPr>
            <w:tcW w:w="1863"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1382</w:t>
            </w:r>
          </w:p>
        </w:tc>
        <w:tc>
          <w:tcPr>
            <w:tcW w:w="183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34 %</w:t>
            </w:r>
          </w:p>
        </w:tc>
      </w:tr>
      <w:tr>
        <w:trPr>
          <w:trHeight w:val="551" w:hRule="atLeast"/>
        </w:trPr>
        <w:tc>
          <w:tcPr>
            <w:tcW w:w="5937" w:type="dxa"/>
            <w:gridSpan w:val="3"/>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Tussenpersoon</w:t>
            </w:r>
          </w:p>
        </w:tc>
        <w:tc>
          <w:tcPr>
            <w:tcW w:w="1863"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1747</w:t>
            </w:r>
          </w:p>
        </w:tc>
        <w:tc>
          <w:tcPr>
            <w:tcW w:w="183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43 %</w:t>
            </w:r>
          </w:p>
        </w:tc>
      </w:tr>
      <w:tr>
        <w:trPr>
          <w:trHeight w:val="551" w:hRule="atLeast"/>
        </w:trPr>
        <w:tc>
          <w:tcPr>
            <w:tcW w:w="5937" w:type="dxa"/>
            <w:gridSpan w:val="3"/>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Hoog</w:t>
            </w:r>
          </w:p>
        </w:tc>
        <w:tc>
          <w:tcPr>
            <w:tcW w:w="1863"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915</w:t>
            </w:r>
          </w:p>
        </w:tc>
        <w:tc>
          <w:tcPr>
            <w:tcW w:w="183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22 %</w:t>
            </w:r>
          </w:p>
        </w:tc>
      </w:tr>
      <w:tr>
        <w:trPr>
          <w:trHeight w:val="536" w:hRule="atLeast"/>
        </w:trPr>
        <w:tc>
          <w:tcPr>
            <w:tcW w:w="5937" w:type="dxa"/>
            <w:gridSpan w:val="3"/>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Onbekend</w:t>
            </w:r>
          </w:p>
        </w:tc>
        <w:tc>
          <w:tcPr>
            <w:tcW w:w="1863"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42</w:t>
            </w:r>
          </w:p>
        </w:tc>
        <w:tc>
          <w:tcPr>
            <w:tcW w:w="183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1 %</w:t>
            </w:r>
          </w:p>
        </w:tc>
      </w:tr>
    </w:tbl>
    <w:p>
      <w:pPr>
        <w:pStyle w:val="Normal"/>
        <w:spacing w:lineRule="auto" w:line="240"/>
        <w:ind w:left="0" w:right="0" w:hanging="0"/>
        <w:rPr/>
      </w:pPr>
      <w:r>
        <w:rPr/>
      </w:r>
    </w:p>
    <w:p>
      <w:pPr>
        <w:pStyle w:val="P68B1DB1Normal126"/>
        <w:spacing w:lineRule="auto" w:line="240"/>
        <w:ind w:left="0" w:right="0" w:hanging="0"/>
        <w:rPr>
          <w:rFonts w:ascii="Calibri" w:hAnsi="Calibri"/>
          <w:color w:val="0070C0"/>
          <w:sz w:val="24"/>
        </w:rPr>
      </w:pPr>
      <w:r>
        <w:rPr/>
        <w:t xml:space="preserve">Betrouwbaarheid en representativiteit </w:t>
      </w:r>
    </w:p>
    <w:p>
      <w:pPr>
        <w:pStyle w:val="P68B1DB1Normal104"/>
        <w:widowControl w:val="false"/>
        <w:spacing w:lineRule="auto" w:line="240" w:before="119" w:after="0"/>
        <w:ind w:left="0" w:right="0" w:hanging="0"/>
        <w:jc w:val="left"/>
        <w:rPr/>
      </w:pPr>
      <w:r>
        <w:rPr/>
        <w:t xml:space="preserve">Het aantal respondenten van 4.806 maakt het mogelijk om observaties te maken voor de bevolking als geheel met een betrouwbaarheidsniveau van 95 % en een foutenmarge van 1,53 %. Het betrouwbaarheidsniveau en de foutenmarge van de resultaten worden bepaald door de steekproefomvang. Hoe groter de steekproef, hoe betrouwbaarder en nauwkeuriger de resultaten kunnen worden geëxtrapoleerd naar de hele populatie. </w:t>
      </w:r>
    </w:p>
    <w:p>
      <w:pPr>
        <w:pStyle w:val="P68B1DB1Normal104"/>
        <w:widowControl w:val="false"/>
        <w:spacing w:lineRule="auto" w:line="240" w:before="94" w:after="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 xml:space="preserve">Het betrouwbaarheidsniveau wordt gedefinieerd als 1 (100 %) minus het niveau van betekenis. Het is gebruikelijk om te worden gebaseerd op een 5 % betekenisniveau. We hebben het over een betrouwbaarheidsniveau van 95 %. Met andere woorden, als de enquête op dezelfde manier en onder dezelfde voorwaarden wordt herhaald, zouden de resultaten in 95 % van de gevallen gelijk zijn. </w:t>
      </w:r>
    </w:p>
    <w:p>
      <w:pPr>
        <w:pStyle w:val="P68B1DB1Normal104"/>
        <w:widowControl w:val="false"/>
        <w:spacing w:lineRule="auto" w:line="240"/>
        <w:ind w:left="0" w:right="0" w:hanging="0"/>
        <w:jc w:val="left"/>
        <w:rPr/>
      </w:pPr>
      <w:r>
        <w:rPr/>
        <w:t xml:space="preserve">Nauwkeurigheid (uitgedrukt door foutmarge) geeft het waardenbereik aan waarbinnen de werkelijke waarde in de populatie zich bevindt. Met andere woorden: wat zou het maximale verschil zijn tussen de resultaten van de steekproef en de resultaten die uit de populatie als geheel zouden worden verkregen? Een foutenmarge van 1,53 % betekent dat de werkelijke waarde binnen de totale populatie 1,53 % hoger of lager kan zijn dan de steekproefwaarde. Als bijvoorbeeld uit een enquête van een steekproef van mensen blijkt dat 50 % van de respondenten een bepaald thema belangrijk vindt, is het werkelijke percentage 1,53 % hoger of lager dan die 50 %, d.w.z. tussen 48,47 en 51,53 %. Een maximale foutmarge van 5 % is gebruikelijk en algemeen aanvaard in kwantitatieve studies (statistiek).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 xml:space="preserve">Naast betrouwbaarheid is de representativiteit van het monster belangrijk. Aangezien de uitnodigingen tot deelname in batches en gelaagd zijn verzonden, zijn de resultaten representatief voor de kenmerken van de COROP-regio en de leeftijdsgroepen per COROP-regio. De antwoorden zijn ook representatief vanuit het oogpunt van het opleidingsniveau in vergelijking met het hoogste onderwijsniveau op nationaal niveau. </w:t>
      </w:r>
    </w:p>
    <w:p>
      <w:pPr>
        <w:pStyle w:val="Normal"/>
        <w:widowControl w:val="false"/>
        <w:spacing w:lineRule="auto" w:line="240"/>
        <w:ind w:left="0" w:right="0" w:hanging="0"/>
        <w:jc w:val="left"/>
        <w:rPr>
          <w:rFonts w:ascii="Calibri" w:hAnsi="Calibri"/>
          <w:color w:val="000000"/>
          <w:sz w:val="21"/>
        </w:rPr>
      </w:pPr>
      <w:r>
        <w:rPr>
          <w:rFonts w:ascii="Calibri" w:hAnsi="Calibri"/>
          <w:color w:val="000000"/>
          <w:sz w:val="21"/>
        </w:rPr>
      </w:r>
    </w:p>
    <w:p>
      <w:pPr>
        <w:pStyle w:val="P68B1DB1Normal126"/>
        <w:widowControl w:val="false"/>
        <w:spacing w:lineRule="auto" w:line="240"/>
        <w:ind w:left="0" w:right="0" w:hanging="0"/>
        <w:jc w:val="left"/>
        <w:rPr>
          <w:rFonts w:ascii="Calibri" w:hAnsi="Calibri"/>
          <w:color w:val="0070C0"/>
          <w:sz w:val="24"/>
        </w:rPr>
      </w:pPr>
      <w:r>
        <w:rPr/>
        <w:t xml:space="preserve">Andere algemene kenmerken </w:t>
      </w:r>
    </w:p>
    <w:p>
      <w:pPr>
        <w:pStyle w:val="P68B1DB1Normal104"/>
        <w:widowControl w:val="false"/>
        <w:spacing w:lineRule="auto" w:line="240"/>
        <w:ind w:left="0" w:right="0" w:hanging="0"/>
        <w:jc w:val="left"/>
        <w:rPr/>
      </w:pPr>
      <w:r>
        <w:rPr/>
        <w:t xml:space="preserve">Een aantal aanvullende contextuele vragen werden per panel aan deelnemers gesteld. Deze omvatten gender, EU-positionering, herkomst, hoofdbezetting en de politieke partij waarvoor de persoon zou stemmen in geval van verkiezingen.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 xml:space="preserve">49 % van de respondenten zijn mannen, 50 % vrouwen en 1 % geeft er de voorkeur aan om deze vraag niet te beantwoorden.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 xml:space="preserve">51 % van de respondenten vindt het een goede zaak dat Nederland lid is van de EU, 13 % vindt dat het een slechte zaak is en 36 % is neutraal of heeft geen mening.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 xml:space="preserve">95 % van de respondenten is geboren in Nederland. 89 % van de respondenten geeft aan dat beide ouders in Nederland zijn geboren. 5 % is geboren uit twee ouders die zelf in het buitenland zijn geboren. </w:t>
      </w:r>
    </w:p>
    <w:p>
      <w:pPr>
        <w:pStyle w:val="Normal"/>
        <w:widowControl w:val="false"/>
        <w:spacing w:lineRule="auto" w:line="240"/>
        <w:ind w:left="0" w:right="0" w:hanging="0"/>
        <w:jc w:val="left"/>
        <w:rPr>
          <w:rFonts w:ascii="Calibri" w:hAnsi="Calibri"/>
          <w:color w:val="000000"/>
          <w:sz w:val="21"/>
        </w:rPr>
      </w:pPr>
      <w:r>
        <w:rPr>
          <w:rFonts w:ascii="Calibri" w:hAnsi="Calibri"/>
          <w:color w:val="000000"/>
          <w:sz w:val="21"/>
        </w:rPr>
      </w:r>
      <w:r>
        <w:br w:type="page"/>
      </w:r>
    </w:p>
    <w:p>
      <w:pPr>
        <w:pStyle w:val="P68B1DB1Normal126"/>
        <w:spacing w:lineRule="auto" w:line="240"/>
        <w:ind w:left="0" w:right="0" w:hanging="0"/>
        <w:rPr>
          <w:rFonts w:ascii="Calibri" w:hAnsi="Calibri"/>
          <w:color w:val="0070C0"/>
          <w:sz w:val="24"/>
        </w:rPr>
      </w:pPr>
      <w:r>
        <w:rPr/>
        <w:t xml:space="preserve">Huidige politieke oriëntatie van respondenten </w:t>
      </w:r>
    </w:p>
    <w:tbl>
      <w:tblPr>
        <w:tblW w:w="9638"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6149"/>
        <w:gridCol w:w="3488"/>
      </w:tblGrid>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Feest</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w:t>
            </w:r>
          </w:p>
        </w:tc>
      </w:tr>
      <w:tr>
        <w:trPr>
          <w:trHeight w:val="551" w:hRule="atLeast"/>
        </w:trPr>
        <w:tc>
          <w:tcPr>
            <w:tcW w:w="614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VVD (Volkspartij voor Vrijheid en Democratie)</w:t>
            </w:r>
          </w:p>
        </w:tc>
        <w:tc>
          <w:tcPr>
            <w:tcW w:w="3488"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14 %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PVV (Partij voor Vrijheid)</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13 %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SP (Socialistische Partij)</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8 %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D66 (Democraten 66)</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6 %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CDA (Christelijke Democratische Oproep)</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6 %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PvdA (arbeidspartij)</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6 %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Partij voor de Dieren (Animal Party)</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GroenLinks (Groen Links)</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ChristenUnie (Christelijke Unie)</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JA21</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BoerBurgerBeweging (Farmer-burgerbeweging)</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Forum voor Democratie (Forum voor Democratie)</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SAP (hervormde politieke partij)</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Volt</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DENK</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Groep Van Haga</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BIJ1</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Fractie Den Haan</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0 %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Overige</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Witte stem</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Ik geef liever geen antwoord</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13 %</w:t>
            </w:r>
          </w:p>
        </w:tc>
      </w:tr>
      <w:tr>
        <w:trPr>
          <w:trHeight w:val="536"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Ik stem niet</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5 %</w:t>
            </w:r>
          </w:p>
        </w:tc>
      </w:tr>
    </w:tbl>
    <w:p>
      <w:pPr>
        <w:pStyle w:val="Normal"/>
        <w:spacing w:lineRule="auto" w:line="240"/>
        <w:ind w:left="0" w:right="0" w:hanging="0"/>
        <w:rPr/>
      </w:pPr>
      <w:r>
        <w:rPr/>
      </w:r>
      <w:r>
        <w:br w:type="page"/>
      </w:r>
    </w:p>
    <w:p>
      <w:pPr>
        <w:pStyle w:val="P68B1DB1Normal126"/>
        <w:spacing w:lineRule="auto" w:line="240"/>
        <w:ind w:left="0" w:right="0" w:hanging="0"/>
        <w:rPr>
          <w:rFonts w:ascii="Calibri" w:hAnsi="Calibri"/>
          <w:color w:val="0070C0"/>
          <w:sz w:val="24"/>
        </w:rPr>
      </w:pPr>
      <w:r>
        <w:rPr/>
        <w:t xml:space="preserve">Wat is op dit moment je belangrijkste bezigheid? </w:t>
      </w:r>
    </w:p>
    <w:tbl>
      <w:tblPr>
        <w:tblW w:w="9638"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6123"/>
        <w:gridCol w:w="3514"/>
      </w:tblGrid>
      <w:tr>
        <w:trPr>
          <w:trHeight w:val="55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Beroep</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w:t>
            </w:r>
          </w:p>
        </w:tc>
      </w:tr>
      <w:tr>
        <w:trPr>
          <w:trHeight w:val="551" w:hRule="atLeast"/>
        </w:trPr>
        <w:tc>
          <w:tcPr>
            <w:tcW w:w="6123"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Student/Studente</w:t>
            </w:r>
          </w:p>
        </w:tc>
        <w:tc>
          <w:tcPr>
            <w:tcW w:w="3514"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6 %</w:t>
            </w:r>
          </w:p>
        </w:tc>
      </w:tr>
      <w:tr>
        <w:trPr>
          <w:trHeight w:val="55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Deeltijdwerknemer</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16 %</w:t>
            </w:r>
          </w:p>
        </w:tc>
      </w:tr>
      <w:tr>
        <w:trPr>
          <w:trHeight w:val="55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Fulltime medewerker</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31 %</w:t>
            </w:r>
          </w:p>
        </w:tc>
      </w:tr>
      <w:tr>
        <w:trPr>
          <w:trHeight w:val="55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Onafhankelijke aannemer</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3 %</w:t>
            </w:r>
          </w:p>
        </w:tc>
      </w:tr>
      <w:tr>
        <w:trPr>
          <w:trHeight w:val="55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Persoon thuis</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5 %</w:t>
            </w:r>
          </w:p>
        </w:tc>
      </w:tr>
      <w:tr>
        <w:trPr>
          <w:trHeight w:val="55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Werkzoekenden</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2 %</w:t>
            </w:r>
          </w:p>
        </w:tc>
      </w:tr>
      <w:tr>
        <w:trPr>
          <w:trHeight w:val="55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Vrijwilliger</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2 %</w:t>
            </w:r>
          </w:p>
        </w:tc>
      </w:tr>
      <w:tr>
        <w:trPr>
          <w:trHeight w:val="55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Arbeidsongeschiktheid</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6 %</w:t>
            </w:r>
          </w:p>
        </w:tc>
      </w:tr>
      <w:tr>
        <w:trPr>
          <w:trHeight w:val="55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Gepensioneerd</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27 %</w:t>
            </w:r>
          </w:p>
        </w:tc>
      </w:tr>
      <w:tr>
        <w:trPr>
          <w:trHeight w:val="55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Overige</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1 %</w:t>
            </w:r>
          </w:p>
        </w:tc>
      </w:tr>
      <w:tr>
        <w:trPr>
          <w:trHeight w:val="536"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Ik geef liever geen antwoord</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1 %</w:t>
            </w:r>
          </w:p>
        </w:tc>
      </w:tr>
    </w:tbl>
    <w:p>
      <w:pPr>
        <w:pStyle w:val="Normal"/>
        <w:spacing w:lineRule="auto" w:line="240"/>
        <w:ind w:left="0" w:right="0" w:hanging="0"/>
        <w:rPr/>
      </w:pPr>
      <w:r>
        <w:rPr/>
      </w:r>
    </w:p>
    <w:p>
      <w:pPr>
        <w:pStyle w:val="P68B1DB1Normal126"/>
        <w:spacing w:lineRule="auto" w:line="240"/>
        <w:ind w:left="0" w:right="0" w:hanging="0"/>
        <w:rPr>
          <w:rFonts w:ascii="Calibri" w:hAnsi="Calibri"/>
          <w:color w:val="0070C0"/>
          <w:sz w:val="24"/>
        </w:rPr>
      </w:pPr>
      <w:r>
        <w:rPr/>
        <w:t xml:space="preserve">Vragenlijst </w:t>
      </w:r>
    </w:p>
    <w:p>
      <w:pPr>
        <w:pStyle w:val="P68B1DB1Normal104"/>
        <w:widowControl w:val="false"/>
        <w:spacing w:lineRule="exact" w:line="339" w:before="1" w:after="0"/>
        <w:ind w:left="0" w:right="0" w:hanging="0"/>
        <w:jc w:val="left"/>
        <w:rPr/>
      </w:pPr>
      <w:r>
        <w:rPr/>
        <w:t xml:space="preserve">De vragenlijst en dit rapport zijn opgesteld door een onafhankelijke externe organisatie op verzoek van het ministerie van Buitenlandse Zaken. De vragenlijst bevat een modulaire structuur en bevat de volgende vragenblokken, in overeenstemming met de thema’s die zijn vastgesteld voor de conferentie over de toekomst van Europa: </w:t>
      </w:r>
    </w:p>
    <w:p>
      <w:pPr>
        <w:pStyle w:val="P68B1DB1Normal105"/>
        <w:widowControl w:val="false"/>
        <w:spacing w:lineRule="exact" w:line="349" w:before="0" w:after="0"/>
        <w:ind w:left="0" w:right="0" w:hanging="0"/>
        <w:jc w:val="left"/>
        <w:rPr/>
      </w:pPr>
      <w:r>
        <w:rPr>
          <w:rFonts w:ascii="Verdana" w:hAnsi="Verdana"/>
        </w:rPr>
        <w:t>•</w:t>
      </w:r>
      <w:r>
        <w:rPr/>
        <w:t xml:space="preserve"> </w:t>
      </w:r>
      <w:r>
        <w:rPr>
          <w:rFonts w:ascii="Calibri" w:hAnsi="Calibri"/>
        </w:rPr>
        <w:t xml:space="preserve">Belangrijke thema’s en de rol van Europa </w:t>
      </w:r>
    </w:p>
    <w:p>
      <w:pPr>
        <w:pStyle w:val="P68B1DB1Normal105"/>
        <w:widowControl w:val="false"/>
        <w:spacing w:lineRule="exact" w:line="349"/>
        <w:ind w:left="0" w:right="0" w:hanging="0"/>
        <w:jc w:val="left"/>
        <w:rPr/>
      </w:pPr>
      <w:r>
        <w:rPr>
          <w:rFonts w:ascii="Verdana" w:hAnsi="Verdana"/>
        </w:rPr>
        <w:t>•</w:t>
      </w:r>
      <w:r>
        <w:rPr/>
        <w:t xml:space="preserve"> </w:t>
      </w:r>
      <w:r>
        <w:rPr>
          <w:rFonts w:ascii="Calibri" w:hAnsi="Calibri"/>
        </w:rPr>
        <w:t xml:space="preserve">Klimaatverandering en milieu </w:t>
      </w:r>
    </w:p>
    <w:p>
      <w:pPr>
        <w:pStyle w:val="P68B1DB1Normal105"/>
        <w:widowControl w:val="false"/>
        <w:spacing w:lineRule="exact" w:line="349" w:before="2" w:after="0"/>
        <w:ind w:left="0" w:right="0" w:hanging="0"/>
        <w:jc w:val="left"/>
        <w:rPr/>
      </w:pPr>
      <w:r>
        <w:rPr>
          <w:rFonts w:ascii="Verdana" w:hAnsi="Verdana"/>
        </w:rPr>
        <w:t>•</w:t>
      </w:r>
      <w:r>
        <w:rPr/>
        <w:t xml:space="preserve"> </w:t>
      </w:r>
      <w:r>
        <w:rPr>
          <w:rFonts w:ascii="Calibri" w:hAnsi="Calibri"/>
        </w:rPr>
        <w:t xml:space="preserve">Gezondheid </w:t>
      </w:r>
    </w:p>
    <w:p>
      <w:pPr>
        <w:pStyle w:val="P68B1DB1Normal105"/>
        <w:widowControl w:val="false"/>
        <w:spacing w:lineRule="exact" w:line="349"/>
        <w:ind w:left="0" w:right="0" w:hanging="0"/>
        <w:jc w:val="left"/>
        <w:rPr/>
      </w:pPr>
      <w:r>
        <w:rPr>
          <w:rFonts w:ascii="Verdana" w:hAnsi="Verdana"/>
        </w:rPr>
        <w:t>•</w:t>
      </w:r>
      <w:r>
        <w:rPr/>
        <w:t xml:space="preserve"> </w:t>
      </w:r>
      <w:r>
        <w:rPr>
          <w:rFonts w:ascii="Calibri" w:hAnsi="Calibri"/>
        </w:rPr>
        <w:t xml:space="preserve">Economie en werkgelegenheid </w:t>
      </w:r>
    </w:p>
    <w:p>
      <w:pPr>
        <w:pStyle w:val="P68B1DB1Normal105"/>
        <w:widowControl w:val="false"/>
        <w:spacing w:lineRule="exact" w:line="349"/>
        <w:ind w:left="0" w:right="0" w:hanging="0"/>
        <w:jc w:val="left"/>
        <w:rPr/>
      </w:pPr>
      <w:r>
        <w:rPr>
          <w:rFonts w:ascii="Verdana" w:hAnsi="Verdana"/>
        </w:rPr>
        <w:t>•</w:t>
      </w:r>
      <w:r>
        <w:rPr/>
        <w:t xml:space="preserve"> </w:t>
      </w:r>
      <w:r>
        <w:rPr>
          <w:rFonts w:ascii="Calibri" w:hAnsi="Calibri"/>
        </w:rPr>
        <w:t xml:space="preserve">Rol van de Europese Unie in de wereld </w:t>
      </w:r>
    </w:p>
    <w:p>
      <w:pPr>
        <w:pStyle w:val="P68B1DB1Normal105"/>
        <w:widowControl w:val="false"/>
        <w:spacing w:lineRule="exact" w:line="349"/>
        <w:ind w:left="0" w:right="0" w:hanging="0"/>
        <w:jc w:val="left"/>
        <w:rPr/>
      </w:pPr>
      <w:r>
        <w:rPr>
          <w:rFonts w:ascii="Verdana" w:hAnsi="Verdana"/>
        </w:rPr>
        <w:t>•</w:t>
      </w:r>
      <w:r>
        <w:rPr/>
        <w:t xml:space="preserve"> </w:t>
      </w:r>
      <w:r>
        <w:rPr/>
        <w:t xml:space="preserve">Veiligheid en rechtsstaat </w:t>
      </w:r>
      <w:r>
        <w:rPr>
          <w:rFonts w:ascii="Calibri" w:hAnsi="Calibri"/>
        </w:rPr>
        <w:t xml:space="preserve"> </w:t>
      </w:r>
    </w:p>
    <w:p>
      <w:pPr>
        <w:pStyle w:val="P68B1DB1Normal105"/>
        <w:widowControl w:val="false"/>
        <w:spacing w:lineRule="exact" w:line="349" w:before="2" w:after="0"/>
        <w:ind w:left="0" w:right="0" w:hanging="0"/>
        <w:jc w:val="left"/>
        <w:rPr/>
      </w:pPr>
      <w:r>
        <w:rPr>
          <w:rFonts w:ascii="Verdana" w:hAnsi="Verdana"/>
        </w:rPr>
        <w:t>•</w:t>
      </w:r>
      <w:r>
        <w:rPr/>
        <w:t xml:space="preserve"> </w:t>
      </w:r>
      <w:r>
        <w:rPr>
          <w:rFonts w:ascii="Calibri" w:hAnsi="Calibri"/>
        </w:rPr>
        <w:t xml:space="preserve">De virtuele wereld </w:t>
      </w:r>
    </w:p>
    <w:p>
      <w:pPr>
        <w:pStyle w:val="P68B1DB1Normal105"/>
        <w:widowControl w:val="false"/>
        <w:spacing w:lineRule="exact" w:line="349"/>
        <w:ind w:left="0" w:right="0" w:hanging="0"/>
        <w:jc w:val="left"/>
        <w:rPr/>
      </w:pPr>
      <w:r>
        <w:rPr>
          <w:rFonts w:ascii="Verdana" w:hAnsi="Verdana"/>
        </w:rPr>
        <w:t>•</w:t>
      </w:r>
      <w:r>
        <w:rPr/>
        <w:t xml:space="preserve"> </w:t>
      </w:r>
      <w:r>
        <w:rPr>
          <w:rFonts w:ascii="Calibri" w:hAnsi="Calibri"/>
        </w:rPr>
        <w:t xml:space="preserve">Europese democratie </w:t>
      </w:r>
    </w:p>
    <w:p>
      <w:pPr>
        <w:pStyle w:val="P68B1DB1Normal105"/>
        <w:widowControl w:val="false"/>
        <w:spacing w:lineRule="exact" w:line="349"/>
        <w:ind w:left="0" w:right="0" w:hanging="0"/>
        <w:jc w:val="left"/>
        <w:rPr/>
      </w:pPr>
      <w:r>
        <w:rPr>
          <w:rFonts w:ascii="Verdana" w:hAnsi="Verdana"/>
        </w:rPr>
        <w:t>•</w:t>
      </w:r>
      <w:r>
        <w:rPr/>
        <w:t xml:space="preserve"> </w:t>
      </w:r>
      <w:r>
        <w:rPr>
          <w:rFonts w:ascii="Calibri" w:hAnsi="Calibri"/>
        </w:rPr>
        <w:t xml:space="preserve">Migratie en vluchtelingen </w:t>
      </w:r>
    </w:p>
    <w:p>
      <w:pPr>
        <w:pStyle w:val="P68B1DB1Normal105"/>
        <w:widowControl w:val="false"/>
        <w:spacing w:lineRule="exact" w:line="349"/>
        <w:ind w:left="0" w:right="0" w:hanging="0"/>
        <w:jc w:val="left"/>
        <w:rPr/>
      </w:pPr>
      <w:r>
        <w:rPr>
          <w:rFonts w:ascii="Verdana" w:hAnsi="Verdana"/>
        </w:rPr>
        <w:t>•</w:t>
      </w:r>
      <w:r>
        <w:rPr/>
        <w:t xml:space="preserve"> </w:t>
      </w:r>
      <w:r>
        <w:rPr>
          <w:rFonts w:ascii="Calibri" w:hAnsi="Calibri"/>
        </w:rPr>
        <w:t xml:space="preserve">Onderwijs/cultuur/jeugd/sport </w:t>
      </w:r>
    </w:p>
    <w:p>
      <w:pPr>
        <w:pStyle w:val="Normal"/>
        <w:widowControl w:val="false"/>
        <w:spacing w:lineRule="exact" w:line="349"/>
        <w:ind w:left="0" w:right="0" w:hanging="0"/>
        <w:jc w:val="left"/>
        <w:rPr>
          <w:rFonts w:ascii="Calibri" w:hAnsi="Calibri"/>
          <w:color w:val="000000"/>
          <w:sz w:val="21"/>
        </w:rPr>
      </w:pPr>
      <w:r>
        <w:rPr>
          <w:rFonts w:ascii="Calibri" w:hAnsi="Calibri"/>
          <w:color w:val="000000"/>
          <w:sz w:val="21"/>
        </w:rPr>
      </w:r>
    </w:p>
    <w:p>
      <w:pPr>
        <w:pStyle w:val="P68B1DB1Normal104"/>
        <w:widowControl w:val="false"/>
        <w:spacing w:lineRule="auto" w:line="240" w:before="104" w:after="0"/>
        <w:ind w:left="0" w:right="0" w:hanging="0"/>
        <w:jc w:val="left"/>
        <w:rPr/>
      </w:pPr>
      <w:r>
        <w:rPr/>
        <w:t xml:space="preserve">Bij het opstellen van de vragenlijst werd veel aandacht besteed aan de kwaliteit, betrouwbaarheid en validiteit van de vragen. Om deze reden werd gezocht naar een neutrale, niet-geleide formulering van vragen, beweringen en antwoordopties, en werd gecontroleerd of de vragen in begrijpelijke taal waren geformuleerd (niveau B1). </w:t>
      </w:r>
    </w:p>
    <w:p>
      <w:pPr>
        <w:pStyle w:val="P68B1DB1Normal104"/>
        <w:widowControl w:val="false"/>
        <w:spacing w:lineRule="auto" w:line="240" w:before="13" w:after="0"/>
        <w:ind w:left="0" w:right="0" w:hanging="0"/>
        <w:jc w:val="left"/>
        <w:rPr>
          <w:rFonts w:ascii="Calibri" w:hAnsi="Calibri"/>
          <w:color w:val="000000"/>
          <w:sz w:val="21"/>
        </w:rPr>
      </w:pPr>
      <w:r>
        <w:rPr/>
        <w:t xml:space="preserve"> </w:t>
      </w:r>
    </w:p>
    <w:p>
      <w:pPr>
        <w:pStyle w:val="P68B1DB1Normal104"/>
        <w:widowControl w:val="false"/>
        <w:spacing w:lineRule="auto" w:line="240" w:before="13" w:after="0"/>
        <w:ind w:left="0" w:right="0" w:hanging="0"/>
        <w:jc w:val="left"/>
        <w:rPr/>
      </w:pPr>
      <w:r>
        <w:rPr/>
        <w:t xml:space="preserve">De vragenlijst werd onderworpen aan kwaliteitstests door middel van face-to-face interviews met testdeelnemers van de doelgroep. Dit stelde ons in staat om te bestuderen hoe vragen worden begrepen door verschillende soorten respondenten. Als een vraag een te grote (te complexe) cognitieve belasting leek te vertegenwoordigen, was het passend. </w:t>
      </w:r>
    </w:p>
    <w:p>
      <w:pPr>
        <w:pStyle w:val="P68B1DB1Normal126"/>
        <w:widowControl w:val="false"/>
        <w:spacing w:lineRule="auto" w:line="240" w:before="333" w:after="0"/>
        <w:ind w:left="0" w:right="0" w:hanging="0"/>
        <w:jc w:val="left"/>
        <w:rPr>
          <w:rFonts w:ascii="Calibri" w:hAnsi="Calibri"/>
          <w:color w:val="0070C0"/>
          <w:sz w:val="24"/>
        </w:rPr>
      </w:pPr>
      <w:r>
        <w:rPr/>
        <w:t xml:space="preserve">Analysemethoden </w:t>
      </w:r>
    </w:p>
    <w:p>
      <w:pPr>
        <w:pStyle w:val="P68B1DB1Normal104"/>
        <w:widowControl w:val="false"/>
        <w:spacing w:lineRule="auto" w:line="240" w:before="80" w:after="0"/>
        <w:ind w:left="0" w:right="0" w:hanging="0"/>
        <w:jc w:val="left"/>
        <w:rPr>
          <w:rFonts w:ascii="Calibri" w:hAnsi="Calibri"/>
          <w:color w:val="000000"/>
          <w:sz w:val="21"/>
        </w:rPr>
      </w:pPr>
      <w:r>
        <w:rPr/>
        <w:t xml:space="preserve">In dit onderzoek zijn twee analysemethoden gebruikt: </w:t>
      </w:r>
    </w:p>
    <w:p>
      <w:pPr>
        <w:pStyle w:val="P68B1DB1Normal111"/>
        <w:widowControl w:val="false"/>
        <w:spacing w:lineRule="auto" w:line="240" w:before="48" w:after="0"/>
        <w:ind w:left="0" w:right="0" w:hanging="0"/>
        <w:jc w:val="left"/>
        <w:rPr>
          <w:rFonts w:ascii="Calibri" w:hAnsi="Calibri"/>
          <w:b/>
          <w:b/>
          <w:color w:val="000000"/>
          <w:sz w:val="22"/>
        </w:rPr>
      </w:pPr>
      <w:r>
        <w:rPr/>
        <w:t xml:space="preserve">Univariate analyses </w:t>
      </w:r>
    </w:p>
    <w:p>
      <w:pPr>
        <w:pStyle w:val="P68B1DB1Normal104"/>
        <w:widowControl w:val="false"/>
        <w:spacing w:lineRule="auto" w:line="240" w:before="6" w:after="0"/>
        <w:ind w:left="0" w:right="0" w:hanging="0"/>
        <w:jc w:val="left"/>
        <w:rPr>
          <w:rFonts w:ascii="Calibri" w:hAnsi="Calibri"/>
          <w:color w:val="000000"/>
          <w:sz w:val="21"/>
        </w:rPr>
      </w:pPr>
      <w:r>
        <w:rPr/>
        <w:t xml:space="preserve">Beschrijvende statistieken worden gebruikt om de variabelen van een enquête te beschrijven. Frequenties en gemiddelden worden gebruikt in deze enquête. </w:t>
      </w:r>
    </w:p>
    <w:p>
      <w:pPr>
        <w:pStyle w:val="P68B1DB1Normal111"/>
        <w:widowControl w:val="false"/>
        <w:spacing w:lineRule="auto" w:line="240" w:before="48" w:after="0"/>
        <w:ind w:left="0" w:right="0" w:hanging="0"/>
        <w:jc w:val="left"/>
        <w:rPr>
          <w:rFonts w:ascii="Calibri" w:hAnsi="Calibri"/>
          <w:b/>
          <w:b/>
          <w:color w:val="000000"/>
          <w:sz w:val="22"/>
        </w:rPr>
      </w:pPr>
      <w:r>
        <w:rPr/>
        <w:t xml:space="preserve">Bivariate analyses </w:t>
      </w:r>
    </w:p>
    <w:p>
      <w:pPr>
        <w:pStyle w:val="P68B1DB1Normal104"/>
        <w:widowControl w:val="false"/>
        <w:spacing w:lineRule="auto" w:line="240" w:before="6" w:after="0"/>
        <w:ind w:left="0" w:right="0" w:hanging="0"/>
        <w:jc w:val="left"/>
        <w:rPr/>
      </w:pPr>
      <w:r>
        <w:rPr/>
        <w:t xml:space="preserve">De bivariate analyses maken het mogelijk om de relatie tussen twee variabelen te onderzoeken, in dit geval het verband tussen het belang van de verschillende thema’s en de vraag of de EU op dit gebied moet ingrijpen en het algemene kenmerk van leeftijd. Er is een evaluatie uitgevoerd om vast te stellen of verschillende leeftijdsgroepen een ander belang hechten aan een onderwerp en of er verschillende standpunten bestaan over de mate waarin dit kwesties zijn waarin de EU moet worden betrokken. </w:t>
      </w:r>
    </w:p>
    <w:p>
      <w:pPr>
        <w:pStyle w:val="Normal"/>
        <w:widowControl w:val="false"/>
        <w:spacing w:lineRule="auto" w:line="240" w:before="6" w:after="0"/>
        <w:ind w:left="0" w:right="0" w:hanging="0"/>
        <w:jc w:val="left"/>
        <w:rPr>
          <w:rFonts w:ascii="Calibri" w:hAnsi="Calibri"/>
          <w:color w:val="000000"/>
          <w:sz w:val="21"/>
        </w:rPr>
      </w:pPr>
      <w:r>
        <w:rPr>
          <w:rFonts w:ascii="Calibri" w:hAnsi="Calibri"/>
          <w:color w:val="000000"/>
          <w:sz w:val="21"/>
        </w:rPr>
      </w:r>
    </w:p>
    <w:p>
      <w:pPr>
        <w:pStyle w:val="P68B1DB1Normal126"/>
        <w:widowControl w:val="false"/>
        <w:spacing w:lineRule="auto" w:line="240" w:before="52" w:after="0"/>
        <w:ind w:left="0" w:right="0" w:hanging="0"/>
        <w:jc w:val="left"/>
        <w:rPr>
          <w:rFonts w:ascii="Calibri" w:hAnsi="Calibri"/>
          <w:color w:val="0070C0"/>
          <w:sz w:val="24"/>
        </w:rPr>
      </w:pPr>
      <w:r>
        <w:rPr/>
        <w:t xml:space="preserve">Publicatie van informatie en volledigheid </w:t>
      </w:r>
    </w:p>
    <w:p>
      <w:pPr>
        <w:pStyle w:val="P68B1DB1Normal76"/>
        <w:widowControl w:val="false"/>
        <w:spacing w:lineRule="auto" w:line="240" w:before="116" w:after="0"/>
        <w:ind w:left="0" w:right="0" w:hanging="0"/>
        <w:jc w:val="left"/>
        <w:rPr/>
      </w:pPr>
      <w:r>
        <w:rPr>
          <w:rFonts w:ascii="Calibri" w:hAnsi="Calibri"/>
          <w:sz w:val="21"/>
        </w:rPr>
        <w:t>Dit rapport bevat de resultaten van alle vragen die worden gesteld aan respondenten van het enquêtepanel. Voor sommige vragen kreeg de respondent de gelegenheid om „open” (d.w.z. niet vooraf bepaald) antwoorden te geven. Open reacties werden vervolgens gecategoriseerd en opgenomen in de publicatie. De ideeën die de respondenten in de gratis commentaren hebben gedeeld, worden gebruikt als input voor de verschillende thematische dialogen die worden georganiseerd als follow-up van het burgerdialoogproces „Vision of Europe”.</w:t>
      </w:r>
      <w:r>
        <w:rPr>
          <w:rFonts w:ascii="Times New Roman" w:hAnsi="Times New Roman"/>
          <w:sz w:val="24"/>
        </w:rPr>
        <w:t xml:space="preserve"> </w:t>
      </w:r>
    </w:p>
    <w:p>
      <w:pPr>
        <w:pStyle w:val="P68B1DB1Normal125"/>
        <w:widowControl w:val="false"/>
        <w:spacing w:lineRule="auto" w:line="240" w:before="233" w:after="0"/>
        <w:ind w:left="0" w:right="0" w:hanging="0"/>
        <w:jc w:val="left"/>
        <w:rPr>
          <w:rFonts w:ascii="Calibri" w:hAnsi="Calibri"/>
          <w:b/>
          <w:b/>
          <w:color w:val="0070C0"/>
          <w:sz w:val="32"/>
        </w:rPr>
      </w:pPr>
      <w:r>
        <w:rPr/>
        <w:t xml:space="preserve">2. Online thematische dialogen voor verdieping </w:t>
      </w:r>
    </w:p>
    <w:p>
      <w:pPr>
        <w:pStyle w:val="P68B1DB1Normal104"/>
        <w:widowControl w:val="false"/>
        <w:spacing w:lineRule="auto" w:line="240"/>
        <w:ind w:left="0" w:right="0" w:hanging="0"/>
        <w:jc w:val="left"/>
        <w:rPr/>
      </w:pPr>
      <w:r>
        <w:rPr/>
        <w:t xml:space="preserve">De thema’s die centraal staan in de conferentie over de toekomst van Europa zijn verdiept door middel van acht online thematische dialogen. Het doel van deze dialogen was om de </w:t>
      </w:r>
      <w:r>
        <w:rPr>
          <w:i/>
        </w:rPr>
        <w:t>redenen</w:t>
      </w:r>
      <w:r>
        <w:rPr/>
        <w:t xml:space="preserve"> voor de geuite meningen te ontdekken, evenals de motivaties en gevoelens erachter. Wat zijn de gepercipieerde zorgen en kansen? Tijdens de discussiesessies konden de deelnemers ook suggesties en ideeën over deze onderwerpen formuleren en kwesties aan de orde stellen die geen deel uitmaken van de conferentie, maar voor hen belangrijk blijven. </w:t>
      </w:r>
    </w:p>
    <w:p>
      <w:pPr>
        <w:pStyle w:val="P68B1DB1Normal104"/>
        <w:widowControl w:val="false"/>
        <w:spacing w:lineRule="auto" w:line="240" w:before="13" w:after="0"/>
        <w:ind w:left="0" w:right="0" w:hanging="0"/>
        <w:jc w:val="left"/>
        <w:rPr>
          <w:rFonts w:ascii="Calibri" w:hAnsi="Calibri"/>
          <w:color w:val="000000"/>
          <w:sz w:val="21"/>
        </w:rPr>
      </w:pPr>
      <w:r>
        <w:rPr/>
        <w:t xml:space="preserve"> </w:t>
      </w:r>
    </w:p>
    <w:p>
      <w:pPr>
        <w:pStyle w:val="P68B1DB1Normal104"/>
        <w:widowControl w:val="false"/>
        <w:spacing w:lineRule="auto" w:line="240" w:before="13" w:after="0"/>
        <w:ind w:left="0" w:right="0" w:hanging="0"/>
        <w:jc w:val="left"/>
        <w:rPr/>
      </w:pPr>
      <w:r>
        <w:rPr/>
        <w:t xml:space="preserve">De thematische dialogen vonden plaats op 12-14 oktober en 9-11 november. In oktober werden vier online thematische dialogen georganiseerd over de thema’s „Economie” en „democratie”. </w:t>
      </w:r>
    </w:p>
    <w:p>
      <w:pPr>
        <w:pStyle w:val="Normal"/>
        <w:widowControl w:val="false"/>
        <w:spacing w:lineRule="auto" w:line="240" w:before="10" w:after="0"/>
        <w:ind w:left="0" w:right="0" w:hanging="0"/>
        <w:jc w:val="left"/>
        <w:rPr/>
      </w:pPr>
      <w:r>
        <w:rPr>
          <w:rFonts w:ascii="Calibri" w:hAnsi="Calibri"/>
          <w:color w:val="000000"/>
          <w:sz w:val="21"/>
        </w:rPr>
        <w:t xml:space="preserve">In november werden vier online thematische dialogen gehouden over de thema’s „Klimaat” en „De EU in de wereld”. Gemiddeld namen 29 mensen deel aan elke discussiesessie (231 in totaal). Deelnemers werden gerekruteerd uit de panelleden (zie punt 1) en via sociale media. </w:t>
      </w:r>
      <w:r>
        <w:br w:type="page"/>
      </w:r>
    </w:p>
    <w:p>
      <w:pPr>
        <w:pStyle w:val="P68B1DB1Normal125"/>
        <w:spacing w:lineRule="auto" w:line="240"/>
        <w:ind w:left="0" w:right="0" w:hanging="0"/>
        <w:rPr>
          <w:rFonts w:ascii="Calibri" w:hAnsi="Calibri"/>
          <w:b/>
          <w:b/>
          <w:color w:val="0070C0"/>
          <w:sz w:val="32"/>
        </w:rPr>
      </w:pPr>
      <w:r>
        <w:rPr/>
        <w:t xml:space="preserve">3. Dialogen met specifieke groepen </w:t>
      </w:r>
    </w:p>
    <w:p>
      <w:pPr>
        <w:pStyle w:val="P68B1DB1Normal104"/>
        <w:widowControl w:val="false"/>
        <w:spacing w:lineRule="auto" w:line="240" w:before="73" w:after="0"/>
        <w:ind w:left="0" w:right="0" w:hanging="0"/>
        <w:jc w:val="left"/>
        <w:rPr/>
      </w:pPr>
      <w:r>
        <w:rPr/>
        <w:t xml:space="preserve">Sommige Nederlandse groepen zijn minder gewend aan deelname aan enquêtes en panels (online). Om een representatief beeld te krijgen van „de stem van Nederland” was het belangrijk dat deze burgers ook hun ideeën en meningen konden uiten. Daarom hebben we ook een aantal dialogen ter plaatse georganiseerd voor de enquête „Vision of Europe”. De meningen en ideeën die we konden verzamelen werden gebruikt als basis (onder andere) om de aanbevelingen te formuleren. </w:t>
      </w:r>
    </w:p>
    <w:p>
      <w:pPr>
        <w:pStyle w:val="P68B1DB1Normal126"/>
        <w:widowControl w:val="false"/>
        <w:spacing w:lineRule="auto" w:line="240" w:before="94" w:after="0"/>
        <w:ind w:left="0" w:right="0" w:hanging="0"/>
        <w:jc w:val="left"/>
        <w:rPr>
          <w:rFonts w:ascii="Calibri" w:hAnsi="Calibri"/>
          <w:color w:val="0070C0"/>
          <w:sz w:val="24"/>
        </w:rPr>
      </w:pPr>
      <w:r>
        <w:rPr/>
        <w:t xml:space="preserve">Doelgroepen </w:t>
      </w:r>
    </w:p>
    <w:p>
      <w:pPr>
        <w:pStyle w:val="P68B1DB1Normal110"/>
        <w:widowControl w:val="false"/>
        <w:spacing w:lineRule="auto" w:line="240" w:before="88" w:after="0"/>
        <w:ind w:left="0" w:right="0" w:hanging="0"/>
        <w:jc w:val="left"/>
        <w:rPr/>
      </w:pPr>
      <w:r>
        <w:rPr>
          <w:sz w:val="21"/>
        </w:rPr>
        <w:t xml:space="preserve">Moeilijk bereikbare doelgroepen kunnen niet ondubbelzinnig worden gedefinieerd. Studies en ervaringen stellen ons in staat om te weten dat Nederlanders </w:t>
      </w:r>
      <w:r>
        <w:rPr>
          <w:b/>
          <w:sz w:val="21"/>
        </w:rPr>
        <w:t>met niet-westerse afkomst</w:t>
      </w:r>
      <w:r>
        <w:rPr>
          <w:sz w:val="21"/>
        </w:rPr>
        <w:t>aanzienlijk minder van zichzelf deelnemen aan onderzoeken en discussies. Aangezien dit een grote groep vertegenwoordigt (14 % van de Nederlandse</w:t>
      </w:r>
      <w:r>
        <w:rPr>
          <w:b/>
          <w:position w:val="6"/>
          <w:sz w:val="14"/>
        </w:rPr>
        <w:t>1</w:t>
      </w:r>
      <w:r>
        <w:rPr>
          <w:sz w:val="21"/>
        </w:rPr>
        <w:t xml:space="preserve">), werden ze geselecteerd om deel te nemen aan de Visie van Europa dialoog. Dezelfde redenering werd gevolgd met betrekking tot </w:t>
      </w:r>
      <w:r>
        <w:rPr>
          <w:b/>
          <w:sz w:val="21"/>
        </w:rPr>
        <w:t>personen met weinig opleiding</w:t>
      </w:r>
      <w:r>
        <w:rPr>
          <w:sz w:val="21"/>
        </w:rPr>
        <w:t>. Het is ook een grote groep (2,5 miljoen Nederlanders</w:t>
      </w:r>
      <w:r>
        <w:rPr>
          <w:position w:val="6"/>
          <w:sz w:val="14"/>
        </w:rPr>
        <w:t>2</w:t>
      </w:r>
      <w:r>
        <w:rPr>
          <w:sz w:val="21"/>
        </w:rPr>
        <w:t xml:space="preserve">), die gedeeltelijk overlapt met de migrantengroep (39 %). Tot slot is er een dialoog gevoerd met een groep mensen die zelden te vinden zijn in enquêtes en discussies, </w:t>
      </w:r>
      <w:r>
        <w:rPr>
          <w:b/>
          <w:sz w:val="21"/>
        </w:rPr>
        <w:t>die kritisch zijn over Europa, maar voor wie Europa een belangrijke rol speelt in de beroepswereld.</w:t>
      </w:r>
      <w:r>
        <w:rPr>
          <w:sz w:val="21"/>
        </w:rPr>
        <w:t xml:space="preserve"> Ondernemers uit de agrarische sector werden geselecteerd.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 xml:space="preserve">De bovengenoemde groepen zijn benaderd door organisaties waarvan zij lid zijn, zoals migrantenorganisaties, belangenverenigingen en beroepsorganisaties. Omdat we het aantal dialogen tot acht beperkten, konden we niet volledig „uitputtend” zijn. Dit maakt de keuze van de deelnemers enigszins arbitrair. Om deze keuze te maken, hebben we ook rekening gehouden met het enthousiasme om deel te nemen en te helpen hun basis te mobiliseren, evenals praktische kwesties zoals beschikbaarheid op basis van data en locatie.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rFonts w:ascii="Calibri" w:hAnsi="Calibri"/>
          <w:color w:val="000000"/>
          <w:sz w:val="21"/>
        </w:rPr>
      </w:pPr>
      <w:r>
        <w:rPr/>
        <w:t xml:space="preserve">Ter plaatse werden dialogen gehouden met leden van de volgende organisaties: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Hakder Foundation, Alevi gemeenschap, Schiedam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Asha Foundation, Hindoegemeenschap, Utrecht (twee discussiesessies)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Piëzo, maatschappelijke organisatie, Zoetermeer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Taal doet Meer, een organisatie voor laagopgeleiden, Utrecht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BoerenNatuur, vereniging van landbouwgroepen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Marokkanen Dialoog Overvecht, Marokkaanse gemeenschap, Utrecht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Women for Freedom, belangenbehartigingsorganisatie voor vrouwen met een migrantenachtergrond, Den Haag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rFonts w:ascii="Calibri" w:hAnsi="Calibri"/>
          <w:color w:val="000000"/>
          <w:sz w:val="21"/>
        </w:rPr>
      </w:pPr>
      <w:r>
        <w:rPr/>
        <w:t xml:space="preserve">In totaal namen 110 mensen deel aan deze discussiebijeenkomsten.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25"/>
        <w:widowControl w:val="false"/>
        <w:spacing w:lineRule="auto" w:line="240" w:before="205" w:after="0"/>
        <w:ind w:left="0" w:right="0" w:hanging="0"/>
        <w:jc w:val="left"/>
        <w:rPr>
          <w:rFonts w:ascii="Calibri" w:hAnsi="Calibri"/>
          <w:b/>
          <w:b/>
          <w:color w:val="0070C0"/>
          <w:sz w:val="32"/>
        </w:rPr>
      </w:pPr>
      <w:r>
        <w:rPr/>
        <w:t xml:space="preserve">4. Dialogen met jongeren </w:t>
      </w:r>
    </w:p>
    <w:p>
      <w:pPr>
        <w:pStyle w:val="P68B1DB1Normal104"/>
        <w:widowControl w:val="false"/>
        <w:spacing w:lineRule="auto" w:line="240" w:before="145" w:after="0"/>
        <w:ind w:left="0" w:right="0" w:hanging="0"/>
        <w:jc w:val="both"/>
        <w:rPr/>
      </w:pPr>
      <w:r>
        <w:rPr/>
        <w:t xml:space="preserve">Jongeren zijn een prioritaire doelgroep van de conferentie over de toekomst van Europa. Om hun deelname aan de burgerdialoog „Vision of Europe” actief aan te moedigen en de meningen en ideeën van deze groep goed te laten horen, werden zes fysieke discussiebijeenkomsten voor jongeren georganiseerd.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rFonts w:ascii="Calibri" w:hAnsi="Calibri"/>
          <w:color w:val="000000"/>
          <w:sz w:val="21"/>
        </w:rPr>
      </w:pPr>
      <w:r>
        <w:rPr/>
        <w:t xml:space="preserve">De vergaderingen vonden plaats in de volgende instellingen: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Vereniging van Geschiedenis Studenten, Universiteit Leiden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Dr. Knippenberg College, High School, Helmond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Coalitie-Y, Sociaal-Economische Raad Jeugdplatform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Graafschap College, Beroeps secundair onderwijs, Doetinchem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CSG Jan Arentsz, voortgezet onderwijs gericht op technologische vakken, Alkmaar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Nationale Jeugdraad (de vergadering vond plaats buiten het terrein)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Normal"/>
        <w:widowControl w:val="false"/>
        <w:spacing w:lineRule="auto" w:line="240" w:before="89" w:after="0"/>
        <w:ind w:left="0" w:right="0" w:hanging="0"/>
        <w:jc w:val="left"/>
        <w:rPr>
          <w:rFonts w:ascii="Calibri" w:hAnsi="Calibri"/>
          <w:color w:val="000000"/>
          <w:sz w:val="21"/>
        </w:rPr>
      </w:pPr>
      <w:r>
        <w:rPr>
          <w:rFonts w:ascii="Calibri" w:hAnsi="Calibri"/>
          <w:color w:val="000000"/>
          <w:sz w:val="21"/>
        </w:rPr>
        <w:t xml:space="preserve">In totaal hebben 110 jongeren deelgenomen aan de discussiebijeenkomsten. </w:t>
      </w:r>
      <w:r>
        <w:br w:type="page"/>
      </w:r>
    </w:p>
    <w:p>
      <w:pPr>
        <w:pStyle w:val="P68B1DB1Normal126"/>
        <w:spacing w:lineRule="auto" w:line="240"/>
        <w:ind w:left="0" w:right="0" w:hanging="0"/>
        <w:rPr>
          <w:rFonts w:ascii="Calibri" w:hAnsi="Calibri"/>
          <w:color w:val="0070C0"/>
          <w:sz w:val="24"/>
        </w:rPr>
      </w:pPr>
      <w:r>
        <w:rPr/>
        <w:t xml:space="preserve">Gebruikte onderhoudstechnieken </w:t>
      </w:r>
    </w:p>
    <w:p>
      <w:pPr>
        <w:pStyle w:val="P68B1DB1Normal104"/>
        <w:widowControl w:val="false"/>
        <w:spacing w:lineRule="auto" w:line="240" w:before="92" w:after="0"/>
        <w:ind w:left="0" w:right="0" w:hanging="0"/>
        <w:jc w:val="left"/>
        <w:rPr/>
      </w:pPr>
      <w:r>
        <w:rPr/>
        <w:t xml:space="preserve">Online thematische dialogen, dialogen met specifieke groepen en dialogen met jongeren werden gevoerd met behulp van de zogenaamde „socratische” interviewmethode. Deze methode wordt al vele jaren gebruikt op Dialoogdag, waar mensen in heel Nederland met elkaar communiceren over kwesties die hen aangaan. In het kader van de methode voor socratisch onderhoud houdt de moderator rekening met de volgende beginselen: </w:t>
      </w:r>
    </w:p>
    <w:p>
      <w:pPr>
        <w:pStyle w:val="P68B1DB1Normal105"/>
        <w:widowControl w:val="false"/>
        <w:spacing w:lineRule="auto" w:line="240"/>
        <w:ind w:left="0" w:right="0" w:hanging="0"/>
        <w:jc w:val="left"/>
        <w:rPr/>
      </w:pPr>
      <w:r>
        <w:rPr>
          <w:rFonts w:ascii="Verdana" w:hAnsi="Verdana"/>
        </w:rPr>
        <w:t>Laat</w:t>
      </w:r>
      <w:r>
        <w:rPr/>
        <w:t xml:space="preserve"> de ander zijn verhaal vertellen </w:t>
      </w:r>
      <w:r>
        <w:rPr>
          <w:rFonts w:ascii="Calibri" w:hAnsi="Calibri"/>
        </w:rPr>
        <w:t xml:space="preserve"> </w:t>
      </w:r>
    </w:p>
    <w:p>
      <w:pPr>
        <w:pStyle w:val="P68B1DB1Normal105"/>
        <w:widowControl w:val="false"/>
        <w:spacing w:lineRule="auto" w:line="240"/>
        <w:ind w:left="0" w:right="0" w:hanging="0"/>
        <w:jc w:val="left"/>
        <w:rPr/>
      </w:pPr>
      <w:r>
        <w:rPr>
          <w:rFonts w:ascii="Verdana" w:hAnsi="Verdana"/>
        </w:rPr>
        <w:t>Beantwoord</w:t>
      </w:r>
      <w:r>
        <w:rPr/>
        <w:t xml:space="preserve"> </w:t>
      </w:r>
      <w:r>
        <w:rPr>
          <w:rFonts w:ascii="Calibri" w:hAnsi="Calibri"/>
        </w:rPr>
        <w:t xml:space="preserve">het niet meteen met een ander verhaal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Behandel jezelf met respect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Praat over je eigen standpunt („ik vind” in plaats van „ze zeggen”)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Vragen om meer uitleg als de standpunten beperkt zijn tot algemeenheden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Vermijd oordelen en analyseer ze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Geef momenten van stilte als mensen even moeten nadenken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 xml:space="preserve">Tijdens de dialogen wordt het volgende ritme gebruikt: divergentie — convergentie — divergentie. Het principe is dat je eerst moet divergeren (direct individuele gevoelens en meningen uiten), voordat je kunt convergeren (praten mogelijke wegen) en dan eindelijk weer divergeren (bijvoorbeeld individuele aanbevelingen verzamelen). Ervaring en theorie laten zien dat dit ritme zorgt voor een optimale doorstroming van dialoog.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rFonts w:ascii="Calibri" w:hAnsi="Calibri"/>
          <w:color w:val="000000"/>
          <w:sz w:val="21"/>
        </w:rPr>
      </w:pPr>
      <w:r>
        <w:rPr/>
        <w:t xml:space="preserve">Alle dialogen werden gevoerd door professionele facilitators. </w:t>
      </w:r>
    </w:p>
    <w:p>
      <w:pPr>
        <w:pStyle w:val="Normal"/>
        <w:widowControl w:val="false"/>
        <w:spacing w:lineRule="auto" w:line="240" w:before="197" w:after="0"/>
        <w:ind w:left="0" w:right="0" w:hanging="0"/>
        <w:jc w:val="left"/>
        <w:rPr/>
      </w:pPr>
      <w:r>
        <w:rPr>
          <w:rFonts w:ascii="Calibri" w:hAnsi="Calibri"/>
          <w:b/>
          <w:color w:val="0070C0"/>
          <w:sz w:val="32"/>
        </w:rPr>
        <w:t>5. Online openbare enquête: Vragenlijst en „Swipen naar de toekomst” (</w:t>
      </w:r>
      <w:commentRangeStart w:id="31"/>
      <w:r>
        <w:rPr>
          <w:rFonts w:ascii="Calibri" w:hAnsi="Calibri"/>
          <w:b/>
          <w:color w:val="0070C0"/>
          <w:sz w:val="32"/>
        </w:rPr>
        <w:t>Swiper</w:t>
      </w:r>
      <w:r>
        <w:rPr>
          <w:rFonts w:ascii="Calibri" w:hAnsi="Calibri"/>
          <w:b/>
          <w:color w:val="0070C0"/>
          <w:sz w:val="32"/>
        </w:rPr>
      </w:r>
      <w:commentRangeEnd w:id="31"/>
      <w:r>
        <w:commentReference w:id="31"/>
      </w:r>
      <w:r>
        <w:rPr>
          <w:rFonts w:ascii="Calibri" w:hAnsi="Calibri"/>
          <w:b/>
          <w:color w:val="0070C0"/>
          <w:sz w:val="32"/>
        </w:rPr>
        <w:t xml:space="preserve"> to the future) </w:t>
      </w:r>
    </w:p>
    <w:p>
      <w:pPr>
        <w:pStyle w:val="P68B1DB1Normal110"/>
        <w:widowControl w:val="false"/>
        <w:spacing w:lineRule="auto" w:line="240"/>
        <w:ind w:left="0" w:right="0" w:hanging="0"/>
        <w:jc w:val="left"/>
        <w:rPr/>
      </w:pPr>
      <w:r>
        <w:rPr>
          <w:sz w:val="21"/>
        </w:rPr>
        <w:t>De vragenlijst van de panelenquête stond ook open voor alle Nederlanders, ook voor buitenlanders. Die vragenlijst was beschikbaar van</w:t>
      </w:r>
      <w:r>
        <w:rPr>
          <w:position w:val="6"/>
          <w:sz w:val="14"/>
        </w:rPr>
        <w:t>1</w:t>
      </w:r>
      <w:r>
        <w:rPr>
          <w:sz w:val="21"/>
        </w:rPr>
        <w:t xml:space="preserve"> september 2021 tot en met 14 november 2021. Daarnaast kon elke Nederlander gedurende dezelfde periode deelnemen aan de actie „Swipen naar de toekomst”, een online tool met 20 claims. </w:t>
      </w:r>
    </w:p>
    <w:p>
      <w:pPr>
        <w:pStyle w:val="P68B1DB1Normal126"/>
        <w:widowControl w:val="false"/>
        <w:spacing w:lineRule="auto" w:line="240" w:before="14" w:after="0"/>
        <w:ind w:left="0" w:right="0" w:hanging="0"/>
        <w:jc w:val="left"/>
        <w:rPr>
          <w:rFonts w:ascii="Calibri" w:hAnsi="Calibri"/>
          <w:color w:val="0070C0"/>
          <w:sz w:val="24"/>
        </w:rPr>
      </w:pPr>
      <w:r>
        <w:rPr/>
        <w:t xml:space="preserve">Antwoorden en gebruiken </w:t>
      </w:r>
    </w:p>
    <w:p>
      <w:pPr>
        <w:pStyle w:val="P68B1DB1Normal104"/>
        <w:widowControl w:val="false"/>
        <w:spacing w:lineRule="auto" w:line="240"/>
        <w:ind w:left="0" w:right="0" w:hanging="0"/>
        <w:jc w:val="left"/>
        <w:rPr/>
      </w:pPr>
      <w:r>
        <w:rPr/>
        <w:t xml:space="preserve">Een totaal van 1.957 deelnemers vulde de vragenlijst in en 6968 waren aan het einde van de screen scanning tool. Zowel de vragenlijst als de screenscan tool stonden voor iedereen open: er waren geen voorwaarden of selectiecriteria om deel te nemen. In de vragenlijst was het mogelijk om vragen door te geven (er waren geen verplichte vragen) om het antwoordpercentage te maximaliseren. Deelnemers kozen voor „Ik geef er de voorkeur aan niet te reageren” veel vaker dan in de representatieve panelenquête. </w:t>
      </w:r>
    </w:p>
    <w:p>
      <w:pPr>
        <w:pStyle w:val="P68B1DB1Normal104"/>
        <w:widowControl w:val="false"/>
        <w:spacing w:lineRule="auto" w:line="240"/>
        <w:ind w:left="0" w:right="0" w:hanging="0"/>
        <w:jc w:val="left"/>
        <w:rPr/>
      </w:pPr>
      <w:r>
        <w:rPr/>
        <w:t xml:space="preserve">De algemene kenmerken van de deelnemers aan de open vragenlijst en het schermscanprogramma verschillen in verschillende opzichten van die van de deelnemers aan het representatieve panel. In tegenstelling tot de panelenquête zijn de resultaten van de open vragenlijst en het schermscanprogramma niet representatief. De resultaten van de online open enquête werden gebruikt om de panelenquête aan te vullen. Ze geven een overzicht van de gevoelens en ideeën die in Nederland circuleren. De suggesties voor verbetering die in de inputvelden worden genoemd, werden gebruikt in de rubriek „Behandelingen en ideeën online en ter plaatse”. De screen scanning tool is gebruikt om een ​​deel van de gevoelens die circuleren in Nederland beter te begrijpen. Met deze resultaten is rekening gehouden bij de opstelling van de aanbevelingen. Vanwege het vereiste van representativiteit zijn de resultaten van het online geopende onderzoek beperkt in aanmerking genomen in dit verslag.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Normal"/>
        <w:widowControl w:val="false"/>
        <w:spacing w:lineRule="auto" w:line="240"/>
        <w:ind w:left="0" w:right="0" w:hanging="0"/>
        <w:jc w:val="left"/>
        <w:rPr/>
      </w:pPr>
      <w:r>
        <w:rPr>
          <w:rFonts w:ascii="Calibri" w:hAnsi="Calibri"/>
          <w:color w:val="000000"/>
          <w:sz w:val="21"/>
        </w:rPr>
        <w:t xml:space="preserve">Dit rapport wordt gepubliceerd door het ministerie van Buitenlandse Zaken. </w:t>
      </w:r>
      <w:r>
        <w:rPr>
          <w:rFonts w:ascii="Calibri" w:hAnsi="Calibri"/>
          <w:color w:val="0000FF"/>
          <w:sz w:val="21"/>
        </w:rPr>
        <w:t>www.kijkopeuropa.nl</w:t>
      </w:r>
      <w:r>
        <w:rPr>
          <w:rFonts w:ascii="Calibri" w:hAnsi="Calibri"/>
          <w:color w:val="000000"/>
          <w:sz w:val="21"/>
        </w:rPr>
        <w:t xml:space="preserve"> </w:t>
      </w:r>
      <w:r>
        <w:br w:type="page"/>
      </w:r>
    </w:p>
    <w:p>
      <w:pPr>
        <w:pStyle w:val="Titre1"/>
        <w:numPr>
          <w:ilvl w:val="0"/>
          <w:numId w:val="2"/>
        </w:numPr>
        <w:rPr/>
      </w:pPr>
      <w:bookmarkStart w:id="238" w:name="__RefHeading___Toc297359_1346298689"/>
      <w:bookmarkEnd w:id="238"/>
      <w:r>
        <w:rPr/>
        <w:t xml:space="preserve">III — Verwijzingen naar de resultaten van nationale evenementen </w:t>
      </w:r>
    </w:p>
    <w:p>
      <w:pPr>
        <w:pStyle w:val="Normal"/>
        <w:widowControl w:val="false"/>
        <w:spacing w:lineRule="auto" w:line="240"/>
        <w:ind w:left="360" w:right="6617" w:hanging="0"/>
        <w:jc w:val="both"/>
        <w:rPr/>
      </w:pPr>
      <w:r>
        <w:rPr>
          <w:rFonts w:ascii="Times New Roman" w:hAnsi="Times New Roman"/>
          <w:color w:val="000000"/>
        </w:rPr>
        <w:t xml:space="preserve">• </w:t>
      </w:r>
      <w:hyperlink r:id="rId120">
        <w:r>
          <w:rPr>
            <w:rStyle w:val="LienInternet"/>
            <w:rFonts w:ascii="Times New Roman" w:hAnsi="Times New Roman"/>
            <w:b/>
            <w:color w:val="0000FF"/>
          </w:rPr>
          <w:t>België</w:t>
        </w:r>
      </w:hyperlink>
      <w:r>
        <w:rPr>
          <w:rFonts w:ascii="Times New Roman" w:hAnsi="Times New Roman"/>
          <w:color w:val="000000"/>
        </w:rPr>
        <w:t xml:space="preserve"> </w:t>
      </w:r>
    </w:p>
    <w:p>
      <w:pPr>
        <w:pStyle w:val="Normal"/>
        <w:widowControl w:val="false"/>
        <w:spacing w:lineRule="auto" w:line="240"/>
        <w:ind w:left="360" w:right="6617" w:hanging="0"/>
        <w:jc w:val="both"/>
        <w:rPr/>
      </w:pPr>
      <w:r>
        <w:rPr>
          <w:rFonts w:ascii="Times New Roman" w:hAnsi="Times New Roman"/>
          <w:color w:val="000000"/>
        </w:rPr>
        <w:t xml:space="preserve">• </w:t>
      </w:r>
      <w:hyperlink r:id="rId121">
        <w:r>
          <w:rPr>
            <w:rStyle w:val="LienInternet"/>
            <w:rFonts w:ascii="Times New Roman" w:hAnsi="Times New Roman"/>
            <w:b/>
            <w:color w:val="0000FF"/>
          </w:rPr>
          <w:t>Bulgarije</w:t>
        </w:r>
      </w:hyperlink>
    </w:p>
    <w:p>
      <w:pPr>
        <w:pStyle w:val="Normal"/>
        <w:widowControl w:val="false"/>
        <w:spacing w:lineRule="auto" w:line="240"/>
        <w:ind w:left="360" w:right="6617" w:hanging="0"/>
        <w:jc w:val="both"/>
        <w:rPr/>
      </w:pPr>
      <w:r>
        <w:rPr>
          <w:rFonts w:ascii="Times New Roman" w:hAnsi="Times New Roman"/>
          <w:color w:val="000000"/>
        </w:rPr>
        <w:t xml:space="preserve">• </w:t>
      </w:r>
      <w:hyperlink r:id="rId122">
        <w:r>
          <w:rPr>
            <w:rStyle w:val="LienInternet"/>
            <w:rFonts w:ascii="Times New Roman" w:hAnsi="Times New Roman"/>
            <w:b/>
            <w:color w:val="0000FF"/>
          </w:rPr>
          <w:t>Tsjechië</w:t>
        </w:r>
      </w:hyperlink>
      <w:hyperlink r:id="rId123">
        <w:r>
          <w:rPr>
            <w:rFonts w:ascii="Times New Roman" w:hAnsi="Times New Roman"/>
            <w:color w:val="000000"/>
          </w:rPr>
          <w:t xml:space="preserve"> </w:t>
        </w:r>
      </w:hyperlink>
    </w:p>
    <w:p>
      <w:pPr>
        <w:pStyle w:val="Normal"/>
        <w:widowControl w:val="false"/>
        <w:spacing w:lineRule="auto" w:line="240"/>
        <w:ind w:left="360" w:right="7697" w:hanging="0"/>
        <w:jc w:val="both"/>
        <w:rPr/>
      </w:pPr>
      <w:r>
        <w:rPr>
          <w:rFonts w:ascii="Times New Roman" w:hAnsi="Times New Roman"/>
          <w:color w:val="000000"/>
        </w:rPr>
        <w:t xml:space="preserve">• </w:t>
      </w:r>
      <w:hyperlink r:id="rId124">
        <w:r>
          <w:rPr>
            <w:rStyle w:val="LienInternet"/>
            <w:rFonts w:ascii="Times New Roman" w:hAnsi="Times New Roman"/>
            <w:b/>
            <w:color w:val="0000FF"/>
          </w:rPr>
          <w:t>Denemarken</w:t>
        </w:r>
      </w:hyperlink>
    </w:p>
    <w:p>
      <w:pPr>
        <w:pStyle w:val="Normal"/>
        <w:widowControl w:val="false"/>
        <w:spacing w:lineRule="auto" w:line="240"/>
        <w:ind w:left="360" w:right="7697" w:hanging="0"/>
        <w:jc w:val="both"/>
        <w:rPr/>
      </w:pPr>
      <w:r>
        <w:rPr>
          <w:rFonts w:ascii="Times New Roman" w:hAnsi="Times New Roman"/>
          <w:color w:val="000000"/>
        </w:rPr>
        <w:t xml:space="preserve">• </w:t>
      </w:r>
      <w:hyperlink r:id="rId125">
        <w:r>
          <w:rPr>
            <w:rStyle w:val="LienInternet"/>
            <w:rFonts w:ascii="Times New Roman" w:hAnsi="Times New Roman"/>
            <w:b/>
            <w:color w:val="0000FF"/>
          </w:rPr>
          <w:t>In</w:t>
        </w:r>
      </w:hyperlink>
      <w:hyperlink r:id="rId126">
        <w:r>
          <w:rPr>
            <w:rStyle w:val="LienInternet"/>
            <w:rFonts w:ascii="Times New Roman" w:hAnsi="Times New Roman"/>
            <w:b/>
            <w:color w:val="0000FF"/>
          </w:rPr>
          <w:t>Llemagne</w:t>
        </w:r>
      </w:hyperlink>
    </w:p>
    <w:p>
      <w:pPr>
        <w:pStyle w:val="Normal"/>
        <w:widowControl w:val="false"/>
        <w:spacing w:lineRule="auto" w:line="240"/>
        <w:ind w:left="360" w:right="7697" w:hanging="0"/>
        <w:jc w:val="both"/>
        <w:rPr/>
      </w:pPr>
      <w:r>
        <w:rPr>
          <w:rFonts w:ascii="Times New Roman" w:hAnsi="Times New Roman"/>
          <w:color w:val="000000"/>
        </w:rPr>
        <w:t xml:space="preserve">• </w:t>
      </w:r>
      <w:hyperlink r:id="rId127">
        <w:r>
          <w:rPr>
            <w:rStyle w:val="LienInternet"/>
            <w:rFonts w:ascii="Times New Roman" w:hAnsi="Times New Roman"/>
            <w:b/>
            <w:color w:val="0000FF"/>
          </w:rPr>
          <w:t>Estland</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28">
        <w:r>
          <w:rPr>
            <w:rStyle w:val="LienInternet"/>
            <w:rFonts w:ascii="Times New Roman" w:hAnsi="Times New Roman"/>
            <w:b/>
            <w:color w:val="0000FF"/>
          </w:rPr>
          <w:t>Ierland</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29">
        <w:r>
          <w:rPr>
            <w:rStyle w:val="LienInternet"/>
            <w:rFonts w:ascii="Times New Roman" w:hAnsi="Times New Roman"/>
            <w:b/>
            <w:color w:val="0000FF"/>
          </w:rPr>
          <w:t>Griekenland</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30">
        <w:r>
          <w:rPr>
            <w:rStyle w:val="LienInternet"/>
            <w:rFonts w:ascii="Times New Roman" w:hAnsi="Times New Roman"/>
            <w:b/>
            <w:color w:val="0000FF"/>
          </w:rPr>
          <w:t>Spanje</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31">
        <w:r>
          <w:rPr>
            <w:rStyle w:val="LienInternet"/>
            <w:rFonts w:ascii="Times New Roman" w:hAnsi="Times New Roman"/>
            <w:b/>
            <w:color w:val="0000FF"/>
          </w:rPr>
          <w:t>Frankrijk</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32">
        <w:r>
          <w:rPr>
            <w:rStyle w:val="LienInternet"/>
            <w:rFonts w:ascii="Times New Roman" w:hAnsi="Times New Roman"/>
            <w:b/>
            <w:color w:val="0000FF"/>
          </w:rPr>
          <w:t>Kroatië</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33">
        <w:r>
          <w:rPr>
            <w:rStyle w:val="LienInternet"/>
            <w:rFonts w:ascii="Times New Roman" w:hAnsi="Times New Roman"/>
            <w:b/>
            <w:color w:val="0000FF"/>
          </w:rPr>
          <w:t>Italië</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34">
        <w:r>
          <w:rPr>
            <w:rStyle w:val="LienInternet"/>
            <w:rFonts w:ascii="Times New Roman" w:hAnsi="Times New Roman"/>
            <w:b/>
            <w:color w:val="0000FF"/>
          </w:rPr>
          <w:t>Cyprus</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35">
        <w:r>
          <w:rPr>
            <w:rStyle w:val="LienInternet"/>
            <w:rFonts w:ascii="Times New Roman" w:hAnsi="Times New Roman"/>
            <w:b/>
            <w:color w:val="0000FF"/>
          </w:rPr>
          <w:t>Letland</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36">
        <w:r>
          <w:rPr>
            <w:rStyle w:val="LienInternet"/>
            <w:rFonts w:ascii="Times New Roman" w:hAnsi="Times New Roman"/>
            <w:b/>
            <w:color w:val="0000FF"/>
          </w:rPr>
          <w:t>Litouwen</w:t>
        </w:r>
      </w:hyperlink>
      <w:r>
        <w:rPr>
          <w:rFonts w:ascii="Times New Roman" w:hAnsi="Times New Roman"/>
          <w:color w:val="000000"/>
        </w:rPr>
        <w:t xml:space="preserve"> </w:t>
      </w:r>
    </w:p>
    <w:p>
      <w:pPr>
        <w:pStyle w:val="Normal"/>
        <w:widowControl w:val="false"/>
        <w:spacing w:lineRule="auto" w:line="240"/>
        <w:ind w:left="360" w:right="7457" w:hanging="0"/>
        <w:jc w:val="left"/>
        <w:rPr/>
      </w:pPr>
      <w:r>
        <w:rPr>
          <w:rFonts w:ascii="Times New Roman" w:hAnsi="Times New Roman"/>
          <w:color w:val="000000"/>
        </w:rPr>
        <w:t xml:space="preserve">• </w:t>
      </w:r>
      <w:hyperlink r:id="rId137">
        <w:r>
          <w:rPr>
            <w:rStyle w:val="LienInternet"/>
            <w:rFonts w:ascii="Times New Roman" w:hAnsi="Times New Roman"/>
            <w:b/>
            <w:color w:val="0000FF"/>
          </w:rPr>
          <w:t>Luxemburg</w:t>
        </w:r>
      </w:hyperlink>
    </w:p>
    <w:p>
      <w:pPr>
        <w:pStyle w:val="Normal"/>
        <w:widowControl w:val="false"/>
        <w:spacing w:lineRule="auto" w:line="240"/>
        <w:ind w:left="360" w:right="7457" w:hanging="0"/>
        <w:jc w:val="left"/>
        <w:rPr/>
      </w:pPr>
      <w:r>
        <w:rPr>
          <w:rFonts w:ascii="Times New Roman" w:hAnsi="Times New Roman"/>
          <w:color w:val="000000"/>
        </w:rPr>
        <w:t xml:space="preserve">• </w:t>
      </w:r>
      <w:hyperlink r:id="rId138">
        <w:r>
          <w:rPr>
            <w:rStyle w:val="LienInternet"/>
            <w:rFonts w:ascii="Times New Roman" w:hAnsi="Times New Roman"/>
            <w:b/>
            <w:color w:val="0000FF"/>
          </w:rPr>
          <w:t>Hongarije</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39">
        <w:r>
          <w:rPr>
            <w:rStyle w:val="LienInternet"/>
            <w:rFonts w:ascii="Times New Roman" w:hAnsi="Times New Roman"/>
            <w:b/>
            <w:color w:val="0000FF"/>
          </w:rPr>
          <w:t>Malta</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40">
        <w:r>
          <w:rPr>
            <w:rStyle w:val="LienInternet"/>
            <w:rFonts w:ascii="Times New Roman" w:hAnsi="Times New Roman"/>
            <w:b/>
            <w:color w:val="0000FF"/>
          </w:rPr>
          <w:t>Nederland</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41">
        <w:r>
          <w:rPr>
            <w:rStyle w:val="LienInternet"/>
            <w:rFonts w:ascii="Times New Roman" w:hAnsi="Times New Roman"/>
            <w:b/>
            <w:color w:val="0000FF"/>
          </w:rPr>
          <w:t>Oostenrijk</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42">
        <w:r>
          <w:rPr>
            <w:rStyle w:val="LienInternet"/>
            <w:rFonts w:ascii="Times New Roman" w:hAnsi="Times New Roman"/>
            <w:b/>
            <w:color w:val="0000FF"/>
          </w:rPr>
          <w:t>Polen</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43">
        <w:r>
          <w:rPr>
            <w:rStyle w:val="LienInternet"/>
            <w:rFonts w:ascii="Times New Roman" w:hAnsi="Times New Roman"/>
            <w:b/>
            <w:color w:val="0000FF"/>
          </w:rPr>
          <w:t>Portugal</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44">
        <w:r>
          <w:rPr>
            <w:rStyle w:val="LienInternet"/>
            <w:rFonts w:ascii="Times New Roman" w:hAnsi="Times New Roman"/>
            <w:b/>
            <w:color w:val="0000FF"/>
          </w:rPr>
          <w:t>Roemenië</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45">
        <w:r>
          <w:rPr>
            <w:rStyle w:val="LienInternet"/>
            <w:rFonts w:ascii="Times New Roman" w:hAnsi="Times New Roman"/>
            <w:b/>
            <w:color w:val="0000FF"/>
          </w:rPr>
          <w:t>Slovenië</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46">
        <w:r>
          <w:rPr>
            <w:rStyle w:val="LienInternet"/>
            <w:rFonts w:ascii="Times New Roman" w:hAnsi="Times New Roman"/>
            <w:b/>
            <w:color w:val="0000FF"/>
          </w:rPr>
          <w:t>Slowakije</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47">
        <w:r>
          <w:rPr>
            <w:rStyle w:val="LienInternet"/>
            <w:rFonts w:ascii="Times New Roman" w:hAnsi="Times New Roman"/>
            <w:b/>
            <w:color w:val="0000FF"/>
          </w:rPr>
          <w:t>Finland</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48">
        <w:r>
          <w:rPr>
            <w:rStyle w:val="LienInternet"/>
            <w:rFonts w:ascii="Times New Roman" w:hAnsi="Times New Roman"/>
            <w:b/>
            <w:color w:val="0000FF"/>
          </w:rPr>
          <w:t>Zweden</w:t>
        </w:r>
      </w:hyperlink>
      <w:r>
        <w:rPr>
          <w:rFonts w:ascii="Times New Roman" w:hAnsi="Times New Roman"/>
          <w:color w:val="000000"/>
        </w:rPr>
        <w:t xml:space="preserve"> </w:t>
      </w:r>
    </w:p>
    <w:p>
      <w:pPr>
        <w:pStyle w:val="Normal"/>
        <w:spacing w:lineRule="auto" w:line="240"/>
        <w:ind w:left="0" w:right="0" w:hanging="0"/>
        <w:rPr>
          <w:rFonts w:ascii="Times New Roman" w:hAnsi="Times New Roman"/>
          <w:sz w:val="22"/>
        </w:rPr>
      </w:pPr>
      <w:r>
        <w:rPr>
          <w:rFonts w:ascii="Times New Roman" w:hAnsi="Times New Roman"/>
          <w:sz w:val="22"/>
        </w:rPr>
      </w:r>
      <w:r>
        <w:br w:type="page"/>
      </w:r>
    </w:p>
    <w:p>
      <w:pPr>
        <w:pStyle w:val="Titre1"/>
        <w:numPr>
          <w:ilvl w:val="0"/>
          <w:numId w:val="2"/>
        </w:numPr>
        <w:rPr/>
      </w:pPr>
      <w:bookmarkStart w:id="239" w:name="__RefHeading___Toc344888_2081073262"/>
      <w:bookmarkEnd w:id="239"/>
      <w:r>
        <w:rPr/>
        <w:t xml:space="preserve">IV — Verwijzing naar het verslag van het meertalige digitale platform </w:t>
      </w:r>
    </w:p>
    <w:p>
      <w:pPr>
        <w:pStyle w:val="P68B1DB1Normal34"/>
        <w:widowControl w:val="false"/>
        <w:spacing w:lineRule="exact" w:line="393"/>
        <w:ind w:left="0" w:right="0" w:hanging="0"/>
        <w:jc w:val="left"/>
        <w:rPr>
          <w:rFonts w:ascii="Arial" w:hAnsi="Arial"/>
          <w:color w:val="000000"/>
          <w:sz w:val="24"/>
        </w:rPr>
      </w:pPr>
      <w:r>
        <w:rPr/>
        <w:t xml:space="preserve"> </w:t>
      </w:r>
    </w:p>
    <w:p>
      <w:pPr>
        <w:pStyle w:val="Normal"/>
        <w:widowControl w:val="false"/>
        <w:spacing w:lineRule="exact" w:line="331" w:before="4" w:after="0"/>
        <w:ind w:left="0" w:right="360" w:hanging="0"/>
        <w:jc w:val="left"/>
        <w:rPr/>
      </w:pPr>
      <w:hyperlink r:id="rId149">
        <w:r>
          <w:rPr>
            <w:rStyle w:val="LienInternet"/>
            <w:color w:val="0000FF"/>
            <w:sz w:val="24"/>
          </w:rPr>
          <w:t>PL</w:t>
        </w:r>
      </w:hyperlink>
      <w:hyperlink r:id="rId150">
        <w:r>
          <w:rPr>
            <w:rStyle w:val="LienInternet"/>
            <w:color w:val="0000FF"/>
            <w:sz w:val="24"/>
          </w:rPr>
          <w:t>meertalige</w:t>
        </w:r>
      </w:hyperlink>
      <w:hyperlink r:id="rId151">
        <w:r>
          <w:rPr>
            <w:rStyle w:val="LienInternet"/>
            <w:color w:val="0000FF"/>
            <w:sz w:val="24"/>
          </w:rPr>
          <w:t xml:space="preserve">numeform van de conferentie over de toekomst van Europa — verslag vanfebruari 2022  </w:t>
        </w:r>
      </w:hyperlink>
    </w:p>
    <w:p>
      <w:pPr>
        <w:pStyle w:val="P68B1DB1Normal131"/>
        <w:widowControl w:val="false"/>
        <w:spacing w:lineRule="exact" w:line="393" w:before="4" w:after="0"/>
        <w:ind w:left="0" w:right="0" w:hanging="0"/>
        <w:jc w:val="left"/>
        <w:rPr>
          <w:rFonts w:ascii="Arial" w:hAnsi="Arial"/>
          <w:color w:val="0000FF"/>
          <w:sz w:val="24"/>
        </w:rPr>
      </w:pPr>
      <w:r>
        <w:rPr/>
        <w:t xml:space="preserve"> </w:t>
      </w:r>
    </w:p>
    <w:p>
      <w:pPr>
        <w:pStyle w:val="Normal"/>
        <w:spacing w:lineRule="auto" w:line="240"/>
        <w:ind w:left="0" w:right="0" w:hanging="0"/>
        <w:rPr/>
      </w:pPr>
      <w:r>
        <w:rPr/>
      </w:r>
      <w:r>
        <w:br w:type="page"/>
      </w:r>
    </w:p>
    <w:p>
      <w:pPr>
        <w:pStyle w:val="Normal"/>
        <w:spacing w:lineRule="auto" w:line="240"/>
        <w:ind w:left="0" w:right="0" w:hanging="0"/>
        <w:rPr/>
      </w:pPr>
      <w:r>
        <w:rPr/>
      </w:r>
    </w:p>
    <w:p>
      <w:pPr>
        <w:pStyle w:val="Normal"/>
        <w:spacing w:lineRule="auto" w:line="240"/>
        <w:ind w:left="0" w:right="0" w:hanging="0"/>
        <w:rPr/>
      </w:pPr>
      <w:r>
        <w:rPr/>
      </w:r>
    </w:p>
    <w:p>
      <w:pPr>
        <w:pStyle w:val="Normal"/>
        <w:spacing w:lineRule="auto" w:line="240"/>
        <w:ind w:left="0" w:right="0" w:hanging="0"/>
        <w:rPr/>
      </w:pPr>
      <w:r>
        <w:rPr/>
      </w:r>
    </w:p>
    <w:p>
      <w:pPr>
        <w:pStyle w:val="Normal"/>
        <w:spacing w:lineRule="auto" w:line="240" w:before="7665" w:after="57"/>
        <w:ind w:left="0" w:right="0" w:hanging="0"/>
        <w:rPr/>
      </w:pPr>
      <w:r>
        <w:rPr/>
        <w:drawing>
          <wp:anchor behindDoc="0" distT="0" distB="0" distL="0" distR="0" simplePos="0" locked="0" layoutInCell="1" allowOverlap="1" relativeHeight="43">
            <wp:simplePos x="0" y="0"/>
            <wp:positionH relativeFrom="column">
              <wp:align>center</wp:align>
            </wp:positionH>
            <wp:positionV relativeFrom="paragraph">
              <wp:posOffset>635</wp:posOffset>
            </wp:positionV>
            <wp:extent cx="6120130" cy="4867275"/>
            <wp:effectExtent l="0" t="0" r="0" b="0"/>
            <wp:wrapTopAndBottom/>
            <wp:docPr id="111" name="Afbeelding4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Afbeelding48" descr=""/>
                    <pic:cNvPicPr>
                      <a:picLocks noChangeAspect="1" noChangeArrowheads="1"/>
                    </pic:cNvPicPr>
                  </pic:nvPicPr>
                  <pic:blipFill>
                    <a:blip r:embed="rId152"/>
                    <a:stretch>
                      <a:fillRect/>
                    </a:stretch>
                  </pic:blipFill>
                  <pic:spPr bwMode="auto">
                    <a:xfrm>
                      <a:off x="0" y="0"/>
                      <a:ext cx="6120130" cy="4867275"/>
                    </a:xfrm>
                    <a:prstGeom prst="rect">
                      <a:avLst/>
                    </a:prstGeom>
                  </pic:spPr>
                </pic:pic>
              </a:graphicData>
            </a:graphic>
          </wp:anchor>
        </w:drawing>
      </w:r>
    </w:p>
    <w:p>
      <w:pPr>
        <w:pStyle w:val="P68B1DB1Normal132"/>
        <w:spacing w:lineRule="auto" w:line="240"/>
        <w:ind w:left="0" w:right="0" w:hanging="0"/>
        <w:rPr/>
      </w:pPr>
      <w:r>
        <w:rPr/>
        <w:t>PDF ISBN 978-92-824-8655-9 doi:10.2860/25889 QC-05-22-131-EN-N Print ISBN 978-92-824-8729-7 doi:10.2860/533066 QC-05-22-131-EN-C</w:t>
      </w:r>
    </w:p>
    <w:p>
      <w:pPr>
        <w:pStyle w:val="P68B1DB1Normal132"/>
        <w:widowControl w:val="false"/>
        <w:spacing w:lineRule="exact" w:line="330" w:before="117" w:after="0"/>
        <w:ind w:left="1668" w:right="0" w:firstLine="2132"/>
        <w:jc w:val="right"/>
        <w:rPr/>
      </w:pPr>
      <w:r>
        <w:rPr/>
        <w:t>© Europese Unie, 2022 Hergebruik toegestaan, mits de bron wordt erkend.</w:t>
      </w:r>
    </w:p>
    <w:p>
      <w:pPr>
        <w:pStyle w:val="Normal"/>
        <w:spacing w:before="57" w:after="57"/>
        <w:ind w:left="0" w:right="0" w:hanging="0"/>
        <w:rPr/>
      </w:pPr>
      <w:r>
        <w:rPr/>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sectPr>
      <w:footnotePr>
        <w:numFmt w:val="upperRoman"/>
      </w:footnotePr>
      <w:endnotePr>
        <w:numFmt w:val="decimal"/>
      </w:endnotePr>
      <w:type w:val="continuous"/>
      <w:pgSz w:w="11906" w:h="16838"/>
      <w:pgMar w:left="1134" w:right="1134" w:header="1134" w:top="1700" w:footer="1134" w:bottom="1727" w:gutter="0"/>
      <w:pgNumType w:fmt="decimal"/>
      <w:formProt w:val="false"/>
      <w:textDirection w:val="lrTb"/>
      <w:docGrid w:type="default" w:linePitch="312" w:charSpace="0"/>
    </w:sectPr>
  </w:body>
</w:document>
</file>

<file path=word/comments.xml><?xml version="1.0" encoding="utf-8"?>
<w:comments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comment w:id="0" w:author="Pierre Dieumegard" w:date="2022-08-28T22:28:53Z" w:initials="PD">
    <w:p>
      <w:r>
        <w:rPr>
          <w:rFonts w:ascii="Times New Roman" w:hAnsi="Times New Roman" w:eastAsia="Segoe UI" w:cs="Tahoma"/>
          <w:color w:val="auto"/>
          <w:kern w:val="0"/>
          <w:sz w:val="24"/>
          <w:szCs w:val="24"/>
          <w:lang w:val="en-US" w:eastAsia="en-US" w:bidi="en-US"/>
        </w:rPr>
        <w:t>Deze term „inter-Europees” is verward.</w:t>
      </w:r>
    </w:p>
    <w:p>
      <w:r>
        <w:rPr>
          <w:rFonts w:ascii="Times New Roman" w:hAnsi="Times New Roman" w:eastAsia="Segoe UI" w:cs="Tahoma"/>
          <w:color w:val="auto"/>
          <w:kern w:val="0"/>
          <w:sz w:val="24"/>
          <w:szCs w:val="24"/>
          <w:lang w:val="en-US" w:eastAsia="en-US" w:bidi="en-US"/>
        </w:rPr>
      </w:r>
    </w:p>
  </w:comment>
  <w:comment w:id="1" w:author="Pierre Dieumegard" w:date="2022-06-06T14:26:47Z" w:initials="">
    <w:p>
      <w:r>
        <w:rPr>
          <w:rFonts w:ascii="Times New Roman" w:hAnsi="Times New Roman" w:eastAsia="Segoe UI" w:cs="Tahoma"/>
          <w:color w:val="auto"/>
          <w:kern w:val="0"/>
          <w:sz w:val="24"/>
          <w:szCs w:val="24"/>
          <w:lang w:val="en-US" w:eastAsia="en-US" w:bidi="en-US"/>
        </w:rPr>
        <w:t>vreemde groepering</w:t>
      </w:r>
    </w:p>
    <w:p>
      <w:r>
        <w:rPr>
          <w:rFonts w:ascii="Times New Roman" w:hAnsi="Times New Roman" w:eastAsia="Segoe UI" w:cs="Tahoma"/>
          <w:color w:val="auto"/>
          <w:kern w:val="0"/>
          <w:sz w:val="24"/>
          <w:szCs w:val="24"/>
          <w:lang w:val="en-US" w:eastAsia="en-US" w:bidi="en-US"/>
        </w:rPr>
      </w:r>
    </w:p>
  </w:comment>
  <w:comment w:id="2" w:author="Pierre Dieumegard" w:date="2022-06-06T14:27:08Z" w:initials="">
    <w:p>
      <w:r>
        <w:rPr>
          <w:rFonts w:ascii="Times New Roman" w:hAnsi="Times New Roman" w:eastAsia="Segoe UI" w:cs="Tahoma"/>
          <w:color w:val="auto"/>
          <w:kern w:val="0"/>
          <w:sz w:val="24"/>
          <w:szCs w:val="24"/>
          <w:lang w:val="en-US" w:eastAsia="en-US" w:bidi="en-US"/>
        </w:rPr>
        <w:t>vreemde groepering</w:t>
      </w:r>
    </w:p>
    <w:p>
      <w:r>
        <w:rPr>
          <w:rFonts w:ascii="Times New Roman" w:hAnsi="Times New Roman" w:eastAsia="Segoe UI" w:cs="Tahoma"/>
          <w:color w:val="auto"/>
          <w:kern w:val="0"/>
          <w:sz w:val="24"/>
          <w:szCs w:val="24"/>
          <w:lang w:val="en-US" w:eastAsia="en-US" w:bidi="en-US"/>
        </w:rPr>
      </w:r>
    </w:p>
  </w:comment>
  <w:comment w:id="3" w:author="Pierre Dieumegard" w:date="2022-06-06T14:28:05Z" w:initials="">
    <w:p>
      <w:r>
        <w:rPr>
          <w:rFonts w:ascii="Times New Roman" w:hAnsi="Times New Roman" w:eastAsia="Segoe UI" w:cs="Tahoma"/>
          <w:color w:val="auto"/>
          <w:kern w:val="0"/>
          <w:sz w:val="24"/>
          <w:szCs w:val="24"/>
          <w:lang w:val="en-US" w:eastAsia="en-US" w:bidi="en-US"/>
        </w:rPr>
        <w:t>vreemde groepering</w:t>
      </w:r>
    </w:p>
    <w:p>
      <w:r>
        <w:rPr>
          <w:rFonts w:ascii="Times New Roman" w:hAnsi="Times New Roman" w:eastAsia="Segoe UI" w:cs="Tahoma"/>
          <w:color w:val="auto"/>
          <w:kern w:val="0"/>
          <w:sz w:val="24"/>
          <w:szCs w:val="24"/>
          <w:lang w:val="en-US" w:eastAsia="en-US" w:bidi="en-US"/>
        </w:rPr>
      </w:r>
    </w:p>
  </w:comment>
  <w:comment w:id="4" w:author="Pierre Dieumegard" w:date="2022-06-06T13:23:23Z" w:initials="">
    <w:p>
      <w:r>
        <w:rPr>
          <w:rFonts w:ascii="Times New Roman" w:hAnsi="Times New Roman" w:eastAsia="Segoe UI" w:cs="Tahoma"/>
          <w:color w:val="auto"/>
          <w:kern w:val="0"/>
          <w:sz w:val="24"/>
          <w:szCs w:val="24"/>
          <w:lang w:val="en-US" w:eastAsia="en-US" w:bidi="en-US"/>
        </w:rPr>
        <w:t>cursief in het eerste rapport in het Frans</w:t>
      </w:r>
    </w:p>
    <w:p>
      <w:r>
        <w:rPr>
          <w:rFonts w:ascii="Times New Roman" w:hAnsi="Times New Roman" w:eastAsia="Segoe UI" w:cs="Tahoma"/>
          <w:color w:val="auto"/>
          <w:kern w:val="0"/>
          <w:sz w:val="24"/>
          <w:szCs w:val="24"/>
          <w:lang w:val="en-US" w:eastAsia="en-US" w:bidi="en-US"/>
        </w:rPr>
      </w:r>
    </w:p>
  </w:comment>
  <w:comment w:id="5" w:author="Pierre Dieumegard" w:date="2022-06-06T13:58:33Z" w:initials="">
    <w:p>
      <w:r>
        <w:rPr>
          <w:rFonts w:ascii="Times New Roman" w:hAnsi="Times New Roman" w:eastAsia="Segoe UI" w:cs="Tahoma"/>
          <w:color w:val="auto"/>
          <w:kern w:val="0"/>
          <w:sz w:val="24"/>
          <w:szCs w:val="24"/>
          <w:lang w:val="en-US" w:eastAsia="en-US" w:bidi="en-US"/>
        </w:rPr>
        <w:t>het origineel was „comrade”</w:t>
      </w:r>
    </w:p>
    <w:p>
      <w:r>
        <w:rPr>
          <w:rFonts w:ascii="Times New Roman" w:hAnsi="Times New Roman" w:eastAsia="Segoe UI" w:cs="Tahoma"/>
          <w:color w:val="auto"/>
          <w:kern w:val="0"/>
          <w:sz w:val="24"/>
          <w:szCs w:val="24"/>
          <w:lang w:val="en-US" w:eastAsia="en-US" w:bidi="en-US"/>
        </w:rPr>
      </w:r>
    </w:p>
  </w:comment>
  <w:comment w:id="6" w:author="Pierre Dieumegard" w:date="2022-06-06T14:46:32Z" w:initials="">
    <w:p>
      <w:r>
        <w:rPr>
          <w:rFonts w:ascii="Times New Roman" w:hAnsi="Times New Roman" w:eastAsia="Segoe UI" w:cs="Tahoma"/>
          <w:color w:val="auto"/>
          <w:kern w:val="0"/>
          <w:sz w:val="24"/>
          <w:szCs w:val="24"/>
          <w:lang w:val="en-US" w:eastAsia="en-US" w:bidi="en-US"/>
        </w:rPr>
        <w:t>Ik heb een „s” toegevoegd (meervoud toegekend met belastingen)</w:t>
      </w:r>
    </w:p>
    <w:p>
      <w:r>
        <w:rPr>
          <w:rFonts w:ascii="Times New Roman" w:hAnsi="Times New Roman" w:eastAsia="Segoe UI" w:cs="Tahoma"/>
          <w:color w:val="auto"/>
          <w:kern w:val="0"/>
          <w:sz w:val="24"/>
          <w:szCs w:val="24"/>
          <w:lang w:val="en-US" w:eastAsia="en-US" w:bidi="en-US"/>
        </w:rPr>
      </w:r>
    </w:p>
  </w:comment>
  <w:comment w:id="7" w:author="Pierre Dieumegard" w:date="2022-08-29T08:11:11Z" w:initials="PD">
    <w:p>
      <w:r>
        <w:rPr>
          <w:rFonts w:ascii="Times New Roman" w:hAnsi="Times New Roman" w:eastAsia="Segoe UI" w:cs="Tahoma"/>
          <w:color w:val="auto"/>
          <w:kern w:val="0"/>
          <w:sz w:val="24"/>
          <w:szCs w:val="24"/>
          <w:lang w:val="en-US" w:eastAsia="en-US" w:bidi="en-US"/>
        </w:rPr>
        <w:t>Ik heb de dash toegevoegd</w:t>
      </w:r>
    </w:p>
    <w:p>
      <w:r>
        <w:rPr>
          <w:rFonts w:ascii="Times New Roman" w:hAnsi="Times New Roman" w:eastAsia="Segoe UI" w:cs="Tahoma"/>
          <w:color w:val="auto"/>
          <w:kern w:val="0"/>
          <w:sz w:val="24"/>
          <w:szCs w:val="24"/>
          <w:lang w:val="en-US" w:eastAsia="en-US" w:bidi="en-US"/>
        </w:rPr>
      </w:r>
    </w:p>
  </w:comment>
  <w:comment w:id="8" w:author="Pierre Dieumegard" w:date="2022-06-06T14:18:46Z" w:initials="">
    <w:p>
      <w:r>
        <w:rPr>
          <w:rFonts w:ascii="Times New Roman" w:hAnsi="Times New Roman" w:eastAsia="Segoe UI" w:cs="Tahoma"/>
          <w:color w:val="auto"/>
          <w:kern w:val="0"/>
          <w:sz w:val="24"/>
          <w:szCs w:val="24"/>
          <w:lang w:val="en-US" w:eastAsia="en-US" w:bidi="en-US"/>
        </w:rPr>
        <w:t>een hoofdletter toegevoegd</w:t>
      </w:r>
    </w:p>
    <w:p>
      <w:r>
        <w:rPr>
          <w:rFonts w:ascii="Times New Roman" w:hAnsi="Times New Roman" w:eastAsia="Segoe UI" w:cs="Tahoma"/>
          <w:color w:val="auto"/>
          <w:kern w:val="0"/>
          <w:sz w:val="24"/>
          <w:szCs w:val="24"/>
          <w:lang w:val="en-US" w:eastAsia="en-US" w:bidi="en-US"/>
        </w:rPr>
      </w:r>
    </w:p>
  </w:comment>
  <w:comment w:id="9" w:author="Pierre Dieumegard" w:date="2022-06-06T17:20:38Z" w:initials="">
    <w:p>
      <w:r>
        <w:rPr>
          <w:rFonts w:ascii="Times New Roman" w:hAnsi="Times New Roman" w:eastAsia="Segoe UI" w:cs="Tahoma"/>
          <w:color w:val="auto"/>
          <w:kern w:val="0"/>
          <w:sz w:val="24"/>
          <w:szCs w:val="24"/>
          <w:lang w:val="en-US" w:eastAsia="en-US" w:bidi="en-US"/>
        </w:rPr>
        <w:t>Ik heb een „s” verwijderd</w:t>
      </w:r>
    </w:p>
    <w:p>
      <w:r>
        <w:rPr>
          <w:rFonts w:ascii="Times New Roman" w:hAnsi="Times New Roman" w:eastAsia="Segoe UI" w:cs="Tahoma"/>
          <w:color w:val="auto"/>
          <w:kern w:val="0"/>
          <w:sz w:val="24"/>
          <w:szCs w:val="24"/>
          <w:lang w:val="en-US" w:eastAsia="en-US" w:bidi="en-US"/>
        </w:rPr>
      </w:r>
    </w:p>
  </w:comment>
  <w:comment w:id="10" w:author="Pierre Dieumegard" w:date="2022-08-29T12:33:01Z" w:initials="PD">
    <w:p>
      <w:r>
        <w:rPr>
          <w:rFonts w:ascii="Times New Roman" w:hAnsi="Times New Roman" w:eastAsia="Segoe UI" w:cs="Tahoma"/>
          <w:color w:val="auto"/>
          <w:kern w:val="0"/>
          <w:sz w:val="24"/>
          <w:szCs w:val="24"/>
          <w:lang w:val="en-US" w:eastAsia="en-US" w:bidi="en-US"/>
        </w:rPr>
        <w:t>het origineel had een dashboard; Ik weet niet wat dashboard is; Ik heb daarom verzocht om de vertaling van de Engelse tekst van Google met de vermelding „dashboard”, wat begrijpelijk is in het Frans. eTranslation geeft ook „dashboard” aan.</w:t>
      </w:r>
    </w:p>
    <w:p>
      <w:r>
        <w:rPr>
          <w:rFonts w:ascii="Times New Roman" w:hAnsi="Times New Roman" w:eastAsia="Segoe UI" w:cs="Tahoma"/>
          <w:color w:val="auto"/>
          <w:kern w:val="0"/>
          <w:sz w:val="24"/>
          <w:szCs w:val="24"/>
          <w:lang w:val="en-US" w:eastAsia="en-US" w:bidi="en-US"/>
        </w:rPr>
      </w:r>
    </w:p>
  </w:comment>
  <w:comment w:id="11" w:author="Pierre Dieumegard" w:date="2022-08-29T12:37:22Z" w:initials="PD">
    <w:p>
      <w:r>
        <w:rPr>
          <w:rFonts w:ascii="Times New Roman" w:hAnsi="Times New Roman" w:eastAsia="Segoe UI" w:cs="Tahoma"/>
          <w:color w:val="auto"/>
          <w:kern w:val="0"/>
          <w:sz w:val="24"/>
          <w:szCs w:val="24"/>
          <w:lang w:val="en-US" w:eastAsia="en-US" w:bidi="en-US"/>
        </w:rPr>
        <w:t>Ik heb een hoofdletter.</w:t>
      </w:r>
    </w:p>
    <w:p>
      <w:r>
        <w:rPr>
          <w:rFonts w:ascii="Times New Roman" w:hAnsi="Times New Roman" w:eastAsia="Segoe UI" w:cs="Tahoma"/>
          <w:color w:val="auto"/>
          <w:kern w:val="0"/>
          <w:sz w:val="24"/>
          <w:szCs w:val="24"/>
          <w:lang w:val="en-US" w:eastAsia="en-US" w:bidi="en-US"/>
        </w:rPr>
      </w:r>
    </w:p>
  </w:comment>
  <w:comment w:id="12" w:author="Pierre Dieumegard" w:date="2022-08-29T12:38:48Z" w:initials="PD">
    <w:p>
      <w:r>
        <w:rPr>
          <w:rFonts w:ascii="Times New Roman" w:hAnsi="Times New Roman" w:eastAsia="Segoe UI" w:cs="Tahoma"/>
          <w:color w:val="auto"/>
          <w:kern w:val="0"/>
          <w:sz w:val="24"/>
          <w:szCs w:val="24"/>
          <w:lang w:val="en-US" w:eastAsia="en-US" w:bidi="en-US"/>
        </w:rPr>
        <w:t>Ik heb de ’e' toegevoegd.</w:t>
      </w:r>
    </w:p>
    <w:p>
      <w:r>
        <w:rPr>
          <w:rFonts w:ascii="Times New Roman" w:hAnsi="Times New Roman" w:eastAsia="Segoe UI" w:cs="Tahoma"/>
          <w:color w:val="auto"/>
          <w:kern w:val="0"/>
          <w:sz w:val="24"/>
          <w:szCs w:val="24"/>
          <w:lang w:val="en-US" w:eastAsia="en-US" w:bidi="en-US"/>
        </w:rPr>
      </w:r>
    </w:p>
  </w:comment>
  <w:comment w:id="13" w:author="Pierre Dieumegard" w:date="2022-06-06T17:22:56Z" w:initials="">
    <w:p>
      <w:r>
        <w:rPr>
          <w:rFonts w:ascii="Times New Roman" w:hAnsi="Times New Roman" w:eastAsia="Segoe UI" w:cs="Tahoma"/>
          <w:color w:val="auto"/>
          <w:kern w:val="0"/>
          <w:sz w:val="24"/>
          <w:szCs w:val="24"/>
          <w:lang w:val="en-US" w:eastAsia="en-US" w:bidi="en-US"/>
        </w:rPr>
        <w:t>Ik heb een „s” toegevoegd</w:t>
      </w:r>
    </w:p>
    <w:p>
      <w:r>
        <w:rPr>
          <w:rFonts w:ascii="Times New Roman" w:hAnsi="Times New Roman" w:eastAsia="Segoe UI" w:cs="Tahoma"/>
          <w:color w:val="auto"/>
          <w:kern w:val="0"/>
          <w:sz w:val="24"/>
          <w:szCs w:val="24"/>
          <w:lang w:val="en-US" w:eastAsia="en-US" w:bidi="en-US"/>
        </w:rPr>
      </w:r>
    </w:p>
  </w:comment>
  <w:comment w:id="14" w:author="Pierre Dieumegard" w:date="2022-08-29T12:46:15Z" w:initials="PD">
    <w:p>
      <w:r>
        <w:rPr>
          <w:rFonts w:ascii="Times New Roman" w:hAnsi="Times New Roman" w:eastAsia="Segoe UI" w:cs="Tahoma"/>
          <w:color w:val="auto"/>
          <w:kern w:val="0"/>
          <w:sz w:val="24"/>
          <w:szCs w:val="24"/>
          <w:lang w:val="en-US" w:eastAsia="en-US" w:bidi="en-US"/>
        </w:rPr>
        <w:t>het origineel had „referenda”; zoals elders is er een „referendum” met accenten, het meervoud moet „referenda” zijn, bij het gebruik van de Latijnse declinatie.</w:t>
      </w:r>
    </w:p>
    <w:p>
      <w:r>
        <w:rPr>
          <w:rFonts w:ascii="Times New Roman" w:hAnsi="Times New Roman" w:eastAsia="Segoe UI" w:cs="Tahoma"/>
          <w:color w:val="auto"/>
          <w:kern w:val="0"/>
          <w:sz w:val="24"/>
          <w:szCs w:val="24"/>
          <w:lang w:val="en-US" w:eastAsia="en-US" w:bidi="en-US"/>
        </w:rPr>
        <w:t xml:space="preserve">zie https://www.larousse.fr/dictionnaires/francais/r%C3%A9f%C3%A9rendum/67445 </w:t>
      </w:r>
    </w:p>
    <w:p>
      <w:r>
        <w:rPr>
          <w:rFonts w:ascii="Times New Roman" w:hAnsi="Times New Roman" w:eastAsia="Segoe UI" w:cs="Tahoma"/>
          <w:color w:val="auto"/>
          <w:kern w:val="0"/>
          <w:sz w:val="24"/>
          <w:szCs w:val="24"/>
          <w:lang w:val="en-US" w:eastAsia="en-US" w:bidi="en-US"/>
        </w:rPr>
      </w:r>
    </w:p>
  </w:comment>
  <w:comment w:id="15" w:author="Pierre Dieumegard" w:date="2022-08-29T17:51:01Z" w:initials="PD">
    <w:p>
      <w:r>
        <w:rPr>
          <w:rFonts w:ascii="Times New Roman" w:hAnsi="Times New Roman" w:eastAsia="Segoe UI" w:cs="Tahoma"/>
          <w:color w:val="auto"/>
          <w:kern w:val="0"/>
          <w:sz w:val="24"/>
          <w:szCs w:val="24"/>
          <w:lang w:val="en-US" w:eastAsia="en-US" w:bidi="en-US"/>
        </w:rPr>
        <w:t>ook daar was er „referenda”.</w:t>
      </w:r>
    </w:p>
    <w:p>
      <w:r>
        <w:rPr>
          <w:rFonts w:ascii="Times New Roman" w:hAnsi="Times New Roman" w:eastAsia="Segoe UI" w:cs="Tahoma"/>
          <w:color w:val="auto"/>
          <w:kern w:val="0"/>
          <w:sz w:val="24"/>
          <w:szCs w:val="24"/>
          <w:lang w:val="en-US" w:eastAsia="en-US" w:bidi="en-US"/>
        </w:rPr>
      </w:r>
    </w:p>
  </w:comment>
  <w:comment w:id="16" w:author="Pierre Dieumegard" w:date="2022-06-06T17:43:08Z" w:initials="">
    <w:p>
      <w:r>
        <w:rPr>
          <w:rFonts w:ascii="Times New Roman" w:hAnsi="Times New Roman" w:eastAsia="Segoe UI" w:cs="Tahoma"/>
          <w:color w:val="auto"/>
          <w:kern w:val="0"/>
          <w:sz w:val="24"/>
          <w:szCs w:val="24"/>
          <w:lang w:val="en-US" w:eastAsia="en-US" w:bidi="en-US"/>
        </w:rPr>
        <w:t>Het origineel had „op de lijsten van mechanismen van de lade”? Ik begrijp het niet, dus vertaald uit de Engelse versie.</w:t>
      </w:r>
    </w:p>
    <w:p>
      <w:r>
        <w:rPr>
          <w:rFonts w:ascii="Times New Roman" w:hAnsi="Times New Roman" w:eastAsia="Segoe UI" w:cs="Tahoma"/>
          <w:color w:val="auto"/>
          <w:kern w:val="0"/>
          <w:sz w:val="24"/>
          <w:szCs w:val="24"/>
          <w:lang w:val="en-US" w:eastAsia="en-US" w:bidi="en-US"/>
        </w:rPr>
      </w:r>
    </w:p>
  </w:comment>
  <w:comment w:id="17" w:author="Pierre Dieumegard" w:date="2022-08-30T08:36:59Z" w:initials="PD">
    <w:p>
      <w:r>
        <w:rPr>
          <w:rFonts w:ascii="Times New Roman" w:hAnsi="Times New Roman" w:eastAsia="Segoe UI" w:cs="Tahoma"/>
          <w:color w:val="auto"/>
          <w:kern w:val="0"/>
          <w:sz w:val="24"/>
          <w:szCs w:val="24"/>
          <w:lang w:val="en-US" w:eastAsia="en-US" w:bidi="en-US"/>
        </w:rPr>
        <w:t>Het origineel in het Frans was „De website van de Ombudsman is goed gemaakt, maar is niet Europees merk”. De term „branded” is onbegrijpelijk. De Engelse versie is "De website van de Ombudsman is goed gemaakt, maar heeft geen goed Europees „beeld”, dus ik vervang het door de meer begrijpelijke directe vertaling van het Engels.</w:t>
      </w:r>
    </w:p>
    <w:p>
      <w:r>
        <w:rPr>
          <w:rFonts w:ascii="Times New Roman" w:hAnsi="Times New Roman" w:eastAsia="Segoe UI" w:cs="Tahoma"/>
          <w:color w:val="auto"/>
          <w:kern w:val="0"/>
          <w:sz w:val="24"/>
          <w:szCs w:val="24"/>
          <w:lang w:val="en-US" w:eastAsia="en-US" w:bidi="en-US"/>
        </w:rPr>
      </w:r>
    </w:p>
  </w:comment>
  <w:comment w:id="18" w:author="Pierre Dieumegard" w:date="2022-08-30T08:40:11Z" w:initials="PD">
    <w:p>
      <w:r>
        <w:rPr>
          <w:rFonts w:ascii="Times New Roman" w:hAnsi="Times New Roman" w:eastAsia="Segoe UI" w:cs="Tahoma"/>
          <w:color w:val="auto"/>
          <w:kern w:val="0"/>
          <w:sz w:val="24"/>
          <w:szCs w:val="24"/>
          <w:lang w:val="en-US" w:eastAsia="en-US" w:bidi="en-US"/>
        </w:rPr>
        <w:t>het origineel in het Frans was „openbaar”, dat niet met „consultation” werd verleend. Was het een openbare raadpleging of een openbare raadpleging?</w:t>
      </w:r>
    </w:p>
    <w:p>
      <w:r>
        <w:rPr>
          <w:rFonts w:ascii="Times New Roman" w:hAnsi="Times New Roman" w:eastAsia="Segoe UI" w:cs="Tahoma"/>
          <w:color w:val="auto"/>
          <w:kern w:val="0"/>
          <w:sz w:val="24"/>
          <w:szCs w:val="24"/>
          <w:lang w:val="en-US" w:eastAsia="en-US" w:bidi="en-US"/>
        </w:rPr>
      </w:r>
    </w:p>
  </w:comment>
  <w:comment w:id="19" w:author="Pierre Dieumegard" w:date="2022-06-06T17:46:19Z" w:initials="">
    <w:p>
      <w:r>
        <w:rPr>
          <w:rFonts w:ascii="Times New Roman" w:hAnsi="Times New Roman" w:eastAsia="Segoe UI" w:cs="Tahoma"/>
          <w:color w:val="auto"/>
          <w:kern w:val="0"/>
          <w:sz w:val="24"/>
          <w:szCs w:val="24"/>
          <w:lang w:val="en-US" w:eastAsia="en-US" w:bidi="en-US"/>
        </w:rPr>
        <w:t>er waren „anglas”</w:t>
      </w:r>
    </w:p>
    <w:p>
      <w:r>
        <w:rPr>
          <w:rFonts w:ascii="Times New Roman" w:hAnsi="Times New Roman" w:eastAsia="Segoe UI" w:cs="Tahoma"/>
          <w:color w:val="auto"/>
          <w:kern w:val="0"/>
          <w:sz w:val="24"/>
          <w:szCs w:val="24"/>
          <w:lang w:val="en-US" w:eastAsia="en-US" w:bidi="en-US"/>
        </w:rPr>
      </w:r>
    </w:p>
  </w:comment>
  <w:comment w:id="20" w:author="Pierre Dieumegard" w:date="2022-08-30T08:42:49Z" w:initials="PD">
    <w:p>
      <w:r>
        <w:rPr>
          <w:rFonts w:ascii="Times New Roman" w:hAnsi="Times New Roman" w:eastAsia="Segoe UI" w:cs="Tahoma"/>
          <w:color w:val="auto"/>
          <w:kern w:val="0"/>
          <w:sz w:val="24"/>
          <w:szCs w:val="24"/>
          <w:lang w:val="en-US" w:eastAsia="en-US" w:bidi="en-US"/>
        </w:rPr>
        <w:t>toegevoegde hoofdletters (commerciële namen)</w:t>
      </w:r>
    </w:p>
    <w:p>
      <w:r>
        <w:rPr>
          <w:rFonts w:ascii="Times New Roman" w:hAnsi="Times New Roman" w:eastAsia="Segoe UI" w:cs="Tahoma"/>
          <w:color w:val="auto"/>
          <w:kern w:val="0"/>
          <w:sz w:val="24"/>
          <w:szCs w:val="24"/>
          <w:lang w:val="en-US" w:eastAsia="en-US" w:bidi="en-US"/>
        </w:rPr>
      </w:r>
    </w:p>
  </w:comment>
  <w:comment w:id="21" w:author="Pierre Dieumegard" w:date="2022-06-08T10:37:42Z" w:initials="">
    <w:p>
      <w:r>
        <w:rPr>
          <w:rFonts w:ascii="Times New Roman" w:hAnsi="Times New Roman" w:eastAsia="Segoe UI" w:cs="Tahoma"/>
          <w:color w:val="auto"/>
          <w:kern w:val="0"/>
          <w:sz w:val="24"/>
          <w:szCs w:val="24"/>
          <w:lang w:val="en-US" w:eastAsia="en-US" w:bidi="en-US"/>
        </w:rPr>
        <w:t>„la” vervangen door „de”</w:t>
      </w:r>
    </w:p>
    <w:p>
      <w:r>
        <w:rPr>
          <w:rFonts w:ascii="Times New Roman" w:hAnsi="Times New Roman" w:eastAsia="Segoe UI" w:cs="Tahoma"/>
          <w:color w:val="auto"/>
          <w:kern w:val="0"/>
          <w:sz w:val="24"/>
          <w:szCs w:val="24"/>
          <w:lang w:val="en-US" w:eastAsia="en-US" w:bidi="en-US"/>
        </w:rPr>
      </w:r>
    </w:p>
  </w:comment>
  <w:comment w:id="22" w:author="Pierre Dieumegard" w:date="2022-06-08T10:42:55Z" w:initials="">
    <w:p>
      <w:r>
        <w:rPr>
          <w:rFonts w:ascii="Times New Roman" w:hAnsi="Times New Roman" w:eastAsia="Segoe UI" w:cs="Tahoma"/>
          <w:color w:val="auto"/>
          <w:kern w:val="0"/>
          <w:sz w:val="24"/>
          <w:szCs w:val="24"/>
          <w:lang w:val="en-US" w:eastAsia="en-US" w:bidi="en-US"/>
        </w:rPr>
        <w:t>„take” vervangen door „take”</w:t>
      </w:r>
    </w:p>
    <w:p>
      <w:r>
        <w:rPr>
          <w:rFonts w:ascii="Times New Roman" w:hAnsi="Times New Roman" w:eastAsia="Segoe UI" w:cs="Tahoma"/>
          <w:color w:val="auto"/>
          <w:kern w:val="0"/>
          <w:sz w:val="24"/>
          <w:szCs w:val="24"/>
          <w:lang w:val="en-US" w:eastAsia="en-US" w:bidi="en-US"/>
        </w:rPr>
      </w:r>
    </w:p>
  </w:comment>
  <w:comment w:id="23" w:author="Pierre Dieumegard" w:date="2022-08-31T22:23:22Z" w:initials="PD">
    <w:p>
      <w:r>
        <w:rPr>
          <w:rFonts w:ascii="Times New Roman" w:hAnsi="Times New Roman" w:eastAsia="Segoe UI" w:cs="Tahoma"/>
          <w:color w:val="auto"/>
          <w:kern w:val="0"/>
          <w:sz w:val="24"/>
          <w:szCs w:val="24"/>
          <w:lang w:val="en-US" w:eastAsia="en-US" w:bidi="en-US"/>
        </w:rPr>
        <w:t>Verwijder de ’s”</w:t>
      </w:r>
    </w:p>
    <w:p>
      <w:r>
        <w:rPr>
          <w:rFonts w:ascii="Times New Roman" w:hAnsi="Times New Roman" w:eastAsia="Segoe UI" w:cs="Tahoma"/>
          <w:color w:val="auto"/>
          <w:kern w:val="0"/>
          <w:sz w:val="24"/>
          <w:szCs w:val="24"/>
          <w:lang w:val="en-US" w:eastAsia="en-US" w:bidi="en-US"/>
        </w:rPr>
      </w:r>
    </w:p>
  </w:comment>
  <w:comment w:id="24" w:author="Pierre Dieumegard" w:date="2022-08-31T22:24:16Z" w:initials="PD">
    <w:p>
      <w:r>
        <w:rPr>
          <w:rFonts w:ascii="Times New Roman" w:hAnsi="Times New Roman" w:eastAsia="Segoe UI" w:cs="Tahoma"/>
          <w:color w:val="auto"/>
          <w:kern w:val="0"/>
          <w:sz w:val="24"/>
          <w:szCs w:val="24"/>
          <w:lang w:val="en-US" w:eastAsia="en-US" w:bidi="en-US"/>
        </w:rPr>
        <w:t>voeg een ’s’ toe</w:t>
      </w:r>
    </w:p>
    <w:p>
      <w:r>
        <w:rPr>
          <w:rFonts w:ascii="Times New Roman" w:hAnsi="Times New Roman" w:eastAsia="Segoe UI" w:cs="Tahoma"/>
          <w:color w:val="auto"/>
          <w:kern w:val="0"/>
          <w:sz w:val="24"/>
          <w:szCs w:val="24"/>
          <w:lang w:val="en-US" w:eastAsia="en-US" w:bidi="en-US"/>
        </w:rPr>
      </w:r>
    </w:p>
  </w:comment>
  <w:comment w:id="25" w:author="Pierre Dieumegard" w:date="2022-08-31T22:58:08Z" w:initials="PD">
    <w:p>
      <w:r>
        <w:rPr>
          <w:rFonts w:ascii="Times New Roman" w:hAnsi="Times New Roman" w:eastAsia="Segoe UI" w:cs="Tahoma"/>
          <w:color w:val="auto"/>
          <w:kern w:val="0"/>
          <w:sz w:val="24"/>
          <w:szCs w:val="24"/>
          <w:lang w:val="en-US" w:eastAsia="en-US" w:bidi="en-US"/>
        </w:rPr>
        <w:t>Ik begrijp „swiper” niet</w:t>
      </w:r>
    </w:p>
    <w:p>
      <w:r>
        <w:rPr>
          <w:rFonts w:ascii="Times New Roman" w:hAnsi="Times New Roman" w:eastAsia="Segoe UI" w:cs="Tahoma"/>
          <w:color w:val="auto"/>
          <w:kern w:val="0"/>
          <w:sz w:val="24"/>
          <w:szCs w:val="24"/>
          <w:lang w:val="en-US" w:eastAsia="en-US" w:bidi="en-US"/>
        </w:rPr>
      </w:r>
    </w:p>
  </w:comment>
  <w:comment w:id="26" w:author="Pierre Dieumegard" w:date="2022-06-08T10:46:29Z" w:initials="">
    <w:p>
      <w:r>
        <w:rPr>
          <w:rFonts w:ascii="Times New Roman" w:hAnsi="Times New Roman" w:eastAsia="Segoe UI" w:cs="Tahoma"/>
          <w:color w:val="auto"/>
          <w:kern w:val="0"/>
          <w:sz w:val="24"/>
          <w:szCs w:val="24"/>
          <w:lang w:val="en-US" w:eastAsia="en-US" w:bidi="en-US"/>
        </w:rPr>
        <w:t>??</w:t>
      </w:r>
    </w:p>
    <w:p>
      <w:r>
        <w:rPr>
          <w:rFonts w:ascii="Times New Roman" w:hAnsi="Times New Roman" w:eastAsia="Segoe UI" w:cs="Tahoma"/>
          <w:color w:val="auto"/>
          <w:kern w:val="0"/>
          <w:sz w:val="24"/>
          <w:szCs w:val="24"/>
          <w:lang w:val="en-US" w:eastAsia="en-US" w:bidi="en-US"/>
        </w:rPr>
      </w:r>
    </w:p>
  </w:comment>
  <w:comment w:id="27" w:author="Pierre Dieumegard" w:date="2022-06-07T19:00:57Z" w:initials="">
    <w:p>
      <w:r>
        <w:rPr>
          <w:rFonts w:ascii="Times New Roman" w:hAnsi="Times New Roman" w:eastAsia="Segoe UI" w:cs="Tahoma"/>
          <w:color w:val="auto"/>
          <w:kern w:val="0"/>
          <w:sz w:val="24"/>
          <w:szCs w:val="24"/>
          <w:lang w:val="en-US" w:eastAsia="en-US" w:bidi="en-US"/>
        </w:rPr>
        <w:t>voeg de ’s’ toe</w:t>
      </w:r>
    </w:p>
    <w:p>
      <w:r>
        <w:rPr>
          <w:rFonts w:ascii="Times New Roman" w:hAnsi="Times New Roman" w:eastAsia="Segoe UI" w:cs="Tahoma"/>
          <w:color w:val="auto"/>
          <w:kern w:val="0"/>
          <w:sz w:val="24"/>
          <w:szCs w:val="24"/>
          <w:lang w:val="en-US" w:eastAsia="en-US" w:bidi="en-US"/>
        </w:rPr>
      </w:r>
    </w:p>
  </w:comment>
  <w:comment w:id="28" w:author="Pierre Dieumegard" w:date="2022-06-07T19:04:10Z" w:initials="">
    <w:p>
      <w:r>
        <w:rPr>
          <w:rFonts w:ascii="Times New Roman" w:hAnsi="Times New Roman" w:eastAsia="Segoe UI" w:cs="Tahoma"/>
          <w:color w:val="auto"/>
          <w:kern w:val="0"/>
          <w:sz w:val="24"/>
          <w:szCs w:val="24"/>
          <w:lang w:val="en-US" w:eastAsia="en-US" w:bidi="en-US"/>
        </w:rPr>
        <w:t>titel in 2 vreemde talen: vreemd</w:t>
      </w:r>
    </w:p>
    <w:p>
      <w:r>
        <w:rPr>
          <w:rFonts w:ascii="Times New Roman" w:hAnsi="Times New Roman" w:eastAsia="Segoe UI" w:cs="Tahoma"/>
          <w:color w:val="auto"/>
          <w:kern w:val="0"/>
          <w:sz w:val="24"/>
          <w:szCs w:val="24"/>
          <w:lang w:val="en-US" w:eastAsia="en-US" w:bidi="en-US"/>
        </w:rPr>
      </w:r>
    </w:p>
  </w:comment>
  <w:comment w:id="29" w:author="Pierre Dieumegard" w:date="2022-06-08T10:54:13Z" w:initials="">
    <w:p>
      <w:r>
        <w:rPr>
          <w:rFonts w:ascii="Times New Roman" w:hAnsi="Times New Roman" w:eastAsia="Segoe UI" w:cs="Tahoma"/>
          <w:color w:val="auto"/>
          <w:kern w:val="0"/>
          <w:sz w:val="24"/>
          <w:szCs w:val="24"/>
          <w:lang w:val="en-US" w:eastAsia="en-US" w:bidi="en-US"/>
        </w:rPr>
        <w:t>???</w:t>
      </w:r>
    </w:p>
    <w:p>
      <w:r>
        <w:rPr>
          <w:rFonts w:ascii="Times New Roman" w:hAnsi="Times New Roman" w:eastAsia="Segoe UI" w:cs="Tahoma"/>
          <w:color w:val="auto"/>
          <w:kern w:val="0"/>
          <w:sz w:val="24"/>
          <w:szCs w:val="24"/>
          <w:lang w:val="en-US" w:eastAsia="en-US" w:bidi="en-US"/>
        </w:rPr>
      </w:r>
    </w:p>
  </w:comment>
  <w:comment w:id="30" w:author="Pierre Dieumegard" w:date="2022-06-08T10:54:40Z" w:initials="">
    <w:p>
      <w:r>
        <w:rPr>
          <w:rFonts w:ascii="Times New Roman" w:hAnsi="Times New Roman" w:eastAsia="Segoe UI" w:cs="Tahoma"/>
          <w:color w:val="auto"/>
          <w:kern w:val="0"/>
          <w:sz w:val="24"/>
          <w:szCs w:val="24"/>
          <w:lang w:val="en-US" w:eastAsia="en-US" w:bidi="en-US"/>
        </w:rPr>
        <w:t>???</w:t>
      </w:r>
    </w:p>
    <w:p>
      <w:r>
        <w:rPr>
          <w:rFonts w:ascii="Times New Roman" w:hAnsi="Times New Roman" w:eastAsia="Segoe UI" w:cs="Tahoma"/>
          <w:color w:val="auto"/>
          <w:kern w:val="0"/>
          <w:sz w:val="24"/>
          <w:szCs w:val="24"/>
          <w:lang w:val="en-US" w:eastAsia="en-US" w:bidi="en-US"/>
        </w:rPr>
      </w:r>
    </w:p>
  </w:comment>
  <w:comment w:id="31" w:author="Pierre Dieumegard" w:date="2022-06-08T10:56:48Z" w:initials="">
    <w:p>
      <w:r>
        <w:rPr>
          <w:rFonts w:ascii="Times New Roman" w:hAnsi="Times New Roman" w:eastAsia="Segoe UI" w:cs="Tahoma"/>
          <w:color w:val="auto"/>
          <w:kern w:val="0"/>
          <w:sz w:val="24"/>
          <w:szCs w:val="24"/>
          <w:lang w:val="en-US" w:eastAsia="en-US" w:bidi="en-US"/>
        </w:rPr>
        <w:t>???</w:t>
      </w:r>
    </w:p>
    <w:p>
      <w:r>
        <w:rPr>
          <w:rFonts w:ascii="Times New Roman" w:hAnsi="Times New Roman" w:eastAsia="Segoe UI" w:cs="Tahoma"/>
          <w:color w:val="auto"/>
          <w:kern w:val="0"/>
          <w:sz w:val="24"/>
          <w:szCs w:val="24"/>
          <w:lang w:val="en-US" w:eastAsia="en-US" w:bidi="en-US"/>
        </w:rPr>
      </w:r>
    </w:p>
  </w:comment>
</w:comments>
</file>

<file path=word/endnotes.xml><?xml version="1.0" encoding="utf-8"?>
<w:endnotes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endnote w:id="0" w:type="separator">
    <w:p>
      <w:r>
        <w:separator/>
      </w:r>
    </w:p>
  </w:endnote>
  <w:endnote w:id="1" w:type="continuationSeparator">
    <w:p>
      <w:r>
        <w:continuationSeparator/>
      </w:r>
    </w:p>
  </w:endnote>
  <w:endnote w:id="2">
    <w:p>
      <w:pPr>
        <w:pStyle w:val="Notedefin"/>
        <w:spacing w:before="57" w:after="57"/>
        <w:rPr/>
      </w:pPr>
      <w:r>
        <w:rPr>
          <w:rStyle w:val="Caractresdenotedefin"/>
        </w:rPr>
        <w:endnoteRef/>
      </w:r>
      <w:r>
        <w:rPr/>
        <w:tab/>
      </w:r>
      <w:r>
        <w:rPr/>
        <w:t>Aanbevelingen van de burgers waarop het voorstel is gebaseerd: #3, #17, #18, #19</w:t>
      </w:r>
    </w:p>
  </w:endnote>
  <w:endnote w:id="3">
    <w:p>
      <w:pPr>
        <w:pStyle w:val="Notedefin"/>
        <w:suppressLineNumbers/>
        <w:spacing w:before="57" w:after="57"/>
        <w:ind w:left="339" w:right="0" w:hanging="339"/>
        <w:rPr/>
      </w:pPr>
      <w:r>
        <w:rPr>
          <w:rStyle w:val="Caractresdenotedefin"/>
        </w:rPr>
        <w:endnoteRef/>
      </w:r>
      <w:r>
        <w:rPr/>
        <w:tab/>
      </w:r>
      <w:r>
        <w:rPr/>
        <w:t># = aanbeveling van de Europese burgerpanels.</w:t>
      </w:r>
    </w:p>
  </w:endnote>
  <w:endnote w:id="4">
    <w:p>
      <w:pPr>
        <w:pStyle w:val="Notedefin"/>
        <w:suppressLineNumbers/>
        <w:spacing w:before="57" w:after="57"/>
        <w:ind w:left="339" w:right="0" w:hanging="339"/>
        <w:rPr/>
      </w:pPr>
      <w:r>
        <w:rPr>
          <w:rStyle w:val="Caractresdenotedefin"/>
        </w:rPr>
        <w:endnoteRef/>
      </w:r>
      <w:r>
        <w:rPr/>
        <w:tab/>
      </w:r>
      <w:r>
        <w:rPr/>
        <w:t>Aanbevelingen van de burgers waarop het voorstel is gebaseerd: #39, #40, #41, #42, #43, NL1, NL2, #51</w:t>
      </w:r>
    </w:p>
  </w:endnote>
  <w:endnote w:id="5">
    <w:p>
      <w:pPr>
        <w:pStyle w:val="Notedefin"/>
        <w:suppressLineNumbers/>
        <w:spacing w:before="57" w:after="57"/>
        <w:ind w:left="339" w:right="0" w:hanging="339"/>
        <w:rPr/>
      </w:pPr>
      <w:r>
        <w:rPr>
          <w:rStyle w:val="Caractresdenotedefin"/>
        </w:rPr>
        <w:endnoteRef/>
      </w:r>
      <w:r>
        <w:rPr/>
        <w:tab/>
      </w:r>
      <w:r>
        <w:rPr/>
        <w:t>Aanbeveling van een nationaal burgerpanel</w:t>
      </w:r>
    </w:p>
  </w:endnote>
  <w:endnote w:id="6">
    <w:p>
      <w:pPr>
        <w:pStyle w:val="Notedefin"/>
        <w:suppressLineNumbers/>
        <w:spacing w:before="57" w:after="57"/>
        <w:ind w:left="339" w:right="0" w:hanging="339"/>
        <w:rPr/>
      </w:pPr>
      <w:r>
        <w:rPr>
          <w:rStyle w:val="Caractresdenotedefin"/>
        </w:rPr>
        <w:endnoteRef/>
      </w:r>
      <w:r>
        <w:rPr/>
        <w:tab/>
      </w:r>
      <w:r>
        <w:rPr/>
        <w:t>Aanbevelingen van de burgers waarop het voorstel is gebaseerd: #44, #45, #46, #47, #50</w:t>
      </w:r>
    </w:p>
  </w:endnote>
  <w:endnote w:id="7">
    <w:p>
      <w:pPr>
        <w:pStyle w:val="Notedefin"/>
        <w:suppressLineNumbers/>
        <w:spacing w:before="57" w:after="57"/>
        <w:ind w:left="339" w:right="0" w:hanging="339"/>
        <w:rPr/>
      </w:pPr>
      <w:r>
        <w:rPr>
          <w:rStyle w:val="Caractresdenotedefin"/>
        </w:rPr>
        <w:endnoteRef/>
      </w:r>
      <w:r>
        <w:rPr/>
        <w:tab/>
      </w:r>
      <w:r>
        <w:rPr/>
        <w:t>Aanbevelingen van de burgers waarop het voorstel is gebaseerd: #39, #40, #45, #48, #50, FRchangement8, FRswait11, #51</w:t>
      </w:r>
    </w:p>
  </w:endnote>
  <w:endnote w:id="8">
    <w:p>
      <w:pPr>
        <w:pStyle w:val="Notedefin"/>
        <w:suppressLineNumbers/>
        <w:spacing w:before="57" w:after="57"/>
        <w:ind w:left="339" w:right="0" w:hanging="339"/>
        <w:rPr/>
      </w:pPr>
      <w:r>
        <w:rPr>
          <w:rStyle w:val="Caractresdenotedefin"/>
        </w:rPr>
        <w:endnoteRef/>
      </w:r>
      <w:r>
        <w:rPr/>
        <w:tab/>
      </w:r>
      <w:r>
        <w:rPr/>
        <w:t>De aanbevelingen van het Nederlands Burgerpanel verschillen van de aanbevelingen van het Europees Burgerpanel: hij stelt dat gezondheid en gezondheidszorg in de eerste plaats een nationale verantwoordelijkheid moeten zijn [NL3].</w:t>
      </w:r>
    </w:p>
  </w:endnote>
  <w:endnote w:id="9">
    <w:p>
      <w:pPr>
        <w:pStyle w:val="Notedefin"/>
        <w:suppressLineNumbers/>
        <w:spacing w:before="57" w:after="57"/>
        <w:ind w:left="339" w:right="0" w:hanging="339"/>
        <w:rPr/>
      </w:pPr>
      <w:r>
        <w:rPr>
          <w:rStyle w:val="Caractresdenotedefin"/>
        </w:rPr>
        <w:endnoteRef/>
      </w:r>
      <w:r>
        <w:rPr/>
        <w:tab/>
      </w:r>
      <w:r>
        <w:rPr/>
        <w:t>Aanbevelingen van de burgers waarop het voorstel is gebaseerd: Europees burgerpanel 1: 9, 10, 11, 12, 14; Nederland: 1; Italië: 1.1; Litouwen: 3, 8.</w:t>
      </w:r>
    </w:p>
  </w:endnote>
  <w:endnote w:id="10">
    <w:p>
      <w:pPr>
        <w:pStyle w:val="Notedefin"/>
        <w:suppressLineNumbers/>
        <w:spacing w:before="57" w:after="57"/>
        <w:ind w:left="339" w:right="0" w:hanging="339"/>
        <w:rPr/>
      </w:pPr>
      <w:r>
        <w:rPr>
          <w:rStyle w:val="Caractresdenotedefin"/>
        </w:rPr>
        <w:endnoteRef/>
      </w:r>
      <w:r>
        <w:rPr/>
        <w:tab/>
      </w:r>
      <w:r>
        <w:rPr/>
        <w:t>Aanbevelingen van de burgers waarop het voorstel is gebaseerd: Europees burgerpanel 1: 10, 11 &amp; 14; Duitsland: 2.1, 2.2; Nederland: 1, 2; Frankrijk: 3, 9; Italië: 1,2, 1.3, 1.4, 1.5, 2.1, 2.2, 2,4, 4.a.2, 6.1; Litouwen: 1, 7.</w:t>
      </w:r>
    </w:p>
  </w:endnote>
  <w:endnote w:id="11">
    <w:p>
      <w:pPr>
        <w:pStyle w:val="Notedefin"/>
        <w:suppressLineNumbers/>
        <w:spacing w:before="57" w:after="57"/>
        <w:ind w:left="339" w:right="0" w:hanging="339"/>
        <w:rPr/>
      </w:pPr>
      <w:r>
        <w:rPr>
          <w:rStyle w:val="Caractresdenotedefin"/>
        </w:rPr>
        <w:endnoteRef/>
      </w:r>
      <w:r>
        <w:rPr/>
        <w:tab/>
      </w:r>
      <w:r>
        <w:rPr/>
        <w:t>Aanbevelingen van de burgers waarop het voorstel is gebaseerd: Europees burgerpanel 1: 1, 2, 7, 28, 30; Duitsland: 4.1, 4.2; Nederland: 4; Frankrijk: 6; Italië: 5.a.1, 5.a.4, 6.1, 6.2.</w:t>
      </w:r>
    </w:p>
  </w:endnote>
  <w:endnote w:id="12">
    <w:p>
      <w:pPr>
        <w:pStyle w:val="Notedefin"/>
        <w:suppressLineNumbers/>
        <w:spacing w:before="57" w:after="57"/>
        <w:ind w:left="339" w:right="0" w:hanging="339"/>
        <w:rPr/>
      </w:pPr>
      <w:r>
        <w:rPr>
          <w:rStyle w:val="Caractresdenotedefin"/>
        </w:rPr>
        <w:endnoteRef/>
      </w:r>
      <w:r>
        <w:rPr/>
        <w:tab/>
      </w:r>
      <w:r>
        <w:rPr/>
        <w:t>Aanbevelingen van de burgers waarop het voorstel is gebaseerd: Europees burgerpanel 1: 19, 20, 21, 25; Italië: 4.a.1.</w:t>
      </w:r>
    </w:p>
  </w:endnote>
  <w:endnote w:id="13">
    <w:p>
      <w:pPr>
        <w:pStyle w:val="Notedefin"/>
        <w:suppressLineNumbers/>
        <w:spacing w:before="57" w:after="57"/>
        <w:ind w:left="339" w:right="0" w:hanging="339"/>
        <w:rPr/>
      </w:pPr>
      <w:r>
        <w:rPr>
          <w:rStyle w:val="Caractresdenotedefin"/>
        </w:rPr>
        <w:endnoteRef/>
      </w:r>
      <w:r>
        <w:rPr/>
        <w:tab/>
        <w:t xml:space="preserve"> </w:t>
      </w:r>
      <w:r>
        <w:rPr/>
        <w:t>Aanbevelingen van de burgers waarop het voorstel is gebaseerd: Europees burgerpanel 1: 21, 22, 23, 26, 27; Italië: 5.a.1.</w:t>
      </w:r>
    </w:p>
  </w:endnote>
  <w:endnote w:id="14">
    <w:p>
      <w:pPr>
        <w:pStyle w:val="Notedefin"/>
        <w:suppressLineNumbers/>
        <w:spacing w:before="57" w:after="57"/>
        <w:ind w:left="339" w:right="0" w:hanging="339"/>
        <w:rPr/>
      </w:pPr>
      <w:r>
        <w:rPr>
          <w:rStyle w:val="Caractresdenotedefin"/>
        </w:rPr>
        <w:endnoteRef/>
      </w:r>
      <w:r>
        <w:rPr/>
        <w:tab/>
        <w:t xml:space="preserve"> </w:t>
      </w:r>
      <w:r>
        <w:rPr/>
        <w:t>Aanbevelingen van de burgers waarop het voorstel is gebaseerd: Europees burgerpanel 1: 13, 31; Nederland: 2.3; Italië: 4.b.3, 4.b.6; Litouwen: 9, 10.</w:t>
      </w:r>
    </w:p>
  </w:endnote>
  <w:endnote w:id="15">
    <w:p>
      <w:pPr>
        <w:pStyle w:val="Notedefin"/>
        <w:suppressLineNumbers/>
        <w:spacing w:before="57" w:after="57"/>
        <w:ind w:left="339" w:right="0" w:hanging="339"/>
        <w:rPr/>
      </w:pPr>
      <w:r>
        <w:rPr>
          <w:rStyle w:val="Caractresdenotedefin"/>
        </w:rPr>
        <w:endnoteRef/>
      </w:r>
      <w:r>
        <w:rPr/>
        <w:tab/>
      </w:r>
      <w:r>
        <w:rPr/>
        <w:t>Op basis van de besprekingen van de werkgroep en de plenaire vergadering.</w:t>
      </w:r>
    </w:p>
  </w:endnote>
  <w:endnote w:id="16">
    <w:p>
      <w:pPr>
        <w:pStyle w:val="Notedefin"/>
        <w:suppressLineNumbers/>
        <w:spacing w:before="57" w:after="57"/>
        <w:ind w:left="339" w:right="0" w:hanging="339"/>
        <w:rPr/>
      </w:pPr>
      <w:r>
        <w:rPr>
          <w:rStyle w:val="Caractresdenotedefin"/>
        </w:rPr>
        <w:endnoteRef/>
      </w:r>
      <w:r>
        <w:rPr/>
        <w:tab/>
      </w:r>
      <w:r>
        <w:rPr/>
        <w:t>Zie Aanbeveling nr. 1 van de ECP4, Aanbeveling nr. 2 van het NCP Duitsland, Panel 1 „De EU in de wereld”, en van de Italiaanse NCP, groep 2, punt 1, ontwikkeld binnen de werkgroep.</w:t>
      </w:r>
    </w:p>
  </w:endnote>
  <w:endnote w:id="17">
    <w:p>
      <w:pPr>
        <w:pStyle w:val="Notedefin"/>
        <w:suppressLineNumbers/>
        <w:spacing w:before="57" w:after="57"/>
        <w:ind w:left="339" w:right="0" w:hanging="339"/>
        <w:rPr/>
      </w:pPr>
      <w:r>
        <w:rPr>
          <w:rStyle w:val="Caractresdenotedefin"/>
        </w:rPr>
        <w:endnoteRef/>
      </w:r>
      <w:r>
        <w:rPr/>
        <w:tab/>
      </w:r>
      <w:r>
        <w:rPr/>
        <w:t>Zie Aanbeveling 4 van het ECP4 en de aanbevelingen 5 en 6 van het Italiaanse NCP, groep 2, ontwikkeld binnen de werkgroep.</w:t>
      </w:r>
    </w:p>
  </w:endnote>
  <w:endnote w:id="18">
    <w:p>
      <w:pPr>
        <w:pStyle w:val="Notedefin"/>
        <w:suppressLineNumbers/>
        <w:spacing w:before="57" w:after="57"/>
        <w:ind w:left="339" w:right="0" w:hanging="339"/>
        <w:rPr/>
      </w:pPr>
      <w:r>
        <w:rPr>
          <w:rStyle w:val="Caractresdenotedefin"/>
        </w:rPr>
        <w:endnoteRef/>
      </w:r>
      <w:r>
        <w:rPr/>
        <w:tab/>
      </w:r>
      <w:r>
        <w:rPr/>
        <w:t xml:space="preserve">Zie het digitale platform en aanbevelingen 2 en 3 van het Italiaanse NCP, Groep 2, ontwikkeld binnen de werkgroep, </w:t>
      </w:r>
      <w:hyperlink r:id="rId1">
        <w:r>
          <w:rPr>
            <w:rStyle w:val="LienInternet"/>
          </w:rPr>
          <w:t>https://futureu.europa.eu/processes/EUInTheWorld/f/16/proposals/197870?locale=fr</w:t>
        </w:r>
      </w:hyperlink>
      <w:r>
        <w:rPr/>
        <w:t>.</w:t>
      </w:r>
    </w:p>
  </w:endnote>
  <w:endnote w:id="19">
    <w:p>
      <w:pPr>
        <w:pStyle w:val="Notedefin"/>
        <w:suppressLineNumbers/>
        <w:spacing w:before="57" w:after="57"/>
        <w:ind w:left="339" w:right="0" w:hanging="339"/>
        <w:rPr/>
      </w:pPr>
      <w:r>
        <w:rPr>
          <w:rStyle w:val="Caractresdenotedefin"/>
        </w:rPr>
        <w:endnoteRef/>
      </w:r>
      <w:r>
        <w:rPr/>
        <w:tab/>
      </w:r>
      <w:r>
        <w:rPr/>
        <w:t>Zie Aanbeveling 14 van het ECP 4, ontwikkeld in de werkgroep.</w:t>
      </w:r>
    </w:p>
  </w:endnote>
  <w:endnote w:id="20">
    <w:p>
      <w:pPr>
        <w:pStyle w:val="Notedefin"/>
        <w:suppressLineNumbers/>
        <w:spacing w:before="57" w:after="57"/>
        <w:ind w:left="339" w:right="0" w:hanging="339"/>
        <w:rPr/>
      </w:pPr>
      <w:r>
        <w:rPr>
          <w:rStyle w:val="Caractresdenotedefin"/>
        </w:rPr>
        <w:endnoteRef/>
      </w:r>
      <w:r>
        <w:rPr/>
        <w:tab/>
      </w:r>
      <w:r>
        <w:rPr/>
        <w:t>Zie Aanbeveling nr. 2 van het ECP4 en Aanbeveling nr. 4 van het Italiaanse NCP, groep 2, ontwikkeld binnen de werkgroep.</w:t>
      </w:r>
    </w:p>
  </w:endnote>
  <w:endnote w:id="21">
    <w:p>
      <w:pPr>
        <w:pStyle w:val="Notedefin"/>
        <w:suppressLineNumbers/>
        <w:spacing w:before="57" w:after="57"/>
        <w:ind w:left="339" w:right="0" w:hanging="339"/>
        <w:rPr/>
      </w:pPr>
      <w:r>
        <w:rPr>
          <w:rStyle w:val="Caractresdenotedefin"/>
        </w:rPr>
        <w:endnoteRef/>
      </w:r>
      <w:r>
        <w:rPr/>
        <w:tab/>
      </w:r>
      <w:r>
        <w:rPr/>
        <w:t>Zie Aanbeveling nr. 17 van het ECP4 en Aanbeveling nr. 4 van het Italiaanse NCP, groep 2, ontwikkeld binnen de werkgroep.</w:t>
      </w:r>
    </w:p>
  </w:endnote>
  <w:endnote w:id="22">
    <w:p>
      <w:pPr>
        <w:pStyle w:val="Notedefin"/>
        <w:suppressLineNumbers/>
        <w:spacing w:before="57" w:after="57"/>
        <w:ind w:left="339" w:right="0" w:hanging="339"/>
        <w:rPr/>
      </w:pPr>
      <w:r>
        <w:rPr>
          <w:rStyle w:val="Caractresdenotedefin"/>
        </w:rPr>
        <w:endnoteRef/>
      </w:r>
      <w:r>
        <w:rPr/>
        <w:tab/>
      </w:r>
      <w:r>
        <w:rPr/>
        <w:t>Zie aanbeveling 1 van het NCP Duitsland, panel 1 „De EU in de wereld”, ontwikkeld in de werkgroep.</w:t>
      </w:r>
    </w:p>
  </w:endnote>
  <w:endnote w:id="23">
    <w:p>
      <w:pPr>
        <w:pStyle w:val="Notedefin"/>
        <w:suppressLineNumbers/>
        <w:spacing w:before="57" w:after="57"/>
        <w:ind w:left="339" w:right="0" w:hanging="339"/>
        <w:rPr/>
      </w:pPr>
      <w:r>
        <w:rPr>
          <w:rStyle w:val="Caractresdenotedefin"/>
        </w:rPr>
        <w:endnoteRef/>
      </w:r>
      <w:r>
        <w:rPr/>
        <w:tab/>
      </w:r>
      <w:r>
        <w:rPr/>
        <w:t>Zie Aanbeveling 3 van het ECP 4, ontwikkeld in de werkgroep.</w:t>
      </w:r>
    </w:p>
  </w:endnote>
  <w:endnote w:id="24">
    <w:p>
      <w:pPr>
        <w:pStyle w:val="Notedefin"/>
        <w:suppressLineNumbers/>
        <w:spacing w:before="57" w:after="57"/>
        <w:ind w:left="339" w:right="0" w:hanging="339"/>
        <w:rPr/>
      </w:pPr>
      <w:r>
        <w:rPr>
          <w:rStyle w:val="Caractresdenotedefin"/>
        </w:rPr>
        <w:endnoteRef/>
      </w:r>
      <w:r>
        <w:rPr/>
        <w:tab/>
      </w:r>
      <w:r>
        <w:rPr/>
        <w:t>Zie Aanbeveling 11 van het ECP 4, ontwikkeld in de werkgroep.</w:t>
      </w:r>
    </w:p>
  </w:endnote>
  <w:endnote w:id="25">
    <w:p>
      <w:pPr>
        <w:pStyle w:val="Notedefin"/>
        <w:suppressLineNumbers/>
        <w:spacing w:before="57" w:after="57"/>
        <w:ind w:left="339" w:right="0" w:hanging="339"/>
        <w:rPr/>
      </w:pPr>
      <w:r>
        <w:rPr>
          <w:rStyle w:val="Caractresdenotedefin"/>
        </w:rPr>
        <w:endnoteRef/>
      </w:r>
      <w:r>
        <w:rPr/>
        <w:tab/>
      </w:r>
      <w:r>
        <w:rPr/>
        <w:t>Zie Aanbeveling 13 van het ECP 4, ontwikkeld in de werkgroep.</w:t>
      </w:r>
    </w:p>
  </w:endnote>
  <w:endnote w:id="26">
    <w:p>
      <w:pPr>
        <w:pStyle w:val="Notedefin"/>
        <w:suppressLineNumbers/>
        <w:spacing w:before="57" w:after="57"/>
        <w:ind w:left="339" w:right="0" w:hanging="339"/>
        <w:rPr/>
      </w:pPr>
      <w:r>
        <w:rPr>
          <w:rStyle w:val="Caractresdenotedefin"/>
        </w:rPr>
        <w:endnoteRef/>
      </w:r>
      <w:r>
        <w:rPr/>
        <w:tab/>
      </w:r>
      <w:r>
        <w:rPr/>
        <w:t>Zie aanbeveling 15 van de ECP 4, ontwikkeld in de werkgroep.</w:t>
      </w:r>
    </w:p>
  </w:endnote>
  <w:endnote w:id="27">
    <w:p>
      <w:pPr>
        <w:pStyle w:val="Notedefin"/>
        <w:suppressLineNumbers/>
        <w:spacing w:before="57" w:after="57"/>
        <w:ind w:left="339" w:right="0" w:hanging="339"/>
        <w:rPr/>
      </w:pPr>
      <w:r>
        <w:rPr>
          <w:rStyle w:val="Caractresdenotedefin"/>
        </w:rPr>
        <w:endnoteRef/>
      </w:r>
      <w:r>
        <w:rPr/>
        <w:tab/>
      </w:r>
      <w:r>
        <w:rPr/>
        <w:t>Zie aanbeveling 16 van de ECP 4, ontwikkeld in de werkgroep.</w:t>
      </w:r>
    </w:p>
  </w:endnote>
  <w:endnote w:id="28">
    <w:p>
      <w:pPr>
        <w:pStyle w:val="Notedefin"/>
        <w:suppressLineNumbers/>
        <w:spacing w:before="57" w:after="57"/>
        <w:ind w:left="339" w:right="0" w:hanging="339"/>
        <w:rPr/>
      </w:pPr>
      <w:r>
        <w:rPr>
          <w:rStyle w:val="Caractresdenotedefin"/>
        </w:rPr>
        <w:endnoteRef/>
      </w:r>
      <w:r>
        <w:rPr/>
        <w:tab/>
      </w:r>
      <w:r>
        <w:rPr/>
        <w:t>Zie Aanbeveling 12 van het ECP 4, ontwikkeld in de werkgroep.</w:t>
      </w:r>
    </w:p>
  </w:endnote>
  <w:endnote w:id="29">
    <w:p>
      <w:pPr>
        <w:pStyle w:val="Notedefin"/>
        <w:suppressLineNumbers/>
        <w:spacing w:before="57" w:after="57"/>
        <w:ind w:left="339" w:right="0" w:hanging="339"/>
        <w:rPr/>
      </w:pPr>
      <w:r>
        <w:rPr>
          <w:rStyle w:val="Caractresdenotedefin"/>
        </w:rPr>
        <w:endnoteRef/>
      </w:r>
      <w:r>
        <w:rPr/>
        <w:tab/>
      </w:r>
      <w:r>
        <w:rPr/>
        <w:t>Zie Aanbeveling 21 van het ECP 4, ontwikkeld in de werkgroep.</w:t>
      </w:r>
    </w:p>
  </w:endnote>
  <w:endnote w:id="30">
    <w:p>
      <w:pPr>
        <w:pStyle w:val="Notedefin"/>
        <w:suppressLineNumbers/>
        <w:spacing w:before="57" w:after="57"/>
        <w:ind w:left="339" w:right="0" w:hanging="339"/>
        <w:rPr/>
      </w:pPr>
      <w:r>
        <w:rPr>
          <w:rStyle w:val="Caractresdenotedefin"/>
        </w:rPr>
        <w:endnoteRef/>
      </w:r>
      <w:r>
        <w:rPr/>
        <w:tab/>
      </w:r>
      <w:r>
        <w:rPr/>
        <w:t>Zie het digitale platform, ontwikkeld binnen de werkgroep.</w:t>
      </w:r>
    </w:p>
  </w:endnote>
  <w:endnote w:id="31">
    <w:p>
      <w:pPr>
        <w:pStyle w:val="Notedefin"/>
        <w:suppressLineNumbers/>
        <w:spacing w:before="57" w:after="57"/>
        <w:ind w:left="339" w:right="0" w:hanging="339"/>
        <w:rPr/>
      </w:pPr>
      <w:r>
        <w:rPr>
          <w:rStyle w:val="Caractresdenotedefin"/>
        </w:rPr>
        <w:endnoteRef/>
      </w:r>
      <w:r>
        <w:rPr/>
        <w:tab/>
      </w:r>
      <w:r>
        <w:rPr/>
        <w:t>Zie het digitale platform, ontwikkeld binnen de werkgroep.</w:t>
      </w:r>
    </w:p>
  </w:endnote>
  <w:endnote w:id="32">
    <w:p>
      <w:pPr>
        <w:pStyle w:val="Notedefin"/>
        <w:suppressLineNumbers/>
        <w:spacing w:before="57" w:after="57"/>
        <w:ind w:left="339" w:right="0" w:hanging="339"/>
        <w:rPr/>
      </w:pPr>
      <w:r>
        <w:rPr>
          <w:rStyle w:val="Caractresdenotedefin"/>
        </w:rPr>
        <w:endnoteRef/>
      </w:r>
      <w:r>
        <w:rPr/>
        <w:tab/>
      </w:r>
      <w:r>
        <w:rPr/>
        <w:t>Zie aanbeveling 26 van de ECP 4, ontwikkeld in de werkgroep.</w:t>
      </w:r>
    </w:p>
  </w:endnote>
  <w:endnote w:id="33">
    <w:p>
      <w:pPr>
        <w:pStyle w:val="Notedefin"/>
        <w:suppressLineNumbers/>
        <w:spacing w:before="57" w:after="57"/>
        <w:ind w:left="339" w:right="0" w:hanging="339"/>
        <w:rPr/>
      </w:pPr>
      <w:r>
        <w:rPr>
          <w:rStyle w:val="Caractresdenotedefin"/>
        </w:rPr>
        <w:endnoteRef/>
      </w:r>
      <w:r>
        <w:rPr/>
        <w:tab/>
      </w:r>
      <w:r>
        <w:rPr/>
        <w:t>Zie aanbeveling 18 van de ECP 4, ontwikkeld in de werkgroep.</w:t>
      </w:r>
    </w:p>
  </w:endnote>
  <w:endnote w:id="34">
    <w:p>
      <w:pPr>
        <w:pStyle w:val="Notedefin"/>
        <w:suppressLineNumbers/>
        <w:spacing w:before="57" w:after="57"/>
        <w:ind w:left="339" w:right="0" w:hanging="339"/>
        <w:rPr/>
      </w:pPr>
      <w:r>
        <w:rPr>
          <w:rStyle w:val="Caractresdenotedefin"/>
        </w:rPr>
        <w:endnoteRef/>
      </w:r>
      <w:r>
        <w:rPr/>
        <w:tab/>
      </w:r>
      <w:r>
        <w:rPr/>
        <w:t>Zie aanbeveling 19 van de ECP 4, ontwikkeld in de werkgroep.</w:t>
      </w:r>
    </w:p>
  </w:endnote>
  <w:endnote w:id="35">
    <w:p>
      <w:pPr>
        <w:pStyle w:val="Notedefin"/>
        <w:suppressLineNumbers/>
        <w:spacing w:before="57" w:after="57"/>
        <w:ind w:left="339" w:right="0" w:hanging="339"/>
        <w:rPr/>
      </w:pPr>
      <w:r>
        <w:rPr>
          <w:rStyle w:val="Caractresdenotedefin"/>
        </w:rPr>
        <w:endnoteRef/>
      </w:r>
      <w:r>
        <w:rPr/>
        <w:tab/>
      </w:r>
      <w:r>
        <w:rPr/>
        <w:t>Zie aanbeveling 19 van de ECP 4, ontwikkeld in de werkgroep.</w:t>
      </w:r>
    </w:p>
  </w:endnote>
  <w:endnote w:id="36">
    <w:p>
      <w:pPr>
        <w:pStyle w:val="Notedefin"/>
        <w:suppressLineNumbers/>
        <w:spacing w:before="57" w:after="57"/>
        <w:ind w:left="339" w:right="0" w:hanging="339"/>
        <w:rPr/>
      </w:pPr>
      <w:r>
        <w:rPr>
          <w:rStyle w:val="Caractresdenotedefin"/>
        </w:rPr>
        <w:endnoteRef/>
      </w:r>
      <w:r>
        <w:rPr/>
        <w:tab/>
      </w:r>
      <w:r>
        <w:rPr/>
        <w:t>Zie aanbeveling 25 van het ECP 4.</w:t>
      </w:r>
    </w:p>
  </w:endnote>
  <w:endnote w:id="37">
    <w:p>
      <w:pPr>
        <w:pStyle w:val="Notedefin"/>
        <w:suppressLineNumbers/>
        <w:spacing w:before="57" w:after="57"/>
        <w:ind w:left="339" w:right="0" w:hanging="339"/>
        <w:rPr/>
      </w:pPr>
      <w:r>
        <w:rPr>
          <w:rStyle w:val="Caractresdenotedefin"/>
        </w:rPr>
        <w:endnoteRef/>
      </w:r>
      <w:r>
        <w:rPr/>
        <w:tab/>
      </w:r>
      <w:r>
        <w:rPr/>
        <w:t>Op basis van de besprekingen van de werkgroep en de plenaire vergadering.</w:t>
      </w:r>
    </w:p>
  </w:endnote>
  <w:endnote w:id="38">
    <w:p>
      <w:pPr>
        <w:pStyle w:val="Notedefin"/>
        <w:suppressLineNumbers/>
        <w:spacing w:before="57" w:after="57"/>
        <w:ind w:left="339" w:right="0" w:hanging="339"/>
        <w:rPr/>
      </w:pPr>
      <w:r>
        <w:rPr>
          <w:rStyle w:val="Caractresdenotedefin"/>
        </w:rPr>
        <w:endnoteRef/>
      </w:r>
      <w:r>
        <w:rPr/>
        <w:tab/>
      </w:r>
      <w:r>
        <w:rPr/>
        <w:t>Zie wijziging 2 van het Franse nationale panel/evenementen.</w:t>
      </w:r>
    </w:p>
  </w:endnote>
  <w:endnote w:id="39">
    <w:p>
      <w:pPr>
        <w:pStyle w:val="Notedefin"/>
        <w:suppressLineNumbers/>
        <w:spacing w:before="57" w:after="57"/>
        <w:ind w:left="339" w:right="0" w:hanging="339"/>
        <w:rPr/>
      </w:pPr>
      <w:r>
        <w:rPr>
          <w:rStyle w:val="Caractresdenotedefin"/>
        </w:rPr>
        <w:endnoteRef/>
      </w:r>
      <w:r>
        <w:rPr/>
        <w:tab/>
      </w:r>
      <w:r>
        <w:rPr/>
        <w:t>Zie Aanbeveling 20 van de ECP4 en Aanbeveling 7 van Italië, Groep 2 NCP, ontwikkeld binnen de werkgroep.</w:t>
      </w:r>
    </w:p>
  </w:endnote>
  <w:endnote w:id="40">
    <w:p>
      <w:pPr>
        <w:pStyle w:val="Notedefin"/>
        <w:suppressLineNumbers/>
        <w:spacing w:before="57" w:after="57"/>
        <w:ind w:left="339" w:right="0" w:hanging="339"/>
        <w:rPr/>
      </w:pPr>
      <w:r>
        <w:rPr>
          <w:rStyle w:val="Caractresdenotedefin"/>
        </w:rPr>
        <w:endnoteRef/>
      </w:r>
      <w:r>
        <w:rPr/>
        <w:tab/>
      </w:r>
      <w:r>
        <w:rPr/>
        <w:t>Zie wijziging 2 van het Franse nationale burgerpanel.</w:t>
      </w:r>
    </w:p>
  </w:endnote>
  <w:endnote w:id="41">
    <w:p>
      <w:pPr>
        <w:pStyle w:val="Notedefin"/>
        <w:suppressLineNumbers/>
        <w:spacing w:before="57" w:after="57"/>
        <w:ind w:left="339" w:right="0" w:hanging="339"/>
        <w:rPr/>
      </w:pPr>
      <w:r>
        <w:rPr>
          <w:rStyle w:val="Caractresdenotedefin"/>
        </w:rPr>
        <w:endnoteRef/>
      </w:r>
      <w:r>
        <w:rPr/>
        <w:tab/>
      </w:r>
      <w:r>
        <w:rPr/>
        <w:t>Zie Aanbeveling 24 van de ECP4 en Aanbeveling 7 van Italië, Groep 2 NCP, ontwikkeld binnen de werkgroep.</w:t>
      </w:r>
    </w:p>
  </w:endnote>
  <w:endnote w:id="42">
    <w:p>
      <w:pPr>
        <w:pStyle w:val="Notedefin"/>
        <w:suppressLineNumbers/>
        <w:spacing w:before="57" w:after="57"/>
        <w:ind w:left="339" w:right="0" w:hanging="339"/>
        <w:rPr/>
      </w:pPr>
      <w:r>
        <w:rPr>
          <w:rStyle w:val="Caractresdenotedefin"/>
        </w:rPr>
        <w:endnoteRef/>
      </w:r>
      <w:r>
        <w:rPr/>
        <w:tab/>
      </w:r>
      <w:r>
        <w:rPr/>
        <w:t>Zie Aanbeveling 22 van het ECP 4, ontwikkeld in de werkgroep.</w:t>
      </w:r>
    </w:p>
  </w:endnote>
  <w:endnote w:id="43">
    <w:p>
      <w:pPr>
        <w:pStyle w:val="Notedefin"/>
        <w:suppressLineNumbers/>
        <w:spacing w:before="57" w:after="57"/>
        <w:ind w:left="339" w:right="0" w:hanging="339"/>
        <w:rPr/>
      </w:pPr>
      <w:r>
        <w:rPr>
          <w:rStyle w:val="Caractresdenotedefin"/>
        </w:rPr>
        <w:endnoteRef/>
      </w:r>
      <w:r>
        <w:rPr/>
        <w:tab/>
      </w:r>
      <w:r>
        <w:rPr/>
        <w:t>Zie Aanbeveling 1 over „De EU in de wereld” van het Nationaal Burgerpanel, ontwikkeld in de werkgroep.</w:t>
      </w:r>
    </w:p>
  </w:endnote>
  <w:endnote w:id="44">
    <w:p>
      <w:pPr>
        <w:pStyle w:val="Notedefin"/>
        <w:suppressLineNumbers/>
        <w:spacing w:before="57" w:after="57"/>
        <w:ind w:left="339" w:right="0" w:hanging="339"/>
        <w:rPr/>
      </w:pPr>
      <w:r>
        <w:rPr>
          <w:rStyle w:val="Caractresdenotedefin"/>
        </w:rPr>
        <w:endnoteRef/>
      </w:r>
      <w:r>
        <w:rPr/>
        <w:tab/>
      </w:r>
      <w:r>
        <w:rPr/>
        <w:t>Zie het digitale platform en de plenaire debatten, die in de werkgroep zijn ontwikkeld.</w:t>
      </w:r>
    </w:p>
  </w:endnote>
  <w:endnote w:id="45">
    <w:p>
      <w:pPr>
        <w:pStyle w:val="Notedefin"/>
        <w:suppressLineNumbers/>
        <w:spacing w:before="57" w:after="57"/>
        <w:ind w:left="339" w:right="0" w:hanging="339"/>
        <w:rPr/>
      </w:pPr>
      <w:r>
        <w:rPr>
          <w:rStyle w:val="Caractresdenotedefin"/>
        </w:rPr>
        <w:endnoteRef/>
      </w:r>
      <w:r>
        <w:rPr/>
        <w:tab/>
      </w:r>
      <w:r>
        <w:rPr/>
        <w:t>Zie het digitale platform, ontwikkeld binnen de werkgroep.</w:t>
      </w:r>
    </w:p>
  </w:endnote>
  <w:endnote w:id="46">
    <w:p>
      <w:pPr>
        <w:pStyle w:val="Notedefin"/>
        <w:suppressLineNumbers/>
        <w:spacing w:before="57" w:after="57"/>
        <w:ind w:left="339" w:right="0" w:hanging="339"/>
        <w:rPr/>
      </w:pPr>
      <w:r>
        <w:rPr>
          <w:rStyle w:val="Caractresdenotedefin"/>
        </w:rPr>
        <w:endnoteRef/>
      </w:r>
      <w:r>
        <w:rPr/>
        <w:tab/>
      </w:r>
      <w:r>
        <w:rPr/>
        <w:t>Aanbevelingen van de burgers waarop het voorstel is gebaseerd: Europees burgerpanel 2 (CEP 2) 10, 11, 14, 30; Belgisch Nationaal Burgerpanel (NCP): 1.3.1, 1.4.2, 1.4.3; Duitse NCP: 5.1, 5.2; Nederlands NCP: 1.2.</w:t>
      </w:r>
    </w:p>
  </w:endnote>
  <w:endnote w:id="47">
    <w:p>
      <w:pPr>
        <w:pStyle w:val="Notedefin"/>
        <w:suppressLineNumbers/>
        <w:spacing w:before="57" w:after="57"/>
        <w:ind w:left="339" w:right="0" w:hanging="339"/>
        <w:rPr/>
      </w:pPr>
      <w:r>
        <w:rPr>
          <w:rStyle w:val="Caractresdenotedefin"/>
        </w:rPr>
        <w:endnoteRef/>
      </w:r>
      <w:r>
        <w:rPr/>
        <w:tab/>
      </w:r>
      <w:r>
        <w:rPr/>
        <w:t>Aanbeveling 14 van de ECP2. Aanbevelingen 1.3.1, 1.4.2 en 1.4.3 van het Belgische NCP en 1.2 van het Nederlandse NCP.</w:t>
      </w:r>
    </w:p>
  </w:endnote>
  <w:endnote w:id="48">
    <w:p>
      <w:pPr>
        <w:pStyle w:val="Notedefin"/>
        <w:suppressLineNumbers/>
        <w:spacing w:before="57" w:after="57"/>
        <w:ind w:left="339" w:right="0" w:hanging="339"/>
        <w:rPr/>
      </w:pPr>
      <w:r>
        <w:rPr>
          <w:rStyle w:val="Caractresdenotedefin"/>
        </w:rPr>
        <w:endnoteRef/>
      </w:r>
      <w:r>
        <w:rPr/>
        <w:tab/>
      </w:r>
      <w:r>
        <w:rPr/>
        <w:t>ECP-aanbeveling nr. 112. Aanbevelingen 5.1 en 5.2 van het Duitse NCP. Debat in de WG.</w:t>
      </w:r>
    </w:p>
  </w:endnote>
  <w:endnote w:id="49">
    <w:p>
      <w:pPr>
        <w:pStyle w:val="Notedefin"/>
        <w:suppressLineNumbers/>
        <w:spacing w:before="57" w:after="57"/>
        <w:ind w:left="339" w:right="0" w:hanging="339"/>
        <w:rPr/>
      </w:pPr>
      <w:r>
        <w:rPr>
          <w:rStyle w:val="Caractresdenotedefin"/>
        </w:rPr>
        <w:endnoteRef/>
      </w:r>
      <w:r>
        <w:rPr/>
        <w:tab/>
      </w:r>
      <w:r>
        <w:rPr/>
        <w:t>ECP-aanbeveling nr. 112. Debat in de WG. Debat in de plenaire vergadering.</w:t>
      </w:r>
    </w:p>
  </w:endnote>
  <w:endnote w:id="50">
    <w:p>
      <w:pPr>
        <w:pStyle w:val="Notedefin"/>
        <w:suppressLineNumbers/>
        <w:spacing w:before="57" w:after="57"/>
        <w:ind w:left="339" w:right="0" w:hanging="339"/>
        <w:rPr/>
      </w:pPr>
      <w:r>
        <w:rPr>
          <w:rStyle w:val="Caractresdenotedefin"/>
        </w:rPr>
        <w:endnoteRef/>
      </w:r>
      <w:r>
        <w:rPr/>
        <w:tab/>
      </w:r>
      <w:r>
        <w:rPr/>
        <w:t>Aanbeveling 10 van de ECP2.</w:t>
      </w:r>
    </w:p>
  </w:endnote>
  <w:endnote w:id="51">
    <w:p>
      <w:pPr>
        <w:pStyle w:val="Notedefin"/>
        <w:suppressLineNumbers/>
        <w:spacing w:before="57" w:after="57"/>
        <w:ind w:left="339" w:right="0" w:hanging="339"/>
        <w:rPr/>
      </w:pPr>
      <w:r>
        <w:rPr>
          <w:rStyle w:val="Caractresdenotedefin"/>
        </w:rPr>
        <w:endnoteRef/>
      </w:r>
      <w:r>
        <w:rPr/>
        <w:tab/>
      </w:r>
      <w:r>
        <w:rPr/>
        <w:t>ECP-aanbeveling nr. 302.</w:t>
      </w:r>
    </w:p>
  </w:endnote>
  <w:endnote w:id="52">
    <w:p>
      <w:pPr>
        <w:pStyle w:val="Notedefin"/>
        <w:suppressLineNumbers/>
        <w:spacing w:before="57" w:after="57"/>
        <w:ind w:left="339" w:right="0" w:hanging="339"/>
        <w:rPr/>
      </w:pPr>
      <w:r>
        <w:rPr>
          <w:rStyle w:val="Caractresdenotedefin"/>
        </w:rPr>
        <w:endnoteRef/>
      </w:r>
      <w:r>
        <w:rPr/>
        <w:tab/>
      </w:r>
      <w:r>
        <w:rPr/>
        <w:t>Aanbevelingen van de burgers waarop het voorstel is gebaseerd: PCE2: 7, 8, 9; Nederlands NCP: 1.3, 4.3.</w:t>
      </w:r>
    </w:p>
  </w:endnote>
  <w:endnote w:id="53">
    <w:p>
      <w:pPr>
        <w:pStyle w:val="Notedefin"/>
        <w:suppressLineNumbers/>
        <w:spacing w:before="57" w:after="57"/>
        <w:ind w:left="339" w:right="0" w:hanging="339"/>
        <w:rPr/>
      </w:pPr>
      <w:r>
        <w:rPr>
          <w:rStyle w:val="Caractresdenotedefin"/>
        </w:rPr>
        <w:endnoteRef/>
      </w:r>
      <w:r>
        <w:rPr/>
        <w:tab/>
      </w:r>
      <w:r>
        <w:rPr/>
        <w:t>Aanbeveling 7 van de ECP2. Debat in de WG.</w:t>
      </w:r>
    </w:p>
  </w:endnote>
  <w:endnote w:id="54">
    <w:p>
      <w:pPr>
        <w:pStyle w:val="Notedefin"/>
        <w:suppressLineNumbers/>
        <w:spacing w:before="57" w:after="57"/>
        <w:ind w:left="339" w:right="0" w:hanging="339"/>
        <w:rPr/>
      </w:pPr>
      <w:r>
        <w:rPr>
          <w:rStyle w:val="Caractresdenotedefin"/>
        </w:rPr>
        <w:endnoteRef/>
      </w:r>
      <w:r>
        <w:rPr/>
        <w:tab/>
      </w:r>
      <w:r>
        <w:rPr/>
        <w:t>Ook besproken door de werkgroep digitale transformatie.</w:t>
      </w:r>
    </w:p>
  </w:endnote>
  <w:endnote w:id="55">
    <w:p>
      <w:pPr>
        <w:pStyle w:val="Notedefin"/>
        <w:suppressLineNumbers/>
        <w:spacing w:before="57" w:after="57"/>
        <w:ind w:left="339" w:right="0" w:hanging="339"/>
        <w:rPr/>
      </w:pPr>
      <w:r>
        <w:rPr>
          <w:rStyle w:val="Caractresdenotedefin"/>
        </w:rPr>
        <w:endnoteRef/>
      </w:r>
      <w:r>
        <w:rPr/>
        <w:tab/>
      </w:r>
      <w:r>
        <w:rPr/>
        <w:t>Aanbeveling 9 van de ECP2.</w:t>
      </w:r>
    </w:p>
  </w:endnote>
  <w:endnote w:id="56">
    <w:p>
      <w:pPr>
        <w:pStyle w:val="Notedefin"/>
        <w:suppressLineNumbers/>
        <w:spacing w:before="57" w:after="57"/>
        <w:ind w:left="339" w:right="0" w:hanging="339"/>
        <w:rPr/>
      </w:pPr>
      <w:r>
        <w:rPr>
          <w:rStyle w:val="Caractresdenotedefin"/>
        </w:rPr>
        <w:endnoteRef/>
      </w:r>
      <w:r>
        <w:rPr/>
        <w:tab/>
      </w:r>
      <w:r>
        <w:rPr/>
        <w:t>Ook besproken door de werkgroep digitale transformatie.</w:t>
      </w:r>
    </w:p>
  </w:endnote>
  <w:endnote w:id="57">
    <w:p>
      <w:pPr>
        <w:pStyle w:val="Notedefin"/>
        <w:suppressLineNumbers/>
        <w:spacing w:before="57" w:after="57"/>
        <w:ind w:left="339" w:right="0" w:hanging="339"/>
        <w:rPr/>
      </w:pPr>
      <w:r>
        <w:rPr>
          <w:rStyle w:val="Caractresdenotedefin"/>
        </w:rPr>
        <w:endnoteRef/>
      </w:r>
      <w:r>
        <w:rPr/>
        <w:tab/>
      </w:r>
      <w:r>
        <w:rPr/>
        <w:t>Aanbeveling 8 van de ECP2. Aanbevelingen 1.3 en 4.3 van het Nederlandse NCP.</w:t>
      </w:r>
    </w:p>
  </w:endnote>
  <w:endnote w:id="58">
    <w:p>
      <w:pPr>
        <w:pStyle w:val="Notedefin"/>
        <w:suppressLineNumbers/>
        <w:spacing w:before="57" w:after="57"/>
        <w:ind w:left="339" w:right="0" w:hanging="339"/>
        <w:rPr/>
      </w:pPr>
      <w:r>
        <w:rPr>
          <w:rStyle w:val="Caractresdenotedefin"/>
        </w:rPr>
        <w:endnoteRef/>
      </w:r>
      <w:r>
        <w:rPr/>
        <w:tab/>
      </w:r>
      <w:r>
        <w:rPr/>
        <w:t>Aanbevelingen nrs. 7 en 8 van het ECP2.</w:t>
      </w:r>
    </w:p>
  </w:endnote>
  <w:endnote w:id="59">
    <w:p>
      <w:pPr>
        <w:pStyle w:val="Notedefin"/>
        <w:suppressLineNumbers/>
        <w:spacing w:before="57" w:after="57"/>
        <w:ind w:left="339" w:right="0" w:hanging="339"/>
        <w:rPr/>
      </w:pPr>
      <w:r>
        <w:rPr>
          <w:rStyle w:val="Caractresdenotedefin"/>
        </w:rPr>
        <w:endnoteRef/>
      </w:r>
      <w:r>
        <w:rPr/>
        <w:tab/>
      </w:r>
      <w:r>
        <w:rPr/>
        <w:t>Ook besproken door de werkgroep digitale transformatie.</w:t>
      </w:r>
    </w:p>
  </w:endnote>
  <w:endnote w:id="60">
    <w:p>
      <w:pPr>
        <w:pStyle w:val="Notedefin"/>
        <w:suppressLineNumbers/>
        <w:spacing w:before="57" w:after="57"/>
        <w:ind w:left="339" w:right="0" w:hanging="339"/>
        <w:rPr/>
      </w:pPr>
      <w:r>
        <w:rPr>
          <w:rStyle w:val="Caractresdenotedefin"/>
        </w:rPr>
        <w:endnoteRef/>
      </w:r>
      <w:r>
        <w:rPr/>
        <w:tab/>
      </w:r>
      <w:r>
        <w:rPr/>
        <w:t>Aanbevelingen van de burgers waarop het voorstel is gebaseerd: PCE2: 5, 12, 13, 17, 28; Belgische NCP: 1.5.1, 2.1.1 tot en met 2.4.3; Nederlands NCP: 3.1.</w:t>
      </w:r>
    </w:p>
  </w:endnote>
  <w:endnote w:id="61">
    <w:p>
      <w:pPr>
        <w:pStyle w:val="Notedefin"/>
        <w:suppressLineNumbers/>
        <w:spacing w:before="57" w:after="57"/>
        <w:ind w:left="339" w:right="0" w:hanging="339"/>
        <w:rPr/>
      </w:pPr>
      <w:r>
        <w:rPr>
          <w:rStyle w:val="Caractresdenotedefin"/>
        </w:rPr>
        <w:endnoteRef/>
      </w:r>
      <w:r>
        <w:rPr/>
        <w:tab/>
      </w:r>
      <w:r>
        <w:rPr/>
        <w:t>Aanbeveling 5 van de ECP2. Aanbeveling 2.1.1 van het Belgische NCP. Aanbeveling 3.1 van het Nederlandse NCP.</w:t>
      </w:r>
    </w:p>
  </w:endnote>
  <w:endnote w:id="62">
    <w:p>
      <w:pPr>
        <w:pStyle w:val="Notedefin"/>
        <w:suppressLineNumbers/>
        <w:spacing w:before="57" w:after="57"/>
        <w:ind w:left="339" w:right="0" w:hanging="339"/>
        <w:rPr/>
      </w:pPr>
      <w:r>
        <w:rPr>
          <w:rStyle w:val="Caractresdenotedefin"/>
        </w:rPr>
        <w:endnoteRef/>
      </w:r>
      <w:r>
        <w:rPr/>
        <w:tab/>
      </w:r>
      <w:r>
        <w:rPr/>
        <w:t>ECP-aanbeveling nr. 122. Aanbeveling 2.1.4 van het Belgische NCP.</w:t>
      </w:r>
    </w:p>
  </w:endnote>
  <w:endnote w:id="63">
    <w:p>
      <w:pPr>
        <w:pStyle w:val="Notedefin"/>
        <w:suppressLineNumbers/>
        <w:spacing w:before="57" w:after="57"/>
        <w:ind w:left="339" w:right="0" w:hanging="339"/>
        <w:rPr/>
      </w:pPr>
      <w:r>
        <w:rPr>
          <w:rStyle w:val="Caractresdenotedefin"/>
        </w:rPr>
        <w:endnoteRef/>
      </w:r>
      <w:r>
        <w:rPr/>
        <w:tab/>
      </w:r>
      <w:r>
        <w:rPr/>
        <w:t>PCE2-aanbevelingen nrs. 17 en 28. Aanbevelingen 1.5.1, 2.1.3, 2.2.1 en 2.2.2 van het Belgische NCP.</w:t>
      </w:r>
    </w:p>
  </w:endnote>
  <w:endnote w:id="64">
    <w:p>
      <w:pPr>
        <w:pStyle w:val="Notedefin"/>
        <w:suppressLineNumbers/>
        <w:spacing w:before="57" w:after="57"/>
        <w:ind w:left="339" w:right="0" w:hanging="339"/>
        <w:rPr/>
      </w:pPr>
      <w:r>
        <w:rPr>
          <w:rStyle w:val="Caractresdenotedefin"/>
        </w:rPr>
        <w:endnoteRef/>
      </w:r>
      <w:r>
        <w:rPr/>
        <w:tab/>
      </w:r>
      <w:r>
        <w:rPr/>
        <w:t>Ook besproken door de werkgroep digitale transformatie.</w:t>
      </w:r>
    </w:p>
  </w:endnote>
  <w:endnote w:id="65">
    <w:p>
      <w:pPr>
        <w:pStyle w:val="Notedefin"/>
        <w:suppressLineNumbers/>
        <w:spacing w:before="57" w:after="57"/>
        <w:ind w:left="339" w:right="0" w:hanging="339"/>
        <w:rPr/>
      </w:pPr>
      <w:r>
        <w:rPr>
          <w:rStyle w:val="Caractresdenotedefin"/>
        </w:rPr>
        <w:endnoteRef/>
      </w:r>
      <w:r>
        <w:rPr/>
        <w:tab/>
      </w:r>
      <w:r>
        <w:rPr/>
        <w:t>PCE2-aanbevelingen nrs. 5 en 28. Aanbevelingen 2.3.2 en 2.3.3 van het Belgische NCP.</w:t>
      </w:r>
    </w:p>
  </w:endnote>
  <w:endnote w:id="66">
    <w:p>
      <w:pPr>
        <w:pStyle w:val="Notedefin"/>
        <w:suppressLineNumbers/>
        <w:spacing w:before="57" w:after="57"/>
        <w:ind w:left="339" w:right="0" w:hanging="339"/>
        <w:rPr/>
      </w:pPr>
      <w:r>
        <w:rPr>
          <w:rStyle w:val="Caractresdenotedefin"/>
        </w:rPr>
        <w:endnoteRef/>
      </w:r>
      <w:r>
        <w:rPr/>
        <w:tab/>
      </w:r>
      <w:r>
        <w:rPr/>
        <w:t>ECP-aanbeveling nr. 282. Aanbevelingen 2.3.1, 2.4.1 en 2.4.2 van het Belgische NCP.</w:t>
      </w:r>
    </w:p>
  </w:endnote>
  <w:endnote w:id="67">
    <w:p>
      <w:pPr>
        <w:pStyle w:val="Notedefin"/>
        <w:suppressLineNumbers/>
        <w:spacing w:before="57" w:after="57"/>
        <w:ind w:left="339" w:right="0" w:hanging="339"/>
        <w:rPr/>
      </w:pPr>
      <w:r>
        <w:rPr>
          <w:rStyle w:val="Caractresdenotedefin"/>
        </w:rPr>
        <w:endnoteRef/>
      </w:r>
      <w:r>
        <w:rPr/>
        <w:tab/>
      </w:r>
      <w:r>
        <w:rPr/>
        <w:t>Ook besproken door de werkgroep digitale transformatie.</w:t>
      </w:r>
    </w:p>
  </w:endnote>
  <w:endnote w:id="68">
    <w:p>
      <w:pPr>
        <w:pStyle w:val="Notedefin"/>
        <w:suppressLineNumbers/>
        <w:spacing w:before="57" w:after="57"/>
        <w:ind w:left="339" w:right="0" w:hanging="339"/>
        <w:rPr/>
      </w:pPr>
      <w:r>
        <w:rPr>
          <w:rStyle w:val="Caractresdenotedefin"/>
        </w:rPr>
        <w:endnoteRef/>
      </w:r>
      <w:r>
        <w:rPr/>
        <w:tab/>
      </w:r>
      <w:r>
        <w:rPr/>
        <w:t>ECP-aanbeveling nr. 132.</w:t>
      </w:r>
    </w:p>
  </w:endnote>
  <w:endnote w:id="69">
    <w:p>
      <w:pPr>
        <w:pStyle w:val="Notedefin"/>
        <w:suppressLineNumbers/>
        <w:spacing w:before="57" w:after="57"/>
        <w:ind w:left="339" w:right="0" w:hanging="339"/>
        <w:rPr/>
      </w:pPr>
      <w:r>
        <w:rPr>
          <w:rStyle w:val="Caractresdenotedefin"/>
        </w:rPr>
        <w:endnoteRef/>
      </w:r>
      <w:r>
        <w:rPr/>
        <w:tab/>
      </w:r>
      <w:r>
        <w:rPr/>
        <w:t>Ook besproken door de werkgroep digitale transformatie.</w:t>
      </w:r>
    </w:p>
  </w:endnote>
  <w:endnote w:id="70">
    <w:p>
      <w:pPr>
        <w:pStyle w:val="Notedefin"/>
        <w:suppressLineNumbers/>
        <w:spacing w:before="57" w:after="57"/>
        <w:ind w:left="339" w:right="0" w:hanging="339"/>
        <w:rPr/>
      </w:pPr>
      <w:r>
        <w:rPr>
          <w:rStyle w:val="Caractresdenotedefin"/>
        </w:rPr>
        <w:endnoteRef/>
      </w:r>
      <w:r>
        <w:rPr/>
        <w:tab/>
      </w:r>
      <w:r>
        <w:rPr/>
        <w:t>ECP-aanbeveling nr. 132.</w:t>
      </w:r>
    </w:p>
  </w:endnote>
  <w:endnote w:id="71">
    <w:p>
      <w:pPr>
        <w:pStyle w:val="Notedefin"/>
        <w:suppressLineNumbers/>
        <w:spacing w:before="57" w:after="57"/>
        <w:ind w:left="339" w:right="0" w:hanging="339"/>
        <w:rPr/>
      </w:pPr>
      <w:r>
        <w:rPr>
          <w:rStyle w:val="Caractresdenotedefin"/>
        </w:rPr>
        <w:endnoteRef/>
      </w:r>
      <w:r>
        <w:rPr/>
        <w:tab/>
      </w:r>
      <w:r>
        <w:rPr/>
        <w:t>Ook besproken door de werkgroep digitale transformatie.</w:t>
      </w:r>
    </w:p>
  </w:endnote>
  <w:endnote w:id="72">
    <w:p>
      <w:pPr>
        <w:pStyle w:val="Notedefin"/>
        <w:suppressLineNumbers/>
        <w:spacing w:before="57" w:after="57"/>
        <w:ind w:left="339" w:right="0" w:hanging="339"/>
        <w:rPr/>
      </w:pPr>
      <w:r>
        <w:rPr>
          <w:rStyle w:val="Caractresdenotedefin"/>
        </w:rPr>
        <w:endnoteRef/>
      </w:r>
      <w:r>
        <w:rPr/>
        <w:tab/>
      </w:r>
      <w:r>
        <w:rPr/>
        <w:t>Aanbevelingen van de burgers waarop het voorstel is gebaseerd: PCE2: 1, 2, 21, 22, 23; Nederlands NCP: 1.1.</w:t>
      </w:r>
    </w:p>
  </w:endnote>
  <w:endnote w:id="73">
    <w:p>
      <w:pPr>
        <w:pStyle w:val="Notedefin"/>
        <w:suppressLineNumbers/>
        <w:spacing w:before="57" w:after="57"/>
        <w:ind w:left="339" w:right="0" w:hanging="339"/>
        <w:rPr/>
      </w:pPr>
      <w:r>
        <w:rPr>
          <w:rStyle w:val="Caractresdenotedefin"/>
        </w:rPr>
        <w:endnoteRef/>
      </w:r>
      <w:r>
        <w:rPr/>
        <w:tab/>
      </w:r>
      <w:r>
        <w:rPr/>
        <w:t>ECP-aanbeveling nr. 222. Debat in de WG.</w:t>
      </w:r>
    </w:p>
  </w:endnote>
  <w:endnote w:id="74">
    <w:p>
      <w:pPr>
        <w:pStyle w:val="Notedefin"/>
        <w:suppressLineNumbers/>
        <w:spacing w:before="57" w:after="57"/>
        <w:ind w:left="339" w:right="0" w:hanging="339"/>
        <w:rPr/>
      </w:pPr>
      <w:r>
        <w:rPr>
          <w:rStyle w:val="Caractresdenotedefin"/>
        </w:rPr>
        <w:endnoteRef/>
      </w:r>
      <w:r>
        <w:rPr/>
        <w:tab/>
      </w:r>
      <w:r>
        <w:rPr/>
        <w:t>Vraag ook besproken door de werkgroep „Een sterkere economie, sociale rechtvaardigheid en werkgelegenheid”.</w:t>
      </w:r>
    </w:p>
  </w:endnote>
  <w:endnote w:id="75">
    <w:p>
      <w:pPr>
        <w:pStyle w:val="Notedefin"/>
        <w:suppressLineNumbers/>
        <w:spacing w:before="57" w:after="57"/>
        <w:ind w:left="339" w:right="0" w:hanging="339"/>
        <w:rPr/>
      </w:pPr>
      <w:r>
        <w:rPr>
          <w:rStyle w:val="Caractresdenotedefin"/>
        </w:rPr>
        <w:endnoteRef/>
      </w:r>
      <w:r>
        <w:rPr/>
        <w:tab/>
      </w:r>
      <w:r>
        <w:rPr/>
        <w:t>ECP-aanbeveling nr. 212. Aanbeveling 1.1 van het Nederlandse NCP.</w:t>
      </w:r>
    </w:p>
  </w:endnote>
  <w:endnote w:id="76">
    <w:p>
      <w:pPr>
        <w:pStyle w:val="Notedefin"/>
        <w:suppressLineNumbers/>
        <w:spacing w:before="57" w:after="57"/>
        <w:ind w:left="339" w:right="0" w:hanging="339"/>
        <w:rPr/>
      </w:pPr>
      <w:r>
        <w:rPr>
          <w:rStyle w:val="Caractresdenotedefin"/>
        </w:rPr>
        <w:endnoteRef/>
      </w:r>
      <w:r>
        <w:rPr/>
        <w:tab/>
      </w:r>
      <w:r>
        <w:rPr/>
        <w:t>ECP-aanbeveling nr. 232.</w:t>
      </w:r>
    </w:p>
  </w:endnote>
  <w:endnote w:id="77">
    <w:p>
      <w:pPr>
        <w:pStyle w:val="Notedefin"/>
        <w:suppressLineNumbers/>
        <w:spacing w:before="57" w:after="57"/>
        <w:ind w:left="339" w:right="0" w:hanging="339"/>
        <w:rPr/>
      </w:pPr>
      <w:r>
        <w:rPr>
          <w:rStyle w:val="Caractresdenotedefin"/>
        </w:rPr>
        <w:endnoteRef/>
      </w:r>
      <w:r>
        <w:rPr/>
        <w:tab/>
      </w:r>
      <w:r>
        <w:rPr/>
        <w:t>Vraag ook besproken door de werkgroep „Een sterkere economie, sociale rechtvaardigheid en werkgelegenheid”.</w:t>
      </w:r>
    </w:p>
  </w:endnote>
  <w:endnote w:id="78">
    <w:p>
      <w:pPr>
        <w:pStyle w:val="Notedefin"/>
        <w:suppressLineNumbers/>
        <w:spacing w:before="57" w:after="57"/>
        <w:ind w:left="339" w:right="0" w:hanging="339"/>
        <w:rPr/>
      </w:pPr>
      <w:r>
        <w:rPr>
          <w:rStyle w:val="Caractresdenotedefin"/>
        </w:rPr>
        <w:endnoteRef/>
      </w:r>
      <w:r>
        <w:rPr/>
        <w:tab/>
      </w:r>
      <w:r>
        <w:rPr/>
        <w:t>Aanbeveling 1 van de ECP2. Debat in de WG.</w:t>
      </w:r>
    </w:p>
  </w:endnote>
  <w:endnote w:id="79">
    <w:p>
      <w:pPr>
        <w:pStyle w:val="Notedefin"/>
        <w:suppressLineNumbers/>
        <w:spacing w:before="57" w:after="57"/>
        <w:ind w:left="339" w:right="0" w:hanging="339"/>
        <w:rPr/>
      </w:pPr>
      <w:r>
        <w:rPr>
          <w:rStyle w:val="Caractresdenotedefin"/>
        </w:rPr>
        <w:endnoteRef/>
      </w:r>
      <w:r>
        <w:rPr/>
        <w:tab/>
      </w:r>
      <w:r>
        <w:rPr/>
        <w:t>Aanbeveling 2 van de ECP2. Debat in de WG.</w:t>
      </w:r>
    </w:p>
  </w:endnote>
  <w:endnote w:id="80">
    <w:p>
      <w:pPr>
        <w:pStyle w:val="Notedefin"/>
        <w:suppressLineNumbers/>
        <w:spacing w:before="57" w:after="57"/>
        <w:ind w:left="339" w:right="0" w:hanging="339"/>
        <w:rPr/>
      </w:pPr>
      <w:r>
        <w:rPr>
          <w:rStyle w:val="Caractresdenotedefin"/>
        </w:rPr>
        <w:endnoteRef/>
      </w:r>
      <w:r>
        <w:rPr/>
        <w:tab/>
      </w:r>
      <w:r>
        <w:rPr/>
        <w:t>Aanbevelingen van de burgers waarop het voorstel is gebaseerd: PCE2: 3, 4, 6.</w:t>
      </w:r>
    </w:p>
  </w:endnote>
  <w:endnote w:id="81">
    <w:p>
      <w:pPr>
        <w:pStyle w:val="Notedefin"/>
        <w:suppressLineNumbers/>
        <w:spacing w:before="57" w:after="57"/>
        <w:ind w:left="339" w:right="0" w:hanging="339"/>
        <w:rPr/>
      </w:pPr>
      <w:r>
        <w:rPr>
          <w:rStyle w:val="Caractresdenotedefin"/>
        </w:rPr>
        <w:endnoteRef/>
      </w:r>
      <w:r>
        <w:rPr/>
        <w:tab/>
      </w:r>
      <w:r>
        <w:rPr/>
        <w:t>Aanbeveling 3 van de ECP2.</w:t>
      </w:r>
    </w:p>
  </w:endnote>
  <w:endnote w:id="82">
    <w:p>
      <w:pPr>
        <w:pStyle w:val="Notedefin"/>
        <w:suppressLineNumbers/>
        <w:spacing w:before="57" w:after="57"/>
        <w:ind w:left="339" w:right="0" w:hanging="339"/>
        <w:rPr/>
      </w:pPr>
      <w:r>
        <w:rPr>
          <w:rStyle w:val="Caractresdenotedefin"/>
        </w:rPr>
        <w:endnoteRef/>
      </w:r>
      <w:r>
        <w:rPr/>
        <w:tab/>
      </w:r>
      <w:r>
        <w:rPr/>
        <w:t>Ook besproken door de Werkgroep Klimaatverandering en Milieu.</w:t>
      </w:r>
    </w:p>
  </w:endnote>
  <w:endnote w:id="83">
    <w:p>
      <w:pPr>
        <w:pStyle w:val="Notedefin"/>
        <w:suppressLineNumbers/>
        <w:spacing w:before="57" w:after="57"/>
        <w:ind w:left="339" w:right="0" w:hanging="339"/>
        <w:rPr/>
      </w:pPr>
      <w:r>
        <w:rPr>
          <w:rStyle w:val="Caractresdenotedefin"/>
        </w:rPr>
        <w:endnoteRef/>
      </w:r>
      <w:r>
        <w:rPr/>
        <w:tab/>
      </w:r>
      <w:r>
        <w:rPr/>
        <w:t>Aanbeveling 4 van de ECP2.</w:t>
      </w:r>
    </w:p>
  </w:endnote>
  <w:endnote w:id="84">
    <w:p>
      <w:pPr>
        <w:pStyle w:val="Notedefin"/>
        <w:suppressLineNumbers/>
        <w:spacing w:before="57" w:after="57"/>
        <w:ind w:left="339" w:right="0" w:hanging="339"/>
        <w:rPr/>
      </w:pPr>
      <w:r>
        <w:rPr>
          <w:rStyle w:val="Caractresdenotedefin"/>
        </w:rPr>
        <w:endnoteRef/>
      </w:r>
      <w:r>
        <w:rPr/>
        <w:tab/>
      </w:r>
      <w:r>
        <w:rPr/>
        <w:t>Aanbeveling 6 van de ECP2.</w:t>
      </w:r>
    </w:p>
  </w:endnote>
  <w:endnote w:id="85">
    <w:p>
      <w:pPr>
        <w:pStyle w:val="Notedefin"/>
        <w:suppressLineNumbers/>
        <w:spacing w:before="57" w:after="57"/>
        <w:ind w:left="339" w:right="0" w:hanging="339"/>
        <w:rPr/>
      </w:pPr>
      <w:r>
        <w:rPr>
          <w:rStyle w:val="Caractresdenotedefin"/>
        </w:rPr>
        <w:endnoteRef/>
      </w:r>
      <w:r>
        <w:rPr/>
        <w:tab/>
      </w:r>
      <w:r>
        <w:rPr/>
        <w:t>Ook besproken door de Werkgroep Klimaatverandering en Milieu.</w:t>
      </w:r>
    </w:p>
  </w:endnote>
  <w:endnote w:id="86">
    <w:p>
      <w:pPr>
        <w:pStyle w:val="Notedefin"/>
        <w:suppressLineNumbers/>
        <w:spacing w:before="57" w:after="57"/>
        <w:ind w:left="339" w:right="0" w:hanging="339"/>
        <w:rPr/>
      </w:pPr>
      <w:r>
        <w:rPr>
          <w:rStyle w:val="Caractresdenotedefin"/>
        </w:rPr>
        <w:endnoteRef/>
      </w:r>
      <w:r>
        <w:rPr/>
        <w:tab/>
      </w:r>
      <w:r>
        <w:rPr/>
        <w:t>Aanbevelingen van de burgers waarop het voorstel is gebaseerd: Europees burgerpanel 1 (ECP 1): 17, 40, 47; Nationaal Burgerpanel (NCP) nr. 1.</w:t>
      </w:r>
    </w:p>
  </w:endnote>
  <w:endnote w:id="87">
    <w:p>
      <w:pPr>
        <w:pStyle w:val="Notedefin"/>
        <w:suppressLineNumbers/>
        <w:spacing w:before="57" w:after="57"/>
        <w:ind w:left="339" w:right="0" w:hanging="339"/>
        <w:rPr/>
      </w:pPr>
      <w:r>
        <w:rPr>
          <w:rStyle w:val="Caractresdenotedefin"/>
        </w:rPr>
        <w:endnoteRef/>
      </w:r>
      <w:r>
        <w:rPr/>
        <w:tab/>
      </w:r>
      <w:r>
        <w:rPr/>
        <w:t>Zie de link naar ECP 3 Aanbeveling 38 met betrekking tot infrastructuur voor elektrische voertuigen.</w:t>
      </w:r>
    </w:p>
  </w:endnote>
  <w:endnote w:id="88">
    <w:p>
      <w:pPr>
        <w:pStyle w:val="Notedefin"/>
        <w:suppressLineNumbers/>
        <w:spacing w:before="57" w:after="57"/>
        <w:ind w:left="339" w:right="0" w:hanging="339"/>
        <w:rPr/>
      </w:pPr>
      <w:r>
        <w:rPr>
          <w:rStyle w:val="Caractresdenotedefin"/>
        </w:rPr>
        <w:endnoteRef/>
      </w:r>
      <w:r>
        <w:rPr/>
        <w:tab/>
      </w:r>
      <w:r>
        <w:rPr/>
        <w:t>Aanbevelingen van de burgers waarop het voorstel is gebaseerd: Europees burgerpanel 1 (ECP 1): 8, 34 en 47; Italiaans Nationaal Burgerpanel (NCP) 5.2.</w:t>
      </w:r>
    </w:p>
  </w:endnote>
  <w:endnote w:id="89">
    <w:p>
      <w:pPr>
        <w:pStyle w:val="Notedefin"/>
        <w:suppressLineNumbers/>
        <w:spacing w:before="57" w:after="57"/>
        <w:ind w:left="339" w:right="0" w:hanging="339"/>
        <w:rPr/>
      </w:pPr>
      <w:r>
        <w:rPr>
          <w:rStyle w:val="Caractresdenotedefin"/>
        </w:rPr>
        <w:endnoteRef/>
      </w:r>
      <w:r>
        <w:rPr/>
        <w:tab/>
      </w:r>
      <w:r>
        <w:rPr/>
        <w:t>Aanbevelingen van de burgers waarop het voorstel is gebaseerd: aanbevelingen 39 en 46 van het Europees burgerpanel 1 (CEP 1) en aanbevelingen 2.6 van het Litouwse Nationale Burgerpanel (NCP) en NCP van Nederland.</w:t>
      </w:r>
    </w:p>
  </w:endnote>
  <w:endnote w:id="90">
    <w:p>
      <w:pPr>
        <w:pStyle w:val="Notedefin"/>
        <w:suppressLineNumbers/>
        <w:spacing w:before="57" w:after="57"/>
        <w:ind w:left="339" w:right="0" w:hanging="339"/>
        <w:rPr/>
      </w:pPr>
      <w:r>
        <w:rPr>
          <w:rStyle w:val="Caractresdenotedefin"/>
        </w:rPr>
        <w:endnoteRef/>
      </w:r>
      <w:r>
        <w:rPr/>
        <w:tab/>
      </w:r>
      <w:r>
        <w:rPr/>
        <w:t>Aanbevelingen van de burgers waarop het voorstel is gebaseerd: aanbevelingen 42, 43, 44 en 45 van het Europees burgerpanel nr. 1 (PCE 1) en Aanbeveling nr. 2 van het Nationaal Burgerpanel (NCP).</w:t>
      </w:r>
    </w:p>
  </w:endnote>
  <w:endnote w:id="91">
    <w:p>
      <w:pPr>
        <w:pStyle w:val="Notedefin"/>
        <w:suppressLineNumbers/>
        <w:spacing w:before="57" w:after="57"/>
        <w:ind w:left="339" w:right="0" w:hanging="339"/>
        <w:rPr/>
      </w:pPr>
      <w:r>
        <w:rPr>
          <w:rStyle w:val="Caractresdenotedefin"/>
        </w:rPr>
        <w:endnoteRef/>
      </w:r>
      <w:r>
        <w:rPr/>
        <w:tab/>
      </w:r>
      <w:r>
        <w:rPr/>
        <w:t>Aanbevelingen van de burgers waarop het voorstel is gebaseerd: Europees burgerpanel nr. 1 (PCE 1) nrs. 7, 16 en 17 en nationale burgerpanels (NCP’s) van Duitsland en Italië 1.3.</w:t>
      </w:r>
    </w:p>
  </w:endnote>
  <w:endnote w:id="92">
    <w:p>
      <w:pPr>
        <w:pStyle w:val="Notedefin"/>
        <w:suppressLineNumbers/>
        <w:spacing w:before="57" w:after="57"/>
        <w:ind w:left="339" w:right="0" w:hanging="339"/>
        <w:rPr/>
      </w:pPr>
      <w:r>
        <w:rPr>
          <w:rStyle w:val="Caractresdenotedefin"/>
        </w:rPr>
        <w:endnoteRef/>
      </w:r>
      <w:r>
        <w:rPr/>
        <w:tab/>
      </w:r>
      <w:r>
        <w:rPr/>
        <w:t>Te overwegen in verband met de voorstellen van de werkgroep voor een sterkere economie.</w:t>
      </w:r>
    </w:p>
  </w:endnote>
  <w:endnote w:id="93">
    <w:p>
      <w:pPr>
        <w:pStyle w:val="Notedefin"/>
        <w:suppressLineNumbers/>
        <w:spacing w:before="57" w:after="57"/>
        <w:ind w:left="339" w:right="0" w:hanging="339"/>
        <w:rPr/>
      </w:pPr>
      <w:r>
        <w:rPr>
          <w:rStyle w:val="Caractresdenotedefin"/>
        </w:rPr>
        <w:endnoteRef/>
      </w:r>
      <w:r>
        <w:rPr/>
        <w:tab/>
      </w:r>
      <w:r>
        <w:rPr/>
        <w:t>Amendementen 3A en 3B van de werkgroep (WG).</w:t>
      </w:r>
    </w:p>
  </w:endnote>
  <w:endnote w:id="94">
    <w:p>
      <w:pPr>
        <w:pStyle w:val="Notedefin"/>
        <w:suppressLineNumbers/>
        <w:spacing w:before="57" w:after="57"/>
        <w:ind w:left="339" w:right="0" w:hanging="339"/>
        <w:rPr/>
      </w:pPr>
      <w:r>
        <w:rPr>
          <w:rStyle w:val="Caractresdenotedefin"/>
        </w:rPr>
        <w:endnoteRef/>
      </w:r>
      <w:r>
        <w:rPr/>
        <w:tab/>
      </w:r>
      <w:r>
        <w:rPr/>
        <w:t>Aanbevelingen 32 en 37 van het Europees burgerpanel 2 (PCE 2); nationale panels BE, FR en NL.</w:t>
      </w:r>
    </w:p>
  </w:endnote>
  <w:endnote w:id="95">
    <w:p>
      <w:pPr>
        <w:pStyle w:val="Notedefin"/>
        <w:suppressLineNumbers/>
        <w:spacing w:before="57" w:after="57"/>
        <w:ind w:left="339" w:right="0" w:hanging="339"/>
        <w:rPr/>
      </w:pPr>
      <w:r>
        <w:rPr>
          <w:rStyle w:val="Caractresdenotedefin"/>
        </w:rPr>
        <w:endnoteRef/>
      </w:r>
      <w:r>
        <w:rPr/>
        <w:tab/>
      </w:r>
      <w:r>
        <w:rPr/>
        <w:t>Nationaal panel FR.</w:t>
      </w:r>
    </w:p>
  </w:endnote>
  <w:endnote w:id="96">
    <w:p>
      <w:pPr>
        <w:pStyle w:val="Notedefin"/>
        <w:suppressLineNumbers/>
        <w:spacing w:before="57" w:after="57"/>
        <w:ind w:left="339" w:right="0" w:hanging="339"/>
        <w:rPr/>
      </w:pPr>
      <w:r>
        <w:rPr>
          <w:rStyle w:val="Caractresdenotedefin"/>
        </w:rPr>
        <w:endnoteRef/>
      </w:r>
      <w:r>
        <w:rPr/>
        <w:tab/>
      </w:r>
      <w:r>
        <w:rPr/>
        <w:t>Amendement 8 van de WG, beknopter geformuleerd.</w:t>
      </w:r>
    </w:p>
  </w:endnote>
  <w:endnote w:id="97">
    <w:p>
      <w:pPr>
        <w:pStyle w:val="Notedefin"/>
        <w:suppressLineNumbers/>
        <w:spacing w:before="57" w:after="57"/>
        <w:ind w:left="339" w:right="0" w:hanging="339"/>
        <w:rPr/>
      </w:pPr>
      <w:r>
        <w:rPr>
          <w:rStyle w:val="Caractresdenotedefin"/>
        </w:rPr>
        <w:endnoteRef/>
      </w:r>
      <w:r>
        <w:rPr/>
        <w:tab/>
      </w:r>
      <w:r>
        <w:rPr/>
        <w:t>ECP-aanbeveling nr. 29 2.</w:t>
      </w:r>
    </w:p>
  </w:endnote>
  <w:endnote w:id="98">
    <w:p>
      <w:pPr>
        <w:pStyle w:val="Notedefin"/>
        <w:suppressLineNumbers/>
        <w:spacing w:before="57" w:after="57"/>
        <w:ind w:left="339" w:right="0" w:hanging="339"/>
        <w:rPr/>
      </w:pPr>
      <w:r>
        <w:rPr>
          <w:rStyle w:val="Caractresdenotedefin"/>
        </w:rPr>
        <w:endnoteRef/>
      </w:r>
      <w:r>
        <w:rPr/>
        <w:tab/>
      </w:r>
      <w:r>
        <w:rPr/>
        <w:t>ECP 2 Aanbevelingen 19 en 32; nationale BE- en FR-panels en DK-vertegenwoordiger van nationale evenementen.</w:t>
      </w:r>
    </w:p>
  </w:endnote>
  <w:endnote w:id="99">
    <w:p>
      <w:pPr>
        <w:pStyle w:val="Notedefin"/>
        <w:suppressLineNumbers/>
        <w:spacing w:before="57" w:after="57"/>
        <w:ind w:left="339" w:right="0" w:hanging="339"/>
        <w:rPr/>
      </w:pPr>
      <w:r>
        <w:rPr>
          <w:rStyle w:val="Caractresdenotedefin"/>
        </w:rPr>
        <w:endnoteRef/>
      </w:r>
      <w:r>
        <w:rPr/>
        <w:tab/>
      </w:r>
      <w:r>
        <w:rPr/>
        <w:t>Nationaal panel BE.</w:t>
      </w:r>
    </w:p>
  </w:endnote>
  <w:endnote w:id="100">
    <w:p>
      <w:pPr>
        <w:pStyle w:val="Notedefin"/>
        <w:suppressLineNumbers/>
        <w:spacing w:before="57" w:after="57"/>
        <w:ind w:left="339" w:right="0" w:hanging="339"/>
        <w:rPr/>
      </w:pPr>
      <w:r>
        <w:rPr>
          <w:rStyle w:val="Caractresdenotedefin"/>
        </w:rPr>
        <w:endnoteRef/>
      </w:r>
      <w:r>
        <w:rPr/>
        <w:tab/>
      </w:r>
      <w:r>
        <w:rPr/>
        <w:t>Amendement 7B van de werkgroep.</w:t>
      </w:r>
    </w:p>
  </w:endnote>
  <w:endnote w:id="101">
    <w:p>
      <w:pPr>
        <w:pStyle w:val="Notedefin"/>
        <w:suppressLineNumbers/>
        <w:spacing w:before="57" w:after="57"/>
        <w:ind w:left="339" w:right="0" w:hanging="339"/>
        <w:rPr/>
      </w:pPr>
      <w:r>
        <w:rPr>
          <w:rStyle w:val="Caractresdenotedefin"/>
        </w:rPr>
        <w:endnoteRef/>
      </w:r>
      <w:r>
        <w:rPr/>
        <w:tab/>
      </w:r>
      <w:r>
        <w:rPr/>
        <w:t>Nationaal panel BE.</w:t>
      </w:r>
    </w:p>
  </w:endnote>
  <w:endnote w:id="102">
    <w:p>
      <w:pPr>
        <w:pStyle w:val="Notedefin"/>
        <w:suppressLineNumbers/>
        <w:spacing w:before="57" w:after="57"/>
        <w:ind w:left="339" w:right="0" w:hanging="339"/>
        <w:rPr/>
      </w:pPr>
      <w:r>
        <w:rPr>
          <w:rStyle w:val="Caractresdenotedefin"/>
        </w:rPr>
        <w:endnoteRef/>
      </w:r>
      <w:r>
        <w:rPr/>
        <w:tab/>
      </w:r>
      <w:r>
        <w:rPr/>
        <w:t>Eindverslag Kantar, blz. 85.</w:t>
      </w:r>
    </w:p>
  </w:endnote>
  <w:endnote w:id="103">
    <w:p>
      <w:pPr>
        <w:pStyle w:val="Notedefin"/>
        <w:suppressLineNumbers/>
        <w:spacing w:before="57" w:after="57"/>
        <w:ind w:left="339" w:right="0" w:hanging="339"/>
        <w:rPr/>
      </w:pPr>
      <w:r>
        <w:rPr>
          <w:rStyle w:val="Caractresdenotedefin"/>
        </w:rPr>
        <w:endnoteRef/>
      </w:r>
      <w:r>
        <w:rPr/>
        <w:tab/>
      </w:r>
      <w:r>
        <w:rPr/>
        <w:t>Aanbeveling 39 van het ECP 2; nationaal panel nr. 3 BE.</w:t>
      </w:r>
    </w:p>
  </w:endnote>
  <w:endnote w:id="104">
    <w:p>
      <w:pPr>
        <w:pStyle w:val="Notedefin"/>
        <w:suppressLineNumbers/>
        <w:spacing w:before="57" w:after="57"/>
        <w:ind w:left="339" w:right="0" w:hanging="339"/>
        <w:rPr/>
      </w:pPr>
      <w:r>
        <w:rPr>
          <w:rStyle w:val="Caractresdenotedefin"/>
        </w:rPr>
        <w:endnoteRef/>
      </w:r>
      <w:r>
        <w:rPr/>
        <w:tab/>
      </w:r>
      <w:r>
        <w:rPr/>
        <w:t>WG Amendement 10A, beknopte formulering.</w:t>
      </w:r>
    </w:p>
  </w:endnote>
  <w:endnote w:id="105">
    <w:p>
      <w:pPr>
        <w:pStyle w:val="Notedefin"/>
        <w:suppressLineNumbers/>
        <w:spacing w:before="57" w:after="57"/>
        <w:ind w:left="339" w:right="0" w:hanging="339"/>
        <w:rPr/>
      </w:pPr>
      <w:r>
        <w:rPr>
          <w:rStyle w:val="Caractresdenotedefin"/>
        </w:rPr>
        <w:endnoteRef/>
      </w:r>
      <w:r>
        <w:rPr/>
        <w:tab/>
      </w:r>
      <w:r>
        <w:rPr/>
        <w:t>DK vertegenwoordiger van nationale evenementen.</w:t>
      </w:r>
    </w:p>
  </w:endnote>
  <w:endnote w:id="106">
    <w:p>
      <w:pPr>
        <w:pStyle w:val="Notedefin"/>
        <w:suppressLineNumbers/>
        <w:spacing w:before="57" w:after="57"/>
        <w:ind w:left="339" w:right="0" w:hanging="339"/>
        <w:rPr/>
      </w:pPr>
      <w:r>
        <w:rPr>
          <w:rStyle w:val="Caractresdenotedefin"/>
        </w:rPr>
        <w:endnoteRef/>
      </w:r>
      <w:r>
        <w:rPr/>
        <w:tab/>
      </w:r>
      <w:r>
        <w:rPr/>
        <w:t>Amendement 54C van de werkgroep.</w:t>
      </w:r>
    </w:p>
  </w:endnote>
  <w:endnote w:id="107">
    <w:p>
      <w:pPr>
        <w:pStyle w:val="Notedefin"/>
        <w:suppressLineNumbers/>
        <w:spacing w:before="57" w:after="57"/>
        <w:ind w:left="339" w:right="0" w:hanging="339"/>
        <w:rPr/>
      </w:pPr>
      <w:r>
        <w:rPr>
          <w:rStyle w:val="Caractresdenotedefin"/>
        </w:rPr>
        <w:endnoteRef/>
      </w:r>
      <w:r>
        <w:rPr/>
        <w:tab/>
      </w:r>
      <w:r>
        <w:rPr/>
        <w:t>DK vertegenwoordiger van nationale evenementen.</w:t>
      </w:r>
    </w:p>
  </w:endnote>
  <w:endnote w:id="108">
    <w:p>
      <w:pPr>
        <w:pStyle w:val="Notedefin"/>
        <w:suppressLineNumbers/>
        <w:spacing w:before="57" w:after="57"/>
        <w:ind w:left="339" w:right="0" w:hanging="339"/>
        <w:rPr/>
      </w:pPr>
      <w:r>
        <w:rPr>
          <w:rStyle w:val="Caractresdenotedefin"/>
        </w:rPr>
        <w:endnoteRef/>
      </w:r>
      <w:r>
        <w:rPr/>
        <w:tab/>
      </w:r>
      <w:r>
        <w:rPr/>
        <w:t>DK vertegenwoordiger van nationale evenementen.</w:t>
      </w:r>
    </w:p>
  </w:endnote>
  <w:endnote w:id="109">
    <w:p>
      <w:pPr>
        <w:pStyle w:val="Notedefin"/>
        <w:suppressLineNumbers/>
        <w:spacing w:before="57" w:after="57"/>
        <w:ind w:left="339" w:right="0" w:hanging="339"/>
        <w:rPr/>
      </w:pPr>
      <w:r>
        <w:rPr>
          <w:rStyle w:val="Caractresdenotedefin"/>
        </w:rPr>
        <w:endnoteRef/>
      </w:r>
      <w:r>
        <w:rPr/>
        <w:tab/>
      </w:r>
      <w:r>
        <w:rPr/>
        <w:t>Amendement 15A van de werkgroep, compromistekst.</w:t>
      </w:r>
    </w:p>
  </w:endnote>
  <w:endnote w:id="110">
    <w:p>
      <w:pPr>
        <w:pStyle w:val="Notedefin"/>
        <w:suppressLineNumbers/>
        <w:spacing w:before="57" w:after="57"/>
        <w:ind w:left="339" w:right="0" w:hanging="339"/>
        <w:rPr/>
      </w:pPr>
      <w:r>
        <w:rPr>
          <w:rStyle w:val="Caractresdenotedefin"/>
        </w:rPr>
        <w:endnoteRef/>
      </w:r>
      <w:r>
        <w:rPr/>
        <w:tab/>
      </w:r>
      <w:r>
        <w:rPr/>
        <w:t>PCE 2 Aanbevelingen 24, 36 en 38; nationaal panel BE.</w:t>
      </w:r>
    </w:p>
  </w:endnote>
  <w:endnote w:id="111">
    <w:p>
      <w:pPr>
        <w:pStyle w:val="Notedefin"/>
        <w:suppressLineNumbers/>
        <w:spacing w:before="57" w:after="57"/>
        <w:ind w:left="339" w:right="0" w:hanging="339"/>
        <w:rPr/>
      </w:pPr>
      <w:r>
        <w:rPr>
          <w:rStyle w:val="Caractresdenotedefin"/>
        </w:rPr>
        <w:endnoteRef/>
      </w:r>
      <w:r>
        <w:rPr/>
        <w:tab/>
      </w:r>
      <w:r>
        <w:rPr/>
        <w:t>Amendement 16C van de werkgroep.</w:t>
      </w:r>
    </w:p>
  </w:endnote>
  <w:endnote w:id="112">
    <w:p>
      <w:pPr>
        <w:pStyle w:val="Notedefin"/>
        <w:suppressLineNumbers/>
        <w:spacing w:before="57" w:after="57"/>
        <w:ind w:left="339" w:right="0" w:hanging="339"/>
        <w:rPr/>
      </w:pPr>
      <w:r>
        <w:rPr>
          <w:rStyle w:val="Caractresdenotedefin"/>
        </w:rPr>
        <w:endnoteRef/>
      </w:r>
      <w:r>
        <w:rPr/>
        <w:tab/>
      </w:r>
      <w:r>
        <w:rPr/>
        <w:t>Aanbeveling 33 van het ECP 2; nationale panels BE, FR en NL.</w:t>
      </w:r>
    </w:p>
  </w:endnote>
  <w:endnote w:id="113">
    <w:p>
      <w:pPr>
        <w:pStyle w:val="Notedefin"/>
        <w:suppressLineNumbers/>
        <w:spacing w:before="57" w:after="57"/>
        <w:ind w:left="339" w:right="0" w:hanging="339"/>
        <w:rPr/>
      </w:pPr>
      <w:r>
        <w:rPr>
          <w:rStyle w:val="Caractresdenotedefin"/>
        </w:rPr>
        <w:endnoteRef/>
      </w:r>
      <w:r>
        <w:rPr/>
        <w:tab/>
      </w:r>
      <w:r>
        <w:rPr/>
        <w:t>ECP-aanbeveling nr. 26 2.</w:t>
      </w:r>
    </w:p>
  </w:endnote>
  <w:endnote w:id="114">
    <w:p>
      <w:pPr>
        <w:pStyle w:val="Notedefin"/>
        <w:suppressLineNumbers/>
        <w:spacing w:before="57" w:after="57"/>
        <w:ind w:left="339" w:right="0" w:hanging="339"/>
        <w:rPr/>
      </w:pPr>
      <w:r>
        <w:rPr>
          <w:rStyle w:val="Caractresdenotedefin"/>
        </w:rPr>
        <w:endnoteRef/>
      </w:r>
      <w:r>
        <w:rPr/>
        <w:tab/>
      </w:r>
      <w:r>
        <w:rPr/>
        <w:t>Amendement 17 van de werkgroep.</w:t>
      </w:r>
    </w:p>
  </w:endnote>
  <w:endnote w:id="115">
    <w:p>
      <w:pPr>
        <w:pStyle w:val="Notedefin"/>
        <w:suppressLineNumbers/>
        <w:spacing w:before="57" w:after="57"/>
        <w:ind w:left="339" w:right="0" w:hanging="339"/>
        <w:rPr/>
      </w:pPr>
      <w:r>
        <w:rPr>
          <w:rStyle w:val="Caractresdenotedefin"/>
        </w:rPr>
        <w:endnoteRef/>
      </w:r>
      <w:r>
        <w:rPr/>
        <w:tab/>
      </w:r>
      <w:r>
        <w:rPr/>
        <w:t>Nationaal panel BE.</w:t>
      </w:r>
    </w:p>
  </w:endnote>
  <w:endnote w:id="116">
    <w:p>
      <w:pPr>
        <w:pStyle w:val="Notedefin"/>
        <w:suppressLineNumbers/>
        <w:spacing w:before="57" w:after="57"/>
        <w:ind w:left="339" w:right="0" w:hanging="339"/>
        <w:rPr/>
      </w:pPr>
      <w:r>
        <w:rPr>
          <w:rStyle w:val="Caractresdenotedefin"/>
        </w:rPr>
        <w:endnoteRef/>
      </w:r>
      <w:r>
        <w:rPr/>
        <w:tab/>
      </w:r>
      <w:r>
        <w:rPr/>
        <w:t>WG-amendement nr. 18A.</w:t>
      </w:r>
    </w:p>
  </w:endnote>
  <w:endnote w:id="117">
    <w:p>
      <w:pPr>
        <w:pStyle w:val="Notedefin"/>
        <w:suppressLineNumbers/>
        <w:spacing w:before="57" w:after="57"/>
        <w:ind w:left="339" w:right="0" w:hanging="339"/>
        <w:rPr/>
      </w:pPr>
      <w:r>
        <w:rPr>
          <w:rStyle w:val="Caractresdenotedefin"/>
        </w:rPr>
        <w:endnoteRef/>
      </w:r>
      <w:r>
        <w:rPr/>
        <w:tab/>
      </w:r>
      <w:r>
        <w:rPr/>
        <w:t>ECP-aanbeveling nr. 252.</w:t>
      </w:r>
    </w:p>
  </w:endnote>
  <w:endnote w:id="118">
    <w:p>
      <w:pPr>
        <w:pStyle w:val="Notedefin"/>
        <w:suppressLineNumbers/>
        <w:spacing w:before="57" w:after="57"/>
        <w:ind w:left="339" w:right="0" w:hanging="339"/>
        <w:rPr/>
      </w:pPr>
      <w:r>
        <w:rPr>
          <w:rStyle w:val="Caractresdenotedefin"/>
        </w:rPr>
        <w:endnoteRef/>
      </w:r>
      <w:r>
        <w:rPr/>
        <w:tab/>
      </w:r>
      <w:r>
        <w:rPr/>
        <w:t>Amendement 18B van de werkgroep.</w:t>
      </w:r>
    </w:p>
  </w:endnote>
  <w:endnote w:id="119">
    <w:p>
      <w:pPr>
        <w:pStyle w:val="Notedefin"/>
        <w:suppressLineNumbers/>
        <w:spacing w:before="57" w:after="57"/>
        <w:ind w:left="339" w:right="0" w:hanging="339"/>
        <w:rPr/>
      </w:pPr>
      <w:r>
        <w:rPr>
          <w:rStyle w:val="Caractresdenotedefin"/>
        </w:rPr>
        <w:endnoteRef/>
      </w:r>
      <w:r>
        <w:rPr/>
        <w:tab/>
      </w:r>
      <w:r>
        <w:rPr/>
        <w:t>Aanbeveling 31 van het ECP 2; nationale panels BE en NL.</w:t>
      </w:r>
    </w:p>
  </w:endnote>
  <w:endnote w:id="120">
    <w:p>
      <w:pPr>
        <w:pStyle w:val="Notedefin"/>
        <w:suppressLineNumbers/>
        <w:spacing w:before="57" w:after="57"/>
        <w:ind w:left="339" w:right="0" w:hanging="339"/>
        <w:rPr/>
      </w:pPr>
      <w:r>
        <w:rPr>
          <w:rStyle w:val="Caractresdenotedefin"/>
        </w:rPr>
        <w:endnoteRef/>
      </w:r>
      <w:r>
        <w:rPr/>
        <w:tab/>
      </w:r>
      <w:r>
        <w:rPr/>
        <w:t>Amendementen nr. 19A van de werkgroep, herformulering om meer adequate tekst te produceren.</w:t>
      </w:r>
    </w:p>
  </w:endnote>
  <w:endnote w:id="121">
    <w:p>
      <w:pPr>
        <w:pStyle w:val="Notedefin"/>
        <w:suppressLineNumbers/>
        <w:spacing w:before="57" w:after="57"/>
        <w:ind w:left="339" w:right="0" w:hanging="339"/>
        <w:rPr/>
      </w:pPr>
      <w:r>
        <w:rPr>
          <w:rStyle w:val="Caractresdenotedefin"/>
        </w:rPr>
        <w:endnoteRef/>
      </w:r>
      <w:r>
        <w:rPr/>
        <w:tab/>
      </w:r>
      <w:r>
        <w:rPr/>
        <w:t>Amendement nr. 21 van de werkgroep, compromis.</w:t>
      </w:r>
    </w:p>
  </w:endnote>
  <w:endnote w:id="122">
    <w:p>
      <w:pPr>
        <w:pStyle w:val="Notedefin"/>
        <w:suppressLineNumbers/>
        <w:spacing w:before="57" w:after="57"/>
        <w:ind w:left="339" w:right="0" w:hanging="339"/>
        <w:rPr/>
      </w:pPr>
      <w:r>
        <w:rPr>
          <w:rStyle w:val="Caractresdenotedefin"/>
        </w:rPr>
        <w:endnoteRef/>
      </w:r>
      <w:r>
        <w:rPr/>
        <w:tab/>
      </w:r>
      <w:r>
        <w:rPr/>
        <w:t>Nationale panels BE en FR.</w:t>
      </w:r>
    </w:p>
  </w:endnote>
  <w:endnote w:id="123">
    <w:p>
      <w:pPr>
        <w:pStyle w:val="Notedefin"/>
        <w:suppressLineNumbers/>
        <w:spacing w:before="57" w:after="57"/>
        <w:ind w:left="339" w:right="0" w:hanging="339"/>
        <w:rPr/>
      </w:pPr>
      <w:r>
        <w:rPr>
          <w:rStyle w:val="Caractresdenotedefin"/>
        </w:rPr>
        <w:endnoteRef/>
      </w:r>
      <w:r>
        <w:rPr/>
        <w:tab/>
      </w:r>
      <w:r>
        <w:rPr/>
        <w:t>Amendement 23B van de werkgroep.</w:t>
      </w:r>
    </w:p>
  </w:endnote>
  <w:endnote w:id="124">
    <w:p>
      <w:pPr>
        <w:pStyle w:val="Notedefin"/>
        <w:suppressLineNumbers/>
        <w:spacing w:before="57" w:after="57"/>
        <w:ind w:left="339" w:right="0" w:hanging="339"/>
        <w:rPr/>
      </w:pPr>
      <w:r>
        <w:rPr>
          <w:rStyle w:val="Caractresdenotedefin"/>
        </w:rPr>
        <w:endnoteRef/>
      </w:r>
      <w:r>
        <w:rPr/>
        <w:tab/>
      </w:r>
      <w:r>
        <w:rPr/>
        <w:t>Aanbeveling 27 van het ECP 2; nationaal panel BE.</w:t>
      </w:r>
    </w:p>
  </w:endnote>
  <w:endnote w:id="125">
    <w:p>
      <w:pPr>
        <w:pStyle w:val="Notedefin"/>
        <w:suppressLineNumbers/>
        <w:spacing w:before="57" w:after="57"/>
        <w:ind w:left="339" w:right="0" w:hanging="339"/>
        <w:rPr/>
      </w:pPr>
      <w:r>
        <w:rPr>
          <w:rStyle w:val="Caractresdenotedefin"/>
        </w:rPr>
        <w:endnoteRef/>
      </w:r>
      <w:r>
        <w:rPr/>
        <w:tab/>
      </w:r>
      <w:r>
        <w:rPr/>
        <w:t>Amendement 25C van de werkgroep.</w:t>
      </w:r>
    </w:p>
  </w:endnote>
  <w:endnote w:id="126">
    <w:p>
      <w:pPr>
        <w:pStyle w:val="Notedefin"/>
        <w:suppressLineNumbers/>
        <w:spacing w:before="57" w:after="57"/>
        <w:ind w:left="339" w:right="0" w:hanging="339"/>
        <w:rPr/>
      </w:pPr>
      <w:r>
        <w:rPr>
          <w:rStyle w:val="Caractresdenotedefin"/>
        </w:rPr>
        <w:endnoteRef/>
      </w:r>
      <w:r>
        <w:rPr/>
        <w:tab/>
      </w:r>
      <w:r>
        <w:rPr/>
        <w:t>Aanbeveling 14 van de ECP.</w:t>
      </w:r>
    </w:p>
  </w:endnote>
  <w:endnote w:id="127">
    <w:p>
      <w:pPr>
        <w:pStyle w:val="Notedefin"/>
        <w:suppressLineNumbers/>
        <w:spacing w:before="57" w:after="57"/>
        <w:ind w:left="339" w:right="0" w:hanging="339"/>
        <w:rPr/>
      </w:pPr>
      <w:r>
        <w:rPr>
          <w:rStyle w:val="Caractresdenotedefin"/>
        </w:rPr>
        <w:endnoteRef/>
      </w:r>
      <w:r>
        <w:rPr/>
        <w:tab/>
      </w:r>
      <w:r>
        <w:rPr/>
        <w:t>ECP-aanbeveling nr. 18. NB: De vertegenwoordigers van de burgers legden uit dat dit mechanisme met voorzichtigheid moet worden ontworpen en gebruikt.</w:t>
      </w:r>
    </w:p>
  </w:endnote>
  <w:endnote w:id="128">
    <w:p>
      <w:pPr>
        <w:pStyle w:val="Notedefin"/>
        <w:suppressLineNumbers/>
        <w:spacing w:before="57" w:after="57"/>
        <w:ind w:left="339" w:right="0" w:hanging="339"/>
        <w:rPr/>
      </w:pPr>
      <w:r>
        <w:rPr>
          <w:rStyle w:val="Caractresdenotedefin"/>
        </w:rPr>
        <w:endnoteRef/>
      </w:r>
      <w:r>
        <w:rPr/>
        <w:tab/>
      </w:r>
      <w:r>
        <w:rPr/>
        <w:t>De amendementen 28E, 28G en 28H van de werkgroep.</w:t>
      </w:r>
    </w:p>
  </w:endnote>
  <w:endnote w:id="129">
    <w:p>
      <w:pPr>
        <w:pStyle w:val="Notedefin"/>
        <w:suppressLineNumbers/>
        <w:spacing w:before="57" w:after="57"/>
        <w:ind w:left="339" w:right="0" w:hanging="339"/>
        <w:rPr/>
      </w:pPr>
      <w:r>
        <w:rPr>
          <w:rStyle w:val="Caractresdenotedefin"/>
        </w:rPr>
        <w:endnoteRef/>
      </w:r>
      <w:r>
        <w:rPr/>
        <w:tab/>
      </w:r>
      <w:r>
        <w:rPr/>
        <w:t>Aanbeveling 16 van het ECP 2; Nationaal panel nr. 20, verdeeld over transnationale lijsten.</w:t>
      </w:r>
    </w:p>
  </w:endnote>
  <w:endnote w:id="130">
    <w:p>
      <w:pPr>
        <w:pStyle w:val="Notedefin"/>
        <w:suppressLineNumbers/>
        <w:spacing w:before="57" w:after="57"/>
        <w:ind w:left="339" w:right="0" w:hanging="339"/>
        <w:rPr/>
      </w:pPr>
      <w:r>
        <w:rPr>
          <w:rStyle w:val="Caractresdenotedefin"/>
        </w:rPr>
        <w:endnoteRef/>
      </w:r>
      <w:r>
        <w:rPr/>
        <w:tab/>
      </w:r>
      <w:r>
        <w:rPr/>
        <w:t>Op basis van aanbeveling 16 van het ECP 2; discussie in GT.</w:t>
      </w:r>
    </w:p>
  </w:endnote>
  <w:endnote w:id="131">
    <w:p>
      <w:pPr>
        <w:pStyle w:val="Notedefin"/>
        <w:suppressLineNumbers/>
        <w:spacing w:before="57" w:after="57"/>
        <w:ind w:left="339" w:right="0" w:hanging="339"/>
        <w:rPr/>
      </w:pPr>
      <w:r>
        <w:rPr>
          <w:rStyle w:val="Caractresdenotedefin"/>
        </w:rPr>
        <w:endnoteRef/>
      </w:r>
      <w:r>
        <w:rPr/>
        <w:tab/>
      </w:r>
      <w:r>
        <w:rPr/>
        <w:t>ECP 2 Aanbeveling 19 en meertalig digitaal platform (MNP).</w:t>
      </w:r>
    </w:p>
  </w:endnote>
  <w:endnote w:id="132">
    <w:p>
      <w:pPr>
        <w:pStyle w:val="Notedefin"/>
        <w:suppressLineNumbers/>
        <w:spacing w:before="57" w:after="57"/>
        <w:ind w:left="339" w:right="0" w:hanging="339"/>
        <w:rPr/>
      </w:pPr>
      <w:r>
        <w:rPr>
          <w:rStyle w:val="Caractresdenotedefin"/>
        </w:rPr>
        <w:endnoteRef/>
      </w:r>
      <w:r>
        <w:rPr/>
        <w:tab/>
      </w:r>
      <w:r>
        <w:rPr/>
        <w:t>HET EESC.</w:t>
      </w:r>
    </w:p>
  </w:endnote>
  <w:endnote w:id="133">
    <w:p>
      <w:pPr>
        <w:pStyle w:val="Notedefin"/>
        <w:suppressLineNumbers/>
        <w:spacing w:before="57" w:after="57"/>
        <w:ind w:left="339" w:right="0" w:hanging="339"/>
        <w:rPr/>
      </w:pPr>
      <w:r>
        <w:rPr>
          <w:rStyle w:val="Caractresdenotedefin"/>
        </w:rPr>
        <w:endnoteRef/>
      </w:r>
      <w:r>
        <w:rPr/>
        <w:tab/>
      </w:r>
      <w:r>
        <w:rPr/>
        <w:t>Amendement 32B van de werkgroep.</w:t>
      </w:r>
    </w:p>
  </w:endnote>
  <w:endnote w:id="134">
    <w:p>
      <w:pPr>
        <w:pStyle w:val="Notedefin"/>
        <w:suppressLineNumbers/>
        <w:spacing w:before="57" w:after="57"/>
        <w:ind w:left="339" w:right="0" w:hanging="339"/>
        <w:rPr/>
      </w:pPr>
      <w:r>
        <w:rPr>
          <w:rStyle w:val="Caractresdenotedefin"/>
        </w:rPr>
        <w:endnoteRef/>
      </w:r>
      <w:r>
        <w:rPr/>
        <w:tab/>
      </w:r>
      <w:r>
        <w:rPr/>
        <w:t>Aanbeveling 36 van het ECP 2; nationale panels BE en FR.</w:t>
      </w:r>
    </w:p>
  </w:endnote>
  <w:endnote w:id="135">
    <w:p>
      <w:pPr>
        <w:pStyle w:val="Notedefin"/>
        <w:suppressLineNumbers/>
        <w:spacing w:before="57" w:after="57"/>
        <w:ind w:left="339" w:right="0" w:hanging="339"/>
        <w:rPr/>
      </w:pPr>
      <w:r>
        <w:rPr>
          <w:rStyle w:val="Caractresdenotedefin"/>
        </w:rPr>
        <w:endnoteRef/>
      </w:r>
      <w:r>
        <w:rPr/>
        <w:tab/>
      </w:r>
      <w:r>
        <w:rPr/>
        <w:t>Nationale jury FR („verkiezing van de voorzitter van de Europese Commissie door algemeen kiesrecht”); PNM (Final Kantar Report: een groep bijdragen betreft de rechtstreekse verkiezing van de voorzitter van de Commissie door de burgers.</w:t>
      </w:r>
    </w:p>
  </w:endnote>
  <w:endnote w:id="136">
    <w:p>
      <w:pPr>
        <w:pStyle w:val="Notedefin"/>
        <w:suppressLineNumbers/>
        <w:spacing w:before="57" w:after="57"/>
        <w:ind w:left="339" w:right="0" w:hanging="339"/>
        <w:rPr/>
      </w:pPr>
      <w:r>
        <w:rPr>
          <w:rStyle w:val="Caractresdenotedefin"/>
        </w:rPr>
        <w:endnoteRef/>
      </w:r>
      <w:r>
        <w:rPr/>
        <w:tab/>
      </w:r>
      <w:r>
        <w:rPr/>
        <w:t>Amendement 34C van de werkgroep.</w:t>
      </w:r>
    </w:p>
  </w:endnote>
  <w:endnote w:id="137">
    <w:p>
      <w:pPr>
        <w:pStyle w:val="Notedefin"/>
        <w:suppressLineNumbers/>
        <w:spacing w:before="57" w:after="57"/>
        <w:ind w:left="339" w:right="0" w:hanging="339"/>
        <w:rPr/>
      </w:pPr>
      <w:r>
        <w:rPr>
          <w:rStyle w:val="Caractresdenotedefin"/>
        </w:rPr>
        <w:endnoteRef/>
      </w:r>
      <w:r>
        <w:rPr/>
        <w:tab/>
      </w:r>
      <w:r>
        <w:rPr/>
        <w:t>Nationaal panel BE (3.2), nationaal panel FR (11) PNM (eindrapport Kantar: „Wat het Europees Parlement betreft, eisen de contribuanten het vaakst dat het daadwerkelijk wetgevingsinitiatief krijgt”).</w:t>
      </w:r>
    </w:p>
  </w:endnote>
  <w:endnote w:id="138">
    <w:p>
      <w:pPr>
        <w:pStyle w:val="Notedefin"/>
        <w:suppressLineNumbers/>
        <w:spacing w:before="57" w:after="57"/>
        <w:ind w:left="339" w:right="0" w:hanging="339"/>
        <w:rPr/>
      </w:pPr>
      <w:r>
        <w:rPr>
          <w:rStyle w:val="Caractresdenotedefin"/>
        </w:rPr>
        <w:endnoteRef/>
      </w:r>
      <w:r>
        <w:rPr/>
        <w:tab/>
      </w:r>
      <w:r>
        <w:rPr/>
        <w:t>PNM (Final Kantar Report: „Met betrekking tot het Europees Parlement zijn er ook verzoeken om het Europees Parlement begrotingsbevoegdheden toe te kennen”).</w:t>
      </w:r>
    </w:p>
  </w:endnote>
  <w:endnote w:id="139">
    <w:p>
      <w:pPr>
        <w:pStyle w:val="Notedefin"/>
        <w:suppressLineNumbers/>
        <w:spacing w:before="57" w:after="57"/>
        <w:ind w:left="339" w:right="0" w:hanging="339"/>
        <w:rPr/>
      </w:pPr>
      <w:r>
        <w:rPr>
          <w:rStyle w:val="Caractresdenotedefin"/>
        </w:rPr>
        <w:endnoteRef/>
      </w:r>
      <w:r>
        <w:rPr/>
        <w:tab/>
      </w:r>
      <w:r>
        <w:rPr/>
        <w:t>PNM (Final Kantar Report: Volgens een andere bijdrage moeten partijen toegankelijker worden voor mensen met een verschillende culturele of sociaal-economische achtergrond.</w:t>
      </w:r>
    </w:p>
  </w:endnote>
  <w:endnote w:id="140">
    <w:p>
      <w:pPr>
        <w:pStyle w:val="Notedefin"/>
        <w:suppressLineNumbers/>
        <w:spacing w:before="57" w:after="57"/>
        <w:ind w:left="339" w:right="0" w:hanging="339"/>
        <w:rPr/>
      </w:pPr>
      <w:r>
        <w:rPr>
          <w:rStyle w:val="Caractresdenotedefin"/>
        </w:rPr>
        <w:endnoteRef/>
      </w:r>
      <w:r>
        <w:rPr/>
        <w:tab/>
      </w:r>
      <w:r>
        <w:rPr/>
        <w:t>CvdR in WG.</w:t>
      </w:r>
    </w:p>
  </w:endnote>
  <w:endnote w:id="141">
    <w:p>
      <w:pPr>
        <w:pStyle w:val="Notedefin"/>
        <w:suppressLineNumbers/>
        <w:spacing w:before="57" w:after="57"/>
        <w:ind w:left="339" w:right="0" w:hanging="339"/>
        <w:rPr/>
      </w:pPr>
      <w:r>
        <w:rPr>
          <w:rStyle w:val="Caractresdenotedefin"/>
        </w:rPr>
        <w:endnoteRef/>
      </w:r>
      <w:r>
        <w:rPr/>
        <w:tab/>
      </w:r>
      <w:r>
        <w:rPr/>
        <w:t>Amendement 38 van de werkgroep, compromistekst.</w:t>
      </w:r>
    </w:p>
  </w:endnote>
  <w:endnote w:id="142">
    <w:p>
      <w:pPr>
        <w:pStyle w:val="Notedefin"/>
        <w:suppressLineNumbers/>
        <w:spacing w:before="57" w:after="57"/>
        <w:ind w:left="339" w:right="0" w:hanging="339"/>
        <w:rPr/>
      </w:pPr>
      <w:r>
        <w:rPr>
          <w:rStyle w:val="Caractresdenotedefin"/>
        </w:rPr>
        <w:endnoteRef/>
      </w:r>
      <w:r>
        <w:rPr/>
        <w:tab/>
      </w:r>
      <w:r>
        <w:rPr/>
        <w:t>ECP-aanbeveling nr. 20 2.</w:t>
      </w:r>
    </w:p>
  </w:endnote>
  <w:endnote w:id="143">
    <w:p>
      <w:pPr>
        <w:pStyle w:val="Notedefin"/>
        <w:suppressLineNumbers/>
        <w:spacing w:before="57" w:after="57"/>
        <w:ind w:left="339" w:right="0" w:hanging="339"/>
        <w:rPr/>
      </w:pPr>
      <w:r>
        <w:rPr>
          <w:rStyle w:val="Caractresdenotedefin"/>
        </w:rPr>
        <w:endnoteRef/>
      </w:r>
      <w:r>
        <w:rPr/>
        <w:tab/>
      </w:r>
      <w:r>
        <w:rPr/>
        <w:t>ECP-aanbeveling nr. 21 4.</w:t>
      </w:r>
    </w:p>
  </w:endnote>
  <w:endnote w:id="144">
    <w:p>
      <w:pPr>
        <w:pStyle w:val="Notedefin"/>
        <w:suppressLineNumbers/>
        <w:spacing w:before="57" w:after="57"/>
        <w:ind w:left="339" w:right="0" w:hanging="339"/>
        <w:rPr/>
      </w:pPr>
      <w:r>
        <w:rPr>
          <w:rStyle w:val="Caractresdenotedefin"/>
        </w:rPr>
        <w:endnoteRef/>
      </w:r>
      <w:r>
        <w:rPr/>
        <w:tab/>
      </w:r>
      <w:r>
        <w:rPr/>
        <w:t>Amendement 43 van de werkgroep.</w:t>
      </w:r>
    </w:p>
  </w:endnote>
  <w:endnote w:id="145">
    <w:p>
      <w:pPr>
        <w:pStyle w:val="Notedefin"/>
        <w:suppressLineNumbers/>
        <w:spacing w:before="57" w:after="57"/>
        <w:ind w:left="339" w:right="0" w:hanging="339"/>
        <w:rPr/>
      </w:pPr>
      <w:r>
        <w:rPr>
          <w:rStyle w:val="Caractresdenotedefin"/>
        </w:rPr>
        <w:endnoteRef/>
      </w:r>
      <w:r>
        <w:rPr/>
        <w:tab/>
      </w:r>
      <w:r>
        <w:rPr/>
        <w:t>Aanbeveling 34 van het ECP 2; nationaal Panel NL.</w:t>
      </w:r>
    </w:p>
  </w:endnote>
  <w:endnote w:id="146">
    <w:p>
      <w:pPr>
        <w:pStyle w:val="Notedefin"/>
        <w:suppressLineNumbers/>
        <w:spacing w:before="57" w:after="57"/>
        <w:ind w:left="339" w:right="0" w:hanging="339"/>
        <w:rPr/>
      </w:pPr>
      <w:r>
        <w:rPr>
          <w:rStyle w:val="Caractresdenotedefin"/>
        </w:rPr>
        <w:endnoteRef/>
      </w:r>
      <w:r>
        <w:rPr/>
        <w:tab/>
      </w:r>
      <w:r>
        <w:rPr/>
        <w:t>Debat van de werkgroep op basis van aanbeveling 34 van het ECP 2; nationaal panel NL; PNM (Final Kantar Report: „Het vergroten van de transparantie en een grotere deelname van burgers aan het besluitvormingsproces van de EU worden ook ondersteund”.</w:t>
      </w:r>
    </w:p>
  </w:endnote>
  <w:endnote w:id="147">
    <w:p>
      <w:pPr>
        <w:pStyle w:val="Notedefin"/>
        <w:suppressLineNumbers/>
        <w:spacing w:before="57" w:after="57"/>
        <w:ind w:left="339" w:right="0" w:hanging="339"/>
        <w:rPr/>
      </w:pPr>
      <w:r>
        <w:rPr>
          <w:rStyle w:val="Caractresdenotedefin"/>
        </w:rPr>
        <w:endnoteRef/>
      </w:r>
      <w:r>
        <w:rPr/>
        <w:tab/>
      </w:r>
      <w:r>
        <w:rPr/>
        <w:t>Amendement 44A van de werkgroep.</w:t>
      </w:r>
    </w:p>
  </w:endnote>
  <w:endnote w:id="148">
    <w:p>
      <w:pPr>
        <w:pStyle w:val="Notedefin"/>
        <w:suppressLineNumbers/>
        <w:spacing w:before="57" w:after="57"/>
        <w:ind w:left="339" w:right="0" w:hanging="339"/>
        <w:rPr/>
      </w:pPr>
      <w:r>
        <w:rPr>
          <w:rStyle w:val="Caractresdenotedefin"/>
        </w:rPr>
        <w:endnoteRef/>
      </w:r>
      <w:r>
        <w:rPr/>
        <w:tab/>
      </w:r>
      <w:r>
        <w:rPr/>
        <w:t>Debat over de werkgroep (presentatie door de nationale parlementen en het CvdR).</w:t>
      </w:r>
    </w:p>
  </w:endnote>
  <w:endnote w:id="149">
    <w:p>
      <w:pPr>
        <w:pStyle w:val="Notedefin"/>
        <w:suppressLineNumbers/>
        <w:spacing w:before="57" w:after="57"/>
        <w:ind w:left="339" w:right="0" w:hanging="339"/>
        <w:rPr/>
      </w:pPr>
      <w:r>
        <w:rPr>
          <w:rStyle w:val="Caractresdenotedefin"/>
        </w:rPr>
        <w:endnoteRef/>
      </w:r>
      <w:r>
        <w:rPr/>
        <w:tab/>
      </w:r>
      <w:r>
        <w:rPr/>
        <w:t>Amendement 45C van de werkgroep.</w:t>
      </w:r>
    </w:p>
  </w:endnote>
  <w:endnote w:id="150">
    <w:p>
      <w:pPr>
        <w:pStyle w:val="Notedefin"/>
        <w:suppressLineNumbers/>
        <w:spacing w:before="57" w:after="57"/>
        <w:ind w:left="339" w:right="0" w:hanging="339"/>
        <w:rPr/>
      </w:pPr>
      <w:r>
        <w:rPr>
          <w:rStyle w:val="Caractresdenotedefin"/>
        </w:rPr>
        <w:endnoteRef/>
      </w:r>
      <w:r>
        <w:rPr/>
        <w:tab/>
      </w:r>
      <w:r>
        <w:rPr/>
        <w:t>Amendement 46B van de werkgroep.</w:t>
      </w:r>
    </w:p>
  </w:endnote>
  <w:endnote w:id="151">
    <w:p>
      <w:pPr>
        <w:pStyle w:val="Notedefin"/>
        <w:suppressLineNumbers/>
        <w:spacing w:before="57" w:after="57"/>
        <w:ind w:left="339" w:right="0" w:hanging="339"/>
        <w:rPr/>
      </w:pPr>
      <w:r>
        <w:rPr>
          <w:rStyle w:val="Caractresdenotedefin"/>
        </w:rPr>
        <w:endnoteRef/>
      </w:r>
      <w:r>
        <w:rPr/>
        <w:tab/>
      </w:r>
      <w:r>
        <w:rPr/>
        <w:t>ECP-aanbeveling nr. 15 2.</w:t>
      </w:r>
    </w:p>
  </w:endnote>
  <w:endnote w:id="152">
    <w:p>
      <w:pPr>
        <w:pStyle w:val="Notedefin"/>
        <w:suppressLineNumbers/>
        <w:spacing w:before="57" w:after="57"/>
        <w:ind w:left="339" w:right="0" w:hanging="339"/>
        <w:rPr/>
      </w:pPr>
      <w:r>
        <w:rPr>
          <w:rStyle w:val="Caractresdenotedefin"/>
        </w:rPr>
        <w:endnoteRef/>
      </w:r>
      <w:r>
        <w:rPr/>
        <w:tab/>
      </w:r>
      <w:r>
        <w:rPr/>
        <w:t>Debat van de werkgroep op basis van de noodzaak die in aanbeveling 15 van de ECP 2 wordt geuit om „de functies van de Europese instellingen te verduidelijken”; PNM (Final Kantar Report: „Er zijn ook suggesties om de wetgevende macht met twee camera’s in de EU te verdiepen.”)</w:t>
      </w:r>
    </w:p>
  </w:endnote>
  <w:endnote w:id="153">
    <w:p>
      <w:pPr>
        <w:pStyle w:val="Notedefin"/>
        <w:suppressLineNumbers/>
        <w:spacing w:before="57" w:after="57"/>
        <w:ind w:left="339" w:right="0" w:hanging="339"/>
        <w:rPr/>
      </w:pPr>
      <w:r>
        <w:rPr>
          <w:rStyle w:val="Caractresdenotedefin"/>
        </w:rPr>
        <w:endnoteRef/>
      </w:r>
      <w:r>
        <w:rPr/>
        <w:tab/>
      </w:r>
      <w:r>
        <w:rPr/>
        <w:t>Amendement 48B van de werkgroep.</w:t>
      </w:r>
    </w:p>
  </w:endnote>
  <w:endnote w:id="154">
    <w:p>
      <w:pPr>
        <w:pStyle w:val="Notedefin"/>
        <w:suppressLineNumbers/>
        <w:spacing w:before="57" w:after="57"/>
        <w:ind w:left="339" w:right="0" w:hanging="339"/>
        <w:rPr/>
      </w:pPr>
      <w:r>
        <w:rPr>
          <w:rStyle w:val="Caractresdenotedefin"/>
        </w:rPr>
        <w:endnoteRef/>
      </w:r>
      <w:r>
        <w:rPr/>
        <w:tab/>
      </w:r>
      <w:r>
        <w:rPr/>
        <w:t>ECP-aanbeveling nr. 15 2.</w:t>
      </w:r>
    </w:p>
  </w:endnote>
  <w:endnote w:id="155">
    <w:p>
      <w:pPr>
        <w:pStyle w:val="Notedefin"/>
        <w:suppressLineNumbers/>
        <w:spacing w:before="57" w:after="57"/>
        <w:ind w:left="339" w:right="0" w:hanging="339"/>
        <w:rPr/>
      </w:pPr>
      <w:r>
        <w:rPr>
          <w:rStyle w:val="Caractresdenotedefin"/>
        </w:rPr>
        <w:endnoteRef/>
      </w:r>
      <w:r>
        <w:rPr/>
        <w:tab/>
      </w:r>
      <w:r>
        <w:rPr/>
        <w:t>Discussies in de WG.</w:t>
      </w:r>
    </w:p>
  </w:endnote>
  <w:endnote w:id="156">
    <w:p>
      <w:pPr>
        <w:pStyle w:val="Notedefin"/>
        <w:suppressLineNumbers/>
        <w:spacing w:before="57" w:after="57"/>
        <w:ind w:left="339" w:right="0" w:hanging="339"/>
        <w:rPr/>
      </w:pPr>
      <w:r>
        <w:rPr>
          <w:rStyle w:val="Caractresdenotedefin"/>
        </w:rPr>
        <w:endnoteRef/>
      </w:r>
      <w:r>
        <w:rPr/>
        <w:tab/>
      </w:r>
      <w:r>
        <w:rPr/>
        <w:t>Amendement 52A van de werkgroep.</w:t>
      </w:r>
    </w:p>
  </w:endnote>
  <w:endnote w:id="157">
    <w:p>
      <w:pPr>
        <w:pStyle w:val="Notedefin"/>
        <w:suppressLineNumbers/>
        <w:spacing w:before="57" w:after="57"/>
        <w:ind w:left="339" w:right="0" w:hanging="339"/>
        <w:rPr/>
      </w:pPr>
      <w:r>
        <w:rPr>
          <w:rStyle w:val="Caractresdenotedefin"/>
        </w:rPr>
        <w:endnoteRef/>
      </w:r>
      <w:r>
        <w:rPr/>
        <w:tab/>
      </w:r>
      <w:r>
        <w:rPr/>
        <w:t>EESC, compromisformulering.</w:t>
      </w:r>
    </w:p>
  </w:endnote>
  <w:endnote w:id="158">
    <w:p>
      <w:pPr>
        <w:pStyle w:val="Notedefin"/>
        <w:suppressLineNumbers/>
        <w:spacing w:before="57" w:after="57"/>
        <w:ind w:left="339" w:right="0" w:hanging="339"/>
        <w:rPr/>
      </w:pPr>
      <w:r>
        <w:rPr>
          <w:rStyle w:val="Caractresdenotedefin"/>
        </w:rPr>
        <w:endnoteRef/>
      </w:r>
      <w:r>
        <w:rPr/>
        <w:tab/>
      </w:r>
      <w:r>
        <w:rPr/>
        <w:t>Aanbeveling 35, FR National Panel en gecombineerde wijzigingen van WG 51C en 51D.</w:t>
      </w:r>
    </w:p>
  </w:endnote>
  <w:endnote w:id="159">
    <w:p>
      <w:pPr>
        <w:pStyle w:val="Notedefin"/>
        <w:suppressLineNumbers/>
        <w:spacing w:before="57" w:after="57"/>
        <w:ind w:left="339" w:right="0" w:hanging="339"/>
        <w:rPr/>
      </w:pPr>
      <w:r>
        <w:rPr>
          <w:rStyle w:val="Caractresdenotedefin"/>
        </w:rPr>
        <w:endnoteRef/>
      </w:r>
      <w:r>
        <w:rPr/>
        <w:tab/>
      </w:r>
      <w:r>
        <w:rPr/>
        <w:t>Amendement 53D van de werkgroep.</w:t>
      </w:r>
    </w:p>
  </w:endnote>
  <w:endnote w:id="160">
    <w:p>
      <w:pPr>
        <w:pStyle w:val="Notedefin"/>
        <w:suppressLineNumbers/>
        <w:spacing w:before="57" w:after="57"/>
        <w:ind w:left="339" w:right="0" w:hanging="339"/>
        <w:rPr/>
      </w:pPr>
      <w:r>
        <w:rPr>
          <w:rStyle w:val="Caractresdenotedefin"/>
        </w:rPr>
        <w:endnoteRef/>
      </w:r>
      <w:r>
        <w:rPr/>
        <w:tab/>
      </w:r>
      <w:r>
        <w:rPr/>
        <w:t>Discussie in WG; nationale parlementen.</w:t>
      </w:r>
    </w:p>
  </w:endnote>
  <w:endnote w:id="161">
    <w:p>
      <w:pPr>
        <w:pStyle w:val="Notedefin"/>
        <w:spacing w:before="57" w:after="57"/>
        <w:rPr/>
      </w:pPr>
      <w:r>
        <w:rPr>
          <w:rStyle w:val="Caractresdenotedefin"/>
        </w:rPr>
        <w:endnoteRef/>
      </w:r>
      <w:r>
        <w:rPr/>
        <w:tab/>
      </w:r>
      <w:r>
        <w:rPr/>
        <w:t>Discussie in WG; CvdR en EESC; Eindverslag Kantar, blz. 85.</w:t>
      </w:r>
    </w:p>
  </w:endnote>
  <w:endnote w:id="162">
    <w:p>
      <w:pPr>
        <w:pStyle w:val="Notedefin"/>
        <w:suppressLineNumbers/>
        <w:spacing w:before="57" w:after="57"/>
        <w:ind w:left="339" w:right="0" w:hanging="339"/>
        <w:rPr/>
      </w:pPr>
      <w:r>
        <w:rPr>
          <w:rStyle w:val="Caractresdenotedefin"/>
        </w:rPr>
        <w:endnoteRef/>
      </w:r>
      <w:r>
        <w:rPr/>
        <w:tab/>
      </w:r>
      <w:r>
        <w:rPr/>
        <w:t>Amendement 58B van de werkgroep.</w:t>
      </w:r>
    </w:p>
  </w:endnote>
  <w:endnote w:id="163">
    <w:p>
      <w:pPr>
        <w:pStyle w:val="Notedefin"/>
        <w:suppressLineNumbers/>
        <w:spacing w:before="57" w:after="57"/>
        <w:ind w:left="339" w:right="0" w:hanging="339"/>
        <w:rPr/>
      </w:pPr>
      <w:r>
        <w:rPr>
          <w:rStyle w:val="Caractresdenotedefin"/>
        </w:rPr>
        <w:endnoteRef/>
      </w:r>
      <w:r>
        <w:rPr/>
        <w:tab/>
      </w:r>
      <w:r>
        <w:rPr/>
        <w:t>Amendement 59B van de werkgroep.</w:t>
      </w:r>
    </w:p>
  </w:endnote>
  <w:endnote w:id="164">
    <w:p>
      <w:pPr>
        <w:pStyle w:val="Notedefin"/>
        <w:suppressLineNumbers/>
        <w:spacing w:before="57" w:after="57"/>
        <w:ind w:left="339" w:right="0" w:hanging="339"/>
        <w:rPr/>
      </w:pPr>
      <w:r>
        <w:rPr>
          <w:rStyle w:val="Caractresdenotedefin"/>
        </w:rPr>
        <w:endnoteRef/>
      </w:r>
      <w:r>
        <w:rPr/>
        <w:tab/>
      </w:r>
      <w:r>
        <w:rPr/>
        <w:t>Discussie in WG; sociale partners en andere leden.</w:t>
      </w:r>
    </w:p>
  </w:endnote>
  <w:endnote w:id="165">
    <w:p>
      <w:pPr>
        <w:pStyle w:val="Notedefin"/>
        <w:suppressLineNumbers/>
        <w:spacing w:before="57" w:after="57"/>
        <w:ind w:left="339" w:right="0" w:hanging="339"/>
        <w:rPr/>
      </w:pPr>
      <w:r>
        <w:rPr>
          <w:rStyle w:val="Caractresdenotedefin"/>
        </w:rPr>
        <w:endnoteRef/>
      </w:r>
      <w:r>
        <w:rPr/>
        <w:tab/>
      </w:r>
      <w:r>
        <w:rPr/>
        <w:t>Amendement 63A van de werkgroep, compromistekst.</w:t>
      </w:r>
    </w:p>
  </w:endnote>
  <w:endnote w:id="166">
    <w:p>
      <w:pPr>
        <w:pStyle w:val="Notedefin"/>
        <w:suppressLineNumbers/>
        <w:spacing w:before="57" w:after="57"/>
        <w:ind w:left="339" w:right="0" w:hanging="339"/>
        <w:rPr/>
      </w:pPr>
      <w:r>
        <w:rPr>
          <w:rStyle w:val="Caractresdenotedefin"/>
        </w:rPr>
        <w:endnoteRef/>
      </w:r>
      <w:r>
        <w:rPr/>
        <w:tab/>
      </w:r>
      <w:r>
        <w:rPr/>
        <w:t>Aanbevelingen van de burgers waarop het voorstel is gebaseerd: Europees burgerpanel nr. 4 (ECP 4) nr.</w:t>
      </w:r>
      <w:r>
        <w:rPr>
          <w:vertAlign w:val="superscript"/>
        </w:rPr>
        <w:t>6</w:t>
      </w:r>
      <w:r>
        <w:rPr/>
        <w:t>, 7, 9, 28 en 30, Litouwen nr. 9.</w:t>
      </w:r>
    </w:p>
  </w:endnote>
  <w:endnote w:id="167">
    <w:p>
      <w:pPr>
        <w:pStyle w:val="Notedefin"/>
        <w:suppressLineNumbers/>
        <w:spacing w:before="57" w:after="57"/>
        <w:ind w:left="339" w:right="0" w:hanging="339"/>
        <w:rPr/>
      </w:pPr>
      <w:r>
        <w:rPr>
          <w:rStyle w:val="Caractresdenotedefin"/>
        </w:rPr>
        <w:endnoteRef/>
      </w:r>
      <w:r>
        <w:rPr/>
        <w:tab/>
      </w:r>
      <w:r>
        <w:rPr/>
        <w:t>Aanbevelingen van de burgers waarop het voorstel is gebaseerd: Europees burgerpanel nr. 4 (ECP 4) nr.</w:t>
      </w:r>
      <w:r>
        <w:rPr>
          <w:vertAlign w:val="superscript"/>
        </w:rPr>
        <w:t>8</w:t>
      </w:r>
      <w:r>
        <w:rPr/>
        <w:t xml:space="preserve"> en 27, Litouwen nr. 10, Nederland nr. 3.</w:t>
      </w:r>
    </w:p>
  </w:endnote>
  <w:endnote w:id="168">
    <w:p>
      <w:pPr>
        <w:pStyle w:val="Notedefin"/>
        <w:suppressLineNumbers/>
        <w:spacing w:before="57" w:after="57"/>
        <w:ind w:left="339" w:right="0" w:hanging="339"/>
        <w:rPr/>
      </w:pPr>
      <w:r>
        <w:rPr>
          <w:rStyle w:val="Caractresdenotedefin"/>
        </w:rPr>
        <w:endnoteRef/>
      </w:r>
      <w:r>
        <w:rPr/>
        <w:tab/>
        <w:t xml:space="preserve"> </w:t>
      </w:r>
      <w:r>
        <w:rPr/>
        <w:t>Aanbevelingen van de burgers waarop het voorstel is gebaseerd: Europees burgerpanel nr. 4 (PCE 4) nr.</w:t>
      </w:r>
      <w:r>
        <w:rPr>
          <w:vertAlign w:val="superscript"/>
        </w:rPr>
        <w:t>10</w:t>
      </w:r>
      <w:r>
        <w:rPr/>
        <w:t>, 35 en 38.</w:t>
      </w:r>
    </w:p>
  </w:endnote>
  <w:endnote w:id="169">
    <w:p>
      <w:pPr>
        <w:pStyle w:val="Notedefin"/>
        <w:suppressLineNumbers/>
        <w:spacing w:before="57" w:after="57"/>
        <w:ind w:left="339" w:right="0" w:hanging="339"/>
        <w:rPr/>
      </w:pPr>
      <w:r>
        <w:rPr>
          <w:rStyle w:val="Caractresdenotedefin"/>
        </w:rPr>
        <w:endnoteRef/>
      </w:r>
      <w:r>
        <w:rPr/>
        <w:tab/>
        <w:t xml:space="preserve"> </w:t>
      </w:r>
      <w:r>
        <w:rPr/>
        <w:t>Aanbevelingen van de burgers waarop het voorstel is gebaseerd: Europees burgerpanel nr. 4 (ECP 4) nr.</w:t>
      </w:r>
      <w:r>
        <w:rPr>
          <w:vertAlign w:val="superscript"/>
        </w:rPr>
        <w:t>29</w:t>
      </w:r>
      <w:r>
        <w:rPr/>
        <w:t>, 31, 33, 36, 37, 38, 39 en 40, Italië nrs.</w:t>
      </w:r>
      <w:r>
        <w:rPr>
          <w:vertAlign w:val="superscript"/>
        </w:rPr>
        <w:t>3.8</w:t>
      </w:r>
      <w:r>
        <w:rPr/>
        <w:t>, 4.4 (blz. 15) en 5.6 (blz. 11), Litouwen</w:t>
      </w:r>
      <w:r>
        <w:rPr>
          <w:vertAlign w:val="superscript"/>
        </w:rPr>
        <w:t>nrs.</w:t>
      </w:r>
      <w:r>
        <w:rPr/>
        <w:t xml:space="preserve"> 2 en 3, Nederland nrs. 1 en 2.</w:t>
      </w:r>
    </w:p>
  </w:endnote>
  <w:endnote w:id="170">
    <w:p>
      <w:pPr>
        <w:pStyle w:val="Notedefin"/>
        <w:spacing w:before="57" w:after="57"/>
        <w:rPr/>
      </w:pPr>
      <w:r>
        <w:rPr>
          <w:rStyle w:val="Caractresdenotedefin"/>
        </w:rPr>
        <w:endnoteRef/>
      </w:r>
      <w:r>
        <w:rPr/>
        <w:tab/>
        <w:t xml:space="preserve"> </w:t>
      </w:r>
      <w:r>
        <w:rPr/>
        <w:t>Aanbevelingen van de burgers waarop het voorstel is gebaseerd: Europees burgerpanel nr. 4 (PCE 4) nr.</w:t>
      </w:r>
      <w:r>
        <w:rPr>
          <w:vertAlign w:val="superscript"/>
        </w:rPr>
        <w:t>7</w:t>
      </w:r>
      <w:r>
        <w:rPr/>
        <w:t xml:space="preserve"> en 32, Frankrijk nr. 13.</w:t>
      </w:r>
    </w:p>
  </w:endnote>
  <w:endnote w:id="171">
    <w:p>
      <w:pPr>
        <w:pStyle w:val="Notedefin"/>
        <w:suppressLineNumbers/>
        <w:spacing w:before="57" w:after="57"/>
        <w:ind w:left="339" w:right="0" w:hanging="339"/>
        <w:rPr/>
      </w:pPr>
      <w:r>
        <w:rPr>
          <w:rStyle w:val="Caractresdenotedefin"/>
        </w:rPr>
        <w:endnoteRef/>
      </w:r>
      <w:r>
        <w:rPr/>
        <w:tab/>
        <w:t xml:space="preserve"> </w:t>
      </w:r>
      <w:r>
        <w:rPr/>
        <w:t>Franse PCN, wijziging 6.</w:t>
      </w:r>
    </w:p>
  </w:endnote>
  <w:endnote w:id="172">
    <w:p>
      <w:pPr>
        <w:pStyle w:val="Notedefin"/>
        <w:suppressLineNumbers/>
        <w:spacing w:before="57" w:after="57"/>
        <w:ind w:left="339" w:right="0" w:hanging="339"/>
        <w:rPr/>
      </w:pPr>
      <w:r>
        <w:rPr>
          <w:rStyle w:val="Caractresdenotedefin"/>
        </w:rPr>
        <w:endnoteRef/>
      </w:r>
      <w:r>
        <w:rPr/>
        <w:tab/>
      </w:r>
      <w:r>
        <w:rPr/>
        <w:t>ECP-aanbeveling 37 1.</w:t>
      </w:r>
    </w:p>
  </w:endnote>
  <w:endnote w:id="173">
    <w:p>
      <w:pPr>
        <w:pStyle w:val="Notedefin"/>
        <w:suppressLineNumbers/>
        <w:spacing w:before="57" w:after="57"/>
        <w:ind w:left="339" w:right="0" w:hanging="339"/>
        <w:rPr/>
      </w:pPr>
      <w:r>
        <w:rPr>
          <w:rStyle w:val="Caractresdenotedefin"/>
        </w:rPr>
        <w:endnoteRef/>
      </w:r>
      <w:r>
        <w:rPr/>
        <w:tab/>
      </w:r>
      <w:r>
        <w:rPr/>
        <w:t>Aanbeveling 3 van de ECP. Franse PCN, wijziging 6.</w:t>
      </w:r>
    </w:p>
  </w:endnote>
  <w:endnote w:id="174">
    <w:p>
      <w:pPr>
        <w:pStyle w:val="Notedefin"/>
        <w:suppressLineNumbers/>
        <w:spacing w:before="57" w:after="57"/>
        <w:ind w:left="339" w:right="0" w:hanging="339"/>
        <w:rPr/>
      </w:pPr>
      <w:r>
        <w:rPr>
          <w:rStyle w:val="Caractresdenotedefin"/>
        </w:rPr>
        <w:endnoteRef/>
      </w:r>
      <w:r>
        <w:rPr/>
        <w:tab/>
        <w:t xml:space="preserve"> </w:t>
      </w:r>
      <w:r>
        <w:rPr/>
        <w:t>ECP-aanbeveling 41 1.</w:t>
      </w:r>
    </w:p>
  </w:endnote>
  <w:endnote w:id="175">
    <w:p>
      <w:pPr>
        <w:pStyle w:val="Notedefin"/>
        <w:suppressLineNumbers/>
        <w:spacing w:before="57" w:after="57"/>
        <w:ind w:left="339" w:right="0" w:hanging="339"/>
        <w:rPr/>
      </w:pPr>
      <w:r>
        <w:rPr>
          <w:rStyle w:val="Caractresdenotedefin"/>
        </w:rPr>
        <w:endnoteRef/>
      </w:r>
      <w:r>
        <w:rPr/>
        <w:tab/>
        <w:t xml:space="preserve"> </w:t>
      </w:r>
      <w:r>
        <w:rPr/>
        <w:t>Dit wordt nader besproken door de werkgroep Europese democratie. Zie Aanbeveling nr. 24 van de ECP 2, Aanbevelingen 1.1, 1.2 en 2.12 van het Belgische NCP en de Italiaanse NCP-aanbeveling inzake „Inclusiebeleid”.</w:t>
      </w:r>
    </w:p>
  </w:endnote>
  <w:endnote w:id="176">
    <w:p>
      <w:pPr>
        <w:pStyle w:val="Notedefin"/>
        <w:suppressLineNumbers/>
        <w:spacing w:before="57" w:after="57"/>
        <w:ind w:left="339" w:right="0" w:hanging="339"/>
        <w:rPr/>
      </w:pPr>
      <w:r>
        <w:rPr>
          <w:rStyle w:val="Caractresdenotedefin"/>
        </w:rPr>
        <w:endnoteRef/>
      </w:r>
      <w:r>
        <w:rPr/>
        <w:tab/>
      </w:r>
      <w:r>
        <w:rPr/>
        <w:t>Aanbeveling van het Italiaanse NCP inzake „inclusiebeleid”.</w:t>
      </w:r>
    </w:p>
  </w:endnote>
  <w:endnote w:id="177">
    <w:p>
      <w:pPr>
        <w:pStyle w:val="Notedefin"/>
        <w:suppressLineNumbers/>
        <w:spacing w:before="57" w:after="57"/>
        <w:ind w:left="339" w:right="0" w:hanging="339"/>
        <w:rPr/>
      </w:pPr>
      <w:r>
        <w:rPr>
          <w:rStyle w:val="Caractresdenotedefin"/>
        </w:rPr>
        <w:endnoteRef/>
      </w:r>
      <w:r>
        <w:rPr/>
        <w:tab/>
      </w:r>
      <w:r>
        <w:rPr/>
        <w:t>Dit wordt nader besproken door de Werkgroep Digitale Transformatie. Zie de aanbevelingen nrs. 8 en 34 van het ECP 1.</w:t>
      </w:r>
    </w:p>
  </w:endnote>
  <w:endnote w:id="178">
    <w:p>
      <w:pPr>
        <w:pStyle w:val="Notedefin"/>
        <w:suppressLineNumbers/>
        <w:spacing w:before="57" w:after="57"/>
        <w:ind w:left="339" w:right="0" w:hanging="339"/>
        <w:rPr/>
      </w:pPr>
      <w:r>
        <w:rPr>
          <w:rStyle w:val="Caractresdenotedefin"/>
        </w:rPr>
        <w:endnoteRef/>
      </w:r>
      <w:r>
        <w:rPr/>
        <w:tab/>
      </w:r>
      <w:r>
        <w:rPr/>
        <w:t>Aanbeveling van het Italiaanse NCP „Het aanmoedigen van jongeren om wetenschappelijke onderwerpen te bestuderen”.</w:t>
      </w:r>
    </w:p>
  </w:endnote>
  <w:endnote w:id="179">
    <w:p>
      <w:pPr>
        <w:pStyle w:val="Notedefin"/>
        <w:suppressLineNumbers/>
        <w:spacing w:before="57" w:after="57"/>
        <w:ind w:left="339" w:right="0" w:hanging="339"/>
        <w:rPr/>
      </w:pPr>
      <w:r>
        <w:rPr>
          <w:rStyle w:val="Caractresdenotedefin"/>
        </w:rPr>
        <w:endnoteRef/>
      </w:r>
      <w:r>
        <w:rPr/>
        <w:tab/>
      </w:r>
      <w:r>
        <w:rPr/>
        <w:t>PCE-aanbevelingen 33 en 48 1. Ook behandeld door de werkgroep digitale transformatie. Zie Aanbeveling 47 van het ECP 1 over gezond internetgebruik.</w:t>
      </w:r>
    </w:p>
  </w:endnote>
  <w:endnote w:id="180">
    <w:p>
      <w:pPr>
        <w:pStyle w:val="Notedefin"/>
        <w:suppressLineNumbers/>
        <w:spacing w:before="57" w:after="57"/>
        <w:ind w:left="339" w:right="0" w:hanging="339"/>
        <w:rPr/>
      </w:pPr>
      <w:r>
        <w:rPr>
          <w:rStyle w:val="Caractresdenotedefin"/>
        </w:rPr>
        <w:endnoteRef/>
      </w:r>
      <w:r>
        <w:rPr/>
        <w:tab/>
      </w:r>
      <w:r>
        <w:rPr/>
        <w:t>Aanbeveling 5 van het ECP 1.</w:t>
      </w:r>
    </w:p>
  </w:endnote>
  <w:endnote w:id="181">
    <w:p>
      <w:pPr>
        <w:pStyle w:val="Notedefin"/>
        <w:suppressLineNumbers/>
        <w:spacing w:before="57" w:after="57"/>
        <w:ind w:left="339" w:right="0" w:hanging="339"/>
        <w:rPr/>
      </w:pPr>
      <w:r>
        <w:rPr>
          <w:rStyle w:val="Caractresdenotedefin"/>
        </w:rPr>
        <w:endnoteRef/>
      </w:r>
      <w:r>
        <w:rPr/>
        <w:tab/>
      </w:r>
      <w:r>
        <w:rPr/>
        <w:t>Aanbevelingen nrs. 15 en 18 van het ECP 1.</w:t>
      </w:r>
    </w:p>
  </w:endnote>
  <w:endnote w:id="182">
    <w:p>
      <w:pPr>
        <w:pStyle w:val="Notedefin"/>
        <w:suppressLineNumbers/>
        <w:spacing w:before="57" w:after="57"/>
        <w:ind w:left="339" w:right="0" w:hanging="339"/>
        <w:rPr/>
      </w:pPr>
      <w:r>
        <w:rPr>
          <w:rStyle w:val="Caractresdenotedefin"/>
        </w:rPr>
        <w:endnoteRef/>
      </w:r>
      <w:r>
        <w:rPr/>
        <w:tab/>
        <w:t xml:space="preserve"> </w:t>
      </w:r>
      <w:r>
        <w:rPr/>
        <w:t>Aanbeveling van het Italiaanse NCP over „Europa in de wereld”</w:t>
      </w:r>
    </w:p>
  </w:endnote>
  <w:endnote w:id="183">
    <w:p>
      <w:pPr>
        <w:pStyle w:val="Notedefin"/>
        <w:suppressLineNumbers/>
        <w:spacing w:before="57" w:after="57"/>
        <w:ind w:left="339" w:right="0" w:hanging="339"/>
        <w:rPr/>
      </w:pPr>
      <w:r>
        <w:rPr>
          <w:rStyle w:val="Caractresdenotedefin"/>
        </w:rPr>
        <w:endnoteRef/>
      </w:r>
      <w:r>
        <w:rPr/>
        <w:tab/>
      </w:r>
      <w:r>
        <w:rPr/>
        <w:t>Aanbevelingen nrs.</w:t>
      </w:r>
      <w:r>
        <w:rPr>
          <w:vertAlign w:val="superscript"/>
        </w:rPr>
        <w:t>18</w:t>
      </w:r>
      <w:r>
        <w:rPr/>
        <w:t xml:space="preserve"> en 41 van het ECP 1 en aanbeveling van het Italiaanse NCP inzake „Investeren in de opleiding van opleiders”.</w:t>
      </w:r>
    </w:p>
  </w:endnote>
  <w:endnote w:id="184">
    <w:p>
      <w:pPr>
        <w:pStyle w:val="Notedefin"/>
        <w:suppressLineNumbers/>
        <w:spacing w:before="57" w:after="57"/>
        <w:ind w:left="339" w:right="0" w:hanging="339"/>
        <w:rPr/>
      </w:pPr>
      <w:r>
        <w:rPr>
          <w:rStyle w:val="Caractresdenotedefin"/>
        </w:rPr>
        <w:endnoteRef/>
      </w:r>
      <w:r>
        <w:rPr/>
        <w:tab/>
      </w:r>
      <w:r>
        <w:rPr/>
        <w:t>Aanbeveling nr. 17 van PCE 1 is volledig gericht aan de Digitale Werkgroep.</w:t>
      </w:r>
    </w:p>
  </w:endnote>
  <w:endnote w:id="185">
    <w:p>
      <w:pPr>
        <w:pStyle w:val="Notedefin"/>
        <w:suppressLineNumbers/>
        <w:spacing w:before="57" w:after="57"/>
        <w:ind w:left="339" w:right="0" w:hanging="339"/>
        <w:rPr/>
      </w:pPr>
      <w:r>
        <w:rPr>
          <w:rStyle w:val="Caractresdenotedefin"/>
        </w:rPr>
        <w:endnoteRef/>
      </w:r>
      <w:r>
        <w:rPr/>
        <w:tab/>
        <w:t xml:space="preserve"> </w:t>
      </w:r>
      <w:r>
        <w:rPr/>
        <w:t>ECP-aanbeveling nr. 15 1. Aanbeveling van het Duitse NCP over een „informatieplatform voor de uitwisseling van kennis en ervaring op EU-niveau”.</w:t>
      </w:r>
    </w:p>
  </w:endnote>
  <w:endnote w:id="186">
    <w:p>
      <w:pPr>
        <w:pStyle w:val="Notedefin"/>
        <w:suppressLineNumbers/>
        <w:spacing w:before="57" w:after="57"/>
        <w:ind w:left="339" w:right="0" w:hanging="339"/>
        <w:rPr/>
      </w:pPr>
      <w:r>
        <w:rPr>
          <w:rStyle w:val="Caractresdenotedefin"/>
        </w:rPr>
        <w:endnoteRef/>
      </w:r>
      <w:r>
        <w:rPr/>
        <w:tab/>
      </w:r>
      <w:r>
        <w:rPr/>
        <w:t>Aanbeveling 6.1 van het Belgische NCP. Franse PCN, wijziging 7.</w:t>
      </w:r>
    </w:p>
  </w:endnote>
  <w:endnote w:id="187">
    <w:p>
      <w:pPr>
        <w:pStyle w:val="Notedefin"/>
        <w:suppressLineNumbers/>
        <w:spacing w:before="57" w:after="57"/>
        <w:ind w:left="339" w:right="0" w:hanging="339"/>
        <w:rPr/>
      </w:pPr>
      <w:r>
        <w:rPr>
          <w:rStyle w:val="Caractresdenotedefin"/>
        </w:rPr>
        <w:endnoteRef/>
      </w:r>
      <w:r>
        <w:rPr/>
        <w:tab/>
        <w:t xml:space="preserve"> </w:t>
      </w:r>
      <w:r>
        <w:rPr/>
        <w:t>Aanbeveling 7.2 van het Belgische NCP.</w:t>
      </w:r>
    </w:p>
  </w:endnote>
  <w:endnote w:id="188">
    <w:p>
      <w:pPr>
        <w:pStyle w:val="Notedefin"/>
        <w:suppressLineNumbers/>
        <w:spacing w:before="57" w:after="57"/>
        <w:ind w:left="339" w:right="0" w:hanging="339"/>
        <w:rPr/>
      </w:pPr>
      <w:r>
        <w:rPr>
          <w:rStyle w:val="Caractresdenotedefin"/>
        </w:rPr>
        <w:endnoteRef/>
      </w:r>
      <w:r>
        <w:rPr/>
        <w:tab/>
      </w:r>
      <w:r>
        <w:rPr/>
        <w:t>Aanbeveling 4 van het ECP 1.</w:t>
      </w:r>
    </w:p>
  </w:endnote>
  <w:endnote w:id="189">
    <w:p>
      <w:pPr>
        <w:pStyle w:val="Notedefin"/>
        <w:suppressLineNumbers/>
        <w:spacing w:before="57" w:after="57"/>
        <w:ind w:left="339" w:right="0" w:hanging="339"/>
        <w:rPr/>
      </w:pPr>
      <w:r>
        <w:rPr>
          <w:rStyle w:val="Caractresdenotedefin"/>
        </w:rPr>
        <w:endnoteRef/>
      </w:r>
      <w:r>
        <w:rPr/>
        <w:tab/>
      </w:r>
      <w:r>
        <w:rPr/>
        <w:t>Voorstel ter aanvulling van</w:t>
      </w:r>
      <w:r>
        <w:rPr>
          <w:vertAlign w:val="superscript"/>
        </w:rPr>
        <w:t>de</w:t>
      </w:r>
      <w:r>
        <w:rPr/>
        <w:t xml:space="preserve"> aanbevelingen nrs. 1 en 30 van de ECP 1 die onder de Groep sterkere economie, sociale rechtvaardigheid en werkgelegenheid vallen.</w:t>
      </w:r>
    </w:p>
  </w:endnote>
  <w:endnote w:id="190">
    <w:p>
      <w:pPr>
        <w:pStyle w:val="Notedefin"/>
        <w:suppressLineNumbers/>
        <w:spacing w:before="57" w:after="57"/>
        <w:ind w:left="339" w:right="0" w:hanging="339"/>
        <w:rPr/>
      </w:pPr>
      <w:r>
        <w:rPr>
          <w:rStyle w:val="Caractresdenotedefin"/>
        </w:rPr>
        <w:endnoteRef/>
      </w:r>
      <w:r>
        <w:rPr/>
        <w:tab/>
        <w:t xml:space="preserve"> </w:t>
      </w:r>
      <w:r>
        <w:rPr/>
        <w:t>Voorstel ter aanvulling van Aanbeveling 25 van de ECP 1 die onder de Groep sterkere economie, sociale rechtvaardigheid en werkgelegenheid valt.</w:t>
      </w:r>
    </w:p>
  </w:endnote>
  <w:endnote w:id="191">
    <w:p>
      <w:pPr>
        <w:pStyle w:val="Notedefin"/>
        <w:suppressLineNumbers/>
        <w:spacing w:before="57" w:after="57"/>
        <w:ind w:left="339" w:right="0" w:hanging="339"/>
        <w:rPr/>
      </w:pPr>
      <w:r>
        <w:rPr>
          <w:rStyle w:val="Caractresdenotedefin"/>
        </w:rPr>
        <w:endnoteRef/>
      </w:r>
      <w:r>
        <w:rPr/>
        <w:tab/>
        <w:t xml:space="preserve"> </w:t>
      </w:r>
      <w:r>
        <w:rPr/>
        <w:t>ECP-aanbeveling nr. 28 4. Nederlandse NCP („Onze visie voor cultuur, jeugd en sport”), Aanbeveling 1. Franse PCN, wijziging 6.</w:t>
      </w:r>
    </w:p>
  </w:endnote>
  <w:endnote w:id="192">
    <w:p>
      <w:pPr>
        <w:pStyle w:val="Notedefin"/>
        <w:suppressLineNumbers/>
        <w:spacing w:before="57" w:after="57"/>
        <w:ind w:left="339" w:right="0" w:hanging="339"/>
        <w:rPr/>
      </w:pPr>
      <w:r>
        <w:rPr>
          <w:rStyle w:val="Caractresdenotedefin"/>
        </w:rPr>
        <w:endnoteRef/>
      </w:r>
      <w:r>
        <w:rPr/>
        <w:tab/>
        <w:t xml:space="preserve"> </w:t>
      </w:r>
      <w:r>
        <w:rPr/>
        <w:t>Aanbeveling 6 van het ECP 1.</w:t>
      </w:r>
    </w:p>
  </w:endnote>
  <w:endnote w:id="193">
    <w:p>
      <w:pPr>
        <w:pStyle w:val="Notedefin"/>
        <w:suppressLineNumbers/>
        <w:spacing w:before="57" w:after="57"/>
        <w:ind w:left="339" w:right="0" w:hanging="339"/>
        <w:rPr/>
      </w:pPr>
      <w:r>
        <w:rPr>
          <w:rStyle w:val="Caractresdenotedefin"/>
        </w:rPr>
        <w:endnoteRef/>
      </w:r>
      <w:r>
        <w:rPr/>
        <w:tab/>
      </w:r>
      <w:r>
        <w:rPr/>
        <w:t>Nederlandse NCP („Onze visie voor cultuur, jeugd en sport”), Aanbeveling nr. 2.</w:t>
      </w:r>
    </w:p>
  </w:endnote>
  <w:endnote w:id="194">
    <w:p>
      <w:pPr>
        <w:pStyle w:val="Notedefin"/>
        <w:suppressLineNumbers/>
        <w:spacing w:before="57" w:after="57"/>
        <w:ind w:left="339" w:right="0" w:hanging="339"/>
        <w:rPr/>
      </w:pPr>
      <w:r>
        <w:rPr>
          <w:rStyle w:val="Caractresdenotedefin"/>
        </w:rPr>
        <w:endnoteRef/>
      </w:r>
      <w:r>
        <w:rPr/>
        <w:tab/>
      </w:r>
      <w:r>
        <w:rPr/>
        <w:t>ECP-aanbeveling 36 1. Franse PCN, wijziging 6. Aanbevelingen nrs. 2.10 en 2.11 van het Belgische NCP. Duitse NCP, „Het creëren van meer uitwisselingsmogelijkheden voor studenten in Europa”. Nederlandse NCP („Onze visie voor cultuur, jeugd en sport”), aanbevelingen</w:t>
      </w:r>
      <w:r>
        <w:rPr>
          <w:vertAlign w:val="superscript"/>
        </w:rPr>
        <w:t>1</w:t>
      </w:r>
      <w:r>
        <w:rPr/>
        <w:t xml:space="preserve"> en 3. Italiaanse NCP, aanbeveling „Maak een kantoor van samenvloeiing tussen Oost of West, bevordering van culturele uitwisselingen en gezamenlijke culturele initiatieven”.</w:t>
      </w:r>
    </w:p>
  </w:endnote>
  <w:endnote w:id="195">
    <w:p>
      <w:pPr>
        <w:pStyle w:val="Notedefin"/>
        <w:suppressLineNumbers/>
        <w:spacing w:before="57" w:after="57"/>
        <w:ind w:left="339" w:right="0" w:hanging="339"/>
        <w:rPr/>
      </w:pPr>
      <w:r>
        <w:rPr>
          <w:rStyle w:val="Caractresdenotedefin"/>
        </w:rPr>
        <w:endnoteRef/>
      </w:r>
      <w:r>
        <w:rPr/>
        <w:tab/>
        <w:t xml:space="preserve"> </w:t>
      </w:r>
      <w:r>
        <w:rPr/>
        <w:t>ECP-</w:t>
      </w:r>
      <w:r>
        <w:rPr>
          <w:vertAlign w:val="superscript"/>
        </w:rPr>
        <w:t>aanbevelingen</w:t>
      </w:r>
      <w:r>
        <w:rPr/>
        <w:t xml:space="preserve"> 32 en 38 1. Nederlandse NCP („Onze visie voor cultuur, jeugd en sport”), Aanbeveling 3.</w:t>
      </w:r>
    </w:p>
  </w:endnote>
  <w:endnote w:id="196">
    <w:p>
      <w:pPr>
        <w:pStyle w:val="Notedefin"/>
        <w:suppressLineNumbers/>
        <w:spacing w:before="57" w:after="57"/>
        <w:ind w:left="339" w:right="0" w:hanging="339"/>
        <w:rPr/>
      </w:pPr>
      <w:r>
        <w:rPr>
          <w:rStyle w:val="Caractresdenotedefin"/>
        </w:rPr>
        <w:endnoteRef/>
      </w:r>
      <w:r>
        <w:rPr/>
        <w:tab/>
      </w:r>
      <w:r>
        <w:rPr/>
        <w:t>Aanbeveling van het Italiaanse NCP over „Europa in de wereld”</w:t>
      </w:r>
    </w:p>
  </w:endnote>
  <w:endnote w:id="197">
    <w:p>
      <w:pPr>
        <w:pStyle w:val="Notedefin"/>
        <w:suppressLineNumbers/>
        <w:spacing w:before="57" w:after="57"/>
        <w:ind w:left="339" w:right="0" w:hanging="339"/>
        <w:rPr/>
      </w:pPr>
      <w:r>
        <w:rPr>
          <w:rStyle w:val="Caractresdenotedefin"/>
        </w:rPr>
        <w:endnoteRef/>
      </w:r>
      <w:r>
        <w:rPr/>
        <w:tab/>
      </w:r>
      <w:r>
        <w:rPr/>
        <w:t>Franse PCN, wijziging 7. Aanbevelingen</w:t>
      </w:r>
      <w:r>
        <w:rPr>
          <w:vertAlign w:val="superscript"/>
        </w:rPr>
        <w:t>2.5</w:t>
      </w:r>
      <w:r>
        <w:rPr/>
        <w:t>, 6.1 en 8.7 van het Belgische NCP. Italiaanse NCP, Aanbeveling inzake „Versterking van de Europese culturele waarden en kenmerken en regionale specificiteiten”.</w:t>
      </w:r>
    </w:p>
  </w:endnote>
  <w:endnote w:id="198">
    <w:p>
      <w:pPr>
        <w:pStyle w:val="Notedefin"/>
        <w:suppressLineNumbers/>
        <w:spacing w:before="57" w:after="57"/>
        <w:ind w:left="339" w:right="0" w:hanging="339"/>
        <w:rPr/>
      </w:pPr>
      <w:r>
        <w:rPr>
          <w:rStyle w:val="Caractresdenotedefin"/>
        </w:rPr>
        <w:endnoteRef/>
      </w:r>
      <w:r>
        <w:rPr/>
        <w:tab/>
      </w:r>
      <w:r>
        <w:rPr/>
        <w:t>Nederlandse NCP („Onze visie voor cultuur, jeugd en sport”), Aanbeveling nr. 2.</w:t>
      </w:r>
    </w:p>
  </w:endnote>
  <w:endnote w:id="199">
    <w:p>
      <w:pPr>
        <w:pStyle w:val="Notedefin"/>
        <w:suppressLineNumbers/>
        <w:spacing w:before="57" w:after="57"/>
        <w:ind w:left="339" w:right="0" w:hanging="339"/>
        <w:rPr/>
      </w:pPr>
      <w:r>
        <w:rPr>
          <w:rStyle w:val="Caractresdenotedefin"/>
        </w:rPr>
        <w:endnoteRef/>
      </w:r>
      <w:r>
        <w:rPr/>
        <w:tab/>
        <w:t xml:space="preserve"> </w:t>
      </w:r>
      <w:r>
        <w:rPr/>
        <w:t>Aanbeveling van de Italiaanse NCP om „het productiemodel van de afgelopen eeuw te overtreffen”</w:t>
      </w:r>
    </w:p>
  </w:endnote>
  <w:endnote w:id="200">
    <w:p>
      <w:pPr>
        <w:pStyle w:val="Notedefin"/>
        <w:suppressLineNumbers/>
        <w:spacing w:before="57" w:after="57"/>
        <w:ind w:left="339" w:right="0" w:hanging="339"/>
        <w:rPr/>
      </w:pPr>
      <w:r>
        <w:rPr>
          <w:rStyle w:val="Caractresdenotedefin"/>
        </w:rPr>
        <w:endnoteRef/>
      </w:r>
      <w:r>
        <w:rPr/>
        <w:tab/>
      </w:r>
      <w:r>
        <w:rPr/>
        <w:t>ECP-aanbeveling nr. 29 1.</w:t>
      </w:r>
    </w:p>
  </w:endnote>
  <w:endnote w:id="201">
    <w:p>
      <w:pPr>
        <w:pStyle w:val="Notedefin"/>
        <w:suppressLineNumbers/>
        <w:spacing w:before="57" w:after="57"/>
        <w:ind w:left="339" w:right="0" w:hanging="339"/>
        <w:rPr/>
      </w:pPr>
      <w:r>
        <w:rPr>
          <w:rStyle w:val="Caractresdenotedefin"/>
        </w:rPr>
        <w:endnoteRef/>
      </w:r>
      <w:r>
        <w:rPr/>
        <w:tab/>
      </w:r>
      <w:r>
        <w:rPr/>
        <w:t>ECP-aanbeveling 36 1.</w:t>
      </w:r>
    </w:p>
  </w:endnote>
</w:endnotes>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Arial">
    <w:charset w:val="00"/>
    <w:family w:val="roman"/>
    <w:pitch w:val="variable"/>
  </w:font>
  <w:font w:name="Calibri">
    <w:charset w:val="00"/>
    <w:family w:val="roman"/>
    <w:pitch w:val="variable"/>
  </w:font>
  <w:font w:name="Garamond">
    <w:charset w:val="00"/>
    <w:family w:val="roman"/>
    <w:pitch w:val="variable"/>
  </w:font>
  <w:font w:name="Roboto">
    <w:charset w:val="00"/>
    <w:family w:val="roman"/>
    <w:pitch w:val="variable"/>
  </w:font>
  <w:font w:name="Wingdings">
    <w:charset w:val="00"/>
    <w:family w:val="roman"/>
    <w:pitch w:val="variable"/>
  </w:font>
  <w:font w:name="Symbol">
    <w:charset w:val="00"/>
    <w:family w:val="roman"/>
    <w:pitch w:val="variable"/>
  </w:font>
  <w:font w:name="Verdana">
    <w:charset w:val="00"/>
    <w:family w:val="roman"/>
    <w:pitch w:val="variable"/>
  </w:font>
  <w:font w:name="Cambria">
    <w:charset w:val="00"/>
    <w:family w:val="roman"/>
    <w:pitch w:val="variable"/>
  </w:font>
</w:fonts>
</file>

<file path=word/footer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Pieddepage"/>
      <w:spacing w:before="57" w:after="57"/>
      <w:jc w:val="center"/>
      <w:rPr/>
    </w:pPr>
    <w:r>
      <w:rPr/>
      <w:fldChar w:fldCharType="begin"/>
    </w:r>
    <w:r>
      <w:rPr/>
      <w:instrText> PAGE </w:instrText>
    </w:r>
    <w:r>
      <w:rPr/>
      <w:fldChar w:fldCharType="separate"/>
    </w:r>
    <w:r>
      <w:rPr/>
      <w:t>2</w:t>
    </w:r>
    <w:r>
      <w:rPr/>
      <w:fldChar w:fldCharType="end"/>
    </w:r>
  </w:p>
</w:ftr>
</file>

<file path=word/footer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Pieddepage"/>
      <w:spacing w:before="57" w:after="57"/>
      <w:jc w:val="center"/>
      <w:rPr/>
    </w:pPr>
    <w:r>
      <w:rPr/>
      <w:fldChar w:fldCharType="begin"/>
    </w:r>
    <w:r>
      <w:rPr/>
      <w:instrText> PAGE </w:instrText>
    </w:r>
    <w:r>
      <w:rPr/>
      <w:fldChar w:fldCharType="separate"/>
    </w:r>
    <w:r>
      <w:rPr/>
      <w:t>303</w:t>
    </w:r>
    <w:r>
      <w:rPr/>
      <w:fldChar w:fldCharType="end"/>
    </w:r>
  </w:p>
</w:ftr>
</file>

<file path=word/footnotes.xml><?xml version="1.0" encoding="utf-8"?>
<w:footnotes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footnote w:id="0" w:type="separator">
    <w:p>
      <w:r>
        <w:separator/>
      </w:r>
    </w:p>
  </w:footnote>
  <w:footnote w:id="1" w:type="continuationSeparator">
    <w:p>
      <w:r>
        <w:continuationSeparator/>
      </w:r>
    </w:p>
  </w:footnote>
  <w:footnote w:id="2">
    <w:p>
      <w:pPr>
        <w:pStyle w:val="Notedebasdepage"/>
        <w:suppressLineNumbers/>
        <w:spacing w:before="57" w:after="57"/>
        <w:ind w:left="339" w:right="0" w:hanging="339"/>
        <w:rPr/>
      </w:pPr>
      <w:r>
        <w:rPr>
          <w:rStyle w:val="Caractresdenotedebasdepage"/>
        </w:rPr>
        <w:footnoteRef/>
      </w:r>
      <w:r>
        <w:rPr>
          <w:rStyle w:val="Caractresdenotedebasdepage"/>
        </w:rPr>
        <w:tab/>
      </w:r>
      <w:hyperlink r:id="rId1">
        <w:r>
          <w:rPr>
            <w:rStyle w:val="LienInternet"/>
          </w:rPr>
          <w:t>https://futureu.europa.eu/</w:t>
        </w:r>
      </w:hyperlink>
      <w:r>
        <w:rPr/>
        <w:t xml:space="preserve"> </w:t>
      </w:r>
    </w:p>
  </w:footnote>
  <w:footnote w:id="3">
    <w:p>
      <w:pPr>
        <w:pStyle w:val="Notedebasdepage"/>
        <w:suppressLineNumbers/>
        <w:spacing w:before="57" w:after="57"/>
        <w:ind w:left="339" w:right="0" w:hanging="339"/>
        <w:rPr/>
      </w:pPr>
      <w:r>
        <w:rPr>
          <w:rStyle w:val="Caractresdenotedebasdepage"/>
        </w:rPr>
        <w:footnoteRef/>
      </w:r>
      <w:r>
        <w:rPr>
          <w:rStyle w:val="Caractresdenotedebasdepage"/>
        </w:rPr>
        <w:tab/>
      </w:r>
      <w:hyperlink r:id="rId2">
        <w:r>
          <w:rPr>
            <w:rStyle w:val="LienInternet"/>
          </w:rPr>
          <w:t>https://futureu.europa.eu/uploads/decidim/attachment/file/4595/Conference_Charter_fr.pdf</w:t>
        </w:r>
      </w:hyperlink>
      <w:r>
        <w:rPr/>
        <w:t xml:space="preserve"> </w:t>
      </w:r>
    </w:p>
  </w:footnote>
  <w:footnote w:id="4">
    <w:p>
      <w:pPr>
        <w:pStyle w:val="Notedebasdepage"/>
        <w:suppressLineNumbers/>
        <w:spacing w:before="57" w:after="57"/>
        <w:ind w:left="339" w:right="0" w:hanging="339"/>
        <w:rPr/>
      </w:pPr>
      <w:r>
        <w:rPr>
          <w:rStyle w:val="Caractresdenotedebasdepage"/>
        </w:rPr>
        <w:footnoteRef/>
      </w:r>
      <w:r>
        <w:rPr/>
        <w:tab/>
      </w:r>
      <w:r>
        <w:rPr/>
        <w:t xml:space="preserve">III OESO, Innovatieve burgerparticipatie en nieuwe democratische instellingen, 2020 - </w:t>
      </w:r>
      <w:hyperlink r:id="rId3">
        <w:r>
          <w:rPr>
            <w:rStyle w:val="LienInternet"/>
          </w:rPr>
          <w:t>https://www.oecd.org/gov/open-government/innovative-citizen-participation-new-democratic-institutions-catching-the-deliberative-wave-highlights.pdf</w:t>
        </w:r>
      </w:hyperlink>
      <w:r>
        <w:rPr/>
        <w:t>.</w:t>
      </w:r>
    </w:p>
  </w:footnote>
  <w:footnote w:id="5">
    <w:p>
      <w:pPr>
        <w:pStyle w:val="Notedebasdepage"/>
        <w:suppressLineNumbers/>
        <w:spacing w:before="57" w:after="57"/>
        <w:ind w:left="339" w:right="0" w:hanging="339"/>
        <w:rPr/>
      </w:pPr>
      <w:r>
        <w:rPr>
          <w:rStyle w:val="Caractresdenotedebasdepage"/>
        </w:rPr>
        <w:footnoteRef/>
      </w:r>
      <w:r>
        <w:rPr/>
        <w:tab/>
        <w:t xml:space="preserve"> </w:t>
      </w:r>
      <w:r>
        <w:rPr/>
        <w:t xml:space="preserve">OESO, Innovatieve Burgerparticipatie en Nieuwe Democratische Instellingen, 2020 - </w:t>
      </w:r>
      <w:hyperlink r:id="rId4">
        <w:r>
          <w:rPr>
            <w:rStyle w:val="LienInternet"/>
          </w:rPr>
          <w:t>https://www.oecd.org/gov/open-government/innovative-citizen-participation-new-democratic-institutions-catching-the-deliberative-wave-highlights.pdf</w:t>
        </w:r>
      </w:hyperlink>
      <w:r>
        <w:rPr/>
        <w:t xml:space="preserve"> </w:t>
      </w:r>
    </w:p>
  </w:footnote>
  <w:footnote w:id="6">
    <w:p>
      <w:pPr>
        <w:pStyle w:val="Normal"/>
        <w:spacing w:before="57" w:after="57"/>
        <w:rPr/>
      </w:pPr>
      <w:r>
        <w:rPr>
          <w:rStyle w:val="Caractresdenotedebasdepage"/>
        </w:rPr>
        <w:footnoteRef/>
      </w:r>
      <w:r>
        <w:rPr/>
        <w:tab/>
      </w:r>
      <w:r>
        <w:rPr/>
        <w:t>Bezoek het meertalige digitale platform om toegang te krijgen tot alle informatie over deze evenementen.</w:t>
      </w:r>
    </w:p>
  </w:footnote>
  <w:footnote w:id="7">
    <w:p>
      <w:pPr>
        <w:pStyle w:val="Notedebasdepage"/>
        <w:suppressLineNumbers/>
        <w:spacing w:before="57" w:after="57"/>
        <w:ind w:left="339" w:right="0" w:hanging="339"/>
        <w:rPr/>
      </w:pPr>
      <w:r>
        <w:rPr>
          <w:rStyle w:val="Caractresdenotedebasdepage"/>
        </w:rPr>
        <w:footnoteRef/>
      </w:r>
      <w:r>
        <w:rPr/>
        <w:tab/>
      </w:r>
      <w:r>
        <w:rPr/>
        <w:t>Er moest op gelijke voet een consensus worden bereikt tussen ten minste vertegenwoordigers van het Europees Parlement, de Raad, de Europese Commissie en vertegenwoordigers van de nationale parlementen. Indien de positie van vertegenwoordigers van de burgers van nationale evenementen en/of Europese of nationale burgerpanels duidelijk uiteenliep, moet dit standpunt in dit verslag worden opgenomen.</w:t>
      </w:r>
    </w:p>
  </w:footnote>
  <w:footnote w:id="8">
    <w:p>
      <w:pPr>
        <w:pStyle w:val="Notedebasdepage"/>
        <w:suppressLineNumbers/>
        <w:spacing w:before="57" w:after="57"/>
        <w:ind w:left="339" w:right="0" w:hanging="339"/>
        <w:rPr/>
      </w:pPr>
      <w:r>
        <w:rPr>
          <w:rStyle w:val="Caractresdenotedebasdepage"/>
        </w:rPr>
        <w:footnoteRef/>
      </w:r>
      <w:r>
        <w:rPr/>
        <w:tab/>
      </w:r>
      <w:r>
        <w:rPr/>
        <w:t>Andere leden van de Europese Commissie werden uitgenodigd voor de plenaire vergadering, vooral wanneer kwesties binnen hun portefeuilles werden besproken.</w:t>
      </w:r>
    </w:p>
  </w:footnote>
  <w:footnote w:id="9">
    <w:p>
      <w:pPr>
        <w:pStyle w:val="Notedebasdepage"/>
        <w:suppressLineNumbers/>
        <w:spacing w:before="57" w:after="57"/>
        <w:ind w:left="339" w:right="0" w:hanging="339"/>
        <w:rPr/>
      </w:pPr>
      <w:r>
        <w:rPr>
          <w:rStyle w:val="Caractresdenotedebasdepage"/>
        </w:rPr>
        <w:footnoteRef/>
      </w:r>
      <w:r>
        <w:rPr/>
        <w:tab/>
      </w:r>
      <w:r>
        <w:rPr/>
        <w:t>Één per lidstaat.</w:t>
      </w:r>
    </w:p>
  </w:footnote>
  <w:footnote w:id="10">
    <w:p>
      <w:pPr>
        <w:pStyle w:val="Notedebasdepage"/>
        <w:suppressLineNumbers/>
        <w:spacing w:before="57" w:after="57"/>
        <w:ind w:left="339" w:right="0" w:hanging="339"/>
        <w:rPr/>
      </w:pPr>
      <w:r>
        <w:rPr>
          <w:rStyle w:val="Caractresdenotedebasdepage"/>
        </w:rPr>
        <w:footnoteRef/>
      </w:r>
      <w:r>
        <w:rPr/>
        <w:tab/>
      </w:r>
      <w:r>
        <w:rPr/>
        <w:t>Op 17 juni 2021 vond een eerste evenement plaats in Lissabon in hybride vorm, voorafgaand aan de openingszitting van 19 juni 2021, om de deelname van de burgers aan de conferentie op gang te brengen.</w:t>
      </w:r>
    </w:p>
  </w:footnote>
  <w:footnote w:id="11">
    <w:p>
      <w:pPr>
        <w:pStyle w:val="Notedebasdepage"/>
        <w:suppressLineNumbers/>
        <w:spacing w:before="57" w:after="57"/>
        <w:ind w:left="339" w:right="0" w:hanging="339"/>
        <w:rPr/>
      </w:pPr>
      <w:r>
        <w:rPr>
          <w:rStyle w:val="Caractresdenotedebasdepage"/>
        </w:rPr>
        <w:footnoteRef/>
      </w:r>
      <w:r>
        <w:rPr/>
        <w:tab/>
        <w:t xml:space="preserve"> </w:t>
      </w:r>
      <w:r>
        <w:rPr/>
        <w:t>De vertegenwoordigers van de Europese Commissie verklaarden dat het nodig zou zijn een overgangsperiode te doorlopen om te abrupte ontwikkelingen te voorkomen.</w:t>
      </w:r>
    </w:p>
  </w:footnote>
  <w:footnote w:id="12">
    <w:p>
      <w:pPr>
        <w:pStyle w:val="Notedebasdepage"/>
        <w:suppressLineNumbers/>
        <w:spacing w:before="57" w:after="57"/>
        <w:ind w:left="339" w:right="0" w:hanging="339"/>
        <w:rPr/>
      </w:pPr>
      <w:r>
        <w:rPr>
          <w:rStyle w:val="Caractresdenotedebasdepage"/>
        </w:rPr>
        <w:footnoteRef/>
      </w:r>
      <w:r>
        <w:rPr/>
        <w:tab/>
      </w:r>
      <w:r>
        <w:rPr/>
        <w:t xml:space="preserve">Standpunt van het Parlement: de toplijst van de Europese politieke partij met het hoogste aantal stemmen bij de Europese verkiezingen en de steun van een meerderheid van de leden van het Europees Parlement moeten worden verkozen tot voorzitter van de Europese Commissie. In het geval dat er geen coalitie-gebaseerde meerderheid komt, moet de post terugkeren naar de volgende top van de lijst. daartoe konden Europese politieke partijen kandidaten voordragen voor het voorzitterschap van de Commissie. Paulo Rangel: om het proces van leidende kandidaten te versterken, moeten de rollen van het Europees Parlement en de Europese Raad worden omgedraaid, wat inhoudt dat de Verdragen worden gewijzigd: de voorzitter van de Commissie zal door het Parlement worden voorgesteld en door de Europese Raad worden goedgekeurd. PNM (Final Kantar Report: „een groep bijdragen omvat de verkiezing van de voorzitter van de Commissie en de benoeming van commissarissen, met inbegrip van het systeem van topkandidaten.”) EYE, blz. 23: Kandidaten voor de functie van voorzitter van de Commissie mogen niet worden gekozen in onderhandelingen achter de schermen tussen winnende partijen. We moeten het hoofdkandidaatsysteem toepassen, waarbij elke partij vóór de verkiezingscampagne de kandidaat aankondigt die voorzitter van de Commissie zal zijn als die partij een meerderheid wint. Door actief deel te nemen aan de campagne en rechtstreeks met de Europese burgers te communiceren, kan de toekomstige voorzitter dichter bij hen staan.” discussie in GT. </w:t>
      </w:r>
    </w:p>
  </w:footnote>
  <w:footnote w:id="13">
    <w:p>
      <w:pPr>
        <w:pStyle w:val="Notedebasdepage"/>
        <w:suppressLineNumbers/>
        <w:spacing w:before="57" w:after="57"/>
        <w:ind w:left="339" w:right="0" w:hanging="339"/>
        <w:rPr/>
      </w:pPr>
      <w:r>
        <w:rPr>
          <w:rStyle w:val="Caractresdenotedebasdepage"/>
        </w:rPr>
        <w:footnoteRef/>
      </w:r>
      <w:r>
        <w:rPr/>
        <w:tab/>
      </w:r>
      <w:r>
        <w:rPr/>
        <w:t>De Raad is van mening dat dit voorstel niet gebaseerd is op een aanbeveling van de burger. Het is daarom niet in overeenstemming met de overeengekomen methodologie. Zie ook de positie van de burgercomponent op bladzijde 42.</w:t>
      </w:r>
    </w:p>
  </w:footnote>
  <w:footnote w:id="14">
    <w:p>
      <w:pPr>
        <w:pStyle w:val="Notedebasdepage"/>
        <w:suppressLineNumbers/>
        <w:spacing w:before="57" w:after="57"/>
        <w:ind w:left="339" w:right="0" w:hanging="339"/>
        <w:rPr/>
      </w:pPr>
      <w:r>
        <w:rPr>
          <w:rStyle w:val="Caractresdenotedebasdepage"/>
        </w:rPr>
        <w:footnoteRef/>
      </w:r>
      <w:r>
        <w:rPr>
          <w:rStyle w:val="Caractresdenotedebasdepage"/>
        </w:rPr>
        <w:tab/>
      </w:r>
      <w:hyperlink r:id="rId5">
        <w:r>
          <w:rPr>
            <w:rStyle w:val="LienInternet"/>
          </w:rPr>
          <w:t>www.participation-citoyenne.gouv.fr</w:t>
        </w:r>
      </w:hyperlink>
      <w:r>
        <w:rPr/>
        <w:t xml:space="preserve"> </w:t>
      </w:r>
    </w:p>
  </w:footnote>
  <w:footnote w:id="15">
    <w:p>
      <w:pPr>
        <w:pStyle w:val="Notedebasdepage"/>
        <w:suppressLineNumbers/>
        <w:spacing w:before="57" w:after="57"/>
        <w:ind w:left="339" w:right="0" w:hanging="339"/>
        <w:rPr/>
      </w:pPr>
      <w:r>
        <w:rPr>
          <w:rStyle w:val="Caractresdenotedebasdepage"/>
        </w:rPr>
        <w:footnoteRef/>
      </w:r>
      <w:r>
        <w:rPr/>
        <w:tab/>
        <w:t xml:space="preserve"> </w:t>
      </w:r>
      <w:hyperlink r:id="rId6">
        <w:r>
          <w:rPr>
            <w:rStyle w:val="LienInternet"/>
          </w:rPr>
          <w:t>https://futureu.europa.eu/processes?locale=fr</w:t>
        </w:r>
      </w:hyperlink>
      <w:r>
        <w:rPr/>
        <w:t xml:space="preserve"> </w:t>
      </w:r>
    </w:p>
  </w:footnote>
  <w:footnote w:id="16">
    <w:p>
      <w:pPr>
        <w:pStyle w:val="Notedebasdepage"/>
        <w:suppressLineNumbers/>
        <w:spacing w:before="57" w:after="57"/>
        <w:ind w:left="339" w:right="0" w:hanging="339"/>
        <w:rPr/>
      </w:pPr>
      <w:r>
        <w:rPr>
          <w:rStyle w:val="Caractresdenotedebasdepage"/>
        </w:rPr>
        <w:footnoteRef/>
      </w:r>
      <w:r>
        <w:rPr/>
        <w:tab/>
        <w:t xml:space="preserve"> </w:t>
      </w:r>
      <w:r>
        <w:rPr/>
        <w:t xml:space="preserve">Steekproef van burgers die Vilnius, Kaunas, Klaipėda, Šiauliai en Panevėžys vertegenwoordigen en de districten (apskritis) Vilnius, Kaunas, Klaipėda, Šiauliai, Panevėžys, Alytus, Marijampolė, Tauragė, Telšiai en Utena, op basis van gegevens van het Litouwse departement Statistikos departamentas. </w:t>
      </w:r>
    </w:p>
  </w:footnote>
</w:footnotes>
</file>

<file path=word/header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Entte"/>
      <w:spacing w:before="57" w:after="57"/>
      <w:jc w:val="right"/>
      <w:rPr>
        <w:sz w:val="18"/>
      </w:rPr>
    </w:pPr>
    <w:r>
      <w:rPr>
        <w:sz w:val="18"/>
      </w:rPr>
    </w:r>
  </w:p>
</w:hdr>
</file>

<file path=word/header2.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P68B1DB1Entte134"/>
      <w:spacing w:before="57" w:after="57"/>
      <w:jc w:val="right"/>
      <w:rPr>
        <w:sz w:val="18"/>
      </w:rPr>
    </w:pPr>
    <w:r>
      <w:rPr/>
      <w:t>Conferentie over de toekomst van Europa | REPORT ON FINAL RESULTATEN</w:t>
    </w:r>
  </w:p>
</w:hdr>
</file>

<file path=word/numbering.xml><?xml version="1.0" encoding="utf-8"?>
<w:numbering xmlns:w="http://schemas.openxmlformats.org/wordprocessingml/2006/main" xmlns:o="urn:schemas-microsoft-com:office:office" xmlns:r="http://schemas.openxmlformats.org/officeDocument/2006/relationships" xmlns:v="urn:schemas-microsoft-com:vml">
  <w:abstractNum w:abstractNumId="1">
    <w:lvl w:ilvl="0">
      <w:start w:val="1"/>
      <w:pStyle w:val="Titre1"/>
      <w:numFmt w:val="none"/>
      <w:suff w:val="nothing"/>
      <w:lvlText w:val=""/>
      <w:lvlJc w:val="left"/>
      <w:pPr>
        <w:ind w:left="0" w:hanging="0"/>
      </w:pPr>
    </w:lvl>
    <w:lvl w:ilvl="1">
      <w:start w:val="1"/>
      <w:pStyle w:val="Titre2"/>
      <w:numFmt w:val="none"/>
      <w:suff w:val="nothing"/>
      <w:lvlText w:val=""/>
      <w:lvlJc w:val="left"/>
      <w:pPr>
        <w:ind w:left="0" w:hanging="0"/>
      </w:pPr>
    </w:lvl>
    <w:lvl w:ilvl="2">
      <w:start w:val="1"/>
      <w:pStyle w:val="Titre3"/>
      <w:numFmt w:val="none"/>
      <w:suff w:val="nothing"/>
      <w:lvlText w:val=""/>
      <w:lvlJc w:val="left"/>
      <w:pPr>
        <w:ind w:left="0" w:hanging="0"/>
      </w:pPr>
    </w:lvl>
    <w:lvl w:ilvl="3">
      <w:start w:val="1"/>
      <w:pStyle w:val="Titre4"/>
      <w:numFmt w:val="none"/>
      <w:suff w:val="nothing"/>
      <w:lvlText w:val=""/>
      <w:lvlJc w:val="left"/>
      <w:pPr>
        <w:ind w:left="0" w:hanging="0"/>
      </w:pPr>
    </w:lvl>
    <w:lvl w:ilvl="4">
      <w:start w:val="1"/>
      <w:pStyle w:val="Titre5"/>
      <w:numFmt w:val="none"/>
      <w:suff w:val="nothing"/>
      <w:lvlText w:val=""/>
      <w:lvlJc w:val="left"/>
      <w:pPr>
        <w:ind w:left="0" w:hanging="0"/>
      </w:pPr>
    </w:lvl>
    <w:lvl w:ilvl="5">
      <w:start w:val="1"/>
      <w:numFmt w:val="none"/>
      <w:suff w:val="nothing"/>
      <w:lvlText w:val=""/>
      <w:lvlJc w:val="left"/>
      <w:pPr>
        <w:ind w:left="0" w:hanging="0"/>
      </w:pPr>
    </w:lvl>
    <w:lvl w:ilvl="6">
      <w:start w:val="1"/>
      <w:numFmt w:val="none"/>
      <w:suff w:val="nothing"/>
      <w:lvlText w:val=""/>
      <w:lvlJc w:val="left"/>
      <w:pPr>
        <w:ind w:left="0" w:hanging="0"/>
      </w:pPr>
    </w:lvl>
    <w:lvl w:ilvl="7">
      <w:start w:val="1"/>
      <w:numFmt w:val="none"/>
      <w:suff w:val="nothing"/>
      <w:lvlText w:val=""/>
      <w:lvlJc w:val="left"/>
      <w:pPr>
        <w:ind w:left="0" w:hanging="0"/>
      </w:pPr>
    </w:lvl>
    <w:lvl w:ilvl="8">
      <w:start w:val="1"/>
      <w:numFmt w:val="none"/>
      <w:suff w:val="nothing"/>
      <w:lvlText w:val=""/>
      <w:lvlJc w:val="left"/>
      <w:pPr>
        <w:ind w:left="0" w:hanging="0"/>
      </w:pPr>
    </w:lvl>
  </w:abstractNum>
  <w:abstractNum w:abstractNumId="2">
    <w:lvl w:ilvl="0">
      <w:start w:val="1"/>
      <w:numFmt w:val="none"/>
      <w:suff w:val="nothing"/>
      <w:lvlText w:val=""/>
      <w:lvlJc w:val="left"/>
      <w:pPr>
        <w:ind w:left="0" w:hanging="0"/>
      </w:pPr>
    </w:lvl>
    <w:lvl w:ilvl="1">
      <w:start w:val="1"/>
      <w:numFmt w:val="none"/>
      <w:suff w:val="nothing"/>
      <w:lvlText w:val=""/>
      <w:lvlJc w:val="left"/>
      <w:pPr>
        <w:ind w:left="0" w:hanging="0"/>
      </w:pPr>
    </w:lvl>
    <w:lvl w:ilvl="2">
      <w:start w:val="1"/>
      <w:numFmt w:val="none"/>
      <w:suff w:val="nothing"/>
      <w:lvlText w:val=""/>
      <w:lvlJc w:val="left"/>
      <w:pPr>
        <w:ind w:left="0" w:hanging="0"/>
      </w:pPr>
    </w:lvl>
    <w:lvl w:ilvl="3">
      <w:start w:val="1"/>
      <w:numFmt w:val="none"/>
      <w:suff w:val="nothing"/>
      <w:lvlText w:val=""/>
      <w:lvlJc w:val="left"/>
      <w:pPr>
        <w:ind w:left="0" w:hanging="0"/>
      </w:pPr>
    </w:lvl>
    <w:lvl w:ilvl="4">
      <w:start w:val="1"/>
      <w:numFmt w:val="none"/>
      <w:suff w:val="nothing"/>
      <w:lvlText w:val=""/>
      <w:lvlJc w:val="left"/>
      <w:pPr>
        <w:ind w:left="0" w:hanging="0"/>
      </w:pPr>
    </w:lvl>
    <w:lvl w:ilvl="5">
      <w:start w:val="1"/>
      <w:numFmt w:val="none"/>
      <w:suff w:val="nothing"/>
      <w:lvlText w:val=""/>
      <w:lvlJc w:val="left"/>
      <w:pPr>
        <w:ind w:left="0" w:hanging="0"/>
      </w:pPr>
    </w:lvl>
    <w:lvl w:ilvl="6">
      <w:start w:val="1"/>
      <w:numFmt w:val="none"/>
      <w:suff w:val="nothing"/>
      <w:lvlText w:val=""/>
      <w:lvlJc w:val="left"/>
      <w:pPr>
        <w:ind w:left="0" w:hanging="0"/>
      </w:pPr>
    </w:lvl>
    <w:lvl w:ilvl="7">
      <w:start w:val="1"/>
      <w:numFmt w:val="none"/>
      <w:suff w:val="nothing"/>
      <w:lvlText w:val=""/>
      <w:lvlJc w:val="left"/>
      <w:pPr>
        <w:ind w:left="0" w:hanging="0"/>
      </w:pPr>
    </w:lvl>
    <w:lvl w:ilvl="8">
      <w:start w:val="1"/>
      <w:numFmt w:val="none"/>
      <w:suff w:val="nothing"/>
      <w:lvlText w:val=""/>
      <w:lvlJc w:val="left"/>
      <w:pPr>
        <w:ind w:left="0" w:hanging="0"/>
      </w:pPr>
    </w:lvl>
  </w:abstractNum>
  <w:abstractNum w:abstractNumId="3">
    <w:lvl w:ilvl="0">
      <w:start w:val="1"/>
      <w:numFmt w:val="bullet"/>
      <w:lvlText w:val=""/>
      <w:lvlJc w:val="left"/>
      <w:pPr>
        <w:tabs>
          <w:tab w:val="num" w:pos="227"/>
        </w:tabs>
        <w:ind w:left="227" w:hanging="227"/>
      </w:pPr>
      <w:rPr>
        <w:rFonts w:ascii="Symbol" w:hAnsi="Symbol" w:cs="Symbol" w:hint="default"/>
        <w:rFonts w:cs="Symbol"/>
      </w:rPr>
    </w:lvl>
    <w:lvl w:ilvl="1">
      <w:start w:val="1"/>
      <w:numFmt w:val="bullet"/>
      <w:lvlText w:val=""/>
      <w:lvlJc w:val="left"/>
      <w:pPr>
        <w:tabs>
          <w:tab w:val="num" w:pos="454"/>
        </w:tabs>
        <w:ind w:left="454" w:hanging="227"/>
      </w:pPr>
      <w:rPr>
        <w:rFonts w:ascii="Symbol" w:hAnsi="Symbol" w:cs="Symbol" w:hint="default"/>
        <w:rFonts w:cs="Symbol"/>
      </w:rPr>
    </w:lvl>
    <w:lvl w:ilvl="2">
      <w:start w:val="1"/>
      <w:numFmt w:val="bullet"/>
      <w:lvlText w:val=""/>
      <w:lvlJc w:val="left"/>
      <w:pPr>
        <w:tabs>
          <w:tab w:val="num" w:pos="680"/>
        </w:tabs>
        <w:ind w:left="680" w:hanging="227"/>
      </w:pPr>
      <w:rPr>
        <w:rFonts w:ascii="Symbol" w:hAnsi="Symbol" w:cs="Symbol" w:hint="default"/>
        <w:rFonts w:cs="Symbol"/>
      </w:rPr>
    </w:lvl>
    <w:lvl w:ilvl="3">
      <w:start w:val="1"/>
      <w:numFmt w:val="bullet"/>
      <w:lvlText w:val=""/>
      <w:lvlJc w:val="left"/>
      <w:pPr>
        <w:tabs>
          <w:tab w:val="num" w:pos="907"/>
        </w:tabs>
        <w:ind w:left="907" w:hanging="227"/>
      </w:pPr>
      <w:rPr>
        <w:rFonts w:ascii="Symbol" w:hAnsi="Symbol" w:cs="Symbol" w:hint="default"/>
        <w:rFonts w:cs="Symbol"/>
      </w:rPr>
    </w:lvl>
    <w:lvl w:ilvl="4">
      <w:start w:val="1"/>
      <w:numFmt w:val="bullet"/>
      <w:lvlText w:val=""/>
      <w:lvlJc w:val="left"/>
      <w:pPr>
        <w:tabs>
          <w:tab w:val="num" w:pos="1134"/>
        </w:tabs>
        <w:ind w:left="1134" w:hanging="227"/>
      </w:pPr>
      <w:rPr>
        <w:rFonts w:ascii="Symbol" w:hAnsi="Symbol" w:cs="Symbol" w:hint="default"/>
        <w:rFonts w:cs="Symbol"/>
      </w:rPr>
    </w:lvl>
    <w:lvl w:ilvl="5">
      <w:start w:val="1"/>
      <w:numFmt w:val="bullet"/>
      <w:lvlText w:val=""/>
      <w:lvlJc w:val="left"/>
      <w:pPr>
        <w:tabs>
          <w:tab w:val="num" w:pos="1361"/>
        </w:tabs>
        <w:ind w:left="1361" w:hanging="227"/>
      </w:pPr>
      <w:rPr>
        <w:rFonts w:ascii="Symbol" w:hAnsi="Symbol" w:cs="Symbol" w:hint="default"/>
        <w:rFonts w:cs="Symbol"/>
      </w:rPr>
    </w:lvl>
    <w:lvl w:ilvl="6">
      <w:start w:val="1"/>
      <w:numFmt w:val="bullet"/>
      <w:lvlText w:val=""/>
      <w:lvlJc w:val="left"/>
      <w:pPr>
        <w:tabs>
          <w:tab w:val="num" w:pos="1587"/>
        </w:tabs>
        <w:ind w:left="1587" w:hanging="227"/>
      </w:pPr>
      <w:rPr>
        <w:rFonts w:ascii="Symbol" w:hAnsi="Symbol" w:cs="Symbol" w:hint="default"/>
        <w:rFonts w:cs="Symbol"/>
      </w:rPr>
    </w:lvl>
    <w:lvl w:ilvl="7">
      <w:start w:val="1"/>
      <w:numFmt w:val="bullet"/>
      <w:lvlText w:val=""/>
      <w:lvlJc w:val="left"/>
      <w:pPr>
        <w:tabs>
          <w:tab w:val="num" w:pos="1814"/>
        </w:tabs>
        <w:ind w:left="1814" w:hanging="227"/>
      </w:pPr>
      <w:rPr>
        <w:rFonts w:ascii="Symbol" w:hAnsi="Symbol" w:cs="Symbol" w:hint="default"/>
        <w:rFonts w:cs="Symbol"/>
      </w:rPr>
    </w:lvl>
    <w:lvl w:ilvl="8">
      <w:start w:val="1"/>
      <w:numFmt w:val="bullet"/>
      <w:lvlText w:val=""/>
      <w:lvlJc w:val="left"/>
      <w:pPr>
        <w:tabs>
          <w:tab w:val="num" w:pos="2041"/>
        </w:tabs>
        <w:ind w:left="2041" w:hanging="227"/>
      </w:pPr>
      <w:rPr>
        <w:rFonts w:ascii="Symbol" w:hAnsi="Symbol" w:cs="Symbol" w:hint="default"/>
        <w:rFonts w:cs="Symbol"/>
      </w:rPr>
    </w:lvl>
  </w:abstractNum>
  <w:num w:numId="1">
    <w:abstractNumId w:val="1"/>
  </w:num>
  <w:num w:numId="2">
    <w:abstractNumId w:val="2"/>
  </w:num>
  <w:num w:numId="3">
    <w:abstractNumId w:val="3"/>
  </w:num>
</w:numbering>
</file>

<file path=word/settings.xml><?xml version="1.0" encoding="utf-8"?>
<w:settings xmlns:w="http://schemas.openxmlformats.org/wordprocessingml/2006/main">
  <w:zoom w:percent="100"/>
  <w:defaultTabStop w:val="720"/>
  <w:autoHyphenation w:val="false"/>
  <w:evenAndOddHeaders/>
  <w:footnotePr>
    <w:numFmt w:val="upperRoman"/>
    <w:footnote w:id="0"/>
    <w:footnote w:id="1"/>
  </w:footnotePr>
  <w:endnotePr>
    <w:numFmt w:val="decimal"/>
    <w:endnote w:id="0"/>
    <w:endnote w:id="1"/>
  </w:endnotePr>
  <w:compat>
    <w:compatSetting w:name="compatibilityMode" w:uri="http://schemas.microsoft.com/office/word" w:val="15"/>
  </w:compat>
  <w:themeFontLang w:val="" w:eastAsia=""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Times New Roman" w:hAnsi="Times New Roman" w:eastAsia="SimSun" w:cs="Mangal"/>
        <w:kern w:val="2"/>
        <w:sz w:val="24"/>
        <w:lang w:val="nl" w:eastAsia="zh-CN" w:bidi="hi-IN"/>
      </w:rPr>
    </w:rPrDefault>
    <w:pPrDefault>
      <w:pPr/>
    </w:pPrDefault>
  </w:docDefaults>
  <w:style w:type="paragraph" w:styleId="Normal">
    <w:name w:val="Normal"/>
    <w:qFormat/>
    <w:pPr>
      <w:widowControl/>
      <w:suppressAutoHyphens w:val="true"/>
      <w:overflowPunct w:val="false"/>
      <w:bidi w:val="0"/>
      <w:spacing w:before="57" w:after="57"/>
      <w:ind w:left="0" w:right="0" w:hanging="0"/>
      <w:jc w:val="left"/>
    </w:pPr>
    <w:rPr>
      <w:rFonts w:ascii="Arial" w:hAnsi="Arial" w:eastAsia="SimSun" w:cs="Mangal"/>
      <w:color w:val="00000A"/>
      <w:kern w:val="2"/>
      <w:sz w:val="22"/>
      <w:szCs w:val="20"/>
      <w:lang w:val="nl" w:eastAsia="zh-CN" w:bidi="hi-IN"/>
    </w:rPr>
  </w:style>
  <w:style w:type="paragraph" w:styleId="Titre1">
    <w:name w:val="Heading 1"/>
    <w:basedOn w:val="Titre"/>
    <w:qFormat/>
    <w:pPr>
      <w:numPr>
        <w:ilvl w:val="0"/>
        <w:numId w:val="1"/>
      </w:numPr>
      <w:spacing w:before="238" w:after="567"/>
      <w:outlineLvl w:val="0"/>
    </w:pPr>
    <w:rPr>
      <w:b w:val="false"/>
      <w:color w:val="0066B3"/>
      <w:sz w:val="64"/>
    </w:rPr>
  </w:style>
  <w:style w:type="paragraph" w:styleId="Titre2">
    <w:name w:val="Heading 2"/>
    <w:basedOn w:val="Titre"/>
    <w:qFormat/>
    <w:pPr>
      <w:numPr>
        <w:ilvl w:val="1"/>
        <w:numId w:val="1"/>
      </w:numPr>
      <w:spacing w:before="200" w:after="120"/>
      <w:outlineLvl w:val="1"/>
    </w:pPr>
    <w:rPr>
      <w:b/>
      <w:sz w:val="28"/>
    </w:rPr>
  </w:style>
  <w:style w:type="paragraph" w:styleId="Titre3">
    <w:name w:val="Heading 3"/>
    <w:basedOn w:val="Titre"/>
    <w:qFormat/>
    <w:pPr>
      <w:numPr>
        <w:ilvl w:val="2"/>
        <w:numId w:val="1"/>
      </w:numPr>
      <w:spacing w:before="140" w:after="120"/>
      <w:outlineLvl w:val="2"/>
    </w:pPr>
    <w:rPr>
      <w:b/>
      <w:sz w:val="28"/>
    </w:rPr>
  </w:style>
  <w:style w:type="paragraph" w:styleId="Titre4">
    <w:name w:val="Heading 4"/>
    <w:basedOn w:val="Titre"/>
    <w:qFormat/>
    <w:pPr>
      <w:numPr>
        <w:ilvl w:val="3"/>
        <w:numId w:val="1"/>
      </w:numPr>
      <w:spacing w:before="120" w:after="120"/>
      <w:outlineLvl w:val="3"/>
    </w:pPr>
    <w:rPr>
      <w:b/>
      <w:i/>
      <w:sz w:val="24"/>
    </w:rPr>
  </w:style>
  <w:style w:type="paragraph" w:styleId="Titre5">
    <w:name w:val="Heading 5"/>
    <w:basedOn w:val="Titre"/>
    <w:qFormat/>
    <w:pPr>
      <w:numPr>
        <w:ilvl w:val="4"/>
        <w:numId w:val="1"/>
      </w:numPr>
      <w:spacing w:before="120" w:after="60"/>
      <w:outlineLvl w:val="4"/>
    </w:pPr>
    <w:rPr>
      <w:b/>
      <w:sz w:val="22"/>
      <w:u w:val="none"/>
    </w:rPr>
  </w:style>
  <w:style w:type="character" w:styleId="Caractresdenotedebasdepage">
    <w:name w:val="Caractères de note de bas de page"/>
    <w:qFormat/>
    <w:rPr/>
  </w:style>
  <w:style w:type="character" w:styleId="Ancredenotedebasdepage">
    <w:name w:val="Ancre de note de bas de page"/>
    <w:rPr>
      <w:vertAlign w:val="superscript"/>
    </w:rPr>
  </w:style>
  <w:style w:type="character" w:styleId="LienInternet">
    <w:name w:val="Lien Internet"/>
    <w:rPr>
      <w:color w:val="000080"/>
      <w:u w:val="single"/>
    </w:rPr>
  </w:style>
  <w:style w:type="character" w:styleId="Caractresdenumrotation">
    <w:name w:val="Caractères de numérotation"/>
    <w:qFormat/>
    <w:rPr/>
  </w:style>
  <w:style w:type="character" w:styleId="Ancredenotedefin">
    <w:name w:val="Ancre de note de fin"/>
    <w:rPr>
      <w:vertAlign w:val="superscript"/>
    </w:rPr>
  </w:style>
  <w:style w:type="character" w:styleId="Caractresdenotedefin">
    <w:name w:val="Caractères de note de fin"/>
    <w:qFormat/>
    <w:rPr/>
  </w:style>
  <w:style w:type="character" w:styleId="Accentuationforte">
    <w:name w:val="Accentuation forte"/>
    <w:qFormat/>
    <w:rPr>
      <w:b/>
    </w:rPr>
  </w:style>
  <w:style w:type="character" w:styleId="Sautdindex">
    <w:name w:val="Saut d'index"/>
    <w:qFormat/>
    <w:rPr/>
  </w:style>
  <w:style w:type="character" w:styleId="ListLabel1">
    <w:name w:val="ListLabel 1"/>
    <w:qFormat/>
    <w:rPr>
      <w:rFonts w:cs="Symbol"/>
    </w:rPr>
  </w:style>
  <w:style w:type="character" w:styleId="ListLabel2">
    <w:name w:val="ListLabel 2"/>
    <w:qFormat/>
    <w:rPr>
      <w:rFonts w:cs="Symbol"/>
    </w:rPr>
  </w:style>
  <w:style w:type="character" w:styleId="ListLabel3">
    <w:name w:val="ListLabel 3"/>
    <w:qFormat/>
    <w:rPr>
      <w:rFonts w:cs="Symbol"/>
    </w:rPr>
  </w:style>
  <w:style w:type="character" w:styleId="ListLabel4">
    <w:name w:val="ListLabel 4"/>
    <w:qFormat/>
    <w:rPr>
      <w:rFonts w:cs="Symbol"/>
    </w:rPr>
  </w:style>
  <w:style w:type="character" w:styleId="ListLabel5">
    <w:name w:val="ListLabel 5"/>
    <w:qFormat/>
    <w:rPr>
      <w:rFonts w:cs="Symbol"/>
    </w:rPr>
  </w:style>
  <w:style w:type="character" w:styleId="ListLabel6">
    <w:name w:val="ListLabel 6"/>
    <w:qFormat/>
    <w:rPr>
      <w:rFonts w:cs="Symbol"/>
    </w:rPr>
  </w:style>
  <w:style w:type="character" w:styleId="ListLabel7">
    <w:name w:val="ListLabel 7"/>
    <w:qFormat/>
    <w:rPr>
      <w:rFonts w:cs="Symbol"/>
    </w:rPr>
  </w:style>
  <w:style w:type="character" w:styleId="ListLabel8">
    <w:name w:val="ListLabel 8"/>
    <w:qFormat/>
    <w:rPr>
      <w:rFonts w:cs="Symbol"/>
    </w:rPr>
  </w:style>
  <w:style w:type="character" w:styleId="ListLabel9">
    <w:name w:val="ListLabel 9"/>
    <w:qFormat/>
    <w:rPr>
      <w:rFonts w:cs="Symbol"/>
    </w:rPr>
  </w:style>
  <w:style w:type="character" w:styleId="ListLabel10">
    <w:name w:val="ListLabel 10"/>
    <w:qFormat/>
    <w:rPr>
      <w:rFonts w:ascii="Times New Roman" w:hAnsi="Times New Roman"/>
      <w:sz w:val="24"/>
    </w:rPr>
  </w:style>
  <w:style w:type="character" w:styleId="ListLabel11">
    <w:name w:val="ListLabel 11"/>
    <w:qFormat/>
    <w:rPr/>
  </w:style>
  <w:style w:type="character" w:styleId="ListLabel12">
    <w:name w:val="ListLabel 12"/>
    <w:qFormat/>
    <w:rPr/>
  </w:style>
  <w:style w:type="character" w:styleId="ListLabel13">
    <w:name w:val="ListLabel 13"/>
    <w:qFormat/>
    <w:rPr>
      <w:color w:val="0563C1"/>
    </w:rPr>
  </w:style>
  <w:style w:type="character" w:styleId="ListLabel14">
    <w:name w:val="ListLabel 14"/>
    <w:qFormat/>
    <w:rPr>
      <w:rFonts w:ascii="Times New Roman" w:hAnsi="Times New Roman"/>
      <w:b/>
      <w:color w:val="0000FF"/>
    </w:rPr>
  </w:style>
  <w:style w:type="character" w:styleId="ListLabel15">
    <w:name w:val="ListLabel 15"/>
    <w:qFormat/>
    <w:rPr>
      <w:color w:val="0000FF"/>
      <w:sz w:val="24"/>
    </w:rPr>
  </w:style>
  <w:style w:type="paragraph" w:styleId="Titre">
    <w:name w:val="Titre"/>
    <w:basedOn w:val="Normal"/>
    <w:next w:val="Corpsdetexte"/>
    <w:qFormat/>
    <w:pPr>
      <w:keepNext w:val="true"/>
      <w:spacing w:before="240" w:after="120"/>
    </w:pPr>
    <w:rPr>
      <w:rFonts w:ascii="Arial" w:hAnsi="Arial" w:eastAsia="Microsoft YaHei" w:cs="Lucida Sans"/>
      <w:sz w:val="28"/>
    </w:rPr>
  </w:style>
  <w:style w:type="paragraph" w:styleId="Corpsdetexte">
    <w:name w:val="Body Text"/>
    <w:basedOn w:val="Normal"/>
    <w:pPr>
      <w:spacing w:lineRule="auto" w:line="240" w:before="57" w:after="57"/>
    </w:pPr>
    <w:rPr/>
  </w:style>
  <w:style w:type="paragraph" w:styleId="Liste">
    <w:name w:val="List"/>
    <w:basedOn w:val="Corpsdetexte"/>
    <w:pPr/>
    <w:rPr>
      <w:rFonts w:cs="Lucida Sans"/>
    </w:rPr>
  </w:style>
  <w:style w:type="paragraph" w:styleId="Lgende">
    <w:name w:val="Caption"/>
    <w:basedOn w:val="Normal"/>
    <w:qFormat/>
    <w:pPr>
      <w:suppressLineNumbers/>
      <w:spacing w:before="120" w:after="120"/>
    </w:pPr>
    <w:rPr>
      <w:rFonts w:cs="Lucida Sans"/>
      <w:i/>
      <w:sz w:val="24"/>
    </w:rPr>
  </w:style>
  <w:style w:type="paragraph" w:styleId="Index">
    <w:name w:val="Index"/>
    <w:basedOn w:val="Normal"/>
    <w:qFormat/>
    <w:pPr>
      <w:suppressLineNumbers/>
    </w:pPr>
    <w:rPr>
      <w:rFonts w:cs="Lucida Sans"/>
    </w:rPr>
  </w:style>
  <w:style w:type="paragraph" w:styleId="Contenudecadre">
    <w:name w:val="Contenu de cadre"/>
    <w:basedOn w:val="Normal"/>
    <w:qFormat/>
    <w:pPr/>
    <w:rPr/>
  </w:style>
  <w:style w:type="paragraph" w:styleId="Entteetpieddepage">
    <w:name w:val="En-tête et pied de page"/>
    <w:basedOn w:val="Normal"/>
    <w:qFormat/>
    <w:pPr>
      <w:suppressLineNumbers/>
      <w:tabs>
        <w:tab w:val="center" w:pos="4819" w:leader="none"/>
        <w:tab w:val="right" w:pos="9638" w:leader="none"/>
      </w:tabs>
    </w:pPr>
    <w:rPr/>
  </w:style>
  <w:style w:type="paragraph" w:styleId="Entte">
    <w:name w:val="Header"/>
    <w:basedOn w:val="Entteetpieddepage"/>
    <w:pPr>
      <w:suppressLineNumbers/>
    </w:pPr>
    <w:rPr>
      <w:rFonts w:ascii="Arial" w:hAnsi="Arial"/>
      <w:sz w:val="22"/>
    </w:rPr>
  </w:style>
  <w:style w:type="paragraph" w:styleId="Pieddepage">
    <w:name w:val="Footer"/>
    <w:basedOn w:val="Entteetpieddepage"/>
    <w:pPr>
      <w:suppressLineNumbers/>
    </w:pPr>
    <w:rPr/>
  </w:style>
  <w:style w:type="paragraph" w:styleId="Titre1sansnumro">
    <w:name w:val="Titre 1 sans numéro"/>
    <w:basedOn w:val="Titre1"/>
    <w:qFormat/>
    <w:pPr>
      <w:numPr>
        <w:ilvl w:val="0"/>
        <w:numId w:val="0"/>
      </w:numPr>
      <w:ind w:left="0" w:right="0" w:hanging="0"/>
    </w:pPr>
    <w:rPr>
      <w:color w:val="0066B3"/>
    </w:rPr>
  </w:style>
  <w:style w:type="paragraph" w:styleId="Notedebasdepage">
    <w:name w:val="Footnote Text"/>
    <w:basedOn w:val="Normal"/>
    <w:pPr>
      <w:suppressLineNumbers/>
      <w:ind w:left="339" w:right="0" w:hanging="339"/>
    </w:pPr>
    <w:rPr>
      <w:sz w:val="20"/>
    </w:rPr>
  </w:style>
  <w:style w:type="paragraph" w:styleId="Alinangatif">
    <w:name w:val="Alinéa négatif"/>
    <w:basedOn w:val="Corpsdetexte"/>
    <w:qFormat/>
    <w:pPr>
      <w:tabs>
        <w:tab w:val="left" w:pos="0" w:leader="none"/>
      </w:tabs>
      <w:ind w:left="567" w:right="0" w:hanging="283"/>
    </w:pPr>
    <w:rPr/>
  </w:style>
  <w:style w:type="paragraph" w:styleId="Alineanegatifpuce">
    <w:name w:val="Alinea negatif puce"/>
    <w:basedOn w:val="Normal"/>
    <w:qFormat/>
    <w:pPr/>
    <w:rPr/>
  </w:style>
  <w:style w:type="paragraph" w:styleId="Puce3">
    <w:name w:val="List Bullet 4"/>
    <w:basedOn w:val="Liste"/>
    <w:pPr>
      <w:spacing w:before="0" w:after="120"/>
      <w:ind w:left="360" w:right="0" w:hanging="360"/>
    </w:pPr>
    <w:rPr/>
  </w:style>
  <w:style w:type="paragraph" w:styleId="Contenudetableau">
    <w:name w:val="Contenu de tableau"/>
    <w:basedOn w:val="Normal"/>
    <w:qFormat/>
    <w:pPr>
      <w:widowControl w:val="false"/>
      <w:suppressLineNumbers/>
    </w:pPr>
    <w:rPr/>
  </w:style>
  <w:style w:type="paragraph" w:styleId="Titredetableau">
    <w:name w:val="Titre de tableau"/>
    <w:basedOn w:val="Contenudetableau"/>
    <w:qFormat/>
    <w:pPr>
      <w:suppressLineNumbers/>
      <w:jc w:val="center"/>
    </w:pPr>
    <w:rPr>
      <w:b/>
    </w:rPr>
  </w:style>
  <w:style w:type="paragraph" w:styleId="Notedefin">
    <w:name w:val="Endnote Text"/>
    <w:basedOn w:val="Normal"/>
    <w:pPr>
      <w:suppressLineNumbers/>
      <w:ind w:left="339" w:right="0" w:hanging="339"/>
    </w:pPr>
    <w:rPr>
      <w:sz w:val="20"/>
    </w:rPr>
  </w:style>
  <w:style w:type="paragraph" w:styleId="StyleParDefautjustifie">
    <w:name w:val="StyleParDefaut_justifie"/>
    <w:basedOn w:val="Normal"/>
    <w:qFormat/>
    <w:pPr>
      <w:jc w:val="both"/>
    </w:pPr>
    <w:rPr/>
  </w:style>
  <w:style w:type="paragraph" w:styleId="Indexlexicaltitre">
    <w:name w:val="Index Heading"/>
    <w:basedOn w:val="Titre"/>
    <w:pPr>
      <w:suppressLineNumbers/>
      <w:ind w:left="0" w:right="0" w:hanging="0"/>
    </w:pPr>
    <w:rPr>
      <w:b/>
      <w:sz w:val="32"/>
    </w:rPr>
  </w:style>
  <w:style w:type="paragraph" w:styleId="TOAHeading">
    <w:name w:val="TOA Heading"/>
    <w:basedOn w:val="Titre"/>
    <w:qFormat/>
    <w:pPr>
      <w:suppressLineNumbers/>
      <w:ind w:left="0" w:right="0" w:hanging="0"/>
    </w:pPr>
    <w:rPr>
      <w:b/>
      <w:sz w:val="32"/>
    </w:rPr>
  </w:style>
  <w:style w:type="paragraph" w:styleId="Tabledesmatiresniveau1">
    <w:name w:val="TOC 1"/>
    <w:basedOn w:val="Index"/>
    <w:pPr>
      <w:tabs>
        <w:tab w:val="right" w:pos="9638" w:leader="dot"/>
      </w:tabs>
      <w:ind w:left="0" w:right="0" w:hanging="0"/>
    </w:pPr>
    <w:rPr/>
  </w:style>
  <w:style w:type="paragraph" w:styleId="Tabledesmatiresniveau2">
    <w:name w:val="TOC 2"/>
    <w:basedOn w:val="Index"/>
    <w:pPr>
      <w:tabs>
        <w:tab w:val="right" w:pos="9355" w:leader="dot"/>
      </w:tabs>
      <w:ind w:left="283" w:right="0" w:hanging="0"/>
    </w:pPr>
    <w:rPr/>
  </w:style>
  <w:style w:type="paragraph" w:styleId="Tabledesmatiresniveau3">
    <w:name w:val="TOC 3"/>
    <w:basedOn w:val="Index"/>
    <w:pPr>
      <w:tabs>
        <w:tab w:val="right" w:pos="9072" w:leader="dot"/>
      </w:tabs>
      <w:ind w:left="566" w:right="0" w:hanging="0"/>
    </w:pPr>
    <w:rPr/>
  </w:style>
  <w:style w:type="paragraph" w:styleId="Tabledesmatiresniveau4">
    <w:name w:val="TOC 4"/>
    <w:basedOn w:val="Index"/>
    <w:pPr>
      <w:tabs>
        <w:tab w:val="right" w:pos="8789" w:leader="dot"/>
      </w:tabs>
      <w:ind w:left="849" w:right="0" w:hanging="0"/>
    </w:pPr>
    <w:rPr/>
  </w:style>
  <w:style w:type="paragraph" w:styleId="Tabledesmatiresniveau5">
    <w:name w:val="TOC 5"/>
    <w:basedOn w:val="Index"/>
    <w:pPr>
      <w:tabs>
        <w:tab w:val="right" w:pos="8506" w:leader="dot"/>
      </w:tabs>
      <w:ind w:left="1132" w:right="0" w:hanging="0"/>
    </w:pPr>
    <w:rPr/>
  </w:style>
  <w:style w:type="paragraph" w:styleId="P68B1DB1Normal1">
    <w:name w:val="P68B1DB1-Normal1"/>
    <w:basedOn w:val="Normal"/>
    <w:qFormat/>
    <w:pPr/>
    <w:rPr>
      <w:rFonts w:ascii="Arial" w:hAnsi="Arial"/>
      <w:b/>
      <w:color w:val="000000"/>
      <w:sz w:val="76"/>
    </w:rPr>
  </w:style>
  <w:style w:type="paragraph" w:styleId="P68B1DB1Normal2">
    <w:name w:val="P68B1DB1-Normal2"/>
    <w:basedOn w:val="Normal"/>
    <w:qFormat/>
    <w:pPr/>
    <w:rPr>
      <w:rFonts w:ascii="Arial" w:hAnsi="Arial"/>
      <w:color w:val="0000BE"/>
      <w:sz w:val="44"/>
    </w:rPr>
  </w:style>
  <w:style w:type="paragraph" w:styleId="P68B1DB1Normal3">
    <w:name w:val="P68B1DB1-Normal3"/>
    <w:basedOn w:val="Normal"/>
    <w:qFormat/>
    <w:pPr/>
    <w:rPr>
      <w:color w:val="0000BE"/>
      <w:sz w:val="28"/>
    </w:rPr>
  </w:style>
  <w:style w:type="paragraph" w:styleId="P68B1DB1Normal4">
    <w:name w:val="P68B1DB1-Normal4"/>
    <w:basedOn w:val="Normal"/>
    <w:qFormat/>
    <w:pPr/>
    <w:rPr>
      <w:rFonts w:ascii="Arial" w:hAnsi="Arial"/>
      <w:color w:val="414345"/>
      <w:sz w:val="32"/>
    </w:rPr>
  </w:style>
  <w:style w:type="paragraph" w:styleId="P68B1DB1Normal5">
    <w:name w:val="P68B1DB1-Normal5"/>
    <w:basedOn w:val="Normal"/>
    <w:qFormat/>
    <w:pPr/>
    <w:rPr>
      <w:rFonts w:ascii="Arial" w:hAnsi="Arial"/>
      <w:b/>
      <w:color w:val="0000BE"/>
      <w:sz w:val="48"/>
    </w:rPr>
  </w:style>
  <w:style w:type="paragraph" w:styleId="P68B1DB1Normal6">
    <w:name w:val="P68B1DB1-Normal6"/>
    <w:basedOn w:val="Normal"/>
    <w:qFormat/>
    <w:pPr/>
    <w:rPr>
      <w:rFonts w:ascii="Times New Roman" w:hAnsi="Times New Roman"/>
      <w:b/>
      <w:sz w:val="24"/>
    </w:rPr>
  </w:style>
  <w:style w:type="paragraph" w:styleId="P68B1DB1Normal7">
    <w:name w:val="P68B1DB1-Normal7"/>
    <w:basedOn w:val="Normal"/>
    <w:qFormat/>
    <w:pPr/>
    <w:rPr>
      <w:rFonts w:ascii="Times New Roman" w:hAnsi="Times New Roman"/>
      <w:sz w:val="24"/>
    </w:rPr>
  </w:style>
  <w:style w:type="paragraph" w:styleId="P68B1DB1Contenudetableau8">
    <w:name w:val="P68B1DB1-Contenudetableau8"/>
    <w:basedOn w:val="Contenudetableau"/>
    <w:qFormat/>
    <w:pPr/>
    <w:rPr>
      <w:sz w:val="32"/>
    </w:rPr>
  </w:style>
  <w:style w:type="paragraph" w:styleId="P68B1DB1Contenudetableau9">
    <w:name w:val="P68B1DB1-Contenudetableau9"/>
    <w:basedOn w:val="Contenudetableau"/>
    <w:qFormat/>
    <w:pPr/>
    <w:rPr>
      <w:sz w:val="16"/>
    </w:rPr>
  </w:style>
  <w:style w:type="paragraph" w:styleId="P68B1DB1Contenudetableau10">
    <w:name w:val="P68B1DB1-Contenudetableau10"/>
    <w:basedOn w:val="Contenudetableau"/>
    <w:qFormat/>
    <w:pPr/>
    <w:rPr>
      <w:b/>
    </w:rPr>
  </w:style>
  <w:style w:type="paragraph" w:styleId="P68B1DB1Lgende11">
    <w:name w:val="P68B1DB1-Lgende11"/>
    <w:basedOn w:val="Lgende"/>
    <w:qFormat/>
    <w:pPr/>
    <w:rPr>
      <w:sz w:val="18"/>
    </w:rPr>
  </w:style>
  <w:style w:type="paragraph" w:styleId="P68B1DB1Corpsdetexte12">
    <w:name w:val="P68B1DB1-Corpsdetexte12"/>
    <w:basedOn w:val="Corpsdetexte"/>
    <w:qFormat/>
    <w:pPr/>
    <w:rPr>
      <w:b/>
      <w:i/>
      <w:u w:val="single"/>
    </w:rPr>
  </w:style>
  <w:style w:type="paragraph" w:styleId="P68B1DB1Normal13">
    <w:name w:val="P68B1DB1-Normal13"/>
    <w:basedOn w:val="Normal"/>
    <w:qFormat/>
    <w:pPr/>
    <w:rPr>
      <w:i/>
      <w:sz w:val="20"/>
    </w:rPr>
  </w:style>
  <w:style w:type="paragraph" w:styleId="P68B1DB1Normal14">
    <w:name w:val="P68B1DB1-Normal14"/>
    <w:basedOn w:val="Normal"/>
    <w:qFormat/>
    <w:pPr/>
    <w:rPr>
      <w:sz w:val="20"/>
    </w:rPr>
  </w:style>
  <w:style w:type="paragraph" w:styleId="P68B1DB1Normal15">
    <w:name w:val="P68B1DB1-Normal15"/>
    <w:basedOn w:val="Normal"/>
    <w:qFormat/>
    <w:pPr/>
    <w:rPr>
      <w:b/>
    </w:rPr>
  </w:style>
  <w:style w:type="paragraph" w:styleId="P68B1DB1Normal16">
    <w:name w:val="P68B1DB1-Normal16"/>
    <w:basedOn w:val="Normal"/>
    <w:qFormat/>
    <w:pPr/>
    <w:rPr>
      <w:color w:val="FFFFFF"/>
      <w:sz w:val="72"/>
    </w:rPr>
  </w:style>
  <w:style w:type="paragraph" w:styleId="P68B1DB1Normal17">
    <w:name w:val="P68B1DB1-Normal17"/>
    <w:basedOn w:val="Normal"/>
    <w:qFormat/>
    <w:pPr/>
    <w:rPr>
      <w:color w:val="FFFFFF"/>
    </w:rPr>
  </w:style>
  <w:style w:type="paragraph" w:styleId="P68B1DB1Normal18">
    <w:name w:val="P68B1DB1-Normal18"/>
    <w:basedOn w:val="Normal"/>
    <w:qFormat/>
    <w:pPr/>
    <w:rPr>
      <w:rFonts w:ascii="Calibri" w:hAnsi="Calibri"/>
      <w:sz w:val="28"/>
    </w:rPr>
  </w:style>
  <w:style w:type="paragraph" w:styleId="P68B1DB1Normal19">
    <w:name w:val="P68B1DB1-Normal19"/>
    <w:basedOn w:val="Normal"/>
    <w:qFormat/>
    <w:pPr/>
    <w:rPr>
      <w:rFonts w:ascii="Times New Roman" w:hAnsi="Times New Roman"/>
      <w:color w:val="000000"/>
      <w:sz w:val="24"/>
    </w:rPr>
  </w:style>
  <w:style w:type="paragraph" w:styleId="P68B1DB1Normal20">
    <w:name w:val="P68B1DB1-Normal20"/>
    <w:basedOn w:val="Normal"/>
    <w:qFormat/>
    <w:pPr/>
    <w:rPr>
      <w:rFonts w:ascii="Calibri" w:hAnsi="Calibri"/>
      <w:color w:val="000000"/>
      <w:sz w:val="24"/>
    </w:rPr>
  </w:style>
  <w:style w:type="paragraph" w:styleId="P68B1DB1Normal21">
    <w:name w:val="P68B1DB1-Normal21"/>
    <w:basedOn w:val="Normal"/>
    <w:qFormat/>
    <w:pPr/>
    <w:rPr>
      <w:rFonts w:ascii="Calibri" w:hAnsi="Calibri"/>
      <w:sz w:val="24"/>
    </w:rPr>
  </w:style>
  <w:style w:type="paragraph" w:styleId="P68B1DB1Contenudecadre22">
    <w:name w:val="P68B1DB1-Contenudecadre22"/>
    <w:basedOn w:val="Contenudecadre"/>
    <w:qFormat/>
    <w:pPr/>
    <w:rPr>
      <w:color w:val="FFFFFF"/>
    </w:rPr>
  </w:style>
  <w:style w:type="paragraph" w:styleId="P68B1DB1Normal23">
    <w:name w:val="P68B1DB1-Normal23"/>
    <w:basedOn w:val="Normal"/>
    <w:qFormat/>
    <w:pPr/>
    <w:rPr>
      <w:rFonts w:ascii="Times New Roman" w:hAnsi="Times New Roman"/>
      <w:color w:val="000000"/>
      <w:sz w:val="24"/>
      <w:u w:val="single"/>
    </w:rPr>
  </w:style>
  <w:style w:type="paragraph" w:styleId="P68B1DB1Normal24">
    <w:name w:val="P68B1DB1-Normal24"/>
    <w:basedOn w:val="Normal"/>
    <w:qFormat/>
    <w:pPr/>
    <w:rPr>
      <w:rFonts w:ascii="Times New Roman" w:hAnsi="Times New Roman"/>
      <w:color w:val="000000"/>
    </w:rPr>
  </w:style>
  <w:style w:type="paragraph" w:styleId="P68B1DB1style25">
    <w:name w:val="P68B1DB1-style25"/>
    <w:qFormat/>
    <w:pPr>
      <w:widowControl/>
      <w:bidi w:val="0"/>
      <w:jc w:val="left"/>
    </w:pPr>
    <w:rPr>
      <w:rFonts w:ascii="Arial" w:hAnsi="Arial" w:eastAsia="Microsoft YaHei" w:cs="Mangal"/>
      <w:color w:val="00000A"/>
      <w:kern w:val="2"/>
      <w:sz w:val="52"/>
      <w:szCs w:val="20"/>
      <w:lang w:val="nl" w:eastAsia="zh-CN" w:bidi="hi-IN"/>
    </w:rPr>
  </w:style>
  <w:style w:type="paragraph" w:styleId="P68B1DB1style26">
    <w:name w:val="P68B1DB1-style26"/>
    <w:qFormat/>
    <w:pPr>
      <w:widowControl/>
      <w:bidi w:val="0"/>
      <w:jc w:val="left"/>
    </w:pPr>
    <w:rPr>
      <w:rFonts w:ascii="Arial" w:hAnsi="Arial" w:eastAsia="Microsoft YaHei" w:cs="Mangal"/>
      <w:color w:val="00000A"/>
      <w:kern w:val="2"/>
      <w:sz w:val="36"/>
      <w:szCs w:val="20"/>
      <w:lang w:val="nl" w:eastAsia="zh-CN" w:bidi="hi-IN"/>
    </w:rPr>
  </w:style>
  <w:style w:type="paragraph" w:styleId="P68B1DB1style27">
    <w:name w:val="P68B1DB1-style27"/>
    <w:qFormat/>
    <w:pPr>
      <w:widowControl/>
      <w:bidi w:val="0"/>
      <w:jc w:val="left"/>
    </w:pPr>
    <w:rPr>
      <w:rFonts w:ascii="Arial" w:hAnsi="Arial" w:eastAsia="Microsoft YaHei" w:cs="Mangal"/>
      <w:color w:val="00000A"/>
      <w:kern w:val="2"/>
      <w:sz w:val="21"/>
      <w:szCs w:val="20"/>
      <w:lang w:val="nl" w:eastAsia="zh-CN" w:bidi="hi-IN"/>
    </w:rPr>
  </w:style>
  <w:style w:type="paragraph" w:styleId="P68B1DB1style28">
    <w:name w:val="P68B1DB1-style28"/>
    <w:qFormat/>
    <w:pPr>
      <w:widowControl/>
      <w:bidi w:val="0"/>
      <w:jc w:val="left"/>
    </w:pPr>
    <w:rPr>
      <w:rFonts w:ascii="Arial" w:hAnsi="Arial" w:eastAsia="Microsoft YaHei" w:cs="Mangal"/>
      <w:color w:val="00000A"/>
      <w:kern w:val="2"/>
      <w:sz w:val="48"/>
      <w:szCs w:val="20"/>
      <w:lang w:val="nl" w:eastAsia="zh-CN" w:bidi="hi-IN"/>
    </w:rPr>
  </w:style>
  <w:style w:type="paragraph" w:styleId="P68B1DB1style29">
    <w:name w:val="P68B1DB1-style29"/>
    <w:qFormat/>
    <w:pPr>
      <w:widowControl/>
      <w:bidi w:val="0"/>
      <w:jc w:val="left"/>
    </w:pPr>
    <w:rPr>
      <w:rFonts w:ascii="Arial" w:hAnsi="Arial" w:eastAsia="Microsoft YaHei" w:cs="Mangal"/>
      <w:color w:val="CE181E"/>
      <w:kern w:val="2"/>
      <w:sz w:val="44"/>
      <w:szCs w:val="20"/>
      <w:lang w:val="nl" w:eastAsia="zh-CN" w:bidi="hi-IN"/>
    </w:rPr>
  </w:style>
  <w:style w:type="paragraph" w:styleId="P68B1DB1style30">
    <w:name w:val="P68B1DB1-style30"/>
    <w:qFormat/>
    <w:pPr>
      <w:widowControl/>
      <w:bidi w:val="0"/>
      <w:jc w:val="left"/>
    </w:pPr>
    <w:rPr>
      <w:rFonts w:ascii="Arial" w:hAnsi="Arial" w:eastAsia="Microsoft YaHei" w:cs="Mangal"/>
      <w:color w:val="00000A"/>
      <w:kern w:val="2"/>
      <w:sz w:val="28"/>
      <w:szCs w:val="20"/>
      <w:lang w:val="nl" w:eastAsia="zh-CN" w:bidi="hi-IN"/>
    </w:rPr>
  </w:style>
  <w:style w:type="paragraph" w:styleId="P68B1DB1style31">
    <w:name w:val="P68B1DB1-style31"/>
    <w:qFormat/>
    <w:pPr>
      <w:widowControl/>
      <w:bidi w:val="0"/>
      <w:jc w:val="left"/>
    </w:pPr>
    <w:rPr>
      <w:rFonts w:ascii="Arial" w:hAnsi="Arial" w:eastAsia="Microsoft YaHei" w:cs="Mangal"/>
      <w:b/>
      <w:color w:val="00000A"/>
      <w:kern w:val="2"/>
      <w:sz w:val="36"/>
      <w:szCs w:val="20"/>
      <w:lang w:val="nl" w:eastAsia="zh-CN" w:bidi="hi-IN"/>
    </w:rPr>
  </w:style>
  <w:style w:type="paragraph" w:styleId="P68B1DB1Normal32">
    <w:name w:val="P68B1DB1-Normal32"/>
    <w:basedOn w:val="Normal"/>
    <w:qFormat/>
    <w:pPr/>
    <w:rPr>
      <w:b/>
      <w:color w:val="000000"/>
      <w:sz w:val="24"/>
    </w:rPr>
  </w:style>
  <w:style w:type="paragraph" w:styleId="P68B1DB1Normal33">
    <w:name w:val="P68B1DB1-Normal33"/>
    <w:basedOn w:val="Normal"/>
    <w:qFormat/>
    <w:pPr/>
    <w:rPr>
      <w:rFonts w:ascii="Times New Roman" w:hAnsi="Times New Roman"/>
      <w:b/>
      <w:color w:val="000000"/>
      <w:sz w:val="24"/>
    </w:rPr>
  </w:style>
  <w:style w:type="paragraph" w:styleId="P68B1DB1Normal34">
    <w:name w:val="P68B1DB1-Normal34"/>
    <w:basedOn w:val="Normal"/>
    <w:qFormat/>
    <w:pPr/>
    <w:rPr>
      <w:color w:val="000000"/>
      <w:sz w:val="24"/>
    </w:rPr>
  </w:style>
  <w:style w:type="paragraph" w:styleId="P68B1DB1Normal35">
    <w:name w:val="P68B1DB1-Normal35"/>
    <w:basedOn w:val="Normal"/>
    <w:qFormat/>
    <w:pPr/>
    <w:rPr>
      <w:b/>
      <w:color w:val="000000"/>
    </w:rPr>
  </w:style>
  <w:style w:type="paragraph" w:styleId="P68B1DB1Titre236">
    <w:name w:val="P68B1DB1-Titre236"/>
    <w:basedOn w:val="Titre2"/>
    <w:qFormat/>
    <w:pPr>
      <w:numPr>
        <w:ilvl w:val="0"/>
        <w:numId w:val="0"/>
      </w:numPr>
      <w:ind w:left="0" w:right="0" w:hanging="0"/>
    </w:pPr>
    <w:rPr>
      <w:rFonts w:ascii="Times New Roman" w:hAnsi="Times New Roman"/>
      <w:color w:val="000070"/>
      <w:sz w:val="36"/>
    </w:rPr>
  </w:style>
  <w:style w:type="paragraph" w:styleId="P68B1DB1style37">
    <w:name w:val="P68B1DB1-style37"/>
    <w:qFormat/>
    <w:pPr>
      <w:widowControl/>
      <w:bidi w:val="0"/>
      <w:jc w:val="left"/>
    </w:pPr>
    <w:rPr>
      <w:rFonts w:ascii="Arial" w:hAnsi="Arial" w:eastAsia="Microsoft YaHei" w:cs="Mangal"/>
      <w:color w:val="FFFFFF"/>
      <w:kern w:val="2"/>
      <w:sz w:val="24"/>
      <w:szCs w:val="20"/>
      <w:lang w:val="nl" w:eastAsia="zh-CN" w:bidi="hi-IN"/>
    </w:rPr>
  </w:style>
  <w:style w:type="paragraph" w:styleId="P68B1DB1style38">
    <w:name w:val="P68B1DB1-style38"/>
    <w:qFormat/>
    <w:pPr>
      <w:widowControl/>
      <w:bidi w:val="0"/>
      <w:jc w:val="left"/>
    </w:pPr>
    <w:rPr>
      <w:rFonts w:ascii="Arial" w:hAnsi="Arial" w:eastAsia="Microsoft YaHei" w:cs="Mangal"/>
      <w:color w:val="00000A"/>
      <w:kern w:val="2"/>
      <w:sz w:val="18"/>
      <w:szCs w:val="20"/>
      <w:lang w:val="nl" w:eastAsia="zh-CN" w:bidi="hi-IN"/>
    </w:rPr>
  </w:style>
  <w:style w:type="paragraph" w:styleId="P68B1DB1Normal39">
    <w:name w:val="P68B1DB1-Normal39"/>
    <w:basedOn w:val="Normal"/>
    <w:qFormat/>
    <w:pPr/>
    <w:rPr>
      <w:rFonts w:ascii="Times New Roman" w:hAnsi="Times New Roman"/>
      <w:b/>
      <w:color w:val="000000"/>
      <w:sz w:val="12"/>
    </w:rPr>
  </w:style>
  <w:style w:type="paragraph" w:styleId="P68B1DB1Normal40">
    <w:name w:val="P68B1DB1-Normal40"/>
    <w:basedOn w:val="Normal"/>
    <w:qFormat/>
    <w:pPr/>
    <w:rPr>
      <w:color w:val="273375"/>
    </w:rPr>
  </w:style>
  <w:style w:type="paragraph" w:styleId="P68B1DB1Normal41">
    <w:name w:val="P68B1DB1-Normal41"/>
    <w:basedOn w:val="Normal"/>
    <w:qFormat/>
    <w:pPr/>
    <w:rPr>
      <w:sz w:val="18"/>
    </w:rPr>
  </w:style>
  <w:style w:type="paragraph" w:styleId="P68B1DB1Normal42">
    <w:name w:val="P68B1DB1-Normal42"/>
    <w:basedOn w:val="Normal"/>
    <w:qFormat/>
    <w:pPr/>
    <w:rPr>
      <w:rFonts w:ascii="Times New Roman" w:hAnsi="Times New Roman"/>
      <w:b/>
      <w:color w:val="000000"/>
      <w:sz w:val="28"/>
    </w:rPr>
  </w:style>
  <w:style w:type="paragraph" w:styleId="P68B1DB1Normal43">
    <w:name w:val="P68B1DB1-Normal43"/>
    <w:basedOn w:val="Normal"/>
    <w:qFormat/>
    <w:pPr/>
    <w:rPr>
      <w:rFonts w:ascii="Times New Roman" w:hAnsi="Times New Roman"/>
      <w:b/>
      <w:i/>
      <w:color w:val="808080"/>
      <w:sz w:val="24"/>
    </w:rPr>
  </w:style>
  <w:style w:type="paragraph" w:styleId="P68B1DB1Normal44">
    <w:name w:val="P68B1DB1-Normal44"/>
    <w:basedOn w:val="Normal"/>
    <w:qFormat/>
    <w:pPr/>
    <w:rPr>
      <w:rFonts w:ascii="Times New Roman" w:hAnsi="Times New Roman"/>
      <w:i/>
      <w:color w:val="000000"/>
      <w:sz w:val="24"/>
    </w:rPr>
  </w:style>
  <w:style w:type="paragraph" w:styleId="P68B1DB1Normal45">
    <w:name w:val="P68B1DB1-Normal45"/>
    <w:basedOn w:val="Normal"/>
    <w:qFormat/>
    <w:pPr/>
    <w:rPr>
      <w:rFonts w:ascii="Times New Roman" w:hAnsi="Times New Roman"/>
      <w:color w:val="000000"/>
      <w:sz w:val="20"/>
    </w:rPr>
  </w:style>
  <w:style w:type="paragraph" w:styleId="P68B1DB1Normal46">
    <w:name w:val="P68B1DB1-Normal46"/>
    <w:basedOn w:val="Normal"/>
    <w:qFormat/>
    <w:pPr/>
    <w:rPr>
      <w:rFonts w:ascii="Times New Roman" w:hAnsi="Times New Roman"/>
      <w:b/>
      <w:color w:val="F79646"/>
      <w:sz w:val="24"/>
    </w:rPr>
  </w:style>
  <w:style w:type="paragraph" w:styleId="P68B1DB1Normal47">
    <w:name w:val="P68B1DB1-Normal47"/>
    <w:basedOn w:val="Normal"/>
    <w:qFormat/>
    <w:pPr/>
    <w:rPr>
      <w:rFonts w:ascii="Times New Roman" w:hAnsi="Times New Roman"/>
      <w:b/>
      <w:color w:val="1F497D"/>
      <w:sz w:val="12"/>
    </w:rPr>
  </w:style>
  <w:style w:type="paragraph" w:styleId="P68B1DB1Normal48">
    <w:name w:val="P68B1DB1-Normal48"/>
    <w:basedOn w:val="Normal"/>
    <w:qFormat/>
    <w:pPr/>
    <w:rPr>
      <w:rFonts w:ascii="Times New Roman" w:hAnsi="Times New Roman"/>
      <w:color w:val="F79646"/>
      <w:sz w:val="24"/>
    </w:rPr>
  </w:style>
  <w:style w:type="paragraph" w:styleId="P68B1DB1Normal49">
    <w:name w:val="P68B1DB1-Normal49"/>
    <w:basedOn w:val="Normal"/>
    <w:qFormat/>
    <w:pPr/>
    <w:rPr>
      <w:rFonts w:ascii="Times New Roman" w:hAnsi="Times New Roman"/>
      <w:color w:val="000000"/>
      <w:sz w:val="12"/>
    </w:rPr>
  </w:style>
  <w:style w:type="paragraph" w:styleId="P68B1DB1Normal50">
    <w:name w:val="P68B1DB1-Normal50"/>
    <w:basedOn w:val="Normal"/>
    <w:qFormat/>
    <w:pPr/>
    <w:rPr>
      <w:rFonts w:ascii="Times New Roman" w:hAnsi="Times New Roman"/>
      <w:color w:val="222222"/>
      <w:sz w:val="24"/>
    </w:rPr>
  </w:style>
  <w:style w:type="paragraph" w:styleId="P68B1DB1Normal51">
    <w:name w:val="P68B1DB1-Normal51"/>
    <w:basedOn w:val="Normal"/>
    <w:qFormat/>
    <w:pPr/>
    <w:rPr>
      <w:rFonts w:ascii="Times New Roman" w:hAnsi="Times New Roman"/>
      <w:b/>
      <w:color w:val="222222"/>
      <w:sz w:val="24"/>
    </w:rPr>
  </w:style>
  <w:style w:type="paragraph" w:styleId="P68B1DB1Normal52">
    <w:name w:val="P68B1DB1-Normal52"/>
    <w:basedOn w:val="Normal"/>
    <w:qFormat/>
    <w:pPr/>
    <w:rPr>
      <w:rFonts w:ascii="Times New Roman" w:hAnsi="Times New Roman"/>
      <w:i/>
      <w:sz w:val="24"/>
    </w:rPr>
  </w:style>
  <w:style w:type="paragraph" w:styleId="P68B1DB1Contenudetableau53">
    <w:name w:val="P68B1DB1-Contenudetableau53"/>
    <w:basedOn w:val="Contenudetableau"/>
    <w:qFormat/>
    <w:pPr/>
    <w:rPr>
      <w:color w:val="FFFFFF"/>
      <w:sz w:val="18"/>
      <w:shd w:fill="00A65D" w:val="clear"/>
    </w:rPr>
  </w:style>
  <w:style w:type="paragraph" w:styleId="P68B1DB1Contenudetableau54">
    <w:name w:val="P68B1DB1-Contenudetableau54"/>
    <w:basedOn w:val="Contenudetableau"/>
    <w:qFormat/>
    <w:pPr/>
    <w:rPr>
      <w:sz w:val="18"/>
    </w:rPr>
  </w:style>
  <w:style w:type="paragraph" w:styleId="P68B1DB1Contenudetableau55">
    <w:name w:val="P68B1DB1-Contenudetableau55"/>
    <w:basedOn w:val="Contenudetableau"/>
    <w:qFormat/>
    <w:pPr/>
    <w:rPr>
      <w:color w:val="FFFFFF"/>
      <w:sz w:val="18"/>
      <w:shd w:fill="0066B3" w:val="clear"/>
    </w:rPr>
  </w:style>
  <w:style w:type="paragraph" w:styleId="P68B1DB1Contenudetableau56">
    <w:name w:val="P68B1DB1-Contenudetableau56"/>
    <w:basedOn w:val="Contenudetableau"/>
    <w:qFormat/>
    <w:pPr/>
    <w:rPr>
      <w:color w:val="FFFFFF"/>
      <w:sz w:val="18"/>
      <w:shd w:fill="ED1C24" w:val="clear"/>
    </w:rPr>
  </w:style>
  <w:style w:type="paragraph" w:styleId="P68B1DB1Contenudetableau57">
    <w:name w:val="P68B1DB1-Contenudetableau57"/>
    <w:basedOn w:val="Contenudetableau"/>
    <w:qFormat/>
    <w:pPr/>
    <w:rPr>
      <w:rFonts w:ascii="Arial" w:hAnsi="Arial"/>
      <w:color w:val="FFFFFF"/>
      <w:sz w:val="18"/>
      <w:shd w:fill="7DA7D8" w:val="clear"/>
    </w:rPr>
  </w:style>
  <w:style w:type="paragraph" w:styleId="P68B1DB1Contenudetableau58">
    <w:name w:val="P68B1DB1-Contenudetableau58"/>
    <w:basedOn w:val="Contenudetableau"/>
    <w:qFormat/>
    <w:pPr/>
    <w:rPr>
      <w:rFonts w:ascii="Arial" w:hAnsi="Arial"/>
      <w:color w:val="FFFFFF"/>
      <w:sz w:val="18"/>
      <w:shd w:fill="A3238E" w:val="clear"/>
    </w:rPr>
  </w:style>
  <w:style w:type="paragraph" w:styleId="P68B1DB1Contenudetableau59">
    <w:name w:val="P68B1DB1-Contenudetableau59"/>
    <w:basedOn w:val="Contenudetableau"/>
    <w:qFormat/>
    <w:pPr/>
    <w:rPr>
      <w:color w:val="F58220"/>
      <w:sz w:val="18"/>
    </w:rPr>
  </w:style>
  <w:style w:type="paragraph" w:styleId="P68B1DB1Contenudetableau60">
    <w:name w:val="P68B1DB1-Contenudetableau60"/>
    <w:basedOn w:val="Contenudetableau"/>
    <w:qFormat/>
    <w:pPr/>
    <w:rPr>
      <w:rFonts w:ascii="Arial" w:hAnsi="Arial"/>
      <w:color w:val="FFFFFF"/>
      <w:sz w:val="18"/>
      <w:shd w:fill="ADC5E7" w:val="clear"/>
    </w:rPr>
  </w:style>
  <w:style w:type="paragraph" w:styleId="P68B1DB1Contenudetableau61">
    <w:name w:val="P68B1DB1-Contenudetableau61"/>
    <w:basedOn w:val="Contenudetableau"/>
    <w:qFormat/>
    <w:pPr/>
    <w:rPr>
      <w:rFonts w:ascii="Arial" w:hAnsi="Arial"/>
      <w:color w:val="FFFFFF"/>
      <w:sz w:val="18"/>
      <w:shd w:fill="21409A" w:val="clear"/>
    </w:rPr>
  </w:style>
  <w:style w:type="paragraph" w:styleId="P68B1DB1Contenudetableau62">
    <w:name w:val="P68B1DB1-Contenudetableau62"/>
    <w:basedOn w:val="Contenudetableau"/>
    <w:qFormat/>
    <w:pPr/>
    <w:rPr>
      <w:rFonts w:ascii="Arial" w:hAnsi="Arial"/>
      <w:color w:val="FFFFFF"/>
      <w:sz w:val="18"/>
      <w:shd w:fill="8CCFB7" w:val="clear"/>
    </w:rPr>
  </w:style>
  <w:style w:type="paragraph" w:styleId="P68B1DB1Contenudetableau63">
    <w:name w:val="P68B1DB1-Contenudetableau63"/>
    <w:basedOn w:val="Contenudetableau"/>
    <w:qFormat/>
    <w:pPr/>
    <w:rPr>
      <w:rFonts w:ascii="Arial" w:hAnsi="Arial"/>
      <w:color w:val="FFFFFF"/>
      <w:sz w:val="18"/>
      <w:shd w:fill="F58220" w:val="clear"/>
    </w:rPr>
  </w:style>
  <w:style w:type="paragraph" w:styleId="P68B1DB1Contenudetableau64">
    <w:name w:val="P68B1DB1-Contenudetableau64"/>
    <w:basedOn w:val="Contenudetableau"/>
    <w:qFormat/>
    <w:pPr/>
    <w:rPr>
      <w:color w:val="000000"/>
      <w:sz w:val="18"/>
    </w:rPr>
  </w:style>
  <w:style w:type="paragraph" w:styleId="P68B1DB1Normal65">
    <w:name w:val="P68B1DB1-Normal65"/>
    <w:basedOn w:val="Normal"/>
    <w:qFormat/>
    <w:pPr/>
    <w:rPr>
      <w:rFonts w:ascii="Times New Roman" w:hAnsi="Times New Roman"/>
      <w:b/>
      <w:i/>
      <w:color w:val="273375"/>
      <w:sz w:val="26"/>
    </w:rPr>
  </w:style>
  <w:style w:type="paragraph" w:styleId="P68B1DB1Normal66">
    <w:name w:val="P68B1DB1-Normal66"/>
    <w:basedOn w:val="Normal"/>
    <w:qFormat/>
    <w:pPr/>
    <w:rPr>
      <w:rFonts w:ascii="Times New Roman" w:hAnsi="Times New Roman"/>
      <w:i/>
      <w:color w:val="632423"/>
      <w:sz w:val="24"/>
    </w:rPr>
  </w:style>
  <w:style w:type="paragraph" w:styleId="P68B1DB1Normal67">
    <w:name w:val="P68B1DB1-Normal67"/>
    <w:basedOn w:val="Normal"/>
    <w:qFormat/>
    <w:pPr/>
    <w:rPr>
      <w:rFonts w:ascii="Calibri" w:hAnsi="Calibri"/>
      <w:b/>
      <w:color w:val="000000"/>
      <w:sz w:val="36"/>
    </w:rPr>
  </w:style>
  <w:style w:type="paragraph" w:styleId="P68B1DB1Normal68">
    <w:name w:val="P68B1DB1-Normal68"/>
    <w:basedOn w:val="Normal"/>
    <w:qFormat/>
    <w:pPr/>
    <w:rPr>
      <w:rFonts w:ascii="Calibri" w:hAnsi="Calibri"/>
      <w:b/>
      <w:color w:val="000000"/>
      <w:sz w:val="24"/>
    </w:rPr>
  </w:style>
  <w:style w:type="paragraph" w:styleId="P68B1DB1Normal69">
    <w:name w:val="P68B1DB1-Normal69"/>
    <w:basedOn w:val="Normal"/>
    <w:qFormat/>
    <w:pPr/>
    <w:rPr>
      <w:rFonts w:ascii="Calibri" w:hAnsi="Calibri"/>
      <w:b/>
      <w:color w:val="000000"/>
      <w:sz w:val="20"/>
    </w:rPr>
  </w:style>
  <w:style w:type="paragraph" w:styleId="P68B1DB1Normal70">
    <w:name w:val="P68B1DB1-Normal70"/>
    <w:basedOn w:val="Normal"/>
    <w:qFormat/>
    <w:pPr/>
    <w:rPr>
      <w:color w:val="000000"/>
      <w:sz w:val="44"/>
    </w:rPr>
  </w:style>
  <w:style w:type="paragraph" w:styleId="P68B1DB1Normal71">
    <w:name w:val="P68B1DB1-Normal71"/>
    <w:basedOn w:val="Normal"/>
    <w:qFormat/>
    <w:pPr/>
    <w:rPr>
      <w:color w:val="BD1271"/>
      <w:sz w:val="56"/>
    </w:rPr>
  </w:style>
  <w:style w:type="paragraph" w:styleId="P68B1DB1Normal72">
    <w:name w:val="P68B1DB1-Normal72"/>
    <w:basedOn w:val="Normal"/>
    <w:qFormat/>
    <w:pPr/>
    <w:rPr>
      <w:color w:val="BD1271"/>
      <w:sz w:val="44"/>
    </w:rPr>
  </w:style>
  <w:style w:type="paragraph" w:styleId="P68B1DB1Titre273">
    <w:name w:val="P68B1DB1-Titre273"/>
    <w:basedOn w:val="Titre2"/>
    <w:qFormat/>
    <w:pPr>
      <w:numPr>
        <w:ilvl w:val="0"/>
        <w:numId w:val="0"/>
      </w:numPr>
      <w:ind w:left="0" w:right="0" w:hanging="0"/>
    </w:pPr>
    <w:rPr>
      <w:rFonts w:ascii="Arial" w:hAnsi="Arial"/>
      <w:color w:val="BD1271"/>
      <w:sz w:val="34"/>
    </w:rPr>
  </w:style>
  <w:style w:type="paragraph" w:styleId="P68B1DB1Normal74">
    <w:name w:val="P68B1DB1-Normal74"/>
    <w:basedOn w:val="Normal"/>
    <w:qFormat/>
    <w:pPr/>
    <w:rPr>
      <w:color w:val="2E74B5"/>
    </w:rPr>
  </w:style>
  <w:style w:type="paragraph" w:styleId="P68B1DB1Normal75">
    <w:name w:val="P68B1DB1-Normal75"/>
    <w:basedOn w:val="Normal"/>
    <w:qFormat/>
    <w:pPr/>
    <w:rPr>
      <w:sz w:val="24"/>
    </w:rPr>
  </w:style>
  <w:style w:type="paragraph" w:styleId="P68B1DB1Normal76">
    <w:name w:val="P68B1DB1-Normal76"/>
    <w:basedOn w:val="Normal"/>
    <w:qFormat/>
    <w:pPr/>
    <w:rPr>
      <w:color w:val="000000"/>
    </w:rPr>
  </w:style>
  <w:style w:type="paragraph" w:styleId="P68B1DB1Titre277">
    <w:name w:val="P68B1DB1-Titre277"/>
    <w:basedOn w:val="Titre2"/>
    <w:qFormat/>
    <w:pPr>
      <w:numPr>
        <w:ilvl w:val="0"/>
        <w:numId w:val="0"/>
      </w:numPr>
      <w:ind w:left="0" w:right="0" w:hanging="0"/>
    </w:pPr>
    <w:rPr>
      <w:color w:val="BD1271"/>
    </w:rPr>
  </w:style>
  <w:style w:type="paragraph" w:styleId="P68B1DB1style78">
    <w:name w:val="P68B1DB1-style78"/>
    <w:qFormat/>
    <w:pPr>
      <w:widowControl/>
      <w:bidi w:val="0"/>
      <w:jc w:val="left"/>
    </w:pPr>
    <w:rPr>
      <w:rFonts w:ascii="Arial" w:hAnsi="Arial" w:eastAsia="Microsoft YaHei" w:cs="Mangal"/>
      <w:color w:val="00000A"/>
      <w:kern w:val="2"/>
      <w:sz w:val="24"/>
      <w:szCs w:val="20"/>
      <w:lang w:val="nl" w:eastAsia="zh-CN" w:bidi="hi-IN"/>
    </w:rPr>
  </w:style>
  <w:style w:type="paragraph" w:styleId="P68B1DB1style79">
    <w:name w:val="P68B1DB1-style79"/>
    <w:qFormat/>
    <w:pPr>
      <w:widowControl/>
      <w:bidi w:val="0"/>
      <w:jc w:val="left"/>
    </w:pPr>
    <w:rPr>
      <w:rFonts w:ascii="Arial" w:hAnsi="Arial" w:eastAsia="Microsoft YaHei" w:cs="Mangal"/>
      <w:i/>
      <w:color w:val="00000A"/>
      <w:kern w:val="2"/>
      <w:sz w:val="24"/>
      <w:szCs w:val="20"/>
      <w:lang w:val="nl" w:eastAsia="zh-CN" w:bidi="hi-IN"/>
    </w:rPr>
  </w:style>
  <w:style w:type="paragraph" w:styleId="P68B1DB1Normal80">
    <w:name w:val="P68B1DB1-Normal80"/>
    <w:basedOn w:val="Normal"/>
    <w:qFormat/>
    <w:pPr/>
    <w:rPr>
      <w:color w:val="116E9A"/>
      <w:sz w:val="24"/>
    </w:rPr>
  </w:style>
  <w:style w:type="paragraph" w:styleId="P68B1DB1Titre481">
    <w:name w:val="P68B1DB1-Titre481"/>
    <w:basedOn w:val="Titre4"/>
    <w:qFormat/>
    <w:pPr>
      <w:numPr>
        <w:ilvl w:val="0"/>
        <w:numId w:val="0"/>
      </w:numPr>
      <w:ind w:left="0" w:right="0" w:hanging="0"/>
    </w:pPr>
    <w:rPr>
      <w:color w:val="0066B3"/>
    </w:rPr>
  </w:style>
  <w:style w:type="paragraph" w:styleId="P68B1DB1Normal82">
    <w:name w:val="P68B1DB1-Normal82"/>
    <w:basedOn w:val="Normal"/>
    <w:qFormat/>
    <w:pPr/>
    <w:rPr>
      <w:color w:val="2E74B5"/>
      <w:sz w:val="24"/>
    </w:rPr>
  </w:style>
  <w:style w:type="paragraph" w:styleId="P68B1DB1Normal83">
    <w:name w:val="P68B1DB1-Normal83"/>
    <w:basedOn w:val="Normal"/>
    <w:qFormat/>
    <w:pPr/>
    <w:rPr>
      <w:b/>
      <w:color w:val="2E74B5"/>
      <w:sz w:val="24"/>
    </w:rPr>
  </w:style>
  <w:style w:type="paragraph" w:styleId="P68B1DB1Normal84">
    <w:name w:val="P68B1DB1-Normal84"/>
    <w:basedOn w:val="Normal"/>
    <w:qFormat/>
    <w:pPr/>
    <w:rPr>
      <w:b/>
      <w:sz w:val="24"/>
    </w:rPr>
  </w:style>
  <w:style w:type="paragraph" w:styleId="P68B1DB1Normal85">
    <w:name w:val="P68B1DB1-Normal85"/>
    <w:basedOn w:val="Normal"/>
    <w:qFormat/>
    <w:pPr/>
    <w:rPr>
      <w:color w:val="FFFFFF"/>
      <w:sz w:val="28"/>
    </w:rPr>
  </w:style>
  <w:style w:type="paragraph" w:styleId="P68B1DB1Normal86">
    <w:name w:val="P68B1DB1-Normal86"/>
    <w:basedOn w:val="Normal"/>
    <w:qFormat/>
    <w:pPr/>
    <w:rPr>
      <w:color w:val="2E74B5"/>
      <w:sz w:val="28"/>
    </w:rPr>
  </w:style>
  <w:style w:type="paragraph" w:styleId="P68B1DB1Titre487">
    <w:name w:val="P68B1DB1-Titre487"/>
    <w:basedOn w:val="Titre4"/>
    <w:qFormat/>
    <w:pPr>
      <w:numPr>
        <w:ilvl w:val="0"/>
        <w:numId w:val="0"/>
      </w:numPr>
      <w:ind w:left="0" w:right="0" w:hanging="0"/>
    </w:pPr>
    <w:rPr>
      <w:rFonts w:ascii="Arial" w:hAnsi="Arial"/>
      <w:color w:val="365F91"/>
    </w:rPr>
  </w:style>
  <w:style w:type="paragraph" w:styleId="P68B1DB1Normal88">
    <w:name w:val="P68B1DB1-Normal88"/>
    <w:basedOn w:val="Normal"/>
    <w:qFormat/>
    <w:pPr/>
    <w:rPr>
      <w:color w:val="000000"/>
      <w:sz w:val="18"/>
    </w:rPr>
  </w:style>
  <w:style w:type="paragraph" w:styleId="P68B1DB1Normal89">
    <w:name w:val="P68B1DB1-Normal89"/>
    <w:basedOn w:val="Normal"/>
    <w:qFormat/>
    <w:pPr/>
    <w:rPr>
      <w:b/>
      <w:color w:val="BD1271"/>
      <w:sz w:val="24"/>
    </w:rPr>
  </w:style>
  <w:style w:type="paragraph" w:styleId="P68B1DB1Normal90">
    <w:name w:val="P68B1DB1-Normal90"/>
    <w:basedOn w:val="Normal"/>
    <w:qFormat/>
    <w:pPr/>
    <w:rPr>
      <w:color w:val="000000"/>
      <w:sz w:val="16"/>
    </w:rPr>
  </w:style>
  <w:style w:type="paragraph" w:styleId="P68B1DB1Normal91">
    <w:name w:val="P68B1DB1-Normal91"/>
    <w:basedOn w:val="Normal"/>
    <w:qFormat/>
    <w:pPr/>
    <w:rPr>
      <w:color w:val="000000"/>
      <w:sz w:val="28"/>
    </w:rPr>
  </w:style>
  <w:style w:type="paragraph" w:styleId="P68B1DB1Titre392">
    <w:name w:val="P68B1DB1-Titre392"/>
    <w:basedOn w:val="Titre3"/>
    <w:qFormat/>
    <w:pPr>
      <w:numPr>
        <w:ilvl w:val="0"/>
        <w:numId w:val="0"/>
      </w:numPr>
      <w:ind w:left="0" w:right="0" w:hanging="0"/>
    </w:pPr>
    <w:rPr>
      <w:color w:val="FFFFFF"/>
      <w:shd w:fill="0066B3" w:val="clear"/>
    </w:rPr>
  </w:style>
  <w:style w:type="paragraph" w:styleId="P68B1DB1style93">
    <w:name w:val="P68B1DB1-style93"/>
    <w:qFormat/>
    <w:pPr>
      <w:widowControl/>
      <w:bidi w:val="0"/>
      <w:jc w:val="left"/>
    </w:pPr>
    <w:rPr>
      <w:rFonts w:ascii="Times New Roman" w:hAnsi="Times New Roman" w:eastAsia="Microsoft YaHei" w:cs="Mangal"/>
      <w:color w:val="00000A"/>
      <w:kern w:val="2"/>
      <w:sz w:val="26"/>
      <w:szCs w:val="20"/>
      <w:lang w:val="nl" w:eastAsia="zh-CN" w:bidi="hi-IN"/>
    </w:rPr>
  </w:style>
  <w:style w:type="paragraph" w:styleId="P68B1DB1style94">
    <w:name w:val="P68B1DB1-style94"/>
    <w:qFormat/>
    <w:pPr>
      <w:widowControl/>
      <w:bidi w:val="0"/>
      <w:jc w:val="left"/>
    </w:pPr>
    <w:rPr>
      <w:rFonts w:ascii="Arial" w:hAnsi="Arial" w:eastAsia="Microsoft YaHei" w:cs="Mangal"/>
      <w:color w:val="00000A"/>
      <w:kern w:val="2"/>
      <w:sz w:val="20"/>
      <w:szCs w:val="20"/>
      <w:lang w:val="nl" w:eastAsia="zh-CN" w:bidi="hi-IN"/>
    </w:rPr>
  </w:style>
  <w:style w:type="paragraph" w:styleId="P68B1DB1Normal95">
    <w:name w:val="P68B1DB1-Normal95"/>
    <w:basedOn w:val="Normal"/>
    <w:qFormat/>
    <w:pPr/>
    <w:rPr>
      <w:color w:val="5A5A5A"/>
      <w:sz w:val="28"/>
    </w:rPr>
  </w:style>
  <w:style w:type="paragraph" w:styleId="P68B1DB1Normal96">
    <w:name w:val="P68B1DB1-Normal96"/>
    <w:basedOn w:val="Normal"/>
    <w:qFormat/>
    <w:pPr/>
    <w:rPr>
      <w:i/>
      <w:color w:val="404040"/>
      <w:sz w:val="32"/>
    </w:rPr>
  </w:style>
  <w:style w:type="paragraph" w:styleId="P68B1DB1Normal97">
    <w:name w:val="P68B1DB1-Normal97"/>
    <w:basedOn w:val="Normal"/>
    <w:qFormat/>
    <w:pPr/>
    <w:rPr>
      <w:rFonts w:ascii="Garamond" w:hAnsi="Garamond"/>
      <w:color w:val="000000"/>
    </w:rPr>
  </w:style>
  <w:style w:type="paragraph" w:styleId="P68B1DB1Normal98">
    <w:name w:val="P68B1DB1-Normal98"/>
    <w:basedOn w:val="Normal"/>
    <w:qFormat/>
    <w:pPr/>
    <w:rPr>
      <w:color w:val="404040"/>
      <w:sz w:val="32"/>
    </w:rPr>
  </w:style>
  <w:style w:type="paragraph" w:styleId="P68B1DB1Normal99">
    <w:name w:val="P68B1DB1-Normal99"/>
    <w:basedOn w:val="Normal"/>
    <w:qFormat/>
    <w:pPr/>
    <w:rPr>
      <w:color w:val="000000"/>
      <w:sz w:val="20"/>
    </w:rPr>
  </w:style>
  <w:style w:type="paragraph" w:styleId="P68B1DB1Normal100">
    <w:name w:val="P68B1DB1-Normal100"/>
    <w:basedOn w:val="Normal"/>
    <w:qFormat/>
    <w:pPr/>
    <w:rPr>
      <w:b/>
      <w:i/>
      <w:color w:val="000000"/>
    </w:rPr>
  </w:style>
  <w:style w:type="paragraph" w:styleId="P68B1DB1Contenudetableau101">
    <w:name w:val="P68B1DB1-Contenudetableau101"/>
    <w:basedOn w:val="Contenudetableau"/>
    <w:qFormat/>
    <w:pPr/>
    <w:rPr>
      <w:rFonts w:ascii="Garamond" w:hAnsi="Garamond"/>
      <w:b/>
      <w:color w:val="000000"/>
    </w:rPr>
  </w:style>
  <w:style w:type="paragraph" w:styleId="P68B1DB1Contenudetableau102">
    <w:name w:val="P68B1DB1-Contenudetableau102"/>
    <w:basedOn w:val="Contenudetableau"/>
    <w:qFormat/>
    <w:pPr/>
    <w:rPr>
      <w:rFonts w:ascii="Garamond" w:hAnsi="Garamond"/>
      <w:color w:val="000000"/>
    </w:rPr>
  </w:style>
  <w:style w:type="paragraph" w:styleId="P68B1DB1Normal103">
    <w:name w:val="P68B1DB1-Normal103"/>
    <w:basedOn w:val="Normal"/>
    <w:qFormat/>
    <w:pPr/>
    <w:rPr>
      <w:rFonts w:ascii="Calibri" w:hAnsi="Calibri"/>
      <w:i/>
      <w:color w:val="000000"/>
      <w:sz w:val="32"/>
    </w:rPr>
  </w:style>
  <w:style w:type="paragraph" w:styleId="P68B1DB1Normal104">
    <w:name w:val="P68B1DB1-Normal104"/>
    <w:basedOn w:val="Normal"/>
    <w:qFormat/>
    <w:pPr/>
    <w:rPr>
      <w:rFonts w:ascii="Calibri" w:hAnsi="Calibri"/>
      <w:color w:val="000000"/>
      <w:sz w:val="21"/>
    </w:rPr>
  </w:style>
  <w:style w:type="paragraph" w:styleId="P68B1DB1Normal105">
    <w:name w:val="P68B1DB1-Normal105"/>
    <w:basedOn w:val="Normal"/>
    <w:qFormat/>
    <w:pPr/>
    <w:rPr>
      <w:color w:val="000000"/>
      <w:sz w:val="21"/>
    </w:rPr>
  </w:style>
  <w:style w:type="paragraph" w:styleId="P68B1DB1Normal106">
    <w:name w:val="P68B1DB1-Normal106"/>
    <w:basedOn w:val="Normal"/>
    <w:qFormat/>
    <w:pPr/>
    <w:rPr>
      <w:rFonts w:ascii="Calibri" w:hAnsi="Calibri"/>
      <w:b/>
      <w:i/>
      <w:color w:val="000000"/>
      <w:sz w:val="36"/>
    </w:rPr>
  </w:style>
  <w:style w:type="paragraph" w:styleId="P68B1DB1Normal107">
    <w:name w:val="P68B1DB1-Normal107"/>
    <w:basedOn w:val="Normal"/>
    <w:qFormat/>
    <w:pPr/>
    <w:rPr>
      <w:rFonts w:ascii="Calibri" w:hAnsi="Calibri"/>
      <w:i/>
      <w:color w:val="000000"/>
      <w:sz w:val="24"/>
    </w:rPr>
  </w:style>
  <w:style w:type="paragraph" w:styleId="P68B1DB1Normal108">
    <w:name w:val="P68B1DB1-Normal108"/>
    <w:basedOn w:val="Normal"/>
    <w:qFormat/>
    <w:pPr/>
    <w:rPr>
      <w:rFonts w:ascii="Calibri" w:hAnsi="Calibri"/>
      <w:b/>
      <w:i/>
      <w:color w:val="000000"/>
      <w:sz w:val="24"/>
    </w:rPr>
  </w:style>
  <w:style w:type="paragraph" w:styleId="P68B1DB1Normal109">
    <w:name w:val="P68B1DB1-Normal109"/>
    <w:basedOn w:val="Normal"/>
    <w:qFormat/>
    <w:pPr/>
    <w:rPr>
      <w:rFonts w:ascii="Calibri" w:hAnsi="Calibri"/>
      <w:b/>
      <w:i/>
      <w:color w:val="000000"/>
      <w:sz w:val="32"/>
    </w:rPr>
  </w:style>
  <w:style w:type="paragraph" w:styleId="P68B1DB1Normal110">
    <w:name w:val="P68B1DB1-Normal110"/>
    <w:basedOn w:val="Normal"/>
    <w:qFormat/>
    <w:pPr/>
    <w:rPr>
      <w:rFonts w:ascii="Calibri" w:hAnsi="Calibri"/>
      <w:color w:val="000000"/>
    </w:rPr>
  </w:style>
  <w:style w:type="paragraph" w:styleId="P68B1DB1Normal111">
    <w:name w:val="P68B1DB1-Normal111"/>
    <w:basedOn w:val="Normal"/>
    <w:qFormat/>
    <w:pPr/>
    <w:rPr>
      <w:rFonts w:ascii="Calibri" w:hAnsi="Calibri"/>
      <w:b/>
      <w:color w:val="000000"/>
    </w:rPr>
  </w:style>
  <w:style w:type="paragraph" w:styleId="P68B1DB1Normal112">
    <w:name w:val="P68B1DB1-Normal112"/>
    <w:basedOn w:val="Normal"/>
    <w:qFormat/>
    <w:pPr/>
    <w:rPr>
      <w:rFonts w:ascii="Times New Roman" w:hAnsi="Times New Roman"/>
      <w:color w:val="000000"/>
      <w:sz w:val="16"/>
    </w:rPr>
  </w:style>
  <w:style w:type="paragraph" w:styleId="P68B1DB1Normal113">
    <w:name w:val="P68B1DB1-Normal113"/>
    <w:basedOn w:val="Normal"/>
    <w:qFormat/>
    <w:pPr/>
    <w:rPr>
      <w:rFonts w:ascii="Calibri" w:hAnsi="Calibri"/>
      <w:i/>
      <w:color w:val="000000"/>
      <w:sz w:val="26"/>
    </w:rPr>
  </w:style>
  <w:style w:type="paragraph" w:styleId="P68B1DB1Normal114">
    <w:name w:val="P68B1DB1-Normal114"/>
    <w:basedOn w:val="Normal"/>
    <w:qFormat/>
    <w:pPr/>
    <w:rPr>
      <w:rFonts w:ascii="Calibri" w:hAnsi="Calibri"/>
      <w:b/>
      <w:color w:val="000000"/>
      <w:sz w:val="21"/>
    </w:rPr>
  </w:style>
  <w:style w:type="paragraph" w:styleId="P68B1DB1Contenudetableau115">
    <w:name w:val="P68B1DB1-Contenudetableau115"/>
    <w:basedOn w:val="Contenudetableau"/>
    <w:qFormat/>
    <w:pPr/>
    <w:rPr>
      <w:rFonts w:ascii="Times New Roman" w:hAnsi="Times New Roman"/>
      <w:color w:val="000000"/>
      <w:sz w:val="16"/>
    </w:rPr>
  </w:style>
  <w:style w:type="paragraph" w:styleId="P68B1DB1Contenudetableau116">
    <w:name w:val="P68B1DB1-Contenudetableau116"/>
    <w:basedOn w:val="Contenudetableau"/>
    <w:qFormat/>
    <w:pPr/>
    <w:rPr>
      <w:color w:val="000000"/>
      <w:sz w:val="16"/>
    </w:rPr>
  </w:style>
  <w:style w:type="paragraph" w:styleId="P68B1DB1Normal117">
    <w:name w:val="P68B1DB1-Normal117"/>
    <w:basedOn w:val="Normal"/>
    <w:qFormat/>
    <w:pPr/>
    <w:rPr>
      <w:rFonts w:ascii="Calibri" w:hAnsi="Calibri"/>
      <w:b/>
      <w:i/>
      <w:color w:val="000000"/>
      <w:sz w:val="28"/>
    </w:rPr>
  </w:style>
  <w:style w:type="paragraph" w:styleId="P68B1DB1Normal118">
    <w:name w:val="P68B1DB1-Normal118"/>
    <w:basedOn w:val="Normal"/>
    <w:qFormat/>
    <w:pPr/>
    <w:rPr>
      <w:rFonts w:ascii="Calibri" w:hAnsi="Calibri"/>
      <w:i/>
      <w:color w:val="000000"/>
      <w:sz w:val="21"/>
    </w:rPr>
  </w:style>
  <w:style w:type="paragraph" w:styleId="P68B1DB1Normal119">
    <w:name w:val="P68B1DB1-Normal119"/>
    <w:basedOn w:val="Normal"/>
    <w:qFormat/>
    <w:pPr/>
    <w:rPr>
      <w:b/>
      <w:color w:val="000000"/>
      <w:sz w:val="21"/>
    </w:rPr>
  </w:style>
  <w:style w:type="paragraph" w:styleId="P68B1DB1Normal120">
    <w:name w:val="P68B1DB1-Normal120"/>
    <w:basedOn w:val="Normal"/>
    <w:qFormat/>
    <w:pPr/>
    <w:rPr>
      <w:rFonts w:ascii="Calibri" w:hAnsi="Calibri"/>
      <w:b/>
      <w:color w:val="000000"/>
      <w:sz w:val="21"/>
    </w:rPr>
  </w:style>
  <w:style w:type="paragraph" w:styleId="P68B1DB1Contenudetableau121">
    <w:name w:val="P68B1DB1-Contenudetableau121"/>
    <w:basedOn w:val="Contenudetableau"/>
    <w:qFormat/>
    <w:pPr/>
    <w:rPr>
      <w:color w:val="000000"/>
    </w:rPr>
  </w:style>
  <w:style w:type="paragraph" w:styleId="P68B1DB1Contenudetableau122">
    <w:name w:val="P68B1DB1-Contenudetableau122"/>
    <w:basedOn w:val="Contenudetableau"/>
    <w:qFormat/>
    <w:pPr/>
    <w:rPr>
      <w:b/>
      <w:color w:val="000000"/>
    </w:rPr>
  </w:style>
  <w:style w:type="paragraph" w:styleId="P68B1DB1Normal123">
    <w:name w:val="P68B1DB1-Normal123"/>
    <w:basedOn w:val="Normal"/>
    <w:qFormat/>
    <w:pPr/>
    <w:rPr>
      <w:rFonts w:ascii="Calibri" w:hAnsi="Calibri"/>
      <w:color w:val="000000"/>
      <w:sz w:val="32"/>
    </w:rPr>
  </w:style>
  <w:style w:type="paragraph" w:styleId="P68B1DB1Normal124">
    <w:name w:val="P68B1DB1-Normal124"/>
    <w:basedOn w:val="Normal"/>
    <w:qFormat/>
    <w:pPr/>
    <w:rPr>
      <w:rFonts w:ascii="Calibri" w:hAnsi="Calibri"/>
      <w:b/>
      <w:color w:val="0070C0"/>
      <w:sz w:val="72"/>
    </w:rPr>
  </w:style>
  <w:style w:type="paragraph" w:styleId="P68B1DB1Normal125">
    <w:name w:val="P68B1DB1-Normal125"/>
    <w:basedOn w:val="Normal"/>
    <w:qFormat/>
    <w:pPr/>
    <w:rPr>
      <w:rFonts w:ascii="Calibri" w:hAnsi="Calibri"/>
      <w:b/>
      <w:color w:val="0070C0"/>
      <w:sz w:val="32"/>
    </w:rPr>
  </w:style>
  <w:style w:type="paragraph" w:styleId="P68B1DB1Normal126">
    <w:name w:val="P68B1DB1-Normal126"/>
    <w:basedOn w:val="Normal"/>
    <w:qFormat/>
    <w:pPr/>
    <w:rPr>
      <w:rFonts w:ascii="Calibri" w:hAnsi="Calibri"/>
      <w:color w:val="0070C0"/>
      <w:sz w:val="24"/>
    </w:rPr>
  </w:style>
  <w:style w:type="paragraph" w:styleId="P68B1DB1Normal127">
    <w:name w:val="P68B1DB1-Normal127"/>
    <w:basedOn w:val="Normal"/>
    <w:qFormat/>
    <w:pPr/>
    <w:rPr>
      <w:rFonts w:ascii="Calibri" w:hAnsi="Calibri"/>
    </w:rPr>
  </w:style>
  <w:style w:type="paragraph" w:styleId="P68B1DB1Contenudetableau128">
    <w:name w:val="P68B1DB1-Contenudetableau128"/>
    <w:basedOn w:val="Contenudetableau"/>
    <w:qFormat/>
    <w:pPr/>
    <w:rPr>
      <w:color w:val="000000"/>
      <w:sz w:val="14"/>
    </w:rPr>
  </w:style>
  <w:style w:type="paragraph" w:styleId="P68B1DB1Normal129">
    <w:name w:val="P68B1DB1-Normal129"/>
    <w:basedOn w:val="Normal"/>
    <w:qFormat/>
    <w:pPr/>
    <w:rPr>
      <w:rFonts w:ascii="Calibri" w:hAnsi="Calibri"/>
      <w:i/>
      <w:color w:val="000000"/>
    </w:rPr>
  </w:style>
  <w:style w:type="paragraph" w:styleId="P68B1DB1Normal130">
    <w:name w:val="P68B1DB1-Normal130"/>
    <w:basedOn w:val="Normal"/>
    <w:qFormat/>
    <w:pPr/>
    <w:rPr>
      <w:rFonts w:ascii="Calibri" w:hAnsi="Calibri"/>
      <w:color w:val="0070C0"/>
      <w:sz w:val="21"/>
    </w:rPr>
  </w:style>
  <w:style w:type="paragraph" w:styleId="P68B1DB1Normal131">
    <w:name w:val="P68B1DB1-Normal131"/>
    <w:basedOn w:val="Normal"/>
    <w:qFormat/>
    <w:pPr/>
    <w:rPr>
      <w:color w:val="0000FF"/>
      <w:sz w:val="24"/>
    </w:rPr>
  </w:style>
  <w:style w:type="paragraph" w:styleId="P68B1DB1Normal132">
    <w:name w:val="P68B1DB1-Normal132"/>
    <w:basedOn w:val="Normal"/>
    <w:qFormat/>
    <w:pPr/>
    <w:rPr>
      <w:rFonts w:ascii="Roboto" w:hAnsi="Roboto"/>
      <w:color w:val="000000"/>
      <w:sz w:val="16"/>
    </w:rPr>
  </w:style>
  <w:style w:type="paragraph" w:styleId="P68B1DB1style133">
    <w:name w:val="P68B1DB1-style133"/>
    <w:qFormat/>
    <w:pPr>
      <w:widowControl/>
      <w:bidi w:val="0"/>
      <w:jc w:val="left"/>
    </w:pPr>
    <w:rPr>
      <w:rFonts w:ascii="Times New Roman" w:hAnsi="Times New Roman" w:eastAsia="SimSun" w:cs="Mangal"/>
      <w:color w:val="00000A"/>
      <w:kern w:val="2"/>
      <w:sz w:val="20"/>
      <w:szCs w:val="20"/>
      <w:lang w:val="nl" w:eastAsia="zh-CN" w:bidi="hi-IN"/>
    </w:rPr>
  </w:style>
  <w:style w:type="paragraph" w:styleId="P68B1DB1Entte134">
    <w:name w:val="P68B1DB1-Entte134"/>
    <w:basedOn w:val="Entte"/>
    <w:qFormat/>
    <w:pPr/>
    <w:rPr>
      <w:sz w:val="18"/>
    </w:rPr>
  </w:style>
  <w:style w:type="numbering" w:styleId="Puce">
    <w:name w:val="Puce •"/>
    <w:qFormat/>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png"/><Relationship Id="rId3" Type="http://schemas.openxmlformats.org/officeDocument/2006/relationships/image" Target="media/image2.png"/><Relationship Id="rId4" Type="http://schemas.openxmlformats.org/officeDocument/2006/relationships/image" Target="media/image3.png"/><Relationship Id="rId5" Type="http://schemas.openxmlformats.org/officeDocument/2006/relationships/hyperlink" Target="https://futureu.europa.eu/rails/active_storage/blobs/redirect/eyJfcmFpbHMiOnsibWVzc2FnZSI6IkJBaHBBMEl0QVE9PSIsImV4cCI6bnVsbCwicHVyIjoiYmxvYl9pZCJ9fQ==--f1e6ee90810e761866cf2b290e381a77ea51de72/CoFE_Report_FR_with annexes.pdf" TargetMode="External"/><Relationship Id="rId6" Type="http://schemas.openxmlformats.org/officeDocument/2006/relationships/hyperlink" Target="https://webgate.ec.europa.eu/etranslation" TargetMode="External"/><Relationship Id="rId7" Type="http://schemas.openxmlformats.org/officeDocument/2006/relationships/hyperlink" Target="https://e-d-e.org/" TargetMode="External"/><Relationship Id="rId8" Type="http://schemas.openxmlformats.org/officeDocument/2006/relationships/hyperlink" Target="http://www.demokratio.eu/" TargetMode="External"/><Relationship Id="rId9" Type="http://schemas.openxmlformats.org/officeDocument/2006/relationships/hyperlink" Target="https://e-d-e.fr/" TargetMode="External"/><Relationship Id="rId10" Type="http://schemas.openxmlformats.org/officeDocument/2006/relationships/hyperlink" Target="http://www.europokune.eu/" TargetMode="External"/><Relationship Id="rId11" Type="http://schemas.openxmlformats.org/officeDocument/2006/relationships/hyperlink" Target="https://futureu.europa.eu/rails/active_storage/blobs/redirect/eyJfcmFpbHMiOnsibWVzc2FnZSI6IkJBaHBBMEl0QVE9PSIsImV4cCI6bnVsbCwicHVyIjoiYmxvYl9pZCJ9fQ==--f1e6ee90810e761866cf2b290e381a77ea51de72/CoFE_Report_FR_with annexes.pdf" TargetMode="External"/><Relationship Id="rId12" Type="http://schemas.openxmlformats.org/officeDocument/2006/relationships/hyperlink" Target="https://webgate.ec.europa.eu/etranslation" TargetMode="External"/><Relationship Id="rId13" Type="http://schemas.openxmlformats.org/officeDocument/2006/relationships/hyperlink" Target="https://e-d-e.org/" TargetMode="External"/><Relationship Id="rId14" Type="http://schemas.openxmlformats.org/officeDocument/2006/relationships/hyperlink" Target="http://www.demokratio.eu/" TargetMode="External"/><Relationship Id="rId15" Type="http://schemas.openxmlformats.org/officeDocument/2006/relationships/hyperlink" Target="https://e-d-e.fr/" TargetMode="External"/><Relationship Id="rId16" Type="http://schemas.openxmlformats.org/officeDocument/2006/relationships/hyperlink" Target="http://www.europokune.eu/" TargetMode="External"/><Relationship Id="rId17" Type="http://schemas.openxmlformats.org/officeDocument/2006/relationships/image" Target="media/image4.png"/><Relationship Id="rId18" Type="http://schemas.openxmlformats.org/officeDocument/2006/relationships/header" Target="header1.xml"/><Relationship Id="rId19" Type="http://schemas.openxmlformats.org/officeDocument/2006/relationships/header" Target="header2.xml"/><Relationship Id="rId20" Type="http://schemas.openxmlformats.org/officeDocument/2006/relationships/footer" Target="footer1.xml"/><Relationship Id="rId21" Type="http://schemas.openxmlformats.org/officeDocument/2006/relationships/footer" Target="footer2.xml"/><Relationship Id="rId22" Type="http://schemas.openxmlformats.org/officeDocument/2006/relationships/image" Target="media/image5.png"/><Relationship Id="rId23" Type="http://schemas.openxmlformats.org/officeDocument/2006/relationships/hyperlink" Target="https://futureu.europa.eu/pages/our-guides" TargetMode="External"/><Relationship Id="rId24" Type="http://schemas.openxmlformats.org/officeDocument/2006/relationships/hyperlink" Target="https://futureu.europa.eu/pages/information-material" TargetMode="External"/><Relationship Id="rId25" Type="http://schemas.openxmlformats.org/officeDocument/2006/relationships/hyperlink" Target="https://futureu.europa.eu/assemblies/citizens-panels" TargetMode="External"/><Relationship Id="rId26" Type="http://schemas.openxmlformats.org/officeDocument/2006/relationships/hyperlink" Target="https://futureu.europa.eu/pages/executive-board" TargetMode="External"/><Relationship Id="rId27" Type="http://schemas.openxmlformats.org/officeDocument/2006/relationships/hyperlink" Target="https://futureu.europa.eu/rails/active_storage/blobs/eyJfcmFpbHMiOnsibWVzc2FnZSI6IkJBaHBBcEVXIiwiZXhwIjpudWxsLCJwdXIiOiJibG9iX2lkIn19--ccb2609f3433ec020b3055170aacd363d84503e7/sn03411-re01.en21(1).pdf" TargetMode="External"/><Relationship Id="rId28" Type="http://schemas.openxmlformats.org/officeDocument/2006/relationships/hyperlink" Target="https://futureu.europa.eu/rails/active_storage/blobs/eyJfcmFpbHMiOnsibWVzc2FnZSI6IkJBaHBBbjFCIiwiZXhwIjpudWxsLCJwdXIiOiJibG9iX2lkIn19--f97dae84e07fcf9ea4e9276dd4b33fb3fd823dd6/COFE Second Interim Report September Kantar final.pdf" TargetMode="External"/><Relationship Id="rId29" Type="http://schemas.openxmlformats.org/officeDocument/2006/relationships/hyperlink" Target="https://futureu.europa.eu/rails/active_storage/blobs/eyJfcmFpbHMiOnsibWVzc2FnZSI6IkJBaHBBdWlFIiwiZXhwIjpudWxsLCJwdXIiOiJibG9iX2lkIn19--3fe1bd5c838d6e007a595afd9beefa8b4df1fb3f/Kantar Third Interim Report final version EN.pdf" TargetMode="External"/><Relationship Id="rId30" Type="http://schemas.openxmlformats.org/officeDocument/2006/relationships/image" Target="media/image6.png"/><Relationship Id="rId31" Type="http://schemas.openxmlformats.org/officeDocument/2006/relationships/hyperlink" Target="https://futureu.europa.eu/?locale=fr" TargetMode="External"/><Relationship Id="rId32" Type="http://schemas.openxmlformats.org/officeDocument/2006/relationships/hyperlink" Target="https://futureu.europa.eu/?locale=fr" TargetMode="External"/><Relationship Id="rId33" Type="http://schemas.openxmlformats.org/officeDocument/2006/relationships/hyperlink" Target="https://futureu.europa.eu/pages/charter" TargetMode="External"/><Relationship Id="rId34" Type="http://schemas.openxmlformats.org/officeDocument/2006/relationships/hyperlink" Target="https://futureu.europa.eu/pages/rules-of-participation" TargetMode="External"/><Relationship Id="rId35" Type="http://schemas.openxmlformats.org/officeDocument/2006/relationships/hyperlink" Target="https://futureu.europa.eu/pages/faq" TargetMode="External"/><Relationship Id="rId36" Type="http://schemas.openxmlformats.org/officeDocument/2006/relationships/image" Target="media/image7.png"/><Relationship Id="rId37" Type="http://schemas.openxmlformats.org/officeDocument/2006/relationships/image" Target="media/image8.png"/><Relationship Id="rId38" Type="http://schemas.openxmlformats.org/officeDocument/2006/relationships/image" Target="media/image9.png"/><Relationship Id="rId39" Type="http://schemas.openxmlformats.org/officeDocument/2006/relationships/image" Target="media/image10.png"/><Relationship Id="rId40" Type="http://schemas.openxmlformats.org/officeDocument/2006/relationships/image" Target="media/image11.png"/><Relationship Id="rId41" Type="http://schemas.openxmlformats.org/officeDocument/2006/relationships/image" Target="media/image12.png"/><Relationship Id="rId42" Type="http://schemas.openxmlformats.org/officeDocument/2006/relationships/image" Target="media/image13.png"/><Relationship Id="rId43" Type="http://schemas.openxmlformats.org/officeDocument/2006/relationships/image" Target="media/image14.png"/><Relationship Id="rId44" Type="http://schemas.openxmlformats.org/officeDocument/2006/relationships/image" Target="media/image15.png"/><Relationship Id="rId45" Type="http://schemas.openxmlformats.org/officeDocument/2006/relationships/image" Target="media/image16.png"/><Relationship Id="rId46" Type="http://schemas.openxmlformats.org/officeDocument/2006/relationships/image" Target="media/image17.png"/><Relationship Id="rId47" Type="http://schemas.openxmlformats.org/officeDocument/2006/relationships/hyperlink" Target="https://futureu.europa.eu/pages/ms-section" TargetMode="External"/><Relationship Id="rId48" Type="http://schemas.openxmlformats.org/officeDocument/2006/relationships/hyperlink" Target="https://futureu.europa.eu/pages/reporting" TargetMode="External"/><Relationship Id="rId49" Type="http://schemas.openxmlformats.org/officeDocument/2006/relationships/image" Target="media/image18.png"/><Relationship Id="rId50" Type="http://schemas.openxmlformats.org/officeDocument/2006/relationships/image" Target="media/image19.png"/><Relationship Id="rId51" Type="http://schemas.openxmlformats.org/officeDocument/2006/relationships/hyperlink" Target="http://www.eye2021.eu/" TargetMode="External"/><Relationship Id="rId52" Type="http://schemas.openxmlformats.org/officeDocument/2006/relationships/image" Target="media/image20.png"/><Relationship Id="rId53" Type="http://schemas.openxmlformats.org/officeDocument/2006/relationships/hyperlink" Target="https://european-youth-event.europarl.europa.eu/wp-content/uploads/2021/10/2021_EYE_Report-Booklet_A5_20-10-Accessible.pdf" TargetMode="External"/><Relationship Id="rId54" Type="http://schemas.openxmlformats.org/officeDocument/2006/relationships/hyperlink" Target="https://search.youthideas.eu/" TargetMode="External"/><Relationship Id="rId55" Type="http://schemas.openxmlformats.org/officeDocument/2006/relationships/hyperlink" Target="https://www.eesc.europa.eu/en/agenda/our-events/events/kickoff-event-conference-future-europe" TargetMode="External"/><Relationship Id="rId56" Type="http://schemas.openxmlformats.org/officeDocument/2006/relationships/hyperlink" Target="https://www.eesc.europa.eu/en/agenda/our-events/events/connecting-eu-2021" TargetMode="External"/><Relationship Id="rId57" Type="http://schemas.openxmlformats.org/officeDocument/2006/relationships/hyperlink" Target="https://www.eesc.europa.eu/en/agenda/our-events/events/shaping-europe-together" TargetMode="External"/><Relationship Id="rId58" Type="http://schemas.openxmlformats.org/officeDocument/2006/relationships/hyperlink" Target="https://cor.europa.eu/en/our-work/Pages/EURegionalBarometer-Survey-2021.aspx" TargetMode="External"/><Relationship Id="rId59" Type="http://schemas.openxmlformats.org/officeDocument/2006/relationships/hyperlink" Target="https://futureu.europa.eu/profiles/EU_COMMITTEE_REGIONS/activity" TargetMode="External"/><Relationship Id="rId60" Type="http://schemas.openxmlformats.org/officeDocument/2006/relationships/hyperlink" Target="https://cor.europa.eu/en/news/Pages/Report-of-the-High-Level-Group-on-European-Democracy.aspx" TargetMode="External"/><Relationship Id="rId61" Type="http://schemas.openxmlformats.org/officeDocument/2006/relationships/hyperlink" Target="https://cor.europa.eu/en/summits/2022" TargetMode="External"/><Relationship Id="rId62" Type="http://schemas.openxmlformats.org/officeDocument/2006/relationships/hyperlink" Target="https://cor.europa.eu/en/engage/brochures/Documents/Citizens, local politicians and the future of Europe/4666-final report lowres FIN.pdf" TargetMode="External"/><Relationship Id="rId63" Type="http://schemas.openxmlformats.org/officeDocument/2006/relationships/hyperlink" Target="https://urldefense.com/v3/__https:/eur01.safelinks.protection.outlook.com/?url=https*3A*2F*2Fwww.businesseurope.eu*2Fpublications*2Fconference-future-europe&amp;data=05*7C01*7Clrepetti*40etuc.org*7Cd0bf6bce94584f609b7f08da2436f672*7C7a57d45075f34a4da90dac04a367b91a*7C0*7C0*7C637862115734132632*7CUnknown*7CTWFpbGZsb3d8eyJWIjoiMC4wLjAwMDAiLCJQIjoiV2luMzIiLCJBTiI6Ik1haWwiLCJXVCI6Mn0*3D*7C3000*7C*7C*7C&amp;sdata=R0ZPyMIpzVtyVKxslbwXDoXM*2BAyxIZsOnd1d87UgzYk*3D&amp;reserved=0__;JSUlJSUlJSUlJSUlJSUlJSUlJSUlJQ!!DOxrgLBm!EVXnpmdPMnr1b8zwRLNfRbrIUw0-wYmbVL-_FRTf4p4-H6cCU3xBRXl67BONxyxUt7bSc5ygS0GnATILPoBus7eKzgaBFQ$" TargetMode="External"/><Relationship Id="rId64" Type="http://schemas.openxmlformats.org/officeDocument/2006/relationships/hyperlink" Target="https://urldefense.com/v3/__https:/eur01.safelinks.protection.outlook.com/?url=https*3A*2F*2Fsgieurope.org*2Fnews*2Fsgi-europe-contributions-to-the-digital-platform-of-the-conference-on-the-future-of-europe*2F&amp;data=05*7C01*7Clrepetti*40etuc.org*7Cd0bf6bce94584f609b7f08da2436f672*7C7a57d45075f34a4da90dac04a367b91a*7C0*7C0*7C637862115734132632*7CUnknown*7CTWFpbGZsb3d8eyJWIjoiMC4wLjAwMDAiLCJQIjoiV2luMzIiLCJBTiI6Ik1haWwiLCJXVCI6Mn0*3D*7C3000*7C*7C*7C&amp;sdata=*2FkaIN9DU1n02W6lwYRXRWxjl3k3NXQfTh4MXMd9o5ec*3D&amp;reserved=0__;JSUlJSUlJSUlJSUlJSUlJSUlJSUlJSU!!DOxrgLBm!EVXnpmdPMnr1b8zwRLNfRbrIUw0-wYmbVL-_FRTf4p4-H6cCU3xBRXl67BONxyxUt7bSc5ygS0GnATILPoBus7eSbklT4g$" TargetMode="External"/><Relationship Id="rId65" Type="http://schemas.openxmlformats.org/officeDocument/2006/relationships/hyperlink" Target="https://urldefense.com/v3/__https:/eur01.safelinks.protection.outlook.com/?url=https*3A*2F*2Fwww.smeunited.eu*2Fnews*2Fsmes-set-priorities-to-empower-the-future-of-europe&amp;data=05*7C01*7Clrepetti*40etuc.org*7Cd0bf6bce94584f609b7f08da2436f672*7C7a57d45075f34a4da90dac04a367b91a*7C0*7C0*7C637862115734132632*7CUnknown*7CTWFpbGZsb3d8eyJWIjoiMC4wLjAwMDAiLCJQIjoiV2luMzIiLCJBTiI6Ik1haWwiLCJXVCI6Mn0*3D*7C3000*7C*7C*7C&amp;sdata=UDlDXYbVN5kYwkeyMWsIBYVF*2BdigrVxYhjV2WuFcn4M*3D&amp;reserved=0__;JSUlJSUlJSUlJSUlJSUlJSUlJSUlJQ!!DOxrgLBm!EVXnpmdPMnr1b8zwRLNfRbrIUw0-wYmbVL-_FRTf4p4-H6cCU3xBRXl67BONxyxUt7bSc5ygS0GnATILPoBus7furzkJBA$" TargetMode="External"/><Relationship Id="rId66" Type="http://schemas.openxmlformats.org/officeDocument/2006/relationships/hyperlink" Target="https://urldefense.com/v3/__http:/civilsocietyeurope.eu/civil-society-convention-on-the-future-of-europe/__;!!DOxrgLBm!USrgw0ykk4Rr_7OEucFYoNO-h98D1sH5xfD-7Qmm48-t_TKrps6LcRBXC7_VkAjjVVGY7-clIExnQQ$" TargetMode="External"/><Relationship Id="rId67" Type="http://schemas.openxmlformats.org/officeDocument/2006/relationships/hyperlink" Target="https://urldefense.com/v3/__https:/europeanmovement.eu/__;!!DOxrgLBm!USrgw0ykk4Rr_7OEucFYoNO-h98D1sH5xfD-7Qmm48-t_TKrps6LcRBXC7_VkAjjVVGY7-cLezPKmw$" TargetMode="External"/><Relationship Id="rId68" Type="http://schemas.openxmlformats.org/officeDocument/2006/relationships/hyperlink" Target="https://urldefense.com/v3/__https:/europeanmovement.eu/event-category/emi-events/?content_type=event&amp;tax_id=44&amp;showpastevents=1&amp;eventdatedesc=1__;!!DOxrgLBm!USrgw0ykk4Rr_7OEucFYoNO-h98D1sH5xfD-7Qmm48-t_TKrps6LcRBXC7_VkAjjVVGY7-duHAsLmg$" TargetMode="External"/><Relationship Id="rId69" Type="http://schemas.openxmlformats.org/officeDocument/2006/relationships/hyperlink" Target="https://urldefense.com/v3/__http:/civilsocietyeurope.eu/4th-conference-on-the-future-of-europe-plenary/__;!!DOxrgLBm!USrgw0ykk4Rr_7OEucFYoNO-h98D1sH5xfD-7Qmm48-t_TKrps6LcRBXC7_VkAjjVVGY7-fF2tswkA$" TargetMode="External"/><Relationship Id="rId70" Type="http://schemas.openxmlformats.org/officeDocument/2006/relationships/hyperlink" Target="https://urldefense.com/v3/__http:/civilsocietyeurope.eu/civil-society-convention-on-the-future-of-europe/thematic-clusters/__;!!DOxrgLBm!USrgw0ykk4Rr_7OEucFYoNO-h98D1sH5xfD-7Qmm48-t_TKrps6LcRBXC7_VkAjjVVGY7-fwba3XGA$" TargetMode="External"/><Relationship Id="rId71" Type="http://schemas.openxmlformats.org/officeDocument/2006/relationships/hyperlink" Target="https://urldefense.com/v3/__https:/europeanmovement.eu/conference-on-the-future-of-europe/__;!!DOxrgLBm!USrgw0ykk4Rr_7OEucFYoNO-h98D1sH5xfD-7Qmm48-t_TKrps6LcRBXC7_VkAjjVVGY7-coTvKNzA$" TargetMode="External"/><Relationship Id="rId72" Type="http://schemas.openxmlformats.org/officeDocument/2006/relationships/image" Target="media/image21.png"/><Relationship Id="rId73" Type="http://schemas.openxmlformats.org/officeDocument/2006/relationships/image" Target="media/image22.png"/><Relationship Id="rId74" Type="http://schemas.openxmlformats.org/officeDocument/2006/relationships/image" Target="media/image23.png"/><Relationship Id="rId75" Type="http://schemas.openxmlformats.org/officeDocument/2006/relationships/image" Target="media/image24.png"/><Relationship Id="rId76" Type="http://schemas.openxmlformats.org/officeDocument/2006/relationships/image" Target="media/image25.png"/><Relationship Id="rId77" Type="http://schemas.openxmlformats.org/officeDocument/2006/relationships/image" Target="media/image26.png"/><Relationship Id="rId78" Type="http://schemas.openxmlformats.org/officeDocument/2006/relationships/image" Target="media/image27.png"/><Relationship Id="rId79" Type="http://schemas.openxmlformats.org/officeDocument/2006/relationships/image" Target="media/image28.png"/><Relationship Id="rId80" Type="http://schemas.openxmlformats.org/officeDocument/2006/relationships/image" Target="media/image29.png"/><Relationship Id="rId81" Type="http://schemas.openxmlformats.org/officeDocument/2006/relationships/image" Target="media/image30.png"/><Relationship Id="rId82" Type="http://schemas.openxmlformats.org/officeDocument/2006/relationships/image" Target="media/image31.png"/><Relationship Id="rId83" Type="http://schemas.openxmlformats.org/officeDocument/2006/relationships/image" Target="media/image32.png"/><Relationship Id="rId84" Type="http://schemas.openxmlformats.org/officeDocument/2006/relationships/image" Target="media/image33.png"/><Relationship Id="rId85" Type="http://schemas.openxmlformats.org/officeDocument/2006/relationships/hyperlink" Target="https://participation-citoyenne.gouv.fr/sites/default/files/2021-11/20211126 - COFE - Rapport final.pdf" TargetMode="External"/><Relationship Id="rId86" Type="http://schemas.openxmlformats.org/officeDocument/2006/relationships/hyperlink" Target="https://participation-citoyenne.gouv.fr/sites/default/files/2021-11/20211126 - COFE - Rapport final.pdf" TargetMode="External"/><Relationship Id="rId87" Type="http://schemas.openxmlformats.org/officeDocument/2006/relationships/image" Target="media/image34.png"/><Relationship Id="rId88" Type="http://schemas.openxmlformats.org/officeDocument/2006/relationships/image" Target="media/image35.png"/><Relationship Id="rId89" Type="http://schemas.openxmlformats.org/officeDocument/2006/relationships/image" Target="media/image36.png"/><Relationship Id="rId90" Type="http://schemas.openxmlformats.org/officeDocument/2006/relationships/image" Target="media/image37.png"/><Relationship Id="rId91" Type="http://schemas.openxmlformats.org/officeDocument/2006/relationships/image" Target="media/image38.png"/><Relationship Id="rId92" Type="http://schemas.openxmlformats.org/officeDocument/2006/relationships/image" Target="media/image39.png"/><Relationship Id="rId93" Type="http://schemas.openxmlformats.org/officeDocument/2006/relationships/image" Target="media/image40.png"/><Relationship Id="rId94" Type="http://schemas.openxmlformats.org/officeDocument/2006/relationships/image" Target="media/image41.png"/><Relationship Id="rId95" Type="http://schemas.openxmlformats.org/officeDocument/2006/relationships/image" Target="media/image42.png"/><Relationship Id="rId96" Type="http://schemas.openxmlformats.org/officeDocument/2006/relationships/image" Target="media/image43.png"/><Relationship Id="rId97" Type="http://schemas.openxmlformats.org/officeDocument/2006/relationships/image" Target="media/image44.png"/><Relationship Id="rId98" Type="http://schemas.openxmlformats.org/officeDocument/2006/relationships/image" Target="media/image45.wmf"/><Relationship Id="rId99" Type="http://schemas.openxmlformats.org/officeDocument/2006/relationships/image" Target="media/image46.png"/><Relationship Id="rId100" Type="http://schemas.openxmlformats.org/officeDocument/2006/relationships/image" Target="media/image47.png"/><Relationship Id="rId101" Type="http://schemas.openxmlformats.org/officeDocument/2006/relationships/image" Target="media/image48.png"/><Relationship Id="rId102" Type="http://schemas.openxmlformats.org/officeDocument/2006/relationships/image" Target="media/image49.png"/><Relationship Id="rId103" Type="http://schemas.openxmlformats.org/officeDocument/2006/relationships/image" Target="media/image50.png"/><Relationship Id="rId104" Type="http://schemas.openxmlformats.org/officeDocument/2006/relationships/image" Target="media/image51.png"/><Relationship Id="rId105" Type="http://schemas.openxmlformats.org/officeDocument/2006/relationships/image" Target="media/image52.png"/><Relationship Id="rId106" Type="http://schemas.openxmlformats.org/officeDocument/2006/relationships/image" Target="media/image53.png"/><Relationship Id="rId107" Type="http://schemas.openxmlformats.org/officeDocument/2006/relationships/image" Target="media/image54.png"/><Relationship Id="rId108" Type="http://schemas.openxmlformats.org/officeDocument/2006/relationships/image" Target="media/image55.png"/><Relationship Id="rId109" Type="http://schemas.openxmlformats.org/officeDocument/2006/relationships/image" Target="media/image56.png"/><Relationship Id="rId110" Type="http://schemas.openxmlformats.org/officeDocument/2006/relationships/image" Target="media/image57.png"/><Relationship Id="rId111" Type="http://schemas.openxmlformats.org/officeDocument/2006/relationships/image" Target="media/image58.png"/><Relationship Id="rId112" Type="http://schemas.openxmlformats.org/officeDocument/2006/relationships/image" Target="media/image59.png"/><Relationship Id="rId113" Type="http://schemas.openxmlformats.org/officeDocument/2006/relationships/hyperlink" Target="https://europa.eu/eurobarometer/surveys/detail/2256" TargetMode="External"/><Relationship Id="rId114" Type="http://schemas.openxmlformats.org/officeDocument/2006/relationships/hyperlink" Target="https://europa.eu/eurobarometer/surveys/detail/2256" TargetMode="External"/><Relationship Id="rId115" Type="http://schemas.openxmlformats.org/officeDocument/2006/relationships/hyperlink" Target="https://europa.eu/eurobarometer/surveys/detail/2256" TargetMode="External"/><Relationship Id="rId116" Type="http://schemas.openxmlformats.org/officeDocument/2006/relationships/hyperlink" Target="https://europa.eu/eurobarometer/surveys/detail/2532" TargetMode="External"/><Relationship Id="rId117" Type="http://schemas.openxmlformats.org/officeDocument/2006/relationships/image" Target="media/image60.png"/><Relationship Id="rId118" Type="http://schemas.openxmlformats.org/officeDocument/2006/relationships/hyperlink" Target="http://www.kijkopeuropa.nl/" TargetMode="External"/><Relationship Id="rId119" Type="http://schemas.openxmlformats.org/officeDocument/2006/relationships/image" Target="media/image61.png"/><Relationship Id="rId120" Type="http://schemas.openxmlformats.org/officeDocument/2006/relationships/hyperlink" Target="https://futureu.europa.eu/pages/belgium" TargetMode="External"/><Relationship Id="rId121" Type="http://schemas.openxmlformats.org/officeDocument/2006/relationships/hyperlink" Target="https://futureu.europa.eu/pages/bulgaria" TargetMode="External"/><Relationship Id="rId122" Type="http://schemas.openxmlformats.org/officeDocument/2006/relationships/hyperlink" Target="https://futureu.europa.eu/pages/czechia" TargetMode="External"/><Relationship Id="rId123" Type="http://schemas.openxmlformats.org/officeDocument/2006/relationships/hyperlink" Target="https://futureu.europa.eu/pages/czechia" TargetMode="External"/><Relationship Id="rId124" Type="http://schemas.openxmlformats.org/officeDocument/2006/relationships/hyperlink" Target="https://futureu.europa.eu/pages/denmark" TargetMode="External"/><Relationship Id="rId125" Type="http://schemas.openxmlformats.org/officeDocument/2006/relationships/hyperlink" Target="https://futureu.europa.eu/pages/germany" TargetMode="External"/><Relationship Id="rId126" Type="http://schemas.openxmlformats.org/officeDocument/2006/relationships/hyperlink" Target="https://futureu.europa.eu/pages/germany" TargetMode="External"/><Relationship Id="rId127" Type="http://schemas.openxmlformats.org/officeDocument/2006/relationships/hyperlink" Target="https://futureu.europa.eu/pages/estonia" TargetMode="External"/><Relationship Id="rId128" Type="http://schemas.openxmlformats.org/officeDocument/2006/relationships/hyperlink" Target="https://futureu.europa.eu/pages/ireland" TargetMode="External"/><Relationship Id="rId129" Type="http://schemas.openxmlformats.org/officeDocument/2006/relationships/hyperlink" Target="https://futureu.europa.eu/pages/greece" TargetMode="External"/><Relationship Id="rId130" Type="http://schemas.openxmlformats.org/officeDocument/2006/relationships/hyperlink" Target="https://futureu.europa.eu/pages/spain" TargetMode="External"/><Relationship Id="rId131" Type="http://schemas.openxmlformats.org/officeDocument/2006/relationships/hyperlink" Target="https://futureu.europa.eu/pages/france" TargetMode="External"/><Relationship Id="rId132" Type="http://schemas.openxmlformats.org/officeDocument/2006/relationships/hyperlink" Target="https://futureu.europa.eu/pages/croatia" TargetMode="External"/><Relationship Id="rId133" Type="http://schemas.openxmlformats.org/officeDocument/2006/relationships/hyperlink" Target="https://futureu.europa.eu/pages/italy" TargetMode="External"/><Relationship Id="rId134" Type="http://schemas.openxmlformats.org/officeDocument/2006/relationships/hyperlink" Target="https://futureu.europa.eu/pages/cyprus" TargetMode="External"/><Relationship Id="rId135" Type="http://schemas.openxmlformats.org/officeDocument/2006/relationships/hyperlink" Target="https://futureu.europa.eu/pages/latvia" TargetMode="External"/><Relationship Id="rId136" Type="http://schemas.openxmlformats.org/officeDocument/2006/relationships/hyperlink" Target="https://futureu.europa.eu/pages/lithuania" TargetMode="External"/><Relationship Id="rId137" Type="http://schemas.openxmlformats.org/officeDocument/2006/relationships/hyperlink" Target="https://futureu.europa.eu/pages/luxembourg" TargetMode="External"/><Relationship Id="rId138" Type="http://schemas.openxmlformats.org/officeDocument/2006/relationships/hyperlink" Target="https://futureu.europa.eu/pages/hungary" TargetMode="External"/><Relationship Id="rId139" Type="http://schemas.openxmlformats.org/officeDocument/2006/relationships/hyperlink" Target="https://futureu.europa.eu/pages/malta" TargetMode="External"/><Relationship Id="rId140" Type="http://schemas.openxmlformats.org/officeDocument/2006/relationships/hyperlink" Target="https://futureu.europa.eu/pages/netherlands" TargetMode="External"/><Relationship Id="rId141" Type="http://schemas.openxmlformats.org/officeDocument/2006/relationships/hyperlink" Target="https://futureu.europa.eu/pages/austria" TargetMode="External"/><Relationship Id="rId142" Type="http://schemas.openxmlformats.org/officeDocument/2006/relationships/hyperlink" Target="https://futureu.europa.eu/pages/poland" TargetMode="External"/><Relationship Id="rId143" Type="http://schemas.openxmlformats.org/officeDocument/2006/relationships/hyperlink" Target="https://futureu.europa.eu/pages/portugal" TargetMode="External"/><Relationship Id="rId144" Type="http://schemas.openxmlformats.org/officeDocument/2006/relationships/hyperlink" Target="https://futureu.europa.eu/pages/romania" TargetMode="External"/><Relationship Id="rId145" Type="http://schemas.openxmlformats.org/officeDocument/2006/relationships/hyperlink" Target="https://futureu.europa.eu/pages/slovenia" TargetMode="External"/><Relationship Id="rId146" Type="http://schemas.openxmlformats.org/officeDocument/2006/relationships/hyperlink" Target="https://futureu.europa.eu/pages/slovakia" TargetMode="External"/><Relationship Id="rId147" Type="http://schemas.openxmlformats.org/officeDocument/2006/relationships/hyperlink" Target="https://futureu.europa.eu/pages/finland" TargetMode="External"/><Relationship Id="rId148" Type="http://schemas.openxmlformats.org/officeDocument/2006/relationships/hyperlink" Target="https://futureu.europa.eu/pages/sweden" TargetMode="External"/><Relationship Id="rId149" Type="http://schemas.openxmlformats.org/officeDocument/2006/relationships/hyperlink" Target="https://futureu.europa.eu/rails/active_storage/blobs/eyJfcmFpbHMiOnsibWVzc2FnZSI6IkJBaHBBcm4rIiwiZXhwIjpudWxsLCJwdXIiOiJibG9iX2lkIn19--1ea88b90a6936d6de6f7774d037d12937083f5a2/Kantar Report March 2022 Final.en22.pdf" TargetMode="External"/><Relationship Id="rId150" Type="http://schemas.openxmlformats.org/officeDocument/2006/relationships/hyperlink" Target="https://futureu.europa.eu/rails/active_storage/blobs/eyJfcmFpbHMiOnsibWVzc2FnZSI6IkJBaHBBcm4rIiwiZXhwIjpudWxsLCJwdXIiOiJibG9iX2lkIn19--1ea88b90a6936d6de6f7774d037d12937083f5a2/Kantar Report March 2022 Final.en22.pdf" TargetMode="External"/><Relationship Id="rId151" Type="http://schemas.openxmlformats.org/officeDocument/2006/relationships/hyperlink" Target="https://futureu.europa.eu/rails/active_storage/blobs/eyJfcmFpbHMiOnsibWVzc2FnZSI6IkJBaHBBcm4rIiwiZXhwIjpudWxsLCJwdXIiOiJibG9iX2lkIn19--1ea88b90a6936d6de6f7774d037d12937083f5a2/Kantar Report March 2022 Final.en22.pdf" TargetMode="External"/><Relationship Id="rId152" Type="http://schemas.openxmlformats.org/officeDocument/2006/relationships/image" Target="media/image62.png"/><Relationship Id="rId153" Type="http://schemas.openxmlformats.org/officeDocument/2006/relationships/footnotes" Target="footnotes.xml"/><Relationship Id="rId154" Type="http://schemas.openxmlformats.org/officeDocument/2006/relationships/endnotes" Target="endnotes.xml"/><Relationship Id="rId155" Type="http://schemas.openxmlformats.org/officeDocument/2006/relationships/comments" Target="comments.xml"/><Relationship Id="rId156" Type="http://schemas.openxmlformats.org/officeDocument/2006/relationships/numbering" Target="numbering.xml"/><Relationship Id="rId157" Type="http://schemas.openxmlformats.org/officeDocument/2006/relationships/fontTable" Target="fontTable.xml"/><Relationship Id="rId158" Type="http://schemas.openxmlformats.org/officeDocument/2006/relationships/settings" Target="settings.xml"/>
</Relationships>
</file>

<file path=word/_rels/endnotes.xml.rels><?xml version="1.0" encoding="UTF-8"?>
<Relationships xmlns="http://schemas.openxmlformats.org/package/2006/relationships"><Relationship Id="rId1" Type="http://schemas.openxmlformats.org/officeDocument/2006/relationships/hyperlink" Target="https://futureu.europa.eu/processes/EUInTheWorld/f/16/proposals/197870?locale=fr" TargetMode="External"/>
</Relationships>
</file>

<file path=word/_rels/footnotes.xml.rels><?xml version="1.0" encoding="UTF-8"?>
<Relationships xmlns="http://schemas.openxmlformats.org/package/2006/relationships"><Relationship Id="rId1" Type="http://schemas.openxmlformats.org/officeDocument/2006/relationships/hyperlink" Target="https://futureu.europa.eu/" TargetMode="External"/><Relationship Id="rId2" Type="http://schemas.openxmlformats.org/officeDocument/2006/relationships/hyperlink" Target="https://futureu.europa.eu/uploads/decidim/attachment/file/4595/Conference_Charter_fr.pdf" TargetMode="External"/><Relationship Id="rId3" Type="http://schemas.openxmlformats.org/officeDocument/2006/relationships/hyperlink" Target="https://www.oecd.org/gov/open-government/innovative-citizen-participation-new-democratic-institutions-catching-the-deliberative-wave-highlights.pdf" TargetMode="External"/><Relationship Id="rId4" Type="http://schemas.openxmlformats.org/officeDocument/2006/relationships/hyperlink" Target="https://www.oecd.org/gov/open-government/innovative-citizen-participation-new-democratic-institutions-catching-the-deliberative-wave-highlights.pdf" TargetMode="External"/><Relationship Id="rId5" Type="http://schemas.openxmlformats.org/officeDocument/2006/relationships/hyperlink" Target="http://www.participation-citoyenne.gouv.fr/" TargetMode="External"/><Relationship Id="rId6" Type="http://schemas.openxmlformats.org/officeDocument/2006/relationships/hyperlink" Target="https://futureu.europa.eu/processes?locale=fr" TargetMode="External"/>
</Relationships>
</file>

<file path=docProps/app.xml><?xml version="1.0" encoding="utf-8"?>
<Properties xmlns="http://schemas.openxmlformats.org/officeDocument/2006/extended-properties" xmlns:vt="http://schemas.openxmlformats.org/officeDocument/2006/docPropsVTypes">
  <Template/>
  <TotalTime>2158</TotalTime>
  <Application>LibreOffice/6.0.2.1$Windows_x86 LibreOffice_project/f7f06a8f319e4b62f9bc5095aa112a65d2f3ac89</Application>
  <Pages>309</Pages>
  <Words>113926</Words>
  <Characters>659013</Characters>
  <CharactersWithSpaces>769866</CharactersWithSpaces>
  <Paragraphs>6026</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2022-05-31T09:31:16Z</dcterms:created>
  <dc:creator>Pierre Dieumegard</dc:creator>
  <dc:description/>
  <dc:language>fr-FR</dc:language>
  <cp:lastModifiedBy>Pierre Dieumegard</cp:lastModifiedBy>
  <dcterms:modified xsi:type="dcterms:W3CDTF">2022-09-01T16:05:36Z</dcterms:modified>
  <cp:revision>68</cp:revision>
  <dc:subject/>
  <dc:titl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15.0000</vt:lpwstr>
  </property>
</Properties>
</file>